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988658.xml.htm"/>
      <w:bookmarkStart w:id="1" w:name="kswkform4_17749886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Hilado Maria Teresa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2,037.31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2,037.31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39,275.08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shares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value of Phantom Stock is payable in cash from the Company's Supplemental Retirement Plan upon reporting person's retirement, resignation or termination.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520.16 shares acquired through dividend reinvestment since the reporting person's last report.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868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3399</Characters>
  <CharactersWithSpaces>3956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