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916940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ind w:left="35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ectPr>
          <w:pgSz w:w="11900" w:h="16838" w:orient="portrait"/>
          <w:cols w:equalWidth="0" w:num="1">
            <w:col w:w="11420"/>
          </w:cols>
          <w:pgMar w:left="240" w:top="1440" w:right="239" w:bottom="1440" w:gutter="0" w:footer="0" w:header="0"/>
        </w:sectPr>
      </w:pPr>
    </w:p>
    <w:p>
      <w:pPr>
        <w:spacing w:after="0" w:line="34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For the Quarterly Period Ended</w:t>
      </w:r>
    </w:p>
    <w:p>
      <w:pPr>
        <w:spacing w:after="0" w:line="4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November 1, 2015</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31"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160020</wp:posOffset>
            </wp:positionV>
            <wp:extent cx="147510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6560" w:space="720"/>
            <w:col w:w="4140"/>
          </w:cols>
          <w:pgMar w:left="240" w:top="1440"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2"/>
          <w:szCs w:val="42"/>
          <w:b w:val="1"/>
          <w:bCs w:val="1"/>
          <w:color w:val="auto"/>
        </w:rPr>
        <w:t>CAMPBELL SOUP COMPANY</w:t>
      </w:r>
    </w:p>
    <w:p>
      <w:pPr>
        <w:sectPr>
          <w:pgSz w:w="11900" w:h="16838" w:orient="portrait"/>
          <w:cols w:equalWidth="0" w:num="1">
            <w:col w:w="11420"/>
          </w:cols>
          <w:pgMar w:left="240" w:top="1440" w:right="239" w:bottom="1440" w:gutter="0" w:footer="0" w:header="0"/>
          <w:type w:val="continuous"/>
        </w:sectPr>
      </w:pPr>
    </w:p>
    <w:p>
      <w:pPr>
        <w:spacing w:after="0" w:line="302"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21-0419870</w:t>
      </w:r>
    </w:p>
    <w:p>
      <w:pPr>
        <w:spacing w:after="0" w:line="76" w:lineRule="exact"/>
        <w:rPr>
          <w:sz w:val="24"/>
          <w:szCs w:val="24"/>
          <w:color w:val="auto"/>
        </w:rPr>
      </w:pPr>
    </w:p>
    <w:p>
      <w:pPr>
        <w:sectPr>
          <w:pgSz w:w="11900" w:h="16838" w:orient="portrait"/>
          <w:cols w:equalWidth="0" w:num="2">
            <w:col w:w="7320" w:space="720"/>
            <w:col w:w="3380"/>
          </w:cols>
          <w:pgMar w:left="240" w:top="1440" w:right="23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7"/>
          <w:szCs w:val="17"/>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200" w:lineRule="exact"/>
        <w:rPr>
          <w:sz w:val="24"/>
          <w:szCs w:val="24"/>
          <w:color w:val="auto"/>
        </w:rPr>
      </w:pPr>
    </w:p>
    <w:p>
      <w:pPr>
        <w:sectPr>
          <w:pgSz w:w="11900" w:h="16838" w:orient="portrait"/>
          <w:cols w:equalWidth="0" w:num="2">
            <w:col w:w="6520" w:space="720"/>
            <w:col w:w="4180"/>
          </w:cols>
          <w:pgMar w:left="240" w:top="1440" w:right="239" w:bottom="1440" w:gutter="0" w:footer="0" w:header="0"/>
          <w:type w:val="continuous"/>
        </w:sectPr>
      </w:pP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Campbell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Camden, New Jersey 08103-1799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Number: (856) 342-4800</w:t>
      </w:r>
    </w:p>
    <w:p>
      <w:pPr>
        <w:sectPr>
          <w:pgSz w:w="11900" w:h="16838" w:orient="portrait"/>
          <w:cols w:equalWidth="0" w:num="1">
            <w:col w:w="11420"/>
          </w:cols>
          <w:pgMar w:left="240" w:top="1440"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R Yes o No</w:t>
      </w:r>
    </w:p>
    <w:p>
      <w:pPr>
        <w:spacing w:after="0" w:line="122" w:lineRule="exact"/>
        <w:rPr>
          <w:sz w:val="24"/>
          <w:szCs w:val="24"/>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Date File required to be submitted and posted pursuant to Rule 405 of Regulation S-T during the preceding 12 months (or for such shorter period that the registrant was required to submit and post such files). R Yes o No</w:t>
      </w:r>
    </w:p>
    <w:p>
      <w:pPr>
        <w:spacing w:after="0" w:line="41"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440" w:right="239" w:bottom="1440" w:gutter="0" w:footer="0" w:header="0"/>
          <w:type w:val="continuous"/>
        </w:sectPr>
      </w:pPr>
    </w:p>
    <w:p>
      <w:pPr>
        <w:spacing w:after="0" w:line="79" w:lineRule="exact"/>
        <w:rPr>
          <w:sz w:val="24"/>
          <w:szCs w:val="24"/>
          <w:color w:val="auto"/>
        </w:rPr>
      </w:pPr>
    </w:p>
    <w:p>
      <w:pPr>
        <w:ind w:left="2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(Do not check if a smaller</w:t>
      </w:r>
    </w:p>
    <w:p>
      <w:pPr>
        <w:spacing w:after="0" w:line="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479" w:lineRule="exact"/>
        <w:rPr>
          <w:sz w:val="24"/>
          <w:szCs w:val="24"/>
          <w:color w:val="auto"/>
        </w:rPr>
      </w:pPr>
    </w:p>
    <w:p>
      <w:pPr>
        <w:sectPr>
          <w:pgSz w:w="11900" w:h="16838" w:orient="portrait"/>
          <w:cols w:equalWidth="0" w:num="4">
            <w:col w:w="2760" w:space="720"/>
            <w:col w:w="1740" w:space="720"/>
            <w:col w:w="1940" w:space="720"/>
            <w:col w:w="2820"/>
          </w:cols>
          <w:pgMar w:left="240" w:top="1440" w:right="2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 o Yes R No</w:t>
      </w:r>
    </w:p>
    <w:p>
      <w:pPr>
        <w:spacing w:after="0" w:line="29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There were 310,030,539 shares of capital stock outstanding as of December 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44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40" w:type="dxa"/>
            <w:vAlign w:val="bottom"/>
            <w:gridSpan w:val="3"/>
          </w:tcPr>
          <w:p>
            <w:pPr>
              <w:ind w:left="4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60" w:type="dxa"/>
            <w:vAlign w:val="bottom"/>
          </w:tcPr>
          <w:p>
            <w:pPr>
              <w:spacing w:after="0"/>
              <w:rPr>
                <w:sz w:val="17"/>
                <w:szCs w:val="17"/>
                <w:color w:val="auto"/>
              </w:rPr>
            </w:pPr>
          </w:p>
        </w:tc>
      </w:tr>
      <w:tr>
        <w:trPr>
          <w:trHeight w:val="615"/>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0000FF"/>
              </w:rPr>
              <w:t>PART I</w:t>
            </w:r>
          </w:p>
        </w:tc>
        <w:tc>
          <w:tcPr>
            <w:tcW w:w="19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740" w:type="dxa"/>
            <w:vAlign w:val="bottom"/>
            <w:gridSpan w:val="3"/>
          </w:tcPr>
          <w:p>
            <w:pPr>
              <w:ind w:left="68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Information</w:t>
              </w:r>
            </w:hyperlink>
          </w:p>
        </w:tc>
        <w:tc>
          <w:tcPr>
            <w:tcW w:w="1260" w:type="dxa"/>
            <w:vAlign w:val="bottom"/>
          </w:tcPr>
          <w:p>
            <w:pPr>
              <w:ind w:left="108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70"/>
        </w:trPr>
        <w:tc>
          <w:tcPr>
            <w:tcW w:w="8740" w:type="dxa"/>
            <w:vAlign w:val="bottom"/>
            <w:gridSpan w:val="3"/>
          </w:tcPr>
          <w:p>
            <w:pPr>
              <w:ind w:left="68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1260" w:type="dxa"/>
            <w:vAlign w:val="bottom"/>
          </w:tcPr>
          <w:p>
            <w:pPr>
              <w:ind w:left="1080"/>
              <w:spacing w:after="0"/>
              <w:rPr>
                <w:rFonts w:ascii="Times New Roman" w:cs="Times New Roman" w:eastAsia="Times New Roman" w:hAnsi="Times New Roman"/>
                <w:sz w:val="18"/>
                <w:szCs w:val="18"/>
                <w:color w:val="0000EE"/>
                <w:w w:val="88"/>
              </w:rPr>
            </w:pPr>
            <w:hyperlink w:anchor="page22">
              <w:r>
                <w:rPr>
                  <w:rFonts w:ascii="Times New Roman" w:cs="Times New Roman" w:eastAsia="Times New Roman" w:hAnsi="Times New Roman"/>
                  <w:sz w:val="18"/>
                  <w:szCs w:val="18"/>
                  <w:color w:val="0000EE"/>
                  <w:w w:val="88"/>
                </w:rPr>
                <w:t>23</w:t>
              </w:r>
            </w:hyperlink>
          </w:p>
        </w:tc>
      </w:tr>
      <w:tr>
        <w:trPr>
          <w:trHeight w:val="270"/>
        </w:trPr>
        <w:tc>
          <w:tcPr>
            <w:tcW w:w="8740" w:type="dxa"/>
            <w:vAlign w:val="bottom"/>
            <w:gridSpan w:val="3"/>
          </w:tcPr>
          <w:p>
            <w:pPr>
              <w:ind w:left="68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3. Quantitative and Qualitative Disclosures about Market Risk</w:t>
              </w:r>
            </w:hyperlink>
          </w:p>
        </w:tc>
        <w:tc>
          <w:tcPr>
            <w:tcW w:w="1260" w:type="dxa"/>
            <w:vAlign w:val="bottom"/>
          </w:tcPr>
          <w:p>
            <w:pPr>
              <w:ind w:left="1080"/>
              <w:spacing w:after="0"/>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29</w:t>
              </w:r>
            </w:hyperlink>
          </w:p>
        </w:tc>
      </w:tr>
      <w:tr>
        <w:trPr>
          <w:trHeight w:val="270"/>
        </w:trPr>
        <w:tc>
          <w:tcPr>
            <w:tcW w:w="8740" w:type="dxa"/>
            <w:vAlign w:val="bottom"/>
            <w:gridSpan w:val="3"/>
          </w:tcPr>
          <w:p>
            <w:pPr>
              <w:ind w:left="68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4. Controls and Procedures</w:t>
              </w:r>
            </w:hyperlink>
          </w:p>
        </w:tc>
        <w:tc>
          <w:tcPr>
            <w:tcW w:w="1260" w:type="dxa"/>
            <w:vAlign w:val="bottom"/>
          </w:tcPr>
          <w:p>
            <w:pPr>
              <w:ind w:left="1080"/>
              <w:spacing w:after="0"/>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29</w:t>
              </w:r>
            </w:hyperlink>
          </w:p>
        </w:tc>
      </w:tr>
      <w:tr>
        <w:trPr>
          <w:trHeight w:val="270"/>
        </w:trPr>
        <w:tc>
          <w:tcPr>
            <w:tcW w:w="8740" w:type="dxa"/>
            <w:vAlign w:val="bottom"/>
            <w:gridSpan w:val="3"/>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PART II</w:t>
              </w:r>
            </w:hyperlink>
          </w:p>
        </w:tc>
        <w:tc>
          <w:tcPr>
            <w:tcW w:w="1260" w:type="dxa"/>
            <w:vAlign w:val="bottom"/>
          </w:tcPr>
          <w:p>
            <w:pPr>
              <w:spacing w:after="0"/>
              <w:rPr>
                <w:sz w:val="23"/>
                <w:szCs w:val="23"/>
                <w:color w:val="auto"/>
              </w:rPr>
            </w:pPr>
          </w:p>
        </w:tc>
      </w:tr>
      <w:tr>
        <w:trPr>
          <w:trHeight w:val="270"/>
        </w:trPr>
        <w:tc>
          <w:tcPr>
            <w:tcW w:w="8740" w:type="dxa"/>
            <w:vAlign w:val="bottom"/>
            <w:gridSpan w:val="3"/>
          </w:tcPr>
          <w:p>
            <w:pPr>
              <w:ind w:left="68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2. Unregistered Sales of Equity Securities and Use of Proceeds</w:t>
              </w:r>
            </w:hyperlink>
          </w:p>
        </w:tc>
        <w:tc>
          <w:tcPr>
            <w:tcW w:w="1260" w:type="dxa"/>
            <w:vAlign w:val="bottom"/>
          </w:tcPr>
          <w:p>
            <w:pPr>
              <w:ind w:left="1080"/>
              <w:spacing w:after="0"/>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30</w:t>
              </w:r>
            </w:hyperlink>
          </w:p>
        </w:tc>
      </w:tr>
      <w:tr>
        <w:trPr>
          <w:trHeight w:val="270"/>
        </w:trPr>
        <w:tc>
          <w:tcPr>
            <w:tcW w:w="8740" w:type="dxa"/>
            <w:vAlign w:val="bottom"/>
            <w:gridSpan w:val="3"/>
          </w:tcPr>
          <w:p>
            <w:pPr>
              <w:ind w:left="68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6. Exhibits</w:t>
              </w:r>
            </w:hyperlink>
          </w:p>
        </w:tc>
        <w:tc>
          <w:tcPr>
            <w:tcW w:w="1260" w:type="dxa"/>
            <w:vAlign w:val="bottom"/>
          </w:tcPr>
          <w:p>
            <w:pPr>
              <w:ind w:left="1080"/>
              <w:spacing w:after="0"/>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31</w:t>
              </w:r>
            </w:hyperlink>
          </w:p>
        </w:tc>
      </w:tr>
      <w:tr>
        <w:trPr>
          <w:trHeight w:val="270"/>
        </w:trPr>
        <w:tc>
          <w:tcPr>
            <w:tcW w:w="8740" w:type="dxa"/>
            <w:vAlign w:val="bottom"/>
            <w:gridSpan w:val="3"/>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SIGNATURES</w:t>
              </w:r>
            </w:hyperlink>
          </w:p>
        </w:tc>
        <w:tc>
          <w:tcPr>
            <w:tcW w:w="1260" w:type="dxa"/>
            <w:vAlign w:val="bottom"/>
          </w:tcPr>
          <w:p>
            <w:pPr>
              <w:ind w:left="1080"/>
              <w:spacing w:after="0"/>
              <w:rPr>
                <w:rFonts w:ascii="Times New Roman" w:cs="Times New Roman" w:eastAsia="Times New Roman" w:hAnsi="Times New Roman"/>
                <w:sz w:val="18"/>
                <w:szCs w:val="18"/>
                <w:color w:val="0000EE"/>
                <w:w w:val="88"/>
              </w:rPr>
            </w:pPr>
            <w:hyperlink w:anchor="page31">
              <w:r>
                <w:rPr>
                  <w:rFonts w:ascii="Times New Roman" w:cs="Times New Roman" w:eastAsia="Times New Roman" w:hAnsi="Times New Roman"/>
                  <w:sz w:val="18"/>
                  <w:szCs w:val="18"/>
                  <w:color w:val="0000EE"/>
                  <w:w w:val="88"/>
                </w:rPr>
                <w:t>32</w:t>
              </w:r>
            </w:hyperlink>
          </w:p>
        </w:tc>
      </w:tr>
      <w:tr>
        <w:trPr>
          <w:trHeight w:val="270"/>
        </w:trPr>
        <w:tc>
          <w:tcPr>
            <w:tcW w:w="8740" w:type="dxa"/>
            <w:vAlign w:val="bottom"/>
            <w:gridSpan w:val="3"/>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INDEX TO EXHIBITS</w:t>
              </w:r>
            </w:hyperlink>
          </w:p>
        </w:tc>
        <w:tc>
          <w:tcPr>
            <w:tcW w:w="1260" w:type="dxa"/>
            <w:vAlign w:val="bottom"/>
          </w:tcPr>
          <w:p>
            <w:pPr>
              <w:ind w:left="1080"/>
              <w:spacing w:after="0"/>
              <w:rPr>
                <w:rFonts w:ascii="Times New Roman" w:cs="Times New Roman" w:eastAsia="Times New Roman" w:hAnsi="Times New Roman"/>
                <w:sz w:val="18"/>
                <w:szCs w:val="18"/>
                <w:color w:val="0000EE"/>
                <w:w w:val="88"/>
              </w:rPr>
            </w:pPr>
            <w:hyperlink w:anchor="page32">
              <w:r>
                <w:rPr>
                  <w:rFonts w:ascii="Times New Roman" w:cs="Times New Roman" w:eastAsia="Times New Roman" w:hAnsi="Times New Roman"/>
                  <w:sz w:val="18"/>
                  <w:szCs w:val="18"/>
                  <w:color w:val="0000EE"/>
                  <w:w w:val="88"/>
                </w:rPr>
                <w:t>33</w:t>
              </w:r>
            </w:hyperlink>
          </w:p>
        </w:tc>
      </w:tr>
      <w:tr>
        <w:trPr>
          <w:trHeight w:val="702"/>
        </w:trPr>
        <w:tc>
          <w:tcPr>
            <w:tcW w:w="6640" w:type="dxa"/>
            <w:vAlign w:val="bottom"/>
            <w:gridSpan w:val="2"/>
          </w:tcPr>
          <w:p>
            <w:pPr>
              <w:ind w:left="5620"/>
              <w:spacing w:after="0"/>
              <w:rPr>
                <w:sz w:val="20"/>
                <w:szCs w:val="20"/>
                <w:color w:val="auto"/>
              </w:rPr>
            </w:pPr>
            <w:r>
              <w:rPr>
                <w:rFonts w:ascii="Times New Roman" w:cs="Times New Roman" w:eastAsia="Times New Roman" w:hAnsi="Times New Roman"/>
                <w:sz w:val="18"/>
                <w:szCs w:val="18"/>
                <w:color w:val="auto"/>
              </w:rPr>
              <w:t>2</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79"/>
          </w:cols>
          <w:pgMar w:left="280" w:top="121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9"/>
        </w:trPr>
        <w:tc>
          <w:tcPr>
            <w:tcW w:w="9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140" w:type="dxa"/>
            <w:vAlign w:val="bottom"/>
          </w:tcPr>
          <w:p>
            <w:pPr>
              <w:spacing w:after="0"/>
              <w:rPr>
                <w:sz w:val="12"/>
                <w:szCs w:val="12"/>
                <w:color w:val="auto"/>
              </w:rPr>
            </w:pPr>
          </w:p>
        </w:tc>
        <w:tc>
          <w:tcPr>
            <w:tcW w:w="100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r>
      <w:tr>
        <w:trPr>
          <w:trHeight w:val="195"/>
        </w:trPr>
        <w:tc>
          <w:tcPr>
            <w:tcW w:w="90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7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2,255</w:t>
            </w:r>
          </w:p>
        </w:tc>
      </w:tr>
      <w:tr>
        <w:trPr>
          <w:trHeight w:val="237"/>
        </w:trPr>
        <w:tc>
          <w:tcPr>
            <w:tcW w:w="9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products sold</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1,460</w:t>
            </w: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243</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w:t>
            </w: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1,866</w:t>
            </w:r>
          </w:p>
        </w:tc>
      </w:tr>
      <w:tr>
        <w:trPr>
          <w:trHeight w:val="237"/>
        </w:trPr>
        <w:tc>
          <w:tcPr>
            <w:tcW w:w="9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315</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389</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9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before taxes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364</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 on earnings</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9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248</w:t>
            </w: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248</w:t>
            </w:r>
          </w:p>
        </w:tc>
      </w:tr>
      <w:tr>
        <w:trPr>
          <w:trHeight w:val="20"/>
        </w:trPr>
        <w:tc>
          <w:tcPr>
            <w:tcW w:w="9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 — Basic</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9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.312</w:t>
            </w:r>
          </w:p>
        </w:tc>
      </w:tr>
      <w:tr>
        <w:trPr>
          <w:trHeight w:val="67"/>
        </w:trPr>
        <w:tc>
          <w:tcPr>
            <w:tcW w:w="90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314</w:t>
            </w:r>
          </w:p>
        </w:tc>
      </w:tr>
      <w:tr>
        <w:trPr>
          <w:trHeight w:val="20"/>
        </w:trPr>
        <w:tc>
          <w:tcPr>
            <w:tcW w:w="9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 — Assuming Dilution</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
        </w:trPr>
        <w:tc>
          <w:tcPr>
            <w:tcW w:w="9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9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16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316</w:t>
            </w:r>
          </w:p>
        </w:tc>
      </w:tr>
      <w:tr>
        <w:trPr>
          <w:trHeight w:val="27"/>
        </w:trPr>
        <w:tc>
          <w:tcPr>
            <w:tcW w:w="9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9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30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November 1, 2015</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November 2, 2014</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140" w:type="dxa"/>
            <w:vAlign w:val="bottom"/>
          </w:tcPr>
          <w:p>
            <w:pPr>
              <w:spacing w:after="0"/>
              <w:rPr>
                <w:sz w:val="12"/>
                <w:szCs w:val="12"/>
                <w:color w:val="auto"/>
              </w:rPr>
            </w:pPr>
          </w:p>
        </w:tc>
        <w:tc>
          <w:tcPr>
            <w:tcW w:w="64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7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Reclassification adjustment for (gains) losses included in net earnings</w:t>
            </w:r>
          </w:p>
        </w:tc>
        <w:tc>
          <w:tcPr>
            <w:tcW w:w="160" w:type="dxa"/>
            <w:vAlign w:val="bottom"/>
          </w:tcPr>
          <w:p>
            <w:pPr>
              <w:spacing w:after="0"/>
              <w:rPr>
                <w:sz w:val="20"/>
                <w:szCs w:val="20"/>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162</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Campbell Soup Company</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162</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25" w:right="239" w:bottom="1440" w:gutter="0" w:footer="0" w:header="0"/>
        </w:sectPr>
      </w:pPr>
    </w:p>
    <w:bookmarkStart w:id="4" w:name="page5"/>
    <w:bookmarkEnd w:id="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3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300" w:type="dxa"/>
            <w:vAlign w:val="bottom"/>
          </w:tcPr>
          <w:p>
            <w:pPr>
              <w:spacing w:after="0"/>
              <w:rPr>
                <w:sz w:val="13"/>
                <w:szCs w:val="13"/>
                <w:color w:val="auto"/>
              </w:rPr>
            </w:pP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August 2,</w:t>
            </w:r>
          </w:p>
        </w:tc>
      </w:tr>
      <w:tr>
        <w:trPr>
          <w:trHeight w:val="195"/>
        </w:trPr>
        <w:tc>
          <w:tcPr>
            <w:tcW w:w="69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263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253</w:t>
            </w: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829</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647</w:t>
            </w:r>
          </w:p>
        </w:tc>
      </w:tr>
      <w:tr>
        <w:trPr>
          <w:trHeight w:val="243"/>
        </w:trPr>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6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1,049</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995</w:t>
            </w: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6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196</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w:t>
            </w:r>
          </w:p>
        </w:tc>
      </w:tr>
      <w:tr>
        <w:trPr>
          <w:trHeight w:val="237"/>
        </w:trPr>
        <w:tc>
          <w:tcPr>
            <w:tcW w:w="6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2,337</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2,093</w:t>
            </w:r>
          </w:p>
        </w:tc>
      </w:tr>
      <w:tr>
        <w:trPr>
          <w:trHeight w:val="27"/>
        </w:trPr>
        <w:tc>
          <w:tcPr>
            <w:tcW w:w="6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2,340</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2,347</w:t>
            </w:r>
          </w:p>
        </w:tc>
      </w:tr>
      <w:tr>
        <w:trPr>
          <w:trHeight w:val="243"/>
        </w:trPr>
        <w:tc>
          <w:tcPr>
            <w:tcW w:w="6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2,331</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2,344</w:t>
            </w: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1,200</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1,205</w:t>
            </w:r>
          </w:p>
        </w:tc>
      </w:tr>
      <w:tr>
        <w:trPr>
          <w:trHeight w:val="243"/>
        </w:trPr>
        <w:tc>
          <w:tcPr>
            <w:tcW w:w="6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96</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6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8,304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8,090</w:t>
            </w:r>
          </w:p>
        </w:tc>
      </w:tr>
      <w:tr>
        <w:trPr>
          <w:trHeight w:val="20"/>
        </w:trPr>
        <w:tc>
          <w:tcPr>
            <w:tcW w:w="69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1,545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1,543</w:t>
            </w:r>
          </w:p>
        </w:tc>
      </w:tr>
      <w:tr>
        <w:trPr>
          <w:trHeight w:val="243"/>
        </w:trPr>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Payable to suppliers and others</w:t>
            </w:r>
          </w:p>
        </w:tc>
        <w:tc>
          <w:tcPr>
            <w:tcW w:w="16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567</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544</w:t>
            </w: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569</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589</w:t>
            </w:r>
          </w:p>
        </w:tc>
      </w:tr>
      <w:tr>
        <w:trPr>
          <w:trHeight w:val="243"/>
        </w:trPr>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 payable</w:t>
            </w:r>
          </w:p>
        </w:tc>
        <w:tc>
          <w:tcPr>
            <w:tcW w:w="16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income taxes</w:t>
            </w:r>
          </w:p>
        </w:tc>
        <w:tc>
          <w:tcPr>
            <w:tcW w:w="16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123</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r>
      <w:tr>
        <w:trPr>
          <w:trHeight w:val="237"/>
        </w:trPr>
        <w:tc>
          <w:tcPr>
            <w:tcW w:w="6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2,904</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2,806</w:t>
            </w:r>
          </w:p>
        </w:tc>
      </w:tr>
      <w:tr>
        <w:trPr>
          <w:trHeight w:val="27"/>
        </w:trPr>
        <w:tc>
          <w:tcPr>
            <w:tcW w:w="6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2,551</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2,552</w:t>
            </w:r>
          </w:p>
        </w:tc>
      </w:tr>
      <w:tr>
        <w:trPr>
          <w:trHeight w:val="243"/>
        </w:trPr>
        <w:tc>
          <w:tcPr>
            <w:tcW w:w="6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taxes</w:t>
            </w:r>
          </w:p>
        </w:tc>
        <w:tc>
          <w:tcPr>
            <w:tcW w:w="16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462</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505</w:t>
            </w: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6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977</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850</w:t>
            </w:r>
          </w:p>
        </w:tc>
      </w:tr>
      <w:tr>
        <w:trPr>
          <w:trHeight w:val="237"/>
        </w:trPr>
        <w:tc>
          <w:tcPr>
            <w:tcW w:w="6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6,894</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6,713</w:t>
            </w:r>
          </w:p>
        </w:tc>
      </w:tr>
      <w:tr>
        <w:trPr>
          <w:trHeight w:val="27"/>
        </w:trPr>
        <w:tc>
          <w:tcPr>
            <w:tcW w:w="6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Campbell Soup Company shareholders' equity</w:t>
            </w:r>
          </w:p>
        </w:tc>
        <w:tc>
          <w:tcPr>
            <w:tcW w:w="1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authorized 40 shares; none issued</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stock, $.0375 par value; authorized 560 shares; issued 323 shares</w:t>
            </w:r>
          </w:p>
        </w:tc>
        <w:tc>
          <w:tcPr>
            <w:tcW w:w="16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12</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309</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w:t>
            </w:r>
          </w:p>
        </w:tc>
      </w:tr>
      <w:tr>
        <w:trPr>
          <w:trHeight w:val="243"/>
        </w:trPr>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Earnings retained in the business</w:t>
            </w:r>
          </w:p>
        </w:tc>
        <w:tc>
          <w:tcPr>
            <w:tcW w:w="16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1,850</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1,754</w:t>
            </w:r>
          </w:p>
        </w:tc>
      </w:tr>
      <w:tr>
        <w:trPr>
          <w:trHeight w:val="27"/>
        </w:trPr>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stock in treasury, at cost</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43"/>
        </w:trPr>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6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Campbell Soup Company shareholders' equity</w:t>
            </w:r>
          </w:p>
        </w:tc>
        <w:tc>
          <w:tcPr>
            <w:tcW w:w="16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1,414</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1,381</w:t>
            </w:r>
          </w:p>
        </w:tc>
      </w:tr>
      <w:tr>
        <w:trPr>
          <w:trHeight w:val="237"/>
        </w:trPr>
        <w:tc>
          <w:tcPr>
            <w:tcW w:w="6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6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1,410</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1,377</w:t>
            </w:r>
          </w:p>
        </w:tc>
      </w:tr>
      <w:tr>
        <w:trPr>
          <w:trHeight w:val="237"/>
        </w:trPr>
        <w:tc>
          <w:tcPr>
            <w:tcW w:w="6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8,304</w:t>
            </w:r>
          </w:p>
        </w:tc>
        <w:tc>
          <w:tcPr>
            <w:tcW w:w="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8,090</w:t>
            </w:r>
          </w:p>
        </w:tc>
      </w:tr>
      <w:tr>
        <w:trPr>
          <w:trHeight w:val="27"/>
        </w:trPr>
        <w:tc>
          <w:tcPr>
            <w:tcW w:w="6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80"/>
          </w:cols>
          <w:pgMar w:left="240" w:top="1225"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14"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24765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 w:lineRule="exact"/>
        <w:rPr>
          <w:sz w:val="20"/>
          <w:szCs w:val="20"/>
          <w:color w:val="auto"/>
        </w:rPr>
      </w:pPr>
    </w:p>
    <w:p>
      <w:pPr>
        <w:jc w:val="right"/>
        <w:ind w:right="180"/>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November 1,</w:t>
      </w:r>
      <w:r>
        <w:rPr>
          <w:sz w:val="20"/>
          <w:szCs w:val="20"/>
          <w:color w:val="auto"/>
        </w:rPr>
        <w:tab/>
      </w:r>
      <w:r>
        <w:rPr>
          <w:rFonts w:ascii="Times New Roman" w:cs="Times New Roman" w:eastAsia="Times New Roman" w:hAnsi="Times New Roman"/>
          <w:sz w:val="14"/>
          <w:szCs w:val="14"/>
          <w:b w:val="1"/>
          <w:bCs w:val="1"/>
          <w:color w:val="auto"/>
        </w:rPr>
        <w:t>November 2,</w:t>
      </w:r>
    </w:p>
    <w:p>
      <w:pPr>
        <w:spacing w:after="0" w:line="6" w:lineRule="exact"/>
        <w:rPr>
          <w:sz w:val="20"/>
          <w:szCs w:val="20"/>
          <w:color w:val="auto"/>
        </w:rPr>
      </w:pPr>
    </w:p>
    <w:p>
      <w:pPr>
        <w:jc w:val="both"/>
        <w:ind w:left="9460"/>
        <w:spacing w:after="0"/>
        <w:tabs>
          <w:tab w:leader="none" w:pos="10700"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p>
      <w:pPr>
        <w:sectPr>
          <w:pgSz w:w="11900" w:h="16838" w:orient="portrait"/>
          <w:cols w:equalWidth="0" w:num="1">
            <w:col w:w="11420"/>
          </w:cols>
          <w:pgMar w:left="240" w:top="1225" w:right="239" w:bottom="1440" w:gutter="0" w:footer="0" w:header="0"/>
        </w:sectPr>
      </w:pPr>
    </w:p>
    <w:p>
      <w:pPr>
        <w:spacing w:after="0" w:line="1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Adjustments to reconcile net earnings to operating cash flow</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Pension and postretirement benefit expense /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Other, net</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Changes in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Prepaid assets</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Pension fund contributions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Receipts from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tabs>
          <w:tab w:leader="none" w:pos="740" w:val="left"/>
          <w:tab w:leader="none" w:pos="1240" w:val="left"/>
          <w:tab w:leader="none" w:pos="1980" w:val="left"/>
        </w:tabs>
        <w:rPr>
          <w:sz w:val="20"/>
          <w:szCs w:val="20"/>
          <w:color w:val="auto"/>
        </w:rPr>
      </w:pP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194</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248</w:t>
      </w:r>
    </w:p>
    <w:p>
      <w:pPr>
        <w:spacing w:after="0" w:line="358" w:lineRule="exact"/>
        <w:rPr>
          <w:sz w:val="20"/>
          <w:szCs w:val="20"/>
          <w:color w:val="auto"/>
        </w:rPr>
      </w:pPr>
    </w:p>
    <w:p>
      <w:pPr>
        <w:ind w:left="2080" w:hanging="1233"/>
        <w:spacing w:after="0"/>
        <w:tabs>
          <w:tab w:leader="none" w:pos="2080"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p>
    <w:p>
      <w:pPr>
        <w:spacing w:after="0" w:line="86" w:lineRule="exact"/>
        <w:rPr>
          <w:sz w:val="20"/>
          <w:szCs w:val="20"/>
          <w:color w:val="auto"/>
        </w:rPr>
      </w:pPr>
    </w:p>
    <w:p>
      <w:pPr>
        <w:ind w:left="2080" w:hanging="1233"/>
        <w:spacing w:after="0"/>
        <w:tabs>
          <w:tab w:leader="none" w:pos="208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13</w:t>
      </w:r>
    </w:p>
    <w:p>
      <w:pPr>
        <w:spacing w:after="0" w:line="86" w:lineRule="exact"/>
        <w:rPr>
          <w:sz w:val="20"/>
          <w:szCs w:val="20"/>
          <w:color w:val="auto"/>
        </w:rPr>
      </w:pPr>
    </w:p>
    <w:p>
      <w:pPr>
        <w:ind w:left="2120" w:hanging="1354"/>
        <w:spacing w:after="0"/>
        <w:tabs>
          <w:tab w:leader="none" w:pos="2120" w:val="left"/>
        </w:tabs>
        <w:numPr>
          <w:ilvl w:val="0"/>
          <w:numId w:val="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(6)</w:t>
      </w:r>
    </w:p>
    <w:p>
      <w:pPr>
        <w:spacing w:after="0" w:line="98" w:lineRule="exact"/>
        <w:rPr>
          <w:sz w:val="20"/>
          <w:szCs w:val="20"/>
          <w:color w:val="auto"/>
        </w:rPr>
      </w:pPr>
    </w:p>
    <w:p>
      <w:pPr>
        <w:ind w:left="2080" w:hanging="1233"/>
        <w:spacing w:after="0"/>
        <w:tabs>
          <w:tab w:leader="none" w:pos="208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75</w:t>
      </w:r>
    </w:p>
    <w:p>
      <w:pPr>
        <w:spacing w:after="0" w:line="86" w:lineRule="exact"/>
        <w:rPr>
          <w:sz w:val="20"/>
          <w:szCs w:val="20"/>
          <w:color w:val="auto"/>
        </w:rPr>
      </w:pPr>
    </w:p>
    <w:p>
      <w:pPr>
        <w:ind w:left="2180" w:hanging="1386"/>
        <w:spacing w:after="0"/>
        <w:tabs>
          <w:tab w:leader="none" w:pos="218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9</w:t>
      </w:r>
    </w:p>
    <w:p>
      <w:pPr>
        <w:spacing w:after="0" w:line="86" w:lineRule="exact"/>
        <w:rPr>
          <w:sz w:val="20"/>
          <w:szCs w:val="20"/>
          <w:color w:val="auto"/>
        </w:rPr>
      </w:pPr>
    </w:p>
    <w:p>
      <w:pPr>
        <w:ind w:left="2180" w:hanging="1305"/>
        <w:spacing w:after="0"/>
        <w:tabs>
          <w:tab w:leader="none" w:pos="218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w:t>
      </w:r>
    </w:p>
    <w:p>
      <w:pPr>
        <w:spacing w:after="0" w:line="356" w:lineRule="exact"/>
        <w:rPr>
          <w:sz w:val="20"/>
          <w:szCs w:val="20"/>
          <w:color w:val="auto"/>
        </w:rPr>
      </w:pPr>
    </w:p>
    <w:p>
      <w:pPr>
        <w:ind w:left="1960" w:hanging="1247"/>
        <w:spacing w:after="0"/>
        <w:tabs>
          <w:tab w:leader="none" w:pos="1960" w:val="left"/>
        </w:tabs>
        <w:numPr>
          <w:ilvl w:val="0"/>
          <w:numId w:val="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(175)</w:t>
      </w:r>
    </w:p>
    <w:p>
      <w:pPr>
        <w:spacing w:after="0" w:line="98" w:lineRule="exact"/>
        <w:rPr>
          <w:sz w:val="20"/>
          <w:szCs w:val="20"/>
          <w:color w:val="auto"/>
        </w:rPr>
      </w:pPr>
    </w:p>
    <w:p>
      <w:pPr>
        <w:ind w:left="2040" w:hanging="1246"/>
        <w:spacing w:after="0"/>
        <w:tabs>
          <w:tab w:leader="none" w:pos="2040" w:val="left"/>
        </w:tabs>
        <w:numPr>
          <w:ilvl w:val="0"/>
          <w:numId w:val="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(95)</w:t>
      </w:r>
    </w:p>
    <w:p>
      <w:pPr>
        <w:spacing w:after="0" w:line="98" w:lineRule="exact"/>
        <w:rPr>
          <w:sz w:val="20"/>
          <w:szCs w:val="20"/>
          <w:color w:val="auto"/>
        </w:rPr>
      </w:pPr>
    </w:p>
    <w:p>
      <w:pPr>
        <w:ind w:left="2120" w:hanging="1245"/>
        <w:spacing w:after="0"/>
        <w:tabs>
          <w:tab w:leader="none" w:pos="2120" w:val="left"/>
        </w:tabs>
        <w:numPr>
          <w:ilvl w:val="0"/>
          <w:numId w:val="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(5)</w:t>
      </w:r>
    </w:p>
    <w:p>
      <w:pPr>
        <w:spacing w:after="0" w:line="98" w:lineRule="exact"/>
        <w:rPr>
          <w:sz w:val="20"/>
          <w:szCs w:val="20"/>
          <w:color w:val="auto"/>
        </w:rPr>
      </w:pPr>
    </w:p>
    <w:p>
      <w:pPr>
        <w:ind w:left="2000" w:hanging="1153"/>
        <w:spacing w:after="0"/>
        <w:tabs>
          <w:tab w:leader="none" w:pos="200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132</w:t>
      </w:r>
    </w:p>
    <w:p>
      <w:pPr>
        <w:spacing w:after="0" w:line="86" w:lineRule="exact"/>
        <w:rPr>
          <w:rFonts w:ascii="Times New Roman" w:cs="Times New Roman" w:eastAsia="Times New Roman" w:hAnsi="Times New Roman"/>
          <w:sz w:val="16"/>
          <w:szCs w:val="16"/>
          <w:b w:val="1"/>
          <w:bCs w:val="1"/>
          <w:color w:val="auto"/>
        </w:rPr>
      </w:pPr>
    </w:p>
    <w:p>
      <w:pPr>
        <w:ind w:left="2120" w:hanging="1245"/>
        <w:spacing w:after="0"/>
        <w:tabs>
          <w:tab w:leader="none" w:pos="2120" w:val="left"/>
        </w:tabs>
        <w:numPr>
          <w:ilvl w:val="1"/>
          <w:numId w:val="1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(1)</w:t>
      </w:r>
    </w:p>
    <w:p>
      <w:pPr>
        <w:spacing w:after="0" w:line="98" w:lineRule="exact"/>
        <w:rPr>
          <w:sz w:val="20"/>
          <w:szCs w:val="20"/>
          <w:color w:val="auto"/>
        </w:rPr>
      </w:pPr>
    </w:p>
    <w:p>
      <w:pPr>
        <w:ind w:left="2180" w:hanging="1252"/>
        <w:spacing w:after="0"/>
        <w:tabs>
          <w:tab w:leader="none" w:pos="218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w:t>
      </w:r>
    </w:p>
    <w:p>
      <w:pPr>
        <w:spacing w:after="0" w:line="86" w:lineRule="exact"/>
        <w:rPr>
          <w:sz w:val="20"/>
          <w:szCs w:val="20"/>
          <w:color w:val="auto"/>
        </w:rPr>
      </w:pPr>
    </w:p>
    <w:p>
      <w:pPr>
        <w:ind w:left="2120" w:hanging="1245"/>
        <w:spacing w:after="0"/>
        <w:tabs>
          <w:tab w:leader="none" w:pos="2120" w:val="left"/>
        </w:tabs>
        <w:numPr>
          <w:ilvl w:val="0"/>
          <w:numId w:val="1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(9)</w:t>
      </w:r>
    </w:p>
    <w:p>
      <w:pPr>
        <w:spacing w:after="0" w:line="109" w:lineRule="exact"/>
        <w:rPr>
          <w:rFonts w:ascii="Times New Roman" w:cs="Times New Roman" w:eastAsia="Times New Roman" w:hAnsi="Times New Roman"/>
          <w:sz w:val="15"/>
          <w:szCs w:val="15"/>
          <w:b w:val="1"/>
          <w:bCs w:val="1"/>
          <w:color w:val="auto"/>
        </w:rPr>
      </w:pPr>
    </w:p>
    <w:p>
      <w:pPr>
        <w:ind w:left="76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b w:val="1"/>
          <w:bCs w:val="1"/>
          <w:color w:val="auto"/>
        </w:rPr>
        <w:t>218</w:t>
      </w:r>
      <w:r>
        <w:rPr>
          <w:rFonts w:ascii="Times New Roman" w:cs="Times New Roman" w:eastAsia="Times New Roman" w:hAnsi="Times New Roman"/>
          <w:sz w:val="16"/>
          <w:szCs w:val="16"/>
          <w:color w:val="auto"/>
        </w:rPr>
        <w:t>188</w:t>
      </w:r>
    </w:p>
    <w:p>
      <w:pPr>
        <w:spacing w:after="0" w:line="358" w:lineRule="exact"/>
        <w:rPr>
          <w:sz w:val="20"/>
          <w:szCs w:val="20"/>
          <w:color w:val="auto"/>
        </w:rPr>
      </w:pPr>
    </w:p>
    <w:p>
      <w:pPr>
        <w:sectPr>
          <w:pgSz w:w="11900" w:h="16838" w:orient="portrait"/>
          <w:cols w:equalWidth="0" w:num="2">
            <w:col w:w="8340" w:space="720"/>
            <w:col w:w="2360"/>
          </w:cols>
          <w:pgMar w:left="240" w:top="1225" w:right="2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6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plant assets</w:t>
            </w:r>
          </w:p>
        </w:tc>
        <w:tc>
          <w:tcPr>
            <w:tcW w:w="320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(71)</w:t>
            </w: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33"/>
        </w:trPr>
        <w:tc>
          <w:tcPr>
            <w:tcW w:w="62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Sales of plant assets</w:t>
            </w:r>
          </w:p>
        </w:tc>
        <w:tc>
          <w:tcPr>
            <w:tcW w:w="3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237"/>
        </w:trPr>
        <w:tc>
          <w:tcPr>
            <w:tcW w:w="6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320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w:t>
            </w:r>
          </w:p>
        </w:tc>
        <w:tc>
          <w:tcPr>
            <w:tcW w:w="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33"/>
        </w:trPr>
        <w:tc>
          <w:tcPr>
            <w:tcW w:w="62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2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(68)</w:t>
            </w:r>
          </w:p>
        </w:tc>
        <w:tc>
          <w:tcPr>
            <w:tcW w:w="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7"/>
        </w:trPr>
        <w:tc>
          <w:tcPr>
            <w:tcW w:w="6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47"/>
        </w:trPr>
        <w:tc>
          <w:tcPr>
            <w:tcW w:w="62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short-term borrowings</w:t>
            </w:r>
          </w:p>
        </w:tc>
        <w:tc>
          <w:tcPr>
            <w:tcW w:w="3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352</w:t>
            </w:r>
          </w:p>
        </w:tc>
      </w:tr>
      <w:tr>
        <w:trPr>
          <w:trHeight w:val="237"/>
        </w:trPr>
        <w:tc>
          <w:tcPr>
            <w:tcW w:w="6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Repayments of notes payable</w:t>
            </w:r>
          </w:p>
        </w:tc>
        <w:tc>
          <w:tcPr>
            <w:tcW w:w="320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33"/>
        </w:trPr>
        <w:tc>
          <w:tcPr>
            <w:tcW w:w="62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paid</w:t>
            </w:r>
          </w:p>
        </w:tc>
        <w:tc>
          <w:tcPr>
            <w:tcW w:w="3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(100)</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37"/>
        </w:trPr>
        <w:tc>
          <w:tcPr>
            <w:tcW w:w="6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Treasury stock purchases</w:t>
            </w:r>
          </w:p>
        </w:tc>
        <w:tc>
          <w:tcPr>
            <w:tcW w:w="3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(32)</w:t>
            </w:r>
          </w:p>
        </w:tc>
        <w:tc>
          <w:tcPr>
            <w:tcW w:w="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33"/>
        </w:trPr>
        <w:tc>
          <w:tcPr>
            <w:tcW w:w="62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issuances</w:t>
            </w:r>
          </w:p>
        </w:tc>
        <w:tc>
          <w:tcPr>
            <w:tcW w:w="3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237"/>
        </w:trPr>
        <w:tc>
          <w:tcPr>
            <w:tcW w:w="6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Excess tax benefits on stock-based compensation</w:t>
            </w:r>
          </w:p>
        </w:tc>
        <w:tc>
          <w:tcPr>
            <w:tcW w:w="320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w:t>
            </w:r>
          </w:p>
        </w:tc>
        <w:tc>
          <w:tcPr>
            <w:tcW w:w="5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r>
      <w:tr>
        <w:trPr>
          <w:trHeight w:val="33"/>
        </w:trPr>
        <w:tc>
          <w:tcPr>
            <w:tcW w:w="62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2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(136)</w:t>
            </w:r>
          </w:p>
        </w:tc>
        <w:tc>
          <w:tcPr>
            <w:tcW w:w="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31"/>
        </w:trPr>
        <w:tc>
          <w:tcPr>
            <w:tcW w:w="6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w:t>
            </w:r>
          </w:p>
        </w:tc>
        <w:tc>
          <w:tcPr>
            <w:tcW w:w="3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w:t>
            </w:r>
          </w:p>
        </w:tc>
        <w:tc>
          <w:tcPr>
            <w:tcW w:w="5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62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3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r>
      <w:tr>
        <w:trPr>
          <w:trHeight w:val="237"/>
        </w:trPr>
        <w:tc>
          <w:tcPr>
            <w:tcW w:w="6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 beginning of period</w:t>
            </w:r>
          </w:p>
        </w:tc>
        <w:tc>
          <w:tcPr>
            <w:tcW w:w="320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253</w:t>
            </w:r>
          </w:p>
        </w:tc>
        <w:tc>
          <w:tcPr>
            <w:tcW w:w="5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232</w:t>
            </w:r>
          </w:p>
        </w:tc>
      </w:tr>
      <w:tr>
        <w:trPr>
          <w:trHeight w:val="33"/>
        </w:trPr>
        <w:tc>
          <w:tcPr>
            <w:tcW w:w="62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 end of period</w:t>
            </w:r>
          </w:p>
        </w:tc>
        <w:tc>
          <w:tcPr>
            <w:tcW w:w="320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263</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239</w:t>
            </w:r>
          </w:p>
        </w:tc>
      </w:tr>
      <w:tr>
        <w:trPr>
          <w:trHeight w:val="20"/>
        </w:trPr>
        <w:tc>
          <w:tcPr>
            <w:tcW w:w="6260" w:type="dxa"/>
            <w:vAlign w:val="bottom"/>
            <w:tcBorders>
              <w:top w:val="single" w:sz="8" w:color="auto"/>
              <w:bottom w:val="single" w:sz="8" w:color="auto"/>
            </w:tcBorders>
          </w:tcPr>
          <w:p>
            <w:pPr>
              <w:spacing w:after="0" w:line="20" w:lineRule="exact"/>
              <w:rPr>
                <w:sz w:val="1"/>
                <w:szCs w:val="1"/>
                <w:color w:val="auto"/>
              </w:rPr>
            </w:pPr>
          </w:p>
        </w:tc>
        <w:tc>
          <w:tcPr>
            <w:tcW w:w="3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25" w:right="2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7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2"/>
                <w:szCs w:val="22"/>
                <w:color w:val="auto"/>
              </w:rPr>
            </w:pPr>
          </w:p>
        </w:tc>
        <w:tc>
          <w:tcPr>
            <w:tcW w:w="11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Issued</w:t>
            </w:r>
          </w:p>
        </w:tc>
        <w:tc>
          <w:tcPr>
            <w:tcW w:w="1520" w:type="dxa"/>
            <w:vAlign w:val="bottom"/>
            <w:gridSpan w:val="2"/>
          </w:tcPr>
          <w:p>
            <w:pPr>
              <w:jc w:val="right"/>
              <w:ind w:right="308"/>
              <w:spacing w:after="0" w:line="160"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240" w:type="dxa"/>
            <w:vAlign w:val="bottom"/>
          </w:tcPr>
          <w:p>
            <w:pPr>
              <w:spacing w:after="0"/>
              <w:rPr>
                <w:sz w:val="13"/>
                <w:szCs w:val="13"/>
                <w:color w:val="auto"/>
              </w:rPr>
            </w:pPr>
          </w:p>
        </w:tc>
        <w:tc>
          <w:tcPr>
            <w:tcW w:w="820" w:type="dxa"/>
            <w:vAlign w:val="bottom"/>
          </w:tcPr>
          <w:p>
            <w:pPr>
              <w:jc w:val="right"/>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Retained in</w:t>
            </w:r>
          </w:p>
        </w:tc>
        <w:tc>
          <w:tcPr>
            <w:tcW w:w="180" w:type="dxa"/>
            <w:vAlign w:val="bottom"/>
          </w:tcPr>
          <w:p>
            <w:pPr>
              <w:spacing w:after="0"/>
              <w:rPr>
                <w:sz w:val="13"/>
                <w:szCs w:val="13"/>
                <w:color w:val="auto"/>
              </w:rPr>
            </w:pPr>
          </w:p>
        </w:tc>
        <w:tc>
          <w:tcPr>
            <w:tcW w:w="112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restart"/>
          </w:tcPr>
          <w:p>
            <w:pPr>
              <w:jc w:val="right"/>
              <w:ind w:right="188"/>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4"/>
                <w:szCs w:val="4"/>
                <w:color w:val="auto"/>
              </w:rPr>
            </w:pPr>
          </w:p>
        </w:tc>
        <w:tc>
          <w:tcPr>
            <w:tcW w:w="800" w:type="dxa"/>
            <w:vAlign w:val="bottom"/>
            <w:vMerge w:val="restart"/>
          </w:tcPr>
          <w:p>
            <w:pPr>
              <w:jc w:val="center"/>
              <w:ind w:right="108"/>
              <w:spacing w:after="0" w:line="137"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80" w:type="dxa"/>
            <w:vAlign w:val="bottom"/>
          </w:tcPr>
          <w:p>
            <w:pPr>
              <w:spacing w:after="0"/>
              <w:rPr>
                <w:sz w:val="4"/>
                <w:szCs w:val="4"/>
                <w:color w:val="auto"/>
              </w:rPr>
            </w:pPr>
          </w:p>
        </w:tc>
        <w:tc>
          <w:tcPr>
            <w:tcW w:w="1120" w:type="dxa"/>
            <w:vAlign w:val="bottom"/>
            <w:vMerge w:val="restart"/>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4"/>
                <w:szCs w:val="4"/>
                <w:color w:val="auto"/>
              </w:rPr>
            </w:pPr>
          </w:p>
        </w:tc>
        <w:tc>
          <w:tcPr>
            <w:tcW w:w="1160" w:type="dxa"/>
            <w:vAlign w:val="bottom"/>
            <w:vMerge w:val="restart"/>
          </w:tcPr>
          <w:p>
            <w:pPr>
              <w:jc w:val="right"/>
              <w:ind w:right="128"/>
              <w:spacing w:after="0" w:line="13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4"/>
                <w:szCs w:val="4"/>
                <w:color w:val="auto"/>
              </w:rPr>
            </w:pPr>
          </w:p>
        </w:tc>
        <w:tc>
          <w:tcPr>
            <w:tcW w:w="820" w:type="dxa"/>
            <w:vAlign w:val="bottom"/>
            <w:vMerge w:val="restart"/>
          </w:tcPr>
          <w:p>
            <w:pPr>
              <w:jc w:val="right"/>
              <w:ind w:right="268"/>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3"/>
        </w:trPr>
        <w:tc>
          <w:tcPr>
            <w:tcW w:w="242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August 3, 2014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3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330</w:t>
            </w: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1,483</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145</w:t>
            </w: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1,602</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earnings (loss)</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248</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Dividends ($.312 per share)</w:t>
            </w: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Treasury stock purchased</w:t>
            </w: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53"/>
        </w:trPr>
        <w:tc>
          <w:tcPr>
            <w:tcW w:w="24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management incentive and stock option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24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3"/>
        </w:trPr>
        <w:tc>
          <w:tcPr>
            <w:tcW w:w="2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November 2, 2014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3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301</w:t>
            </w: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1,631</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1,603</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August 2, 2015</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323</w:t>
            </w: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(556)</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339</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1,754</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1,377</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5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194</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194</w:t>
            </w: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2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Dividends ($.312 per share)</w:t>
            </w: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(98)</w:t>
            </w: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w:t>
            </w: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line="156"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management incentive and stock</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w:t>
            </w: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31</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95"/>
        </w:trPr>
        <w:tc>
          <w:tcPr>
            <w:tcW w:w="2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option plans</w:t>
            </w:r>
          </w:p>
        </w:tc>
        <w:tc>
          <w:tcPr>
            <w:tcW w:w="5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November 1, 2015</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323</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(557)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309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1,850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w:t>
            </w:r>
          </w:p>
        </w:tc>
        <w:tc>
          <w:tcPr>
            <w:tcW w:w="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1,410</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25"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in millions, except per share amounts)</w:t>
      </w:r>
    </w:p>
    <w:p>
      <w:pPr>
        <w:spacing w:after="0" w:line="149"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this Form 10-Q, unless otherwise stated, the terms “we,” “us,” “our” and the “company” refer to Campbell Soup Company and its consolidated subsidiaries.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financial statements reflect all adjustments which are, in our opinion, necessary for a fair presentation of the results of operations, financial position, and cash flows for the indicated periods. The accounting policies we used in preparing these financial statements are substantially consistent with those we applied in our Annual Report on Form 10-K for the year ended August 2, 2015 with the exception of the changes in accounting policy related to our method of accounting for the recognition of actuarial gains and losses for defined benefit pension and postretirement plans and the calculation of expected return on pension plan assets as described below. As of the beginning of 2016, we are managing our operations under a new structure and have modified our segment reporting accordingly. Certain amounts in prior-year financial statements were reclassified to conform to the current-year presentation. The results for the period are not necessarily indicative of the results to be expected for other interim periods or the full year. Our fiscal year ends on the Sunday nearest July 31.</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2016, we elected to change our method of accounting for the recognition of actuarial gains and losses for defined benefit pension and postretirement plans and the calculation of expected return on pension plan assets. Historically, actuarial gains and losses associated with benefit obligations were recognized in Accumulated other comprehensive loss in the Consolidated Balance Sheets and were amortized into earnings over the remaining service life of participants to the extent that the amounts were in excess of a corridor. Under the new policy, actuarial gains and losses will be recognized immediately in our Consolidated Statements of Earnings as of the measurement date, which is our fiscal year end, or more frequently if an interim remeasurement is required. In addition, we will no longer use a market-related value of plan assets, which is an average value, to determine the expected return on assets but rather will use the fair value of plan assets. We believe the new policies will provide greater transparency to ongoing operating results and better reflect the impact of current market conditions on the obligations and assets.</w:t>
      </w:r>
    </w:p>
    <w:p>
      <w:pPr>
        <w:spacing w:after="0" w:line="13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changes in policy were applied retrospectively to all periods presented. As of August 4, 2014, the cumulative effect of these changes on the opening balance sheet was a $715 decrease to Earnings retained in the business, a decrease of $2 to Inventories, a $714 reduction to Accumulated other comprehensive loss, and an increase of $1 to Other current assets.</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recognized mark-to-market losses of $128 ($80 after tax, or $.26 per share) in the first quarter of 2016 as certain U.S. plans were remeasured. The remeasurement was required due to a high level of lump sum payments to certain vested plan participants arising primarily out of a limited-time offer to accept a single lump sum in lieu of future annuity payments. No remeasurement was required in the first quarter of 2015.</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impacts of the changes in policy to the consolidated financial statements are summarized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November 1, 2015</w:t>
            </w:r>
          </w:p>
        </w:tc>
        <w:tc>
          <w:tcPr>
            <w:tcW w:w="180" w:type="dxa"/>
            <w:vAlign w:val="bottom"/>
          </w:tcPr>
          <w:p>
            <w:pPr>
              <w:spacing w:after="0"/>
              <w:rPr>
                <w:sz w:val="16"/>
                <w:szCs w:val="16"/>
                <w:color w:val="auto"/>
              </w:rPr>
            </w:pPr>
          </w:p>
        </w:tc>
        <w:tc>
          <w:tcPr>
            <w:tcW w:w="3440" w:type="dxa"/>
            <w:vAlign w:val="bottom"/>
            <w:gridSpan w:val="6"/>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Three months ended November 2,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00" w:type="dxa"/>
            <w:vAlign w:val="bottom"/>
            <w:tcBorders>
              <w:top w:val="single" w:sz="8" w:color="auto"/>
            </w:tcBorders>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Prior Accounting</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Effect of</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Effect of</w:t>
            </w: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Earnings</w:t>
            </w:r>
          </w:p>
        </w:tc>
        <w:tc>
          <w:tcPr>
            <w:tcW w:w="13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00" w:type="dxa"/>
            <w:vAlign w:val="bottom"/>
          </w:tcPr>
          <w:p>
            <w:pPr>
              <w:spacing w:after="0"/>
              <w:rPr>
                <w:sz w:val="12"/>
                <w:szCs w:val="12"/>
                <w:color w:val="auto"/>
              </w:rPr>
            </w:pPr>
          </w:p>
        </w:tc>
        <w:tc>
          <w:tcPr>
            <w:tcW w:w="9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Recast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Principles</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Pr>
          <w:p>
            <w:pPr>
              <w:spacing w:after="0"/>
              <w:rPr>
                <w:sz w:val="13"/>
                <w:szCs w:val="13"/>
                <w:color w:val="auto"/>
              </w:rPr>
            </w:pPr>
          </w:p>
        </w:tc>
        <w:tc>
          <w:tcPr>
            <w:tcW w:w="1020" w:type="dxa"/>
            <w:vAlign w:val="bottom"/>
          </w:tcPr>
          <w:p>
            <w:pPr>
              <w:jc w:val="center"/>
              <w:ind w:right="114"/>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Campbell Soup</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233</w:t>
            </w:r>
          </w:p>
        </w:tc>
        <w:tc>
          <w:tcPr>
            <w:tcW w:w="12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gridSpan w:val="3"/>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Earnings per share — Basic </w:t>
            </w:r>
            <w:r>
              <w:rPr>
                <w:rFonts w:ascii="Times New Roman" w:cs="Times New Roman" w:eastAsia="Times New Roman" w:hAnsi="Times New Roman"/>
                <w:sz w:val="25"/>
                <w:szCs w:val="25"/>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00" w:hanging="192"/>
        <w:spacing w:after="0" w:line="232" w:lineRule="auto"/>
        <w:tabs>
          <w:tab w:leader="none" w:pos="20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The sum of the individual per share amounts may not add due to rounding</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25" w:right="239" w:bottom="1440" w:gutter="0" w:footer="0" w:header="0"/>
        </w:sectPr>
      </w:pPr>
    </w:p>
    <w:bookmarkStart w:id="8" w:name="page9"/>
    <w:bookmarkEnd w:id="8"/>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November 1, 2015</w:t>
            </w:r>
          </w:p>
        </w:tc>
        <w:tc>
          <w:tcPr>
            <w:tcW w:w="180" w:type="dxa"/>
            <w:vAlign w:val="bottom"/>
          </w:tcPr>
          <w:p>
            <w:pPr>
              <w:spacing w:after="0"/>
              <w:rPr>
                <w:sz w:val="16"/>
                <w:szCs w:val="16"/>
                <w:color w:val="auto"/>
              </w:rPr>
            </w:pPr>
          </w:p>
        </w:tc>
        <w:tc>
          <w:tcPr>
            <w:tcW w:w="3440" w:type="dxa"/>
            <w:vAlign w:val="bottom"/>
            <w:gridSpan w:val="7"/>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Three months ended November 2, 2014</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tcBorders>
              <w:top w:val="single" w:sz="8" w:color="auto"/>
            </w:tcBorders>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Prior Accounting</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Effect of</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Effect of</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tc>
        <w:tc>
          <w:tcPr>
            <w:tcW w:w="13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40" w:type="dxa"/>
            <w:vAlign w:val="bottom"/>
          </w:tcPr>
          <w:p>
            <w:pPr>
              <w:spacing w:after="0"/>
              <w:rPr>
                <w:sz w:val="12"/>
                <w:szCs w:val="12"/>
                <w:color w:val="auto"/>
              </w:rPr>
            </w:pPr>
          </w:p>
        </w:tc>
        <w:tc>
          <w:tcPr>
            <w:tcW w:w="9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Recast</w:t>
            </w:r>
          </w:p>
        </w:tc>
        <w:tc>
          <w:tcPr>
            <w:tcW w:w="0" w:type="dxa"/>
            <w:vAlign w:val="bottom"/>
          </w:tcPr>
          <w:p>
            <w:pPr>
              <w:spacing w:after="0"/>
              <w:rPr>
                <w:sz w:val="1"/>
                <w:szCs w:val="1"/>
                <w:color w:val="auto"/>
              </w:rPr>
            </w:pPr>
          </w:p>
        </w:tc>
      </w:tr>
      <w:tr>
        <w:trPr>
          <w:trHeight w:val="160"/>
        </w:trPr>
        <w:tc>
          <w:tcPr>
            <w:tcW w:w="402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Principles</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Net actuarial gain (loss) arising during the period</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398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 of net actuarial loss included in</w:t>
            </w:r>
          </w:p>
        </w:tc>
        <w:tc>
          <w:tcPr>
            <w:tcW w:w="20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Tax benefit /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89"/>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November 1, 2015</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August 2, 2015</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Prior Accounting</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Effect of</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Effect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3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40" w:type="dxa"/>
            <w:vAlign w:val="bottom"/>
          </w:tcPr>
          <w:p>
            <w:pPr>
              <w:spacing w:after="0"/>
              <w:rPr>
                <w:sz w:val="12"/>
                <w:szCs w:val="12"/>
                <w:color w:val="auto"/>
              </w:rPr>
            </w:pPr>
          </w:p>
        </w:tc>
        <w:tc>
          <w:tcPr>
            <w:tcW w:w="9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Recast</w:t>
            </w:r>
          </w:p>
        </w:tc>
        <w:tc>
          <w:tcPr>
            <w:tcW w:w="0" w:type="dxa"/>
            <w:vAlign w:val="bottom"/>
          </w:tcPr>
          <w:p>
            <w:pPr>
              <w:spacing w:after="0"/>
              <w:rPr>
                <w:sz w:val="1"/>
                <w:szCs w:val="1"/>
                <w:color w:val="auto"/>
              </w:rPr>
            </w:pPr>
          </w:p>
        </w:tc>
      </w:tr>
      <w:tr>
        <w:trPr>
          <w:trHeight w:val="160"/>
        </w:trPr>
        <w:tc>
          <w:tcPr>
            <w:tcW w:w="402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Principles</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43"/>
        </w:trPr>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Earnings retained in the business</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2,629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562"/>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November 1, 2015</w:t>
            </w:r>
          </w:p>
        </w:tc>
        <w:tc>
          <w:tcPr>
            <w:tcW w:w="180" w:type="dxa"/>
            <w:vAlign w:val="bottom"/>
          </w:tcPr>
          <w:p>
            <w:pPr>
              <w:spacing w:after="0"/>
              <w:rPr>
                <w:sz w:val="24"/>
                <w:szCs w:val="24"/>
                <w:color w:val="auto"/>
              </w:rPr>
            </w:pPr>
          </w:p>
        </w:tc>
        <w:tc>
          <w:tcPr>
            <w:tcW w:w="3440" w:type="dxa"/>
            <w:vAlign w:val="bottom"/>
            <w:gridSpan w:val="7"/>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Three months ended November 2, 2014</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tcBorders>
              <w:top w:val="single" w:sz="8" w:color="auto"/>
            </w:tcBorders>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Prior Accounting</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Effect of</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Effect of</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tc>
        <w:tc>
          <w:tcPr>
            <w:tcW w:w="13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40" w:type="dxa"/>
            <w:vAlign w:val="bottom"/>
          </w:tcPr>
          <w:p>
            <w:pPr>
              <w:spacing w:after="0"/>
              <w:rPr>
                <w:sz w:val="12"/>
                <w:szCs w:val="12"/>
                <w:color w:val="auto"/>
              </w:rPr>
            </w:pPr>
          </w:p>
        </w:tc>
        <w:tc>
          <w:tcPr>
            <w:tcW w:w="9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Recast</w:t>
            </w:r>
          </w:p>
        </w:tc>
        <w:tc>
          <w:tcPr>
            <w:tcW w:w="0" w:type="dxa"/>
            <w:vAlign w:val="bottom"/>
          </w:tcPr>
          <w:p>
            <w:pPr>
              <w:spacing w:after="0"/>
              <w:rPr>
                <w:sz w:val="1"/>
                <w:szCs w:val="1"/>
                <w:color w:val="auto"/>
              </w:rPr>
            </w:pPr>
          </w:p>
        </w:tc>
      </w:tr>
      <w:tr>
        <w:trPr>
          <w:trHeight w:val="160"/>
        </w:trPr>
        <w:tc>
          <w:tcPr>
            <w:tcW w:w="402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Principles</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and postretirement benefit expense /</w:t>
            </w:r>
          </w:p>
        </w:tc>
        <w:tc>
          <w:tcPr>
            <w:tcW w:w="20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43"/>
        </w:trPr>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218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revised guidance on the recognition of revenue from contracts with customers. The guidance is designed to create greater comparability for financial statement users across industries and jurisdictions. The guidance also requires enhanced disclosures. The guidance was originally effective for fiscal years, and interim periods within those years, beginning after December 15, 2016. In July 2015, the FASB decided to delay the effective date of the new revenue guidance by one year to fiscal years, and interim periods within those years, beginning after December 15, 2017. Entities will be permitted to adopt the new revenue standard early, but not before the original effective date. The guidance permits the use of either a full retrospective or modified retrospective transition method. We are currently evaluating the impact that the new guidance will have on our consolidated financial statements, as well as which transition method we will use.</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2015, the FASB issued guidance that requires debt issuance costs to be presented in the balance sheet as a reduction from the carrying value of the associated debt liability, consistent with the presentation of a debt discount. The guidance must be applied on a retrospective basis and is effective for fiscal years beginning after December 15, 2015, and interim periods within those years. Early adoption is permitted. We do not expect the adoption to have a material impact on our consolidated financial statements.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April 2015, the FASB issued guidance to clarify the accounting for fees paid by a customer in a cloud computing arrangement. The guidance is effective for fiscal years beginning on or after December 15, 2015, and interim periods within those years. Early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440" w:right="2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adoption is permitted. The new guidance should be applied either prospectively to all arrangements entered into or materially modified after the effective date or retrospectively. We are currently evaluating the impact that the new guidance will have on our consolidated financial statements.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2015, the FASB issued guidance that eliminates the requirement to restate prior period financial statements for measurement period adjustments for business combinations. The new guidance requires that the cumulative impact of a measurement period adjustment (including the impact on prior periods) be recognized in the reporting period in which the adjustment is identified. The guidance is effective for fiscal years beginning on or after December 15, 2015, and interim periods within those years and should be applied prospectively to measurement period adjustments that occur after the effective date. We will prospectively apply the guidance to applicable transactions.</w:t>
      </w:r>
    </w:p>
    <w:p>
      <w:pPr>
        <w:spacing w:after="0" w:line="13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2015, the FASB issued guidance that amends the balance sheet classification of deferred taxes. The new guidance requires that deferred tax liabilities and assets be classified as noncurrent on the balance sheet. Previous guidance required deferred tax liabilities and assets to be separated into current and noncurrent amounts on the balance sheet. The guidance is effective for fiscal years beginning on or after December 15, 2016, and interim periods within those years. We are currently evaluating the impact that the new guidance will have on our consolidated financial statements.</w:t>
      </w:r>
    </w:p>
    <w:p>
      <w:pPr>
        <w:spacing w:after="0" w:line="122"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29, 2015, we completed the acquisition of the assets of Garden Fresh Gourmet for $232. Garden Fresh Gourmet is a provider of refrigerated salsa in North America, and it also produces hummus, dips and tortilla chips. It is included in the Campbell Fresh segment.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purchase price allocation is preliminary and is subject to the finalization of appraisals, which will be completed in 2016.</w:t>
      </w:r>
    </w:p>
    <w:p>
      <w:pPr>
        <w:spacing w:after="0" w:line="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three-month period ended November 1, 2015, Garden Fresh Gourmet contributed $26 to Net sales. Its contribution to Net earnings was not material.</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unaudited summary information is presented on a consolidated pro forma basis as if the Garden Fresh Gourmet acquisition had occurred on July 29, 2013: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95"/>
        </w:trPr>
        <w:tc>
          <w:tcPr>
            <w:tcW w:w="10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250"/>
        </w:trPr>
        <w:tc>
          <w:tcPr>
            <w:tcW w:w="1016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2, 2014</w:t>
            </w:r>
          </w:p>
        </w:tc>
      </w:tr>
      <w:tr>
        <w:trPr>
          <w:trHeight w:val="249"/>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2,280</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249</w:t>
            </w:r>
          </w:p>
        </w:tc>
      </w:tr>
      <w:tr>
        <w:trPr>
          <w:trHeight w:val="27"/>
        </w:trPr>
        <w:tc>
          <w:tcPr>
            <w:tcW w:w="10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10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per share attributable to Campbell Soup Company - assuming dilution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10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 forma amounts include additional interest expense on the debt issued to finance the purchase, amortization and depreciation expense based on the estimated fair value and useful lives of intangible assets and plant assets, and related tax effects. The pro forma results are not necessarily indicative of the combined results had the Garden Fresh Gourmet acquisition been completed on July 29, 2013, nor are they indicative of future combined results.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310" w:right="239" w:bottom="1440" w:gutter="0" w:footer="0" w:header="0"/>
        </w:sectPr>
      </w:pPr>
    </w:p>
    <w:bookmarkStart w:id="10" w:name="page11"/>
    <w:bookmarkEnd w:id="10"/>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Accumulated other comprehensive income (loss)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3"/>
                <w:szCs w:val="13"/>
                <w:color w:val="auto"/>
              </w:rPr>
            </w:pPr>
          </w:p>
        </w:tc>
        <w:tc>
          <w:tcPr>
            <w:tcW w:w="1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(Losses) on</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3"/>
                <w:szCs w:val="13"/>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40" w:type="dxa"/>
            <w:vAlign w:val="bottom"/>
          </w:tcPr>
          <w:p>
            <w:pPr>
              <w:spacing w:after="0"/>
              <w:rPr>
                <w:sz w:val="12"/>
                <w:szCs w:val="12"/>
                <w:color w:val="auto"/>
              </w:rPr>
            </w:pPr>
          </w:p>
        </w:tc>
        <w:tc>
          <w:tcPr>
            <w:tcW w:w="13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Cash Flow Hedges</w:t>
            </w:r>
            <w:r>
              <w:rPr>
                <w:rFonts w:ascii="Times New Roman" w:cs="Times New Roman" w:eastAsia="Times New Roman" w:hAnsi="Times New Roman"/>
                <w:sz w:val="8"/>
                <w:szCs w:val="8"/>
                <w:b w:val="1"/>
                <w:bCs w:val="1"/>
                <w:color w:val="auto"/>
              </w:rPr>
              <w:t>(2)</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 Adjustments</w:t>
            </w:r>
            <w:r>
              <w:rPr>
                <w:rFonts w:ascii="Times New Roman" w:cs="Times New Roman" w:eastAsia="Times New Roman" w:hAnsi="Times New Roman"/>
                <w:sz w:val="8"/>
                <w:szCs w:val="8"/>
                <w:b w:val="1"/>
                <w:bCs w:val="1"/>
                <w:color w:val="auto"/>
              </w:rPr>
              <w:t>(3)</w:t>
            </w:r>
          </w:p>
        </w:tc>
        <w:tc>
          <w:tcPr>
            <w:tcW w:w="140" w:type="dxa"/>
            <w:vAlign w:val="bottom"/>
          </w:tcPr>
          <w:p>
            <w:pPr>
              <w:spacing w:after="0"/>
              <w:rPr>
                <w:sz w:val="16"/>
                <w:szCs w:val="16"/>
                <w:color w:val="auto"/>
              </w:rPr>
            </w:pPr>
          </w:p>
        </w:tc>
        <w:tc>
          <w:tcPr>
            <w:tcW w:w="13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2, 2015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November 1,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jc w:val="right"/>
              <w:ind w:right="1770"/>
              <w:spacing w:after="0"/>
              <w:rPr>
                <w:sz w:val="20"/>
                <w:szCs w:val="20"/>
                <w:color w:val="auto"/>
              </w:rPr>
            </w:pPr>
            <w:r>
              <w:rPr>
                <w:rFonts w:ascii="Times New Roman" w:cs="Times New Roman" w:eastAsia="Times New Roman" w:hAnsi="Times New Roman"/>
                <w:sz w:val="18"/>
                <w:szCs w:val="18"/>
                <w:color w:val="auto"/>
                <w:w w:val="99"/>
              </w:rPr>
              <w:t>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Included a tax expense of $5 as of November 1, 2015, and $6 as of August 2, 2015.</w:t>
      </w:r>
    </w:p>
    <w:p>
      <w:pPr>
        <w:ind w:left="340" w:hanging="332"/>
        <w:spacing w:after="0" w:line="203" w:lineRule="auto"/>
        <w:tabs>
          <w:tab w:leader="none" w:pos="34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Included a tax benefit of $8 as of November 1, 2015, and $5 as of August 2, 2015.</w:t>
      </w:r>
    </w:p>
    <w:p>
      <w:pPr>
        <w:ind w:left="340" w:right="5740" w:hanging="332"/>
        <w:spacing w:after="0" w:line="317" w:lineRule="auto"/>
        <w:tabs>
          <w:tab w:leader="none" w:pos="34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Included a tax expense of $1 as of November 1, 2015 and August 2, 2015. Amounts related to noncontrolling interests were not material.</w:t>
      </w:r>
    </w:p>
    <w:p>
      <w:pPr>
        <w:ind w:left="3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The amounts reclassified from Accumulated other comprehensive income (loss) consisted of the following:</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602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Details about Accumulated Other Comprehensive Income (Loss) Components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140" w:type="dxa"/>
            <w:vAlign w:val="bottom"/>
          </w:tcPr>
          <w:p>
            <w:pPr>
              <w:spacing w:after="0"/>
              <w:rPr>
                <w:sz w:val="13"/>
                <w:szCs w:val="13"/>
                <w:color w:val="auto"/>
              </w:rPr>
            </w:pPr>
          </w:p>
        </w:tc>
        <w:tc>
          <w:tcPr>
            <w:tcW w:w="1000" w:type="dxa"/>
            <w:vAlign w:val="bottom"/>
          </w:tcPr>
          <w:p>
            <w:pPr>
              <w:jc w:val="right"/>
              <w:ind w:right="94"/>
              <w:spacing w:after="0" w:line="15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00" w:type="dxa"/>
            <w:vAlign w:val="bottom"/>
          </w:tcPr>
          <w:p>
            <w:pPr>
              <w:spacing w:after="0"/>
              <w:rPr>
                <w:sz w:val="13"/>
                <w:szCs w:val="13"/>
                <w:color w:val="auto"/>
              </w:rPr>
            </w:pPr>
          </w:p>
        </w:tc>
        <w:tc>
          <w:tcPr>
            <w:tcW w:w="27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Location of (Gain) Loss Recognized in</w:t>
            </w:r>
          </w:p>
        </w:tc>
        <w:tc>
          <w:tcPr>
            <w:tcW w:w="0" w:type="dxa"/>
            <w:vAlign w:val="bottom"/>
          </w:tcPr>
          <w:p>
            <w:pPr>
              <w:spacing w:after="0"/>
              <w:rPr>
                <w:sz w:val="1"/>
                <w:szCs w:val="1"/>
                <w:color w:val="auto"/>
              </w:rPr>
            </w:pPr>
          </w:p>
        </w:tc>
      </w:tr>
      <w:tr>
        <w:trPr>
          <w:trHeight w:val="195"/>
        </w:trPr>
        <w:tc>
          <w:tcPr>
            <w:tcW w:w="6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249"/>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on cash 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products sold</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 / (income)</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1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Total before tax</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Tax expense (benefit)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(Gain) loss, net of tax</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changes in the carrying amount of goodwill by business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4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Simple</w:t>
            </w: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Biscuits</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Meals and</w:t>
            </w: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114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Campbell Fresh</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6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August 2, 2015</w:t>
            </w:r>
          </w:p>
        </w:tc>
        <w:tc>
          <w:tcPr>
            <w:tcW w:w="2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2,344</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November 1, 2015</w:t>
            </w:r>
          </w:p>
        </w:tc>
        <w:tc>
          <w:tcPr>
            <w:tcW w:w="2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2,331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2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6"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balance sheet information for intangible assets, excluding goodwill, subject to amortization and intangible assets not subject to amortization: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3640"/>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80" w:type="dxa"/>
            <w:vAlign w:val="bottom"/>
          </w:tcPr>
          <w:p>
            <w:pPr>
              <w:spacing w:after="0"/>
              <w:rPr>
                <w:sz w:val="13"/>
                <w:szCs w:val="13"/>
                <w:color w:val="auto"/>
              </w:rPr>
            </w:pPr>
          </w:p>
        </w:tc>
        <w:tc>
          <w:tcPr>
            <w:tcW w:w="12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amortizable intangible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43"/>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amortizable intangible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Non-amortizable intangible assets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960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1,200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Non-amortizable intangible assets consist of trademarks, which include </w:t>
      </w:r>
      <w:r>
        <w:rPr>
          <w:rFonts w:ascii="Times New Roman" w:cs="Times New Roman" w:eastAsia="Times New Roman" w:hAnsi="Times New Roman"/>
          <w:sz w:val="18"/>
          <w:szCs w:val="18"/>
          <w:i w:val="1"/>
          <w:iCs w:val="1"/>
          <w:color w:val="auto"/>
        </w:rPr>
        <w:t>Bolthouse Farms, Pace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Plum, Kjeldsens, Garden Fresh Gourmet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Royal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Dansk</w:t>
      </w:r>
      <w:r>
        <w:rPr>
          <w:rFonts w:ascii="Times New Roman" w:cs="Times New Roman" w:eastAsia="Times New Roman" w:hAnsi="Times New Roman"/>
          <w:sz w:val="18"/>
          <w:szCs w:val="18"/>
          <w:color w:val="auto"/>
        </w:rPr>
        <w:t>. Other amortizable intangible assets consist of recipes, patents, trademarks and distributor relationships.</w:t>
      </w: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was $5 and $4 for the three month periods ended November 1, 2015 and November 2, 2014, respectively. Amortization expense for the next 5 years is estimated to be $20 in the fiscal periods 2016 and 2017, and $15 in 2018 through 2020. Asset useful lives range from 5 to 20 years.</w:t>
      </w:r>
    </w:p>
    <w:p>
      <w:pPr>
        <w:spacing w:after="0" w:line="118"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Geographic Segment Information</w:t>
      </w:r>
    </w:p>
    <w:p>
      <w:pPr>
        <w:spacing w:after="0" w:line="175"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Through the fourth quarter of 2015, we reported the results of our operations in the following reportable segments: U.S. Simple Meals; Global Baking and Snacking; International Simple Meals and Beverages; U.S. Beverages; and Bolthouse and Foodservice. As of the beginning of 2016, we are managing our businesses in three divisions focused mainly on product categories. The new divisions, which represent our operating and reportable segments, are as follows:</w:t>
      </w:r>
    </w:p>
    <w:p>
      <w:pPr>
        <w:spacing w:after="0" w:line="346" w:lineRule="exact"/>
        <w:rPr>
          <w:sz w:val="20"/>
          <w:szCs w:val="20"/>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Americas Simple Meals and Beverages segment includes the retail and food service channel businesses in the U.S., Canada and Latin America. The segment includes the following products: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and stocks;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gravies, pasta, beans and dinner sauces;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canned poultry; </w:t>
      </w:r>
      <w:r>
        <w:rPr>
          <w:rFonts w:ascii="Times New Roman" w:cs="Times New Roman" w:eastAsia="Times New Roman" w:hAnsi="Times New Roman"/>
          <w:sz w:val="18"/>
          <w:szCs w:val="18"/>
          <w:i w:val="1"/>
          <w:iCs w:val="1"/>
          <w:color w:val="auto"/>
        </w:rPr>
        <w:t>Plum</w:t>
      </w:r>
      <w:r>
        <w:rPr>
          <w:rFonts w:ascii="Times New Roman" w:cs="Times New Roman" w:eastAsia="Times New Roman" w:hAnsi="Times New Roman"/>
          <w:sz w:val="18"/>
          <w:szCs w:val="18"/>
          <w:color w:val="auto"/>
        </w:rPr>
        <w:t xml:space="preserve"> food and snacks;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and </w:t>
      </w:r>
      <w:r>
        <w:rPr>
          <w:rFonts w:ascii="Times New Roman" w:cs="Times New Roman" w:eastAsia="Times New Roman" w:hAnsi="Times New Roman"/>
          <w:sz w:val="18"/>
          <w:szCs w:val="18"/>
          <w:i w:val="1"/>
          <w:iCs w:val="1"/>
          <w:color w:val="auto"/>
        </w:rPr>
        <w:t>Campbell’</w:t>
      </w:r>
      <w:r>
        <w:rPr>
          <w:rFonts w:ascii="Times New Roman" w:cs="Times New Roman" w:eastAsia="Times New Roman" w:hAnsi="Times New Roman"/>
          <w:sz w:val="18"/>
          <w:szCs w:val="18"/>
          <w:color w:val="auto"/>
        </w:rPr>
        <w:t>s tomato juice.</w:t>
      </w:r>
    </w:p>
    <w:p>
      <w:pPr>
        <w:spacing w:after="0" w:line="1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Biscuits and Snacks segment includes Pepperidge Farm cookies, crackers, bakery and frozen products in U.S. retail; Arnott’s biscuits in Australia and Asia Pacific; and Kelsen cookies globally. The segment also includes the simple meals and shelf-stable beverages business in Australia and Asia Pacific.</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Campbell Fresh includes Bolthouse Farms fresh carrots, carrot ingredients, refrigerated beverages and refrigerated salad dressings; Garden Fresh Gourmet salsa, hummus, dips and tortilla chips, which was acquired in June 2015; and the U.S. refrigerated soup business.</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evaluate segment performance before interest, taxes and costs associated with restructuring activities.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In 2016, we elected to change our method of accounting for the recognition of actuarial gains and losses for defined benefit pension and postretirement plans and the calculation of expected return on pension plan assets as discussed in Note 1. In 2016, we also modified our method of allocating pension and postretirement benefit costs to segments. Through 2015, we included all components of benefit expense in measuring segment performance. In 2016, only service cost is allocated to segments. All other components of expense, including interest cost, expected return on assets, and recognized actuarial gains and losses are reflected in Corporate and not included in segment operating results. Asset information by segment is not discretely maintained for internal reporting or used in evaluating performance.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Segment results have been adjusted retrospectively to reflect these revisions.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306" w:right="239" w:bottom="1440" w:gutter="0" w:footer="0" w:header="0"/>
        </w:sectPr>
      </w:pPr>
    </w:p>
    <w:bookmarkStart w:id="12" w:name="page13"/>
    <w:bookmarkEnd w:id="12"/>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1, 2015</w:t>
            </w:r>
          </w:p>
        </w:tc>
        <w:tc>
          <w:tcPr>
            <w:tcW w:w="120" w:type="dxa"/>
            <w:vAlign w:val="bottom"/>
          </w:tcPr>
          <w:p>
            <w:pPr>
              <w:spacing w:after="0"/>
              <w:rPr>
                <w:sz w:val="22"/>
                <w:szCs w:val="22"/>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November 2, 2014</w:t>
            </w:r>
          </w:p>
        </w:tc>
        <w:tc>
          <w:tcPr>
            <w:tcW w:w="0" w:type="dxa"/>
            <w:vAlign w:val="bottom"/>
          </w:tcPr>
          <w:p>
            <w:pPr>
              <w:spacing w:after="0"/>
              <w:rPr>
                <w:sz w:val="1"/>
                <w:szCs w:val="1"/>
                <w:color w:val="auto"/>
              </w:rPr>
            </w:pPr>
          </w:p>
        </w:tc>
      </w:tr>
      <w:tr>
        <w:trPr>
          <w:trHeight w:val="249"/>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 Simple Meals and Beverages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1,302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 Biscuits and Snacks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Campbell Fresh</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2,203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8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1, 2015</w:t>
            </w:r>
          </w:p>
        </w:tc>
        <w:tc>
          <w:tcPr>
            <w:tcW w:w="120" w:type="dxa"/>
            <w:vAlign w:val="bottom"/>
          </w:tcPr>
          <w:p>
            <w:pPr>
              <w:spacing w:after="0"/>
              <w:rPr>
                <w:sz w:val="22"/>
                <w:szCs w:val="22"/>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November 2, 2014</w:t>
            </w:r>
          </w:p>
        </w:tc>
        <w:tc>
          <w:tcPr>
            <w:tcW w:w="0" w:type="dxa"/>
            <w:vAlign w:val="bottom"/>
          </w:tcPr>
          <w:p>
            <w:pPr>
              <w:spacing w:after="0"/>
              <w:rPr>
                <w:sz w:val="1"/>
                <w:szCs w:val="1"/>
                <w:color w:val="auto"/>
              </w:rPr>
            </w:pPr>
          </w:p>
        </w:tc>
      </w:tr>
      <w:tr>
        <w:trPr>
          <w:trHeight w:val="249"/>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 Simple Meals and Beverages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363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 Biscuits and Snacks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Campbell Fresh</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tcPr>
          <w:p>
            <w:pPr>
              <w:ind w:left="180"/>
              <w:spacing w:after="0" w:line="270"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5"/>
                <w:szCs w:val="25"/>
                <w:color w:val="auto"/>
                <w:vertAlign w:val="superscript"/>
              </w:rPr>
              <w:t>(2)</w:t>
            </w: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both"/>
        <w:ind w:left="340" w:hanging="332"/>
        <w:spacing w:after="0" w:line="228" w:lineRule="auto"/>
        <w:tabs>
          <w:tab w:leader="none" w:pos="34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unallocated items. Costs of $128 related to pension and postretirement mark-to-market adjustments (see Note 1 for additional information) and costs of $15 related to the implementation of our new organizational structure and cost savings initiatives (see Note 7 for additional information) were included in the three-month period ended November 1, 2015.</w:t>
      </w:r>
    </w:p>
    <w:p>
      <w:pPr>
        <w:ind w:left="340" w:hanging="332"/>
        <w:spacing w:after="0" w:line="180" w:lineRule="auto"/>
        <w:tabs>
          <w:tab w:leader="none" w:pos="34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See Note 7 for additional information.</w:t>
      </w:r>
    </w:p>
    <w:p>
      <w:pPr>
        <w:spacing w:after="0" w:line="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global net sales based on product categories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1, 2015</w:t>
            </w:r>
          </w:p>
        </w:tc>
        <w:tc>
          <w:tcPr>
            <w:tcW w:w="120" w:type="dxa"/>
            <w:vAlign w:val="bottom"/>
          </w:tcPr>
          <w:p>
            <w:pPr>
              <w:spacing w:after="0"/>
              <w:rPr>
                <w:sz w:val="22"/>
                <w:szCs w:val="22"/>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November 2, 2014</w:t>
            </w:r>
          </w:p>
        </w:tc>
      </w:tr>
      <w:tr>
        <w:trPr>
          <w:trHeight w:val="249"/>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Simple Meals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1,293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1,311</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Baked Snacks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663</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Beverages</w:t>
            </w:r>
          </w:p>
        </w:tc>
        <w:tc>
          <w:tcPr>
            <w:tcW w:w="1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281</w:t>
            </w: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2,203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2,255</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216"/>
        <w:spacing w:after="0" w:line="282" w:lineRule="auto"/>
        <w:rPr>
          <w:sz w:val="20"/>
          <w:szCs w:val="20"/>
          <w:color w:val="auto"/>
        </w:rPr>
      </w:pPr>
      <w:r>
        <w:rPr>
          <w:rFonts w:ascii="Times New Roman" w:cs="Times New Roman" w:eastAsia="Times New Roman" w:hAnsi="Times New Roman"/>
          <w:sz w:val="18"/>
          <w:szCs w:val="18"/>
          <w:color w:val="auto"/>
        </w:rPr>
        <w:t>Simple Meals include condensed and ready-to-serve soups, broths, sauces, carrot products, refrigerated salad dressings, refrigerated salsa, hummus, dips and Plum foods and snacks. Baked Snacks include cookies, crackers, biscuits and other baked products.</w:t>
      </w:r>
    </w:p>
    <w:p>
      <w:pPr>
        <w:spacing w:after="0" w:line="104"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 and Cost Savings Initiatives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Initiatives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29, 2015, we announced plans to implement a new enterprise design focused mainly on product categories. Under the new design, which we fully implemented at the beginning of 2016, our businesses are organized in the following divisions: Americas Simple Meals and Beverages, Global Biscuits and Snacks, and Campbell Fresh.</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support of the new enterprise design, we designed and implemented a new Integrated Global Services (IGS) organization to deliver shared services across the company. IGS, which became effective at the beginning of 2016, is expected to reduce costs while increasing our efficiency and effectiveness. We are also pursuing other initiatives to reduce costs and increase effectiveness, such as streamlining our organizational structure and adopting zero-based budgeting over time.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July 31, 2015, with some remaining beyond July 31. We also implemented an initiative to reduce overhead across the organization by eliminating approximately 230 positions. In the first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440"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quarter of 2016, we recorded a restructuring charge of $21. In 2015, we recorded a restructuring charge of $102 related to these initiatives.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first quarter of 2016, we also incurred charges of $15 recorded in Administrative expenses related to the implementation of the new organizational structure and cost savings initiatives. In 2015,we incurred charges of $22 recorded in Administrative expenses related to the these initiatives.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after-tax impact of restructuring charges, implementation costs and other related costs recorded in the first quarter of 2016 was $23, or $.07 per share. The aggregate after-tax impact of restructuring charges and implementation and other costs recorded in 2015 was $78, or $.25 per share. A summary of the pre-tax costs associated with the 2015 initiatives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Recognized</w:t>
            </w:r>
          </w:p>
        </w:tc>
      </w:tr>
      <w:tr>
        <w:trPr>
          <w:trHeight w:val="149"/>
        </w:trPr>
        <w:tc>
          <w:tcPr>
            <w:tcW w:w="9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r>
      <w:tr>
        <w:trPr>
          <w:trHeight w:val="195"/>
        </w:trPr>
        <w:tc>
          <w:tcPr>
            <w:tcW w:w="98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November 1, 2015</w:t>
            </w:r>
          </w:p>
        </w:tc>
      </w:tr>
      <w:tr>
        <w:trPr>
          <w:trHeight w:val="249"/>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8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9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9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estimated pre-tax costs for the 2015 initiatives are approximately $250 to $325. We expect to incur these costs through 2018.</w:t>
      </w:r>
    </w:p>
    <w:p>
      <w:pPr>
        <w:spacing w:after="0" w:line="171"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We expect the costs to consist of approximately $150 to $165 in severance pay and benefits, and approximately $100 to $160 in implementation costs and other related costs.We expect the total pre-tax costs related to the 2015 initiatives will be associated with segments as follows: Americas Simple Meals and Beverages - approximately 32%; Global Biscuits and Snacks - approximately 31%; Campbell Fresh - approximately 3%; and Corporate - approximately 34%.</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restructuring activity and related reserves associated with the 2015 initiatives at November 1, 2015,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Severance Pay and</w:t>
            </w:r>
          </w:p>
        </w:tc>
        <w:tc>
          <w:tcPr>
            <w:tcW w:w="160" w:type="dxa"/>
            <w:vAlign w:val="bottom"/>
          </w:tcPr>
          <w:p>
            <w:pPr>
              <w:spacing w:after="0"/>
              <w:rPr>
                <w:sz w:val="13"/>
                <w:szCs w:val="13"/>
                <w:color w:val="auto"/>
              </w:rPr>
            </w:pPr>
          </w:p>
        </w:tc>
        <w:tc>
          <w:tcPr>
            <w:tcW w:w="1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Implementation</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00" w:type="dxa"/>
            <w:vAlign w:val="bottom"/>
          </w:tcPr>
          <w:p>
            <w:pPr>
              <w:spacing w:after="0"/>
              <w:rPr>
                <w:sz w:val="12"/>
                <w:szCs w:val="12"/>
                <w:color w:val="auto"/>
              </w:rPr>
            </w:pPr>
          </w:p>
        </w:tc>
        <w:tc>
          <w:tcPr>
            <w:tcW w:w="14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Costs and Other</w:t>
            </w:r>
          </w:p>
        </w:tc>
        <w:tc>
          <w:tcPr>
            <w:tcW w:w="140" w:type="dxa"/>
            <w:vAlign w:val="bottom"/>
          </w:tcPr>
          <w:p>
            <w:pPr>
              <w:spacing w:after="0"/>
              <w:rPr>
                <w:sz w:val="12"/>
                <w:szCs w:val="12"/>
                <w:color w:val="auto"/>
              </w:rPr>
            </w:pPr>
          </w:p>
        </w:tc>
        <w:tc>
          <w:tcPr>
            <w:tcW w:w="100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8"/>
              </w:rPr>
              <w:t>Total Charges</w:t>
            </w:r>
          </w:p>
        </w:tc>
        <w:tc>
          <w:tcPr>
            <w:tcW w:w="0" w:type="dxa"/>
            <w:vAlign w:val="bottom"/>
          </w:tcPr>
          <w:p>
            <w:pPr>
              <w:spacing w:after="0"/>
              <w:rPr>
                <w:sz w:val="1"/>
                <w:szCs w:val="1"/>
                <w:color w:val="auto"/>
              </w:rPr>
            </w:pPr>
          </w:p>
        </w:tc>
      </w:tr>
      <w:tr>
        <w:trPr>
          <w:trHeight w:val="195"/>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60" w:type="dxa"/>
            <w:vAlign w:val="bottom"/>
          </w:tcPr>
          <w:p>
            <w:pPr>
              <w:spacing w:after="0"/>
              <w:rPr>
                <w:sz w:val="16"/>
                <w:szCs w:val="16"/>
                <w:color w:val="auto"/>
              </w:rPr>
            </w:pPr>
          </w:p>
        </w:tc>
        <w:tc>
          <w:tcPr>
            <w:tcW w:w="1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Related Costs</w:t>
            </w:r>
            <w:r>
              <w:rPr>
                <w:rFonts w:ascii="Times New Roman" w:cs="Times New Roman" w:eastAsia="Times New Roman" w:hAnsi="Times New Roman"/>
                <w:sz w:val="8"/>
                <w:szCs w:val="8"/>
                <w:b w:val="1"/>
                <w:bCs w:val="1"/>
                <w:color w:val="auto"/>
              </w:rPr>
              <w:t>(3)</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960" w:type="dxa"/>
            <w:vAlign w:val="bottom"/>
            <w:tcBorders>
              <w:top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Accrued balance at August 2, 2015</w:t>
            </w:r>
            <w:r>
              <w:rPr>
                <w:rFonts w:ascii="Times New Roman" w:cs="Times New Roman" w:eastAsia="Times New Roman" w:hAnsi="Times New Roman"/>
                <w:sz w:val="25"/>
                <w:szCs w:val="25"/>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2016 charges</w:t>
            </w:r>
          </w:p>
        </w:tc>
        <w:tc>
          <w:tcPr>
            <w:tcW w:w="12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2016 cash payments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96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b w:val="1"/>
                <w:bCs w:val="1"/>
                <w:color w:val="auto"/>
              </w:rPr>
              <w:t>Accrued balance at November 1, 2015</w:t>
            </w:r>
            <w:r>
              <w:rPr>
                <w:rFonts w:ascii="Times New Roman" w:cs="Times New Roman" w:eastAsia="Times New Roman" w:hAnsi="Times New Roman"/>
                <w:sz w:val="25"/>
                <w:szCs w:val="25"/>
                <w:b w:val="1"/>
                <w:bCs w:val="1"/>
                <w:color w:val="auto"/>
                <w:vertAlign w:val="superscript"/>
              </w:rPr>
              <w:t>(2)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$45 of severance pay and benefits recorded in Other liabilities in the Consolidated Balance Sheet.</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86" w:lineRule="auto"/>
        <w:tabs>
          <w:tab w:leader="none" w:pos="34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Includes $39 of severance pay and benefits recorded in Other liabilities in the Consolidated Balance Sheet.</w:t>
      </w:r>
    </w:p>
    <w:p>
      <w:pPr>
        <w:spacing w:after="0" w:line="2" w:lineRule="exact"/>
        <w:rPr>
          <w:rFonts w:ascii="Times New Roman" w:cs="Times New Roman" w:eastAsia="Times New Roman" w:hAnsi="Times New Roman"/>
          <w:sz w:val="24"/>
          <w:szCs w:val="24"/>
          <w:color w:val="auto"/>
          <w:vertAlign w:val="superscript"/>
        </w:rPr>
      </w:pPr>
    </w:p>
    <w:p>
      <w:pPr>
        <w:ind w:left="340" w:right="80" w:hanging="332"/>
        <w:spacing w:after="0" w:line="208" w:lineRule="auto"/>
        <w:tabs>
          <w:tab w:leader="none" w:pos="34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other costs recognized as incurred that are not reflected in the restructuring reserve in the Consolidated Balance Sheet. The costs are included in Administrative expenses in the Consolidated Statements of Earnings.</w:t>
      </w:r>
    </w:p>
    <w:p>
      <w:pPr>
        <w:spacing w:after="0" w:line="6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incurred to date associated with segments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Americas Simple</w:t>
            </w: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Global Biscuits</w:t>
            </w: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Meals and</w:t>
            </w:r>
          </w:p>
        </w:tc>
        <w:tc>
          <w:tcPr>
            <w:tcW w:w="1240" w:type="dxa"/>
            <w:vAlign w:val="bottom"/>
            <w:gridSpan w:val="3"/>
            <w:vMerge w:val="continue"/>
          </w:tcPr>
          <w:p>
            <w:pPr>
              <w:spacing w:after="0"/>
              <w:rPr>
                <w:sz w:val="12"/>
                <w:szCs w:val="12"/>
                <w:color w:val="auto"/>
              </w:rPr>
            </w:pP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Campbell Fresh</w:t>
            </w:r>
          </w:p>
        </w:tc>
        <w:tc>
          <w:tcPr>
            <w:tcW w:w="18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2"/>
                <w:szCs w:val="12"/>
                <w:color w:val="auto"/>
              </w:rPr>
            </w:pPr>
          </w:p>
        </w:tc>
        <w:tc>
          <w:tcPr>
            <w:tcW w:w="8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Snacks</w:t>
            </w:r>
          </w:p>
        </w:tc>
        <w:tc>
          <w:tcPr>
            <w:tcW w:w="12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20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three-month period ended November 1, 2015 excludes 711 thousand stock options that would have been antidilutive. There were no antidilutive stock options for the three-month period ended November 2, 2014.</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310" w:right="239" w:bottom="1440" w:gutter="0" w:footer="0" w:header="0"/>
        </w:sectPr>
      </w:pPr>
    </w:p>
    <w:bookmarkStart w:id="14" w:name="page15"/>
    <w:bookmarkEnd w:id="14"/>
    <w:p>
      <w:pPr>
        <w:ind w:left="340" w:hanging="332"/>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Postretirement Benefits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sponsor certain defined benefit pension and postretirement benefit plans for employees. In 2016, we elected to change our method of accounting for the recognition of actuarial gains and losses for defined benefit pension and postretirement plans and the calculation of expected return on pension plan assets. Historically, actuarial gains and losses associated with benefit obligations were recognized in Accumulated other comprehensive loss in the Consolidated Balance Sheets and were amortized into earnings over the remaining service life of participants to the extent that the amounts were in excess of a corridor. Under the new policy, gains and losses will be recognized immediately in our Consolidated Statements of Earnings as of the measurement date, which is our fiscal year end, or more frequently if an interim remeasurement is required. In addition, we will no longer use a market-related value of plan assets, which is an average value, to determine the expected return on assets but rather will use the fair value of plan assets. We believe the new policies will provide greater transparency to ongoing operating results and better reflect the impact of current market conditions on the obligations and assets.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policy were applied retrospectively to all periods presented. See Note 1 for additional information on the change in accounting method.</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Components of net benefit expense (income)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Postretirement</w:t>
            </w:r>
          </w:p>
        </w:tc>
      </w:tr>
      <w:tr>
        <w:trPr>
          <w:trHeight w:val="149"/>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0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60" w:type="dxa"/>
            <w:vAlign w:val="bottom"/>
          </w:tcPr>
          <w:p>
            <w:pPr>
              <w:spacing w:after="0"/>
              <w:rPr>
                <w:sz w:val="12"/>
                <w:szCs w:val="12"/>
                <w:color w:val="auto"/>
              </w:rPr>
            </w:pPr>
          </w:p>
        </w:tc>
        <w:tc>
          <w:tcPr>
            <w:tcW w:w="12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180" w:type="dxa"/>
            <w:vAlign w:val="bottom"/>
          </w:tcPr>
          <w:p>
            <w:pPr>
              <w:spacing w:after="0"/>
              <w:rPr>
                <w:sz w:val="12"/>
                <w:szCs w:val="12"/>
                <w:color w:val="auto"/>
              </w:rPr>
            </w:pPr>
          </w:p>
        </w:tc>
        <w:tc>
          <w:tcPr>
            <w:tcW w:w="1080" w:type="dxa"/>
            <w:vAlign w:val="bottom"/>
          </w:tcPr>
          <w:p>
            <w:pPr>
              <w:jc w:val="right"/>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r>
      <w:tr>
        <w:trPr>
          <w:trHeight w:val="195"/>
        </w:trPr>
        <w:tc>
          <w:tcPr>
            <w:tcW w:w="6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benefit expense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recognized net actuarial loss in the first quarter of 2016 resulted from the remeasurement of certain U.S. plans. The remeasurement was required due to a high level of lump sum payments to certain vested plan participants arising primarily out of a limited-time offer to accept a single lump sum in lieu of future annuity payments. No remeasurement was required in the first quarter of 2015.</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contributions are expected to be made to U.S. pension plans in 2016. Contributions to non-U.S. pension plans during the three-month period ended November 1, 2015 were $1. We expect contributions to non-U.S. pension plans during the remainder of the year to be approximately $3.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Financial Instruments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do not have credit-risk-related contingent features in our derivative instruments as of November 1, 2015. During 2015, our largest customer accounted for approximately 20% of consolidated net sales. We closely monitor credit risk associated with counterparties and customers.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 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w:t>
      </w:r>
    </w:p>
    <w:p>
      <w:pPr>
        <w:sectPr>
          <w:pgSz w:w="11900" w:h="16838" w:orient="portrait"/>
          <w:cols w:equalWidth="0" w:num="1">
            <w:col w:w="11420"/>
          </w:cols>
          <w:pgMar w:left="240" w:top="1306"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306" w:right="239" w:bottom="1440" w:gutter="0" w:footer="0" w:header="0"/>
          <w:type w:val="continuous"/>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purchase and sale contracts, as well as cross-currency swap contracts, for periods consistent with the underlying debt. As of November 1, 2015, cross-currency swap contracts mature between 9 and 21 months. The notional amount of foreign exchange forward and cross-currency swap contracts accounted for as cash-flow hedges was $51 at November 1, 2015, and $53 at August 2, 2015.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and cross-currency swap contracts that are not designated as accounting hedges was $452 and $480 at November 1, 2015, and August 2, 2015,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to lock in the rate on the interest payments related to the anticipated debt issuances. These pay fixed rate/receive variable rate forward starting interest rate swaps are accounted for as cash-flow hedges. The effective portion of the changes in fair value on these instruments is recorded in other comprehensive income (loss) and is reclassified into the Consolidated Statements of Earnings over the life of the debt. The notional amount of outstanding forward starting interest rate swaps totaled $300 at November 1, 2015 and August 2, 2015, which relates to an anticipated debt issuance in 2018.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diesel fuel, wheat, soybean oil, aluminum, natural gas, cocoa, butter, corn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November 1, 2015, or August 2, 2015. The notional amount of commodity contracts not designated as accounting hedges was $95 at November 1, 2015, and August 2, 2015.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as of November 1, 2015, and August 2, 2015, were $48 and $49, respectively.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310" w:right="2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 of derivative instruments on a gross basis as recorded in the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2015, and August 2, 2015:</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240" w:type="dxa"/>
            <w:vAlign w:val="bottom"/>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240" w:type="dxa"/>
            <w:vAlign w:val="bottom"/>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49"/>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40" w:type="dxa"/>
            <w:vAlign w:val="bottom"/>
            <w:tcBorders>
              <w:bottom w:val="single" w:sz="8" w:color="CCEEFF"/>
            </w:tcBorders>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03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derivative contracts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40" w:type="dxa"/>
            <w:vAlign w:val="bottom"/>
          </w:tcPr>
          <w:p>
            <w:pPr>
              <w:jc w:val="right"/>
              <w:ind w:right="103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 derivative contracts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 derivatives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03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500" w:type="dxa"/>
            <w:vAlign w:val="bottom"/>
          </w:tcPr>
          <w:p>
            <w:pPr>
              <w:spacing w:after="0"/>
              <w:rPr>
                <w:sz w:val="24"/>
                <w:szCs w:val="24"/>
                <w:color w:val="auto"/>
              </w:rPr>
            </w:pPr>
          </w:p>
        </w:tc>
        <w:tc>
          <w:tcPr>
            <w:tcW w:w="2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240" w:type="dxa"/>
            <w:vAlign w:val="bottom"/>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240" w:type="dxa"/>
            <w:vAlign w:val="bottom"/>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49"/>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40" w:type="dxa"/>
            <w:vAlign w:val="bottom"/>
            <w:tcBorders>
              <w:bottom w:val="single" w:sz="8" w:color="CCEEFF"/>
            </w:tcBorders>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03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derivative contracts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40" w:type="dxa"/>
            <w:vAlign w:val="bottom"/>
          </w:tcPr>
          <w:p>
            <w:pPr>
              <w:jc w:val="right"/>
              <w:ind w:right="103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03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November 1, 2015, and August 2, 2015, would be adjusted as detailed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November 1, 2015</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August 2, 2015</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22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200" w:type="dxa"/>
            <w:vAlign w:val="bottom"/>
          </w:tcPr>
          <w:p>
            <w:pPr>
              <w:spacing w:after="0"/>
              <w:rPr>
                <w:sz w:val="12"/>
                <w:szCs w:val="12"/>
                <w:color w:val="auto"/>
              </w:rPr>
            </w:pPr>
          </w:p>
        </w:tc>
        <w:tc>
          <w:tcPr>
            <w:tcW w:w="11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not offset fair value amounts recognized for exchange-traded commodity derivative instruments and cash margin accounts executed with the same counterparty that are subject to enforceable netting agreements. We are required to maintain cash margin accounts in connection with funding the settlement of open positions. At November 1, 2015, and August 2, 2015, a cash margin account balance of $12 was included in Other current assets in the Consolidated Balance Sheets.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310" w:right="2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color w:val="auto"/>
        </w:rPr>
        <w:t>The following tables show the effect of our derivative instruments designated as cash-flow hedges for the three months ended November 1, 2015,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2014, in other comprehensive income (loss) (OCI) and the Consolidated Statements of Earnings: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3"/>
          </w:tcPr>
          <w:p>
            <w:pPr>
              <w:jc w:val="center"/>
              <w:ind w:left="8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3"/>
          </w:tcPr>
          <w:p>
            <w:pPr>
              <w:jc w:val="center"/>
              <w:ind w:left="918"/>
              <w:spacing w:after="0" w:line="149" w:lineRule="exact"/>
              <w:rPr>
                <w:sz w:val="20"/>
                <w:szCs w:val="20"/>
                <w:color w:val="auto"/>
              </w:rPr>
            </w:pPr>
            <w:r>
              <w:rPr>
                <w:rFonts w:ascii="Times New Roman" w:cs="Times New Roman" w:eastAsia="Times New Roman" w:hAnsi="Times New Roman"/>
                <w:sz w:val="14"/>
                <w:szCs w:val="14"/>
                <w:b w:val="1"/>
                <w:bCs w:val="1"/>
                <w:color w:val="auto"/>
              </w:rPr>
              <w:t>Cash-Flow</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Cash-Flow Hedges</w:t>
            </w: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3"/>
          </w:tcPr>
          <w:p>
            <w:pPr>
              <w:jc w:val="center"/>
              <w:ind w:left="918"/>
              <w:spacing w:after="0" w:line="149" w:lineRule="exact"/>
              <w:rPr>
                <w:sz w:val="20"/>
                <w:szCs w:val="20"/>
                <w:color w:val="auto"/>
              </w:rPr>
            </w:pPr>
            <w:r>
              <w:rPr>
                <w:rFonts w:ascii="Times New Roman" w:cs="Times New Roman" w:eastAsia="Times New Roman" w:hAnsi="Times New Roman"/>
                <w:sz w:val="14"/>
                <w:szCs w:val="14"/>
                <w:b w:val="1"/>
                <w:bCs w:val="1"/>
                <w:color w:val="auto"/>
                <w:w w:val="99"/>
              </w:rPr>
              <w:t>Hedge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50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898"/>
              <w:spacing w:after="0"/>
              <w:rPr>
                <w:sz w:val="20"/>
                <w:szCs w:val="20"/>
                <w:color w:val="auto"/>
              </w:rPr>
            </w:pPr>
            <w:r>
              <w:rPr>
                <w:rFonts w:ascii="Times New Roman" w:cs="Times New Roman" w:eastAsia="Times New Roman" w:hAnsi="Times New Roman"/>
                <w:sz w:val="14"/>
                <w:szCs w:val="14"/>
                <w:b w:val="1"/>
                <w:bCs w:val="1"/>
                <w:color w:val="auto"/>
              </w:rPr>
              <w:t>OCI Activity</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380" w:type="dxa"/>
            <w:vAlign w:val="bottom"/>
          </w:tcPr>
          <w:p>
            <w:pPr>
              <w:spacing w:after="0"/>
              <w:rPr>
                <w:sz w:val="12"/>
                <w:szCs w:val="12"/>
                <w:color w:val="auto"/>
              </w:rPr>
            </w:pPr>
          </w:p>
        </w:tc>
        <w:tc>
          <w:tcPr>
            <w:tcW w:w="1220" w:type="dxa"/>
            <w:vAlign w:val="bottom"/>
          </w:tcPr>
          <w:p>
            <w:pPr>
              <w:jc w:val="right"/>
              <w:ind w:right="334"/>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0" w:type="dxa"/>
            <w:vAlign w:val="bottom"/>
          </w:tcPr>
          <w:p>
            <w:pPr>
              <w:spacing w:after="0"/>
              <w:rPr>
                <w:sz w:val="1"/>
                <w:szCs w:val="1"/>
                <w:color w:val="auto"/>
              </w:rPr>
            </w:pPr>
          </w:p>
        </w:tc>
      </w:tr>
      <w:tr>
        <w:trPr>
          <w:trHeight w:val="195"/>
        </w:trPr>
        <w:tc>
          <w:tcPr>
            <w:tcW w:w="55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OCI derivative gain (loss) at beginning of year</w:t>
            </w:r>
          </w:p>
        </w:tc>
        <w:tc>
          <w:tcPr>
            <w:tcW w:w="2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Amount of (gain) loss reclassified from OCI to earnings: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8"/>
              </w:rPr>
              <w:t>Location in Earnings</w:t>
            </w:r>
          </w:p>
        </w:tc>
        <w:tc>
          <w:tcPr>
            <w:tcW w:w="1240" w:type="dxa"/>
            <w:vAlign w:val="bottom"/>
            <w:tcBorders>
              <w:bottom w:val="single" w:sz="8" w:color="CCEEFF"/>
            </w:tcBorders>
            <w:gridSpan w:val="2"/>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 (income)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2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current valuations, the amount expected to be reclassified from OCI into earnings within the next 12 months is a gain of $5. The ineffective portion and amount excluded from effectiveness testing were not material.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effects of our derivative instruments not designated as hedges in the Consolidated Statements of Earnings: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Amount of Gain (Loss) Recognized in</w:t>
            </w: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Earnings on Derivatives</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8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4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Hedges</w:t>
            </w:r>
          </w:p>
        </w:tc>
        <w:tc>
          <w:tcPr>
            <w:tcW w:w="120" w:type="dxa"/>
            <w:vAlign w:val="bottom"/>
            <w:vMerge w:val="restart"/>
          </w:tcPr>
          <w:p>
            <w:pPr>
              <w:spacing w:after="0"/>
              <w:rPr>
                <w:sz w:val="5"/>
                <w:szCs w:val="5"/>
                <w:color w:val="auto"/>
              </w:rPr>
            </w:pPr>
          </w:p>
        </w:tc>
        <w:tc>
          <w:tcPr>
            <w:tcW w:w="3880" w:type="dxa"/>
            <w:vAlign w:val="bottom"/>
            <w:gridSpan w:val="2"/>
            <w:vMerge w:val="continue"/>
          </w:tcPr>
          <w:p>
            <w:pPr>
              <w:spacing w:after="0"/>
              <w:rPr>
                <w:sz w:val="5"/>
                <w:szCs w:val="5"/>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1, 2015</w:t>
            </w:r>
          </w:p>
        </w:tc>
        <w:tc>
          <w:tcPr>
            <w:tcW w:w="100" w:type="dxa"/>
            <w:vAlign w:val="bottom"/>
            <w:vMerge w:val="restart"/>
          </w:tcPr>
          <w:p>
            <w:pPr>
              <w:spacing w:after="0"/>
              <w:rPr>
                <w:sz w:val="5"/>
                <w:szCs w:val="5"/>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2, 2014</w:t>
            </w:r>
          </w:p>
        </w:tc>
        <w:tc>
          <w:tcPr>
            <w:tcW w:w="0" w:type="dxa"/>
            <w:vAlign w:val="bottom"/>
          </w:tcPr>
          <w:p>
            <w:pPr>
              <w:spacing w:after="0"/>
              <w:rPr>
                <w:sz w:val="1"/>
                <w:szCs w:val="1"/>
                <w:color w:val="auto"/>
              </w:rPr>
            </w:pPr>
          </w:p>
        </w:tc>
      </w:tr>
      <w:tr>
        <w:trPr>
          <w:trHeight w:val="195"/>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7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products sold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expenses / (income)</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derivative contracts</w:t>
            </w:r>
          </w:p>
        </w:tc>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products sold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compensation derivative contracts</w:t>
            </w:r>
          </w:p>
        </w:tc>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categorize financial assets and liabilities based on the following fair value hierarchy:</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through corroboration with observable market data.</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which are valued based on our estimates of assumptions that market participants would use in pricing the asset or liability.</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310" w:right="239" w:bottom="1440" w:gutter="0" w:footer="0" w:header="0"/>
        </w:sectPr>
      </w:pPr>
    </w:p>
    <w:bookmarkStart w:id="18" w:name="page19"/>
    <w:bookmarkEnd w:id="18"/>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9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financial assets and liabilities that are measured at fair value on a recurring basis as of November 1, 2015, and August 2, 2015, consistent with the fair value hierarchy: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3"/>
                <w:szCs w:val="13"/>
                <w:color w:val="auto"/>
              </w:rPr>
            </w:pPr>
          </w:p>
        </w:tc>
        <w:tc>
          <w:tcPr>
            <w:tcW w:w="2540" w:type="dxa"/>
            <w:vAlign w:val="bottom"/>
            <w:gridSpan w:val="7"/>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3"/>
                <w:szCs w:val="13"/>
                <w:color w:val="auto"/>
              </w:rPr>
            </w:pPr>
          </w:p>
        </w:tc>
        <w:tc>
          <w:tcPr>
            <w:tcW w:w="2520" w:type="dxa"/>
            <w:vAlign w:val="bottom"/>
            <w:gridSpan w:val="6"/>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20" w:type="dxa"/>
            <w:vAlign w:val="bottom"/>
            <w:gridSpan w:val="6"/>
          </w:tcPr>
          <w:p>
            <w:pPr>
              <w:jc w:val="center"/>
              <w:ind w:right="90"/>
              <w:spacing w:after="0" w:line="147" w:lineRule="exact"/>
              <w:rPr>
                <w:sz w:val="20"/>
                <w:szCs w:val="20"/>
                <w:color w:val="auto"/>
              </w:rPr>
            </w:pPr>
            <w:r>
              <w:rPr>
                <w:rFonts w:ascii="Times New Roman" w:cs="Times New Roman" w:eastAsia="Times New Roman" w:hAnsi="Times New Roman"/>
                <w:sz w:val="14"/>
                <w:szCs w:val="14"/>
                <w:b w:val="1"/>
                <w:bCs w:val="1"/>
                <w:color w:val="auto"/>
              </w:rPr>
              <w:t>November 1, 2015 Using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August 2, 2015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00" w:type="dxa"/>
            <w:vAlign w:val="bottom"/>
            <w:tcBorders>
              <w:top w:val="single" w:sz="8" w:color="CCEEFF"/>
            </w:tcBorders>
            <w:gridSpan w:val="4"/>
            <w:shd w:val="clear" w:color="auto" w:fill="CCEEFF"/>
          </w:tcPr>
          <w:p>
            <w:pPr>
              <w:ind w:left="40"/>
              <w:spacing w:after="0" w:line="188" w:lineRule="exact"/>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forward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460" w:type="dxa"/>
            <w:vAlign w:val="bottom"/>
            <w:gridSpan w:val="3"/>
          </w:tcPr>
          <w:p>
            <w:pPr>
              <w:ind w:left="140"/>
              <w:spacing w:after="0" w:line="262"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5"/>
                <w:szCs w:val="25"/>
                <w:color w:val="auto"/>
                <w:vertAlign w:val="superscript"/>
              </w:rPr>
              <w:t>(2)</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440" w:type="dxa"/>
            <w:vAlign w:val="bottom"/>
            <w:gridSpan w:val="3"/>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62"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5"/>
                <w:szCs w:val="25"/>
                <w:color w:val="auto"/>
                <w:vertAlign w:val="superscript"/>
              </w:rPr>
              <w:t>(3)</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Cross-currency</w:t>
            </w:r>
          </w:p>
        </w:tc>
        <w:tc>
          <w:tcPr>
            <w:tcW w:w="160" w:type="dxa"/>
            <w:vAlign w:val="bottom"/>
          </w:tcPr>
          <w:p>
            <w:pPr>
              <w:spacing w:after="0"/>
              <w:rPr>
                <w:sz w:val="19"/>
                <w:szCs w:val="19"/>
                <w:color w:val="auto"/>
              </w:rPr>
            </w:pPr>
          </w:p>
        </w:tc>
        <w:tc>
          <w:tcPr>
            <w:tcW w:w="100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40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460" w:type="dxa"/>
            <w:vAlign w:val="bottom"/>
            <w:gridSpan w:val="3"/>
          </w:tcPr>
          <w:p>
            <w:pPr>
              <w:ind w:left="140"/>
              <w:spacing w:after="0" w:line="262" w:lineRule="exact"/>
              <w:rPr>
                <w:sz w:val="20"/>
                <w:szCs w:val="20"/>
                <w:color w:val="auto"/>
              </w:rPr>
            </w:pPr>
            <w:r>
              <w:rPr>
                <w:rFonts w:ascii="Times New Roman" w:cs="Times New Roman" w:eastAsia="Times New Roman" w:hAnsi="Times New Roman"/>
                <w:sz w:val="18"/>
                <w:szCs w:val="18"/>
                <w:color w:val="auto"/>
              </w:rPr>
              <w:t>swap contracts</w:t>
            </w:r>
            <w:r>
              <w:rPr>
                <w:rFonts w:ascii="Times New Roman" w:cs="Times New Roman" w:eastAsia="Times New Roman" w:hAnsi="Times New Roman"/>
                <w:sz w:val="25"/>
                <w:szCs w:val="25"/>
                <w:color w:val="auto"/>
                <w:vertAlign w:val="superscript"/>
              </w:rPr>
              <w:t>(4)</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62"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5"/>
                <w:szCs w:val="25"/>
                <w:color w:val="auto"/>
                <w:vertAlign w:val="superscript"/>
              </w:rPr>
              <w:t>(5)</w:t>
            </w: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1500" w:type="dxa"/>
            <w:vAlign w:val="bottom"/>
            <w:gridSpan w:val="4"/>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assets at fair</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50</w:t>
            </w:r>
          </w:p>
        </w:tc>
        <w:tc>
          <w:tcPr>
            <w:tcW w:w="140" w:type="dxa"/>
            <w:vAlign w:val="bottom"/>
          </w:tcPr>
          <w:p>
            <w:pPr>
              <w:spacing w:after="0"/>
              <w:rPr>
                <w:sz w:val="17"/>
                <w:szCs w:val="17"/>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48</w:t>
            </w:r>
          </w:p>
        </w:tc>
        <w:tc>
          <w:tcPr>
            <w:tcW w:w="120" w:type="dxa"/>
            <w:vAlign w:val="bottom"/>
          </w:tcPr>
          <w:p>
            <w:pPr>
              <w:spacing w:after="0"/>
              <w:rPr>
                <w:sz w:val="17"/>
                <w:szCs w:val="17"/>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7"/>
                <w:szCs w:val="17"/>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vMerge w:val="restart"/>
          </w:tcPr>
          <w:p>
            <w:pPr>
              <w:spacing w:after="0"/>
              <w:rPr>
                <w:sz w:val="17"/>
                <w:szCs w:val="17"/>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7"/>
                <w:szCs w:val="17"/>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15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23"/>
                <w:szCs w:val="23"/>
                <w:color w:val="auto"/>
              </w:rPr>
            </w:pPr>
          </w:p>
        </w:tc>
        <w:tc>
          <w:tcPr>
            <w:tcW w:w="2540" w:type="dxa"/>
            <w:vAlign w:val="bottom"/>
            <w:gridSpan w:val="7"/>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23"/>
                <w:szCs w:val="23"/>
                <w:color w:val="auto"/>
              </w:rPr>
            </w:pPr>
          </w:p>
        </w:tc>
        <w:tc>
          <w:tcPr>
            <w:tcW w:w="2520" w:type="dxa"/>
            <w:vAlign w:val="bottom"/>
            <w:gridSpan w:val="6"/>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20" w:type="dxa"/>
            <w:vAlign w:val="bottom"/>
            <w:gridSpan w:val="6"/>
          </w:tcPr>
          <w:p>
            <w:pPr>
              <w:jc w:val="center"/>
              <w:ind w:right="90"/>
              <w:spacing w:after="0" w:line="147" w:lineRule="exact"/>
              <w:rPr>
                <w:sz w:val="20"/>
                <w:szCs w:val="20"/>
                <w:color w:val="auto"/>
              </w:rPr>
            </w:pPr>
            <w:r>
              <w:rPr>
                <w:rFonts w:ascii="Times New Roman" w:cs="Times New Roman" w:eastAsia="Times New Roman" w:hAnsi="Times New Roman"/>
                <w:sz w:val="14"/>
                <w:szCs w:val="14"/>
                <w:b w:val="1"/>
                <w:bCs w:val="1"/>
                <w:color w:val="auto"/>
              </w:rPr>
              <w:t>November 1, 2015 Using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August 2, 2015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00" w:type="dxa"/>
            <w:vAlign w:val="bottom"/>
            <w:tcBorders>
              <w:top w:val="single" w:sz="8" w:color="CCEEFF"/>
            </w:tcBorders>
            <w:gridSpan w:val="4"/>
            <w:shd w:val="clear" w:color="auto" w:fill="CCEEFF"/>
          </w:tcPr>
          <w:p>
            <w:pPr>
              <w:ind w:left="40"/>
              <w:spacing w:after="0" w:line="188"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Forward starting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interest rate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16</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460" w:type="dxa"/>
            <w:vAlign w:val="bottom"/>
            <w:gridSpan w:val="3"/>
          </w:tcPr>
          <w:p>
            <w:pPr>
              <w:ind w:left="140"/>
              <w:spacing w:after="0" w:line="262" w:lineRule="exact"/>
              <w:rPr>
                <w:sz w:val="20"/>
                <w:szCs w:val="20"/>
                <w:color w:val="auto"/>
              </w:rPr>
            </w:pPr>
            <w:r>
              <w:rPr>
                <w:rFonts w:ascii="Times New Roman" w:cs="Times New Roman" w:eastAsia="Times New Roman" w:hAnsi="Times New Roman"/>
                <w:sz w:val="18"/>
                <w:szCs w:val="18"/>
                <w:color w:val="auto"/>
              </w:rPr>
              <w:t>swaps</w:t>
            </w:r>
            <w:r>
              <w:rPr>
                <w:rFonts w:ascii="Times New Roman" w:cs="Times New Roman" w:eastAsia="Times New Roman" w:hAnsi="Times New Roman"/>
                <w:sz w:val="25"/>
                <w:szCs w:val="25"/>
                <w:color w:val="auto"/>
                <w:vertAlign w:val="superscript"/>
              </w:rPr>
              <w:t>(1)</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440" w:type="dxa"/>
            <w:vAlign w:val="bottom"/>
            <w:gridSpan w:val="3"/>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62"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Commodity</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derivative</w:t>
            </w:r>
          </w:p>
        </w:tc>
        <w:tc>
          <w:tcPr>
            <w:tcW w:w="160" w:type="dxa"/>
            <w:vAlign w:val="bottom"/>
          </w:tcPr>
          <w:p>
            <w:pPr>
              <w:spacing w:after="0"/>
              <w:rPr>
                <w:sz w:val="18"/>
                <w:szCs w:val="18"/>
                <w:color w:val="auto"/>
              </w:rPr>
            </w:pPr>
          </w:p>
        </w:tc>
        <w:tc>
          <w:tcPr>
            <w:tcW w:w="100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460" w:type="dxa"/>
            <w:vAlign w:val="bottom"/>
            <w:gridSpan w:val="3"/>
          </w:tcPr>
          <w:p>
            <w:pPr>
              <w:ind w:left="140"/>
              <w:spacing w:after="0" w:line="262"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5"/>
                <w:szCs w:val="25"/>
                <w:color w:val="auto"/>
                <w:vertAlign w:val="superscript"/>
              </w:rPr>
              <w:t>(3)</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126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62" w:lineRule="exact"/>
              <w:rPr>
                <w:sz w:val="20"/>
                <w:szCs w:val="20"/>
                <w:color w:val="auto"/>
              </w:rPr>
            </w:pPr>
            <w:r>
              <w:rPr>
                <w:rFonts w:ascii="Times New Roman" w:cs="Times New Roman" w:eastAsia="Times New Roman" w:hAnsi="Times New Roman"/>
                <w:sz w:val="18"/>
                <w:szCs w:val="18"/>
                <w:color w:val="auto"/>
              </w:rPr>
              <w:t>obligation</w:t>
            </w:r>
            <w:r>
              <w:rPr>
                <w:rFonts w:ascii="Times New Roman" w:cs="Times New Roman" w:eastAsia="Times New Roman" w:hAnsi="Times New Roman"/>
                <w:sz w:val="25"/>
                <w:szCs w:val="25"/>
                <w:color w:val="auto"/>
                <w:vertAlign w:val="superscript"/>
              </w:rPr>
              <w:t>(6)</w:t>
            </w: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1500" w:type="dxa"/>
            <w:vAlign w:val="bottom"/>
            <w:gridSpan w:val="4"/>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liabilities at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152</w:t>
            </w:r>
          </w:p>
        </w:tc>
        <w:tc>
          <w:tcPr>
            <w:tcW w:w="140" w:type="dxa"/>
            <w:vAlign w:val="bottom"/>
          </w:tcPr>
          <w:p>
            <w:pPr>
              <w:spacing w:after="0"/>
              <w:rPr>
                <w:sz w:val="17"/>
                <w:szCs w:val="17"/>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44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Pr>
          <w:p>
            <w:pPr>
              <w:spacing w:after="0"/>
              <w:rPr>
                <w:sz w:val="17"/>
                <w:szCs w:val="17"/>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7"/>
                <w:szCs w:val="17"/>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7"/>
                <w:szCs w:val="17"/>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5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44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8890</wp:posOffset>
            </wp:positionV>
            <wp:extent cx="63030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3010" cy="2603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1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Based on LIBOR swap rates.</w:t>
      </w:r>
    </w:p>
    <w:p>
      <w:pPr>
        <w:spacing w:after="0" w:line="1" w:lineRule="exact"/>
        <w:rPr>
          <w:rFonts w:ascii="Times New Roman" w:cs="Times New Roman" w:eastAsia="Times New Roman" w:hAnsi="Times New Roman"/>
          <w:sz w:val="25"/>
          <w:szCs w:val="25"/>
          <w:color w:val="auto"/>
          <w:vertAlign w:val="superscript"/>
        </w:rPr>
      </w:pPr>
    </w:p>
    <w:p>
      <w:pPr>
        <w:ind w:left="340" w:hanging="332"/>
        <w:spacing w:after="0" w:line="186" w:lineRule="auto"/>
        <w:tabs>
          <w:tab w:leader="none" w:pos="3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Based on observable market transactions of spot currency rates and forward rates.</w:t>
      </w:r>
    </w:p>
    <w:p>
      <w:pPr>
        <w:spacing w:after="0" w:line="2" w:lineRule="exact"/>
        <w:rPr>
          <w:rFonts w:ascii="Times New Roman" w:cs="Times New Roman" w:eastAsia="Times New Roman" w:hAnsi="Times New Roman"/>
          <w:sz w:val="24"/>
          <w:szCs w:val="24"/>
          <w:color w:val="auto"/>
          <w:vertAlign w:val="superscript"/>
        </w:rPr>
      </w:pPr>
    </w:p>
    <w:p>
      <w:pPr>
        <w:ind w:left="340" w:hanging="332"/>
        <w:spacing w:after="0" w:line="186" w:lineRule="auto"/>
        <w:tabs>
          <w:tab w:leader="none" w:pos="3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Based on quoted futures exchanges and on observable prices of futures and options transactions in the marketplace.</w:t>
      </w:r>
    </w:p>
    <w:p>
      <w:pPr>
        <w:spacing w:after="0" w:line="2" w:lineRule="exact"/>
        <w:rPr>
          <w:rFonts w:ascii="Times New Roman" w:cs="Times New Roman" w:eastAsia="Times New Roman" w:hAnsi="Times New Roman"/>
          <w:sz w:val="24"/>
          <w:szCs w:val="24"/>
          <w:color w:val="auto"/>
          <w:vertAlign w:val="superscript"/>
        </w:rPr>
      </w:pPr>
    </w:p>
    <w:p>
      <w:pPr>
        <w:ind w:left="340" w:hanging="332"/>
        <w:spacing w:after="0" w:line="186" w:lineRule="auto"/>
        <w:tabs>
          <w:tab w:leader="none" w:pos="3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Based on observable local benchmarks for currency and interest rates.</w:t>
      </w:r>
    </w:p>
    <w:p>
      <w:pPr>
        <w:spacing w:after="0" w:line="2" w:lineRule="exact"/>
        <w:rPr>
          <w:rFonts w:ascii="Times New Roman" w:cs="Times New Roman" w:eastAsia="Times New Roman" w:hAnsi="Times New Roman"/>
          <w:sz w:val="24"/>
          <w:szCs w:val="24"/>
          <w:color w:val="auto"/>
          <w:vertAlign w:val="superscript"/>
        </w:rPr>
      </w:pPr>
    </w:p>
    <w:p>
      <w:pPr>
        <w:ind w:left="340" w:hanging="332"/>
        <w:spacing w:after="0" w:line="186" w:lineRule="auto"/>
        <w:tabs>
          <w:tab w:leader="none" w:pos="3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Based on LIBOR and equity index swap rates.</w:t>
      </w:r>
    </w:p>
    <w:p>
      <w:pPr>
        <w:spacing w:after="0" w:line="2" w:lineRule="exact"/>
        <w:rPr>
          <w:rFonts w:ascii="Times New Roman" w:cs="Times New Roman" w:eastAsia="Times New Roman" w:hAnsi="Times New Roman"/>
          <w:sz w:val="24"/>
          <w:szCs w:val="24"/>
          <w:color w:val="auto"/>
          <w:vertAlign w:val="superscript"/>
        </w:rPr>
      </w:pPr>
    </w:p>
    <w:p>
      <w:pPr>
        <w:ind w:left="340" w:hanging="332"/>
        <w:spacing w:after="0" w:line="186" w:lineRule="auto"/>
        <w:tabs>
          <w:tab w:leader="none" w:pos="3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Based on the fair value of the participants’ investments.</w:t>
      </w:r>
    </w:p>
    <w:p>
      <w:pPr>
        <w:spacing w:after="0" w:line="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accounts payable and short-term borrowings, excluding the current portion of long-term debt, approximate fair value.</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Cash equivalents of $35 at November 1, 2015, and $39 at August 2, 2015, represent fair value as these highly liquid investments have an original maturity of three months or less. Fair value of cash equivalents is based on Level 2 inputs.</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long-term debt, including the current portion of long-term debt in Short-term borrowings, was $2,611 at November 1, 2015, and $2,623 at August 2, 2015. The carrying value was $2,551 at November 1, 2015, and $2,552 at August 2,</w:t>
      </w:r>
    </w:p>
    <w:p>
      <w:pPr>
        <w:sectPr>
          <w:pgSz w:w="11900" w:h="16838" w:orient="portrait"/>
          <w:cols w:equalWidth="0" w:num="1">
            <w:col w:w="11420"/>
          </w:cols>
          <w:pgMar w:left="240" w:top="1306" w:right="239" w:bottom="1008"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306" w:right="239" w:bottom="1008" w:gutter="0" w:footer="0" w:header="0"/>
          <w:type w:val="continuous"/>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2015. The fair value of long-term debt is principally estimated using Level 2 inputs based on quoted market prices or pricing models using current market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 Repurchases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June 2011, the Board authorized the purchase of up to $1,000 of our stock. This program has no expiration date. In addition to this publicly announced program, we also purchase shares to offset the impact of dilution from shares issued under our stock compensation plans.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November 1, 2015, we repurchased approximately 1 million shares at a cost of $32. Of this amount, $25 was used to repurchase shares pursuant to our June 2011 publicly announced share repurchase program. Approximately $525 remained available under this program as of November 1, 2015. During the three months ended November 2, 2014, we repurchased approximately 2 million shares at a cost of $73.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provide compensation benefits by issuing stock options, unrestricted stock, restricted stock and restricted stock units (including time-lapse restricted stock units, EPS performance restricted stock units, total shareholder return (TSR) performance restricted stock units, strategic performance restricted stock units and special performance restricted stock units). In 2016, we issued stock options, time-lapse restricted stock units, EPS performance restricted stock units and TSR performance restricted stock units. We did not issue strategic performance restricted stock units or special performance restricted stock units in 2016.</w:t>
      </w:r>
    </w:p>
    <w:p>
      <w:pPr>
        <w:spacing w:after="0" w:line="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pre-tax stock-based compensation expense recognized in the Consolidated Statement of Earnings was $13 for the three-month periods ended November 1, 2015, and November 2, 2014. Tax-related benefits of $5 were also recognized for the three-month periods ended November 1, 2015, and November 2, 2014. Cash received from the exercise of stock options was $1 and $6 for the three-month periods ended November 1, 2015, and November 2, 2014, respectively, and is reflected in cash flows from financing activities in the Consolidated Statements of Cash Flows.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 activity as of November 1,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300" w:type="dxa"/>
            <w:vAlign w:val="bottom"/>
            <w:vMerge w:val="restart"/>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8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2"/>
                <w:szCs w:val="12"/>
                <w:color w:val="auto"/>
              </w:rPr>
            </w:pPr>
          </w:p>
        </w:tc>
        <w:tc>
          <w:tcPr>
            <w:tcW w:w="130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8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(Options in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1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August 2, 2015</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29.91</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50.21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29.91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Terminated</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November 1, 2015</w:t>
            </w:r>
          </w:p>
        </w:tc>
        <w:tc>
          <w:tcPr>
            <w:tcW w:w="1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48.79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Exercisable at November 1, 2015</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108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29.91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three-month period ended November 1, 2015 was not material. During the three-month period ended November 2, 2014, the total intrinsic value of options exercised was $4. As of November 1, 2015, total remaining unearned compensation related to unvested stock options was $4, which will be amortized over the weighted-average remaining service period of 1.7 years.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weighted-average assumptions were used for grants in 2016: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Borders>
              <w:bottom w:val="single" w:sz="8" w:color="CCEEFF"/>
            </w:tcBorders>
          </w:tcPr>
          <w:p>
            <w:pPr>
              <w:spacing w:after="0"/>
              <w:rPr>
                <w:sz w:val="16"/>
                <w:szCs w:val="16"/>
                <w:color w:val="auto"/>
              </w:rPr>
            </w:pPr>
          </w:p>
        </w:tc>
        <w:tc>
          <w:tcPr>
            <w:tcW w:w="65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7720" w:type="dxa"/>
            <w:vAlign w:val="bottom"/>
            <w:tcBorders>
              <w:bottom w:val="single" w:sz="8" w:color="CCEEFF"/>
            </w:tcBorders>
            <w:gridSpan w:val="2"/>
            <w:shd w:val="clear" w:color="auto" w:fill="CCEEFF"/>
          </w:tcPr>
          <w:p>
            <w:pPr>
              <w:jc w:val="center"/>
              <w:ind w:left="6490"/>
              <w:spacing w:after="0"/>
              <w:rPr>
                <w:sz w:val="20"/>
                <w:szCs w:val="20"/>
                <w:color w:val="auto"/>
              </w:rPr>
            </w:pPr>
            <w:r>
              <w:rPr>
                <w:rFonts w:ascii="Times New Roman" w:cs="Times New Roman" w:eastAsia="Times New Roman" w:hAnsi="Times New Roman"/>
                <w:sz w:val="18"/>
                <w:szCs w:val="18"/>
                <w:b w:val="1"/>
                <w:bCs w:val="1"/>
                <w:color w:val="auto"/>
              </w:rPr>
              <w:t>1.68%</w:t>
            </w: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7720" w:type="dxa"/>
            <w:vAlign w:val="bottom"/>
            <w:gridSpan w:val="2"/>
          </w:tcPr>
          <w:p>
            <w:pPr>
              <w:jc w:val="center"/>
              <w:ind w:left="6490"/>
              <w:spacing w:after="0"/>
              <w:rPr>
                <w:sz w:val="20"/>
                <w:szCs w:val="20"/>
                <w:color w:val="auto"/>
              </w:rPr>
            </w:pPr>
            <w:r>
              <w:rPr>
                <w:rFonts w:ascii="Times New Roman" w:cs="Times New Roman" w:eastAsia="Times New Roman" w:hAnsi="Times New Roman"/>
                <w:sz w:val="18"/>
                <w:szCs w:val="18"/>
                <w:b w:val="1"/>
                <w:bCs w:val="1"/>
                <w:color w:val="auto"/>
              </w:rPr>
              <w:t>2.46%</w:t>
            </w:r>
          </w:p>
        </w:tc>
      </w:tr>
      <w:tr>
        <w:trPr>
          <w:trHeight w:val="27"/>
        </w:trPr>
        <w:tc>
          <w:tcPr>
            <w:tcW w:w="370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7720" w:type="dxa"/>
            <w:vAlign w:val="bottom"/>
            <w:tcBorders>
              <w:bottom w:val="single" w:sz="8" w:color="CCEEFF"/>
            </w:tcBorders>
            <w:gridSpan w:val="2"/>
            <w:shd w:val="clear" w:color="auto" w:fill="CCEEFF"/>
          </w:tcPr>
          <w:p>
            <w:pPr>
              <w:jc w:val="center"/>
              <w:ind w:left="6490"/>
              <w:spacing w:after="0"/>
              <w:rPr>
                <w:sz w:val="20"/>
                <w:szCs w:val="20"/>
                <w:color w:val="auto"/>
              </w:rPr>
            </w:pPr>
            <w:r>
              <w:rPr>
                <w:rFonts w:ascii="Times New Roman" w:cs="Times New Roman" w:eastAsia="Times New Roman" w:hAnsi="Times New Roman"/>
                <w:sz w:val="18"/>
                <w:szCs w:val="18"/>
                <w:b w:val="1"/>
                <w:bCs w:val="1"/>
                <w:color w:val="auto"/>
                <w:w w:val="99"/>
              </w:rPr>
              <w:t>18.35%</w:t>
            </w: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term</w:t>
            </w:r>
          </w:p>
        </w:tc>
        <w:tc>
          <w:tcPr>
            <w:tcW w:w="6580" w:type="dxa"/>
            <w:vAlign w:val="bottom"/>
          </w:tcPr>
          <w:p>
            <w:pPr>
              <w:spacing w:after="0"/>
              <w:rPr>
                <w:sz w:val="21"/>
                <w:szCs w:val="21"/>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6 years</w:t>
            </w:r>
          </w:p>
        </w:tc>
      </w:tr>
      <w:tr>
        <w:trPr>
          <w:trHeight w:val="486"/>
        </w:trPr>
        <w:tc>
          <w:tcPr>
            <w:tcW w:w="3700" w:type="dxa"/>
            <w:vAlign w:val="bottom"/>
          </w:tcPr>
          <w:p>
            <w:pPr>
              <w:spacing w:after="0"/>
              <w:rPr>
                <w:sz w:val="24"/>
                <w:szCs w:val="24"/>
                <w:color w:val="auto"/>
              </w:rPr>
            </w:pPr>
          </w:p>
        </w:tc>
        <w:tc>
          <w:tcPr>
            <w:tcW w:w="6580" w:type="dxa"/>
            <w:vAlign w:val="bottom"/>
          </w:tcPr>
          <w:p>
            <w:pPr>
              <w:jc w:val="right"/>
              <w:ind w:right="4390"/>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310" w:right="239" w:bottom="1440" w:gutter="0" w:footer="0" w:header="0"/>
        </w:sectPr>
      </w:pPr>
    </w:p>
    <w:bookmarkStart w:id="20" w:name="page21"/>
    <w:bookmarkEnd w:id="20"/>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time-lapse restricted stock units, EPS performance restricted stock units, strategic performance restricted stock units and special performance restricted stock units as of November 1,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 in thousands)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August 2, 2015</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41.40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49.94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39.30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42.46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November 1, 2015</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44.72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determine the fair value of time-lapse restricted stock units, EPS performance restricted stock units, strategic performance restricted stock units and special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211 thousand EPS performance target grants outstanding at November 1, 2015, with a weighted-average grant-date fair value of $45.32. We expense strategic performance restricted stock units on a straight-line basis over the service period. Awards of the strategic performance restricted stock units are earned based upon the achievement of two key metrics, net sales and EPS growth, compared to strategic plan objectives during a two- or three-year period. There were 346 thousand strategic performance target grants outstanding at November 1, 2015, with a grant-date fair value of $41.21. The actual number of EPS performance restricted stock units and strategic performance restricted stock units issued at the vesting date could range from either 0% or 100% and 0% to 200%, respectively, of the initial grant, depending on actual performance achieved. We estimate expense based on the number of awards expected to vest.</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2015, we issued special performance restricted stock units for which vesting is contingent upon meeting various financial goals and performance milestones to support innovation and growth initiatives. These awards vest over a period of 2 years and are included in the table above. The actual number of special performance awards issued at the vesting date could range from 0% to 150%. There were 126 thousand special performance restricted stock units outstanding at November 1, 2015, with a grant-date fair value of $42.22.</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November 1, 2015, total remaining unearned compensation related to nonvested time-lapse restricted stock units, EPS performance restricted stock units, strategic performance restricted stock units and special performance restricted stock units was $52, which will be amortized over the weighted-average remaining service period of 1.9 years. The fair value of restricted stock units vested during the three-month periods ended November 1, 2015, and November 2, 2014, was $40 and $52, respectively. The weighted-average grant-date fair value of the restricted stock units granted during the three months ended November 2, 2014 was $42.24.</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TSR performance restricted stock units as of November 1,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 in thousands)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August 2, 2015</w:t>
            </w:r>
          </w:p>
        </w:tc>
        <w:tc>
          <w:tcPr>
            <w:tcW w:w="5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40.75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56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62.44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5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39.76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43.71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November 1, 2015</w:t>
            </w:r>
          </w:p>
        </w:tc>
        <w:tc>
          <w:tcPr>
            <w:tcW w:w="5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49.31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21</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0" w:right="239" w:bottom="1440" w:gutter="0" w:footer="0" w:header="0"/>
        </w:sectPr>
      </w:pPr>
    </w:p>
    <w:bookmarkStart w:id="21" w:name="page22"/>
    <w:bookmarkEnd w:id="21"/>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estimated the fair value of TSR performance restricted stock units at the grant date using a Monte Carlo simulation. Assumptions used in the Monte Carlo simulation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0.97%</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2.46%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2.91%</w:t>
            </w: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17.25%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16.20%</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term</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recognize compensation expense on a straight-line basis over the service period. As of November 1, 2015, total remaining unearned compensation related to TSR performance restricted stock units was $54, which will be amortized over the weighted-average remaining service period of 2.5 years. The fair value of TSR performance restricted stock units vested during the three-month period ended November 1, 2015 was $22. There were no TSR performance restricted stock units scheduled to vest in the three-month period ended November 2, 2014. The grant-date fair value of the TSR performance restricted stock units granted during 2015 was $43.39.</w:t>
      </w:r>
    </w:p>
    <w:p>
      <w:pPr>
        <w:spacing w:after="0" w:line="15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excess tax benefits on the exercise of stock options and vested restricted stock presented as cash flows from financing activities for the three-month periods ended November 1, 2015 and November 2, 2014 were $6 and $5,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Inventories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300" w:type="dxa"/>
            <w:vAlign w:val="bottom"/>
          </w:tcPr>
          <w:p>
            <w:pPr>
              <w:spacing w:after="0"/>
              <w:rPr>
                <w:sz w:val="13"/>
                <w:szCs w:val="13"/>
                <w:color w:val="auto"/>
              </w:rPr>
            </w:pP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0" w:type="dxa"/>
            <w:vAlign w:val="bottom"/>
          </w:tcPr>
          <w:p>
            <w:pPr>
              <w:spacing w:after="0"/>
              <w:rPr>
                <w:sz w:val="1"/>
                <w:szCs w:val="1"/>
                <w:color w:val="auto"/>
              </w:rPr>
            </w:pPr>
          </w:p>
        </w:tc>
      </w:tr>
      <w:tr>
        <w:trPr>
          <w:trHeight w:val="195"/>
        </w:trPr>
        <w:tc>
          <w:tcPr>
            <w:tcW w:w="4300" w:type="dxa"/>
            <w:vAlign w:val="bottom"/>
            <w:tcBorders>
              <w:bottom w:val="single" w:sz="8" w:color="CCEEFF"/>
            </w:tcBorders>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4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Raw materials, containers and supplies</w:t>
            </w:r>
          </w:p>
        </w:tc>
        <w:tc>
          <w:tcPr>
            <w:tcW w:w="4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Finished products</w:t>
            </w:r>
          </w:p>
        </w:tc>
        <w:tc>
          <w:tcPr>
            <w:tcW w:w="3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604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1,049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0"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Company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stated, the terms “we,” “us,” “our” and the “company” refer to Campbell Soup Company and its consolidated subsidiaries.</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are a manufacturer and marketer of high-quality, branded convenience food products. Through the fourth quarter of 2015, we reported the results of our operations in the following reportable segments: U.S. Simple Meals; Global Baking and Snacking; International Simple Meals and Beverages; U.S. Beverages; and Bolthouse and Foodservice. As of the beginning of 2016, we are managing our businesses in three divisions focused mainly on product categories. The new divisions, which represent our operating and reportable segments, are as follows:</w:t>
      </w:r>
    </w:p>
    <w:p>
      <w:pPr>
        <w:spacing w:after="0" w:line="126" w:lineRule="exact"/>
        <w:rPr>
          <w:sz w:val="20"/>
          <w:szCs w:val="20"/>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Americas Simple Meals and Beverages segment includes the retail and food service channel businesses in the U.S., Canada and Latin America. The segment includes the following products: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and stocks;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gravies, pasta, beans and dinner sauces;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canned poultry; </w:t>
      </w:r>
      <w:r>
        <w:rPr>
          <w:rFonts w:ascii="Times New Roman" w:cs="Times New Roman" w:eastAsia="Times New Roman" w:hAnsi="Times New Roman"/>
          <w:sz w:val="18"/>
          <w:szCs w:val="18"/>
          <w:i w:val="1"/>
          <w:iCs w:val="1"/>
          <w:color w:val="auto"/>
        </w:rPr>
        <w:t>Plum</w:t>
      </w:r>
      <w:r>
        <w:rPr>
          <w:rFonts w:ascii="Times New Roman" w:cs="Times New Roman" w:eastAsia="Times New Roman" w:hAnsi="Times New Roman"/>
          <w:sz w:val="18"/>
          <w:szCs w:val="18"/>
          <w:color w:val="auto"/>
        </w:rPr>
        <w:t xml:space="preserve"> food and snacks;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and </w:t>
      </w:r>
      <w:r>
        <w:rPr>
          <w:rFonts w:ascii="Times New Roman" w:cs="Times New Roman" w:eastAsia="Times New Roman" w:hAnsi="Times New Roman"/>
          <w:sz w:val="18"/>
          <w:szCs w:val="18"/>
          <w:i w:val="1"/>
          <w:iCs w:val="1"/>
          <w:color w:val="auto"/>
        </w:rPr>
        <w:t>Campbell’</w:t>
      </w:r>
      <w:r>
        <w:rPr>
          <w:rFonts w:ascii="Times New Roman" w:cs="Times New Roman" w:eastAsia="Times New Roman" w:hAnsi="Times New Roman"/>
          <w:sz w:val="18"/>
          <w:szCs w:val="18"/>
          <w:color w:val="auto"/>
        </w:rPr>
        <w:t>s tomato juice.</w:t>
      </w:r>
    </w:p>
    <w:p>
      <w:pPr>
        <w:spacing w:after="0" w:line="1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Biscuits and Snacks segment includes Pepperidge Farm cookies, crackers, bakery and frozen products in U.S. retail; Arnott’s biscuits in Australia and Asia Pacific; and Kelsen cookies globally. The segment also includes the simple meals and shelf-stable beverages business in Australia and Asia Pacific.</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Campbell Fresh includes Bolthouse Farms fresh carrots, carrot ingredients, refrigerated beverages and refrigerated salad dressings; Garden Fresh Gourmet salsa, hummus, dips and tortilla chips, which was acquired in June 2015; and the U.S. refrigerated soup business.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2016, we also modified our method of allocating pension and postretirement benefit costs to our segments. Through 2015, we included all components of benefit expense in measuring segment performance. In 2016, only service cost is allocated to segments. All other components of expense, including interest cost, expected return on assets, and recognized actuarial gains and losses, are reflected in Corporate and not included in segment operating results.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2016, we elected to change our method of accounting for the recognition of actuarial gains and losses for defined benefit pension and postretirement plans and the calculation of expected return on pension plan assets. Historically, actuarial gains and losses associated with benefit obligations were recognized in Accumulated other comprehensive loss in the Consolidated Balance Sheets and were amortized into earnings over the remaining service life of participants to the extent that the amounts were in excess of a corridor. Under the new policy, actuarial gains and losses will be recognized immediately in our Consolidated Statements of Earnings as of the measurement date, which is our fiscal year end, or more frequently if an interim remeasurement is required. In addition, we will no longer use a market-related value of plan assets, which is an average value, to determine the expected return on assets but rather will use the fair value of plan assets. We believe the new policies will provide greater transparency to ongoing operating results and better reflect the impact of current market conditions on the obligations and assets. See Note 1 to the Consolidated Financial Statements for additional information.</w:t>
      </w:r>
    </w:p>
    <w:p>
      <w:pPr>
        <w:spacing w:after="0" w:line="13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June 29, 2015, we completed the acquisition of the assets of Garden Fresh Gourmet for $232 million. Garden Fresh Gourmet is a provider of refrigerated salsa in North America, and it also produces hummus, dips and tortilla chips. See Note 3 to the Consolidated Financial Statements for additional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Executive Summary provides significant highlights from the discussion and analysis that follows.</w:t>
      </w:r>
    </w:p>
    <w:p>
      <w:pPr>
        <w:spacing w:after="0" w:line="171" w:lineRule="exact"/>
        <w:rPr>
          <w:sz w:val="20"/>
          <w:szCs w:val="20"/>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decreased 2% in 2016 to $2.203 billion, as the adverse impact of currency translation and volume declines were partially offset by higher selling prices, a reduction in promotional spending and the impact of the acquisition of Garden Fresh Gourmet.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as a percent of sales, decreased to 34.3% from 35.3% a year ago. The decrease was primarily due to pension and postretirement benefit mark-to-market adjustments. Excluding the mark-to-market adjustments, gross profit as a percent of sales increased due to productivity improvements, higher selling prices, and lower levels of promotional spending.</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expenses increased 19% to $156 million from $131 million a year ago. The current year included $15 million of costs related to the implementation of the new organizational structure and cost savings initiatives as well as $21 million of pension and postretirement benefit mark-to-market adjustments. Excluding these items, administrative expenses declined primarily due to benefits from cost savings initiatives and the impact of currency translation.</w:t>
      </w:r>
    </w:p>
    <w:p>
      <w:pPr>
        <w:spacing w:after="0" w:line="12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expenses decreased 7% in 2016 from 2015. The decrease was primarily due to lower advertising and consumer promotion expenses, benefits from cost savings initiatives and the impact of currency translation, partially</w:t>
      </w:r>
    </w:p>
    <w:p>
      <w:pPr>
        <w:sectPr>
          <w:pgSz w:w="11900" w:h="16838" w:orient="portrait"/>
          <w:cols w:equalWidth="0" w:num="1">
            <w:col w:w="11420"/>
          </w:cols>
          <w:pgMar w:left="240" w:top="1306"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306" w:right="239" w:bottom="1440" w:gutter="0" w:footer="0" w:header="0"/>
          <w:type w:val="continuous"/>
        </w:sectPr>
      </w:pPr>
    </w:p>
    <w:bookmarkStart w:id="23" w:name="page24"/>
    <w:bookmarkEnd w:id="23"/>
    <w:p>
      <w:pPr>
        <w:ind w:left="660"/>
        <w:spacing w:after="0" w:line="329" w:lineRule="auto"/>
        <w:rPr>
          <w:sz w:val="20"/>
          <w:szCs w:val="20"/>
          <w:color w:val="auto"/>
        </w:rPr>
      </w:pPr>
      <w:r>
        <w:rPr>
          <w:rFonts w:ascii="Times New Roman" w:cs="Times New Roman" w:eastAsia="Times New Roman" w:hAnsi="Times New Roman"/>
          <w:sz w:val="18"/>
          <w:szCs w:val="18"/>
          <w:color w:val="auto"/>
        </w:rPr>
        <w:t>offset by pension and postretirement benefit mark-to-market adjustments. The decline in advertising expenses was primarily in Americas Simple Meals and Beverages, reflecting a shift in spending to later in the year.</w:t>
      </w:r>
    </w:p>
    <w:p>
      <w:pPr>
        <w:spacing w:after="0" w:line="81"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were $.62 in 2015, compared to $.78 a year ago. The current year included expenses of $.33 per share from items impacting comparability as discussed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attributable to Campbell Soup Company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items impacted the comparability of earnings and earnings per share:</w:t>
      </w:r>
    </w:p>
    <w:p>
      <w:pPr>
        <w:spacing w:after="0" w:line="171" w:lineRule="exact"/>
        <w:rPr>
          <w:sz w:val="20"/>
          <w:szCs w:val="20"/>
          <w:color w:val="auto"/>
        </w:rPr>
      </w:pPr>
    </w:p>
    <w:p>
      <w:pPr>
        <w:jc w:val="both"/>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mark-to-market losses of $128 million ($80 million after tax, or $.26 per share) in the first quarter of 2016 as certain U.S. pension plans were remeasured. The remeasurement was required due to a high level of lump sum payments to certain vested plan participants arising primarily out of a limited-time offer to accept a single lump sum in lieu of future annuity payments. No remeasurement was required in the first quarter of 2015.</w:t>
      </w:r>
    </w:p>
    <w:p>
      <w:pPr>
        <w:spacing w:after="0" w:line="12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we incurred charges associated with our initiatives to implement a new enterprise design, to reduce costs and to streamline our organizational structure. We recorded a pre-tax restructuring charge of $21 million related to these initiatives. We also incurred pre-tax charges of $15 million recorded in Administrative expenses related to the implementation of the new organizational structure and cost savings initiatives (aggregate impact of $23 million after tax, or $.07 per share). See Note 7 to the Consolidated Financial Statements and "Restructuring Charges and Cost Savings Initiatives" for additional information.</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items impacting comparability are summarized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November 1, 2015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7"/>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November 2, 2014</w:t>
            </w:r>
          </w:p>
        </w:tc>
        <w:tc>
          <w:tcPr>
            <w:tcW w:w="0" w:type="dxa"/>
            <w:vAlign w:val="bottom"/>
          </w:tcPr>
          <w:p>
            <w:pPr>
              <w:spacing w:after="0"/>
              <w:rPr>
                <w:sz w:val="1"/>
                <w:szCs w:val="1"/>
                <w:color w:val="auto"/>
              </w:rPr>
            </w:pPr>
          </w:p>
        </w:tc>
      </w:tr>
      <w:tr>
        <w:trPr>
          <w:trHeight w:val="149"/>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80" w:type="dxa"/>
            <w:vAlign w:val="bottom"/>
          </w:tcPr>
          <w:p>
            <w:pPr>
              <w:spacing w:after="0"/>
              <w:rPr>
                <w:sz w:val="12"/>
                <w:szCs w:val="12"/>
                <w:color w:val="auto"/>
              </w:rPr>
            </w:pPr>
          </w:p>
        </w:tc>
        <w:tc>
          <w:tcPr>
            <w:tcW w:w="96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300" w:type="dxa"/>
            <w:vAlign w:val="bottom"/>
          </w:tcPr>
          <w:p>
            <w:pPr>
              <w:spacing w:after="0"/>
              <w:rPr>
                <w:sz w:val="12"/>
                <w:szCs w:val="12"/>
                <w:color w:val="auto"/>
              </w:rPr>
            </w:pPr>
          </w:p>
        </w:tc>
        <w:tc>
          <w:tcPr>
            <w:tcW w:w="8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2"/>
                <w:szCs w:val="12"/>
                <w:color w:val="auto"/>
              </w:rPr>
            </w:pPr>
          </w:p>
        </w:tc>
        <w:tc>
          <w:tcPr>
            <w:tcW w:w="96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60"/>
        </w:trPr>
        <w:tc>
          <w:tcPr>
            <w:tcW w:w="69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4"/>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Impact</w:t>
            </w:r>
          </w:p>
        </w:tc>
        <w:tc>
          <w:tcPr>
            <w:tcW w:w="300" w:type="dxa"/>
            <w:vAlign w:val="bottom"/>
          </w:tcPr>
          <w:p>
            <w:pPr>
              <w:spacing w:after="0"/>
              <w:rPr>
                <w:sz w:val="13"/>
                <w:szCs w:val="13"/>
                <w:color w:val="auto"/>
              </w:rPr>
            </w:pPr>
          </w:p>
        </w:tc>
        <w:tc>
          <w:tcPr>
            <w:tcW w:w="840" w:type="dxa"/>
            <w:vAlign w:val="bottom"/>
            <w:gridSpan w:val="3"/>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3"/>
                <w:szCs w:val="13"/>
                <w:color w:val="auto"/>
              </w:rPr>
            </w:pPr>
          </w:p>
        </w:tc>
        <w:tc>
          <w:tcPr>
            <w:tcW w:w="960" w:type="dxa"/>
            <w:vAlign w:val="bottom"/>
            <w:gridSpan w:val="4"/>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3"/>
                <w:szCs w:val="13"/>
                <w:color w:val="auto"/>
              </w:rPr>
            </w:pPr>
          </w:p>
        </w:tc>
        <w:tc>
          <w:tcPr>
            <w:tcW w:w="820" w:type="dxa"/>
            <w:vAlign w:val="bottom"/>
            <w:gridSpan w:val="3"/>
          </w:tcPr>
          <w:p>
            <w:pPr>
              <w:jc w:val="right"/>
              <w:ind w:right="210"/>
              <w:spacing w:after="0" w:line="160" w:lineRule="exact"/>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1"/>
        </w:trPr>
        <w:tc>
          <w:tcPr>
            <w:tcW w:w="6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and postretirement benefit mark-to-market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charges and related costs/implementation costs</w:t>
            </w:r>
          </w:p>
        </w:tc>
        <w:tc>
          <w:tcPr>
            <w:tcW w:w="180" w:type="dxa"/>
            <w:vAlign w:val="bottom"/>
          </w:tcPr>
          <w:p>
            <w:pPr>
              <w:spacing w:after="0"/>
              <w:rPr>
                <w:sz w:val="21"/>
                <w:szCs w:val="21"/>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items on net earnings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earnings attributable to Campbell Soup Company were $194 million ($.62 per share) in the current year, compared to $248 million ($.78 per share) in prior year. After adjusting for items impacting comparability in the current year, earnings increased due to improved gross profit performance and lower marketing and selling costs partially offset by the negative impact of currency translation and a higher effective tax 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November 1, 2015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November 2, 2014</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 Simple Meals and Beverages</w:t>
            </w:r>
          </w:p>
        </w:tc>
        <w:tc>
          <w:tcPr>
            <w:tcW w:w="2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Global Biscuits and Snacks</w:t>
            </w:r>
          </w:p>
        </w:tc>
        <w:tc>
          <w:tcPr>
            <w:tcW w:w="2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652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Campbell Fresh</w:t>
            </w:r>
          </w:p>
        </w:tc>
        <w:tc>
          <w:tcPr>
            <w:tcW w:w="28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2,203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4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37" w:right="239" w:bottom="1440" w:gutter="0" w:footer="0" w:header="0"/>
        </w:sectPr>
      </w:pPr>
    </w:p>
    <w:bookmarkStart w:id="24" w:name="page25"/>
    <w:bookmarkEnd w:id="24"/>
    <w:p>
      <w:pPr>
        <w:ind w:left="34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Simple</w:t>
            </w: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Biscuits</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Meals and</w:t>
            </w: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Campbell Fresh</w:t>
            </w:r>
          </w:p>
        </w:tc>
        <w:tc>
          <w:tcPr>
            <w:tcW w:w="120" w:type="dxa"/>
            <w:vAlign w:val="bottom"/>
            <w:vMerge w:val="restart"/>
          </w:tcPr>
          <w:p>
            <w:pPr>
              <w:spacing w:after="0"/>
              <w:rPr>
                <w:sz w:val="12"/>
                <w:szCs w:val="12"/>
                <w:color w:val="auto"/>
              </w:rPr>
            </w:pPr>
          </w:p>
        </w:tc>
        <w:tc>
          <w:tcPr>
            <w:tcW w:w="12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Beverages </w:t>
            </w:r>
            <w:r>
              <w:rPr>
                <w:rFonts w:ascii="Times New Roman" w:cs="Times New Roman" w:eastAsia="Times New Roman" w:hAnsi="Times New Roman"/>
                <w:sz w:val="8"/>
                <w:szCs w:val="8"/>
                <w:b w:val="1"/>
                <w:bCs w:val="1"/>
                <w:color w:val="auto"/>
              </w:rPr>
              <w:t>(2)</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Volume and Mix</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Price and Sales Allowances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Decreased Promotional Spending</w:t>
            </w:r>
            <w:r>
              <w:rPr>
                <w:rFonts w:ascii="Times New Roman" w:cs="Times New Roman" w:eastAsia="Times New Roman" w:hAnsi="Times New Roman"/>
                <w:sz w:val="25"/>
                <w:szCs w:val="25"/>
                <w:color w:val="auto"/>
                <w:vertAlign w:val="superscript"/>
              </w:rPr>
              <w:t>(1)</w:t>
            </w: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Currency</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w:t>
            </w:r>
          </w:p>
        </w:tc>
        <w:tc>
          <w:tcPr>
            <w:tcW w:w="12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revenue reductions from trade promotion and consumer coupon redemption programs.</w:t>
      </w:r>
    </w:p>
    <w:p>
      <w:pPr>
        <w:spacing w:after="0" w:line="1" w:lineRule="exact"/>
        <w:rPr>
          <w:rFonts w:ascii="Times New Roman" w:cs="Times New Roman" w:eastAsia="Times New Roman" w:hAnsi="Times New Roman"/>
          <w:sz w:val="25"/>
          <w:szCs w:val="25"/>
          <w:color w:val="auto"/>
          <w:vertAlign w:val="superscript"/>
        </w:rPr>
      </w:pPr>
    </w:p>
    <w:p>
      <w:pPr>
        <w:ind w:left="340" w:hanging="332"/>
        <w:spacing w:after="0" w:line="186" w:lineRule="auto"/>
        <w:tabs>
          <w:tab w:leader="none" w:pos="34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Sum of the individual amounts does not add due to rounding.</w:t>
      </w:r>
    </w:p>
    <w:p>
      <w:pPr>
        <w:spacing w:after="0" w:line="83" w:lineRule="exact"/>
        <w:rPr>
          <w:rFonts w:ascii="Times New Roman" w:cs="Times New Roman" w:eastAsia="Times New Roman" w:hAnsi="Times New Roman"/>
          <w:sz w:val="24"/>
          <w:szCs w:val="24"/>
          <w:color w:val="auto"/>
          <w:vertAlign w:val="superscript"/>
        </w:rPr>
      </w:pPr>
    </w:p>
    <w:p>
      <w:pPr>
        <w:ind w:left="34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 Americas Simple Meals and Beverages, sales decreased 2%. U.S. soup sales decreased 3%. Further details of U.S. soup include:</w:t>
      </w:r>
    </w:p>
    <w:p>
      <w:pPr>
        <w:spacing w:after="0" w:line="151" w:lineRule="exact"/>
        <w:rPr>
          <w:rFonts w:ascii="Times New Roman" w:cs="Times New Roman" w:eastAsia="Times New Roman" w:hAnsi="Times New Roman"/>
          <w:sz w:val="24"/>
          <w:szCs w:val="24"/>
          <w:color w:val="auto"/>
          <w:vertAlign w:val="superscript"/>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condensed soups increased 2%.</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ready-to-serve soups declined 10%.</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Broth sales decreased 9%.</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U.S. soup volumes declined as a result of higher selling prices and reduced promotional activity. U.S. beverages sales decreased primarily due to declines in </w:t>
      </w:r>
      <w:r>
        <w:rPr>
          <w:rFonts w:ascii="Times New Roman" w:cs="Times New Roman" w:eastAsia="Times New Roman" w:hAnsi="Times New Roman"/>
          <w:sz w:val="18"/>
          <w:szCs w:val="18"/>
          <w:i w:val="1"/>
          <w:iCs w:val="1"/>
          <w:color w:val="auto"/>
        </w:rPr>
        <w:t>V8 V-Fusion</w:t>
      </w:r>
      <w:r>
        <w:rPr>
          <w:rFonts w:ascii="Times New Roman" w:cs="Times New Roman" w:eastAsia="Times New Roman" w:hAnsi="Times New Roman"/>
          <w:sz w:val="18"/>
          <w:szCs w:val="18"/>
          <w:color w:val="auto"/>
        </w:rPr>
        <w:t xml:space="preserve"> beverages, partially offset by gains in </w:t>
      </w:r>
      <w:r>
        <w:rPr>
          <w:rFonts w:ascii="Times New Roman" w:cs="Times New Roman" w:eastAsia="Times New Roman" w:hAnsi="Times New Roman"/>
          <w:sz w:val="18"/>
          <w:szCs w:val="18"/>
          <w:i w:val="1"/>
          <w:iCs w:val="1"/>
          <w:color w:val="auto"/>
        </w:rPr>
        <w:t>V8 Splash</w:t>
      </w:r>
      <w:r>
        <w:rPr>
          <w:rFonts w:ascii="Times New Roman" w:cs="Times New Roman" w:eastAsia="Times New Roman" w:hAnsi="Times New Roman"/>
          <w:sz w:val="18"/>
          <w:szCs w:val="18"/>
          <w:color w:val="auto"/>
        </w:rPr>
        <w:t xml:space="preserve"> beverages. Sales of other U.S. simple meals increased due to gains in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 xml:space="preserve">Campbell's </w:t>
      </w:r>
      <w:r>
        <w:rPr>
          <w:rFonts w:ascii="Times New Roman" w:cs="Times New Roman" w:eastAsia="Times New Roman" w:hAnsi="Times New Roman"/>
          <w:sz w:val="18"/>
          <w:szCs w:val="18"/>
          <w:color w:val="auto"/>
        </w:rPr>
        <w:t>dinner sauces and new</w:t>
      </w:r>
      <w:r>
        <w:rPr>
          <w:rFonts w:ascii="Times New Roman" w:cs="Times New Roman" w:eastAsia="Times New Roman" w:hAnsi="Times New Roman"/>
          <w:sz w:val="18"/>
          <w:szCs w:val="18"/>
          <w:i w:val="1"/>
          <w:iCs w:val="1"/>
          <w:color w:val="auto"/>
        </w:rPr>
        <w:t xml:space="preserve"> Prego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Pace </w:t>
      </w:r>
      <w:r>
        <w:rPr>
          <w:rFonts w:ascii="Times New Roman" w:cs="Times New Roman" w:eastAsia="Times New Roman" w:hAnsi="Times New Roman"/>
          <w:sz w:val="18"/>
          <w:szCs w:val="18"/>
          <w:color w:val="auto"/>
        </w:rPr>
        <w:t>ready meals. Excluding the impact of currency translation, sales in Canada increased due to gains in soup.</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Global Biscuits and Snacks, sales decreased 6% due to the impact of currency translation. Sales of Pepperidge Farm products increased as gains in </w:t>
      </w:r>
      <w:r>
        <w:rPr>
          <w:rFonts w:ascii="Times New Roman" w:cs="Times New Roman" w:eastAsia="Times New Roman" w:hAnsi="Times New Roman"/>
          <w:sz w:val="18"/>
          <w:szCs w:val="18"/>
          <w:i w:val="1"/>
          <w:iCs w:val="1"/>
          <w:color w:val="auto"/>
        </w:rPr>
        <w:t xml:space="preserve">Goldfish </w:t>
      </w:r>
      <w:r>
        <w:rPr>
          <w:rFonts w:ascii="Times New Roman" w:cs="Times New Roman" w:eastAsia="Times New Roman" w:hAnsi="Times New Roman"/>
          <w:sz w:val="18"/>
          <w:szCs w:val="18"/>
          <w:color w:val="auto"/>
        </w:rPr>
        <w:t>crackers, fresh bakery and frozen products were partly offset by declines in cookies. In Asia Pacific, excluding the negative impact of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translation, sales gains in Arnott’s in Australia attributable to savory and sweet varieties were offset by declines in Indonesia. In 2016, promotional spending was reduced as we lapped inefficient spending in the prior year, primarily in Pepperidge Farm.</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Campbell Fresh, sales increased 8%, due to the acquisition of Garden Fresh Gourmet, which was acquired on June 29, 2015. Excluding the acquisition, sales declined reflecting lower sales in carrot ingredients, fresh carrots and refrigerated soup, partially offset by gains in Bolthouse premium refrigerated beverages and salad dressings.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decreased by $40 million in 2016. As a percent of sales, gross profit was 34.3% in 2016 and 35.3% in 2015. Excluding pension and postretirement benefit mark-to-market adjustments, gross profit percentage improved in 2016. The 1.0 percentage-point overall decrease in gross margin percentage was due to the following factors: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and postretirement benefit mark-to-market adjustments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(3.6)%</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inflation, supply chain costs and other factors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(0.2)</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acquisition</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(0.2)</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Mix</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0.1</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Lower level of promotional spending</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0.4</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Higher selling prices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0.9</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1.6</w:t>
            </w:r>
          </w:p>
        </w:tc>
      </w:tr>
      <w:tr>
        <w:trPr>
          <w:trHeight w:val="237"/>
        </w:trPr>
        <w:tc>
          <w:tcPr>
            <w:tcW w:w="994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w:t>
            </w:r>
          </w:p>
        </w:tc>
      </w:tr>
      <w:tr>
        <w:trPr>
          <w:trHeight w:val="27"/>
        </w:trPr>
        <w:tc>
          <w:tcPr>
            <w:tcW w:w="99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Marketing and selling expenses as a percent of sales were 10.3% in 2016 compared to 10.8% in 2015. Marketing and selling expenses decreased 7% in 2016 from 2015. The decrease was primarily due to lower advertising and consumer promotion expenses (approximately 5 percentage points); benefits from cost savings initiatives (approximately 4 percentage points); the impact of</w:t>
      </w:r>
    </w:p>
    <w:p>
      <w:pPr>
        <w:sectPr>
          <w:pgSz w:w="11900" w:h="16838" w:orient="portrait"/>
          <w:cols w:equalWidth="0" w:num="1">
            <w:col w:w="11420"/>
          </w:cols>
          <w:pgMar w:left="240" w:top="1310" w:right="239"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310" w:right="239" w:bottom="1440" w:gutter="0" w:footer="0" w:header="0"/>
          <w:type w:val="continuous"/>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currency translation (approximately 3 percentage points); lower marketing overhead expenses (approximately 2 percentage points); and lower selling expenses (approximately 1 percentage point), partially offset by losses on benefit plan mark-to-market adjustments (approximately 8 percentage points). The decline in advertising expenses was primarily in Americas Simple Meals and Beverages, reflecting a shift in spending to later in the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Administrative expenses as a percent of sales were 7.1% in 2016 compared to 5.8% in 2015. Administrative expenses increased 19% in 2016 from 2015. The increase was primarily due to losses on benefit plan mark-to-market adjustments (approximately 16 percentage points); costs related to the implementation of the new organizational structure and cost savings initiatives (approximately 11 percentage points), partially offset by benefits from cost savings initiatives (approximately 3 percentage points); and the impact of currency translation (approximately 3 percentage points).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$4 million, or 14%, in 2016 from 2015. The increase was primarily due to losses on benefit plan mark-to-market adjustments (approximately 29 percentage points), partially offset by benefits from cost savings initiatives (approximately 7 percentage points) and the impact of currency translation (approximately 3 percentage points).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Segment operating earnings increased 20% in 2016 from 2015.</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4"/>
        </w:trPr>
        <w:tc>
          <w:tcPr>
            <w:tcW w:w="77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1, 2015</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2, 2014</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 Simple Meals and Beverages</w:t>
            </w:r>
          </w:p>
        </w:tc>
        <w:tc>
          <w:tcPr>
            <w:tcW w:w="4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Global Biscuits and Snacks</w:t>
            </w: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16</w:t>
            </w:r>
          </w:p>
        </w:tc>
      </w:tr>
      <w:tr>
        <w:trPr>
          <w:trHeight w:val="27"/>
        </w:trPr>
        <w:tc>
          <w:tcPr>
            <w:tcW w:w="7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Campbell Fresh</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100</w:t>
            </w:r>
          </w:p>
        </w:tc>
      </w:tr>
      <w:tr>
        <w:trPr>
          <w:trHeight w:val="237"/>
        </w:trPr>
        <w:tc>
          <w:tcPr>
            <w:tcW w:w="77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495</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7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776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5"/>
                <w:szCs w:val="25"/>
                <w:color w:val="auto"/>
                <w:vertAlign w:val="superscript"/>
              </w:rPr>
              <w:t>(1)</w:t>
            </w: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r>
      <w:tr>
        <w:trPr>
          <w:trHeight w:val="269"/>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315</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ind w:left="340" w:hanging="332"/>
        <w:spacing w:after="0" w:line="229" w:lineRule="auto"/>
        <w:tabs>
          <w:tab w:leader="none" w:pos="34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See Note 7 to the Consolidated Financial Statements for additional information on restructuring charges.</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Earnings from Americas Simple Meals and Beverages increased 19%. The increase was primarily due to a higher gross margin percentage, benefiting from increased price realization and improved supply chain performance compared to the prior-year quarter, as well as lower marketing and selling expenses. Advertising and consumer promotion expenses were lower in 2016, reflecting a shift in spending to later in the year.</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from Global Biscuits and Snacks increased 16%. The increase was primarily due to a higher gross margin percentage, volume gains and lower selling expenses, partly offset by the negative impact of currency translation.</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from Campbell Fresh increased from $9 million to $18 million. The increase was primarily due to a higher gross margin percentage and the impact of the acquisition of Garden Fresh Gourmet. The improvement in gross margin percentage reflects improved carrot costs.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Corporate included $128 million of losses associated with benefit plan mark-to-market adjustments and costs of $15 million related to the implementation of our new organizational structure and cost savings initiatives in 2016. The remaining change was primarily due to lower losses on open commodity hedges.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Expense/Income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increased to $29 million in 2016 from $26 million in 2015, reflecting higher average interest rates on the debt portfolio.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effective tax rate was 32.4% in 2016, compared to 31.9% in 2015. The increase in the effective rate was due to the geographic mix of earnings and higher U.S. state taxes in 2016.</w:t>
      </w:r>
    </w:p>
    <w:p>
      <w:pPr>
        <w:sectPr>
          <w:pgSz w:w="11900" w:h="16838" w:orient="portrait"/>
          <w:cols w:equalWidth="0" w:num="1">
            <w:col w:w="11420"/>
          </w:cols>
          <w:pgMar w:left="240" w:top="1310"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310" w:right="2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 and Cost Savings Initiatives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Initiatives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29, 2015, we announced plans to implement a new enterprise design focused mainly on product categories. Under the new design, which we fully implemented at the beginning of 2016, our businesses are organized in the following divisions: Americas Simple Meals and Beverages, Global Biscuits and Snacks, and Campbell Fresh.</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support of the new enterprise design, we designed and implemented a new IGS organization to deliver shared services across the company. IGS, which became effective at the beginning of 2016, is expected to reduce costs while increasing our efficiency and effectiveness. We are also pursuing other initiatives to reduce costs and increase effectiveness, such as streamlining our organizational structure and adopting zero-based budgeting over time.</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July 31, 2015, with some remaining beyond July 31. We also implemented an initiative to reduce overhead across the organization by eliminating approximately 230 positions. In the first quarter of 2016, we recorded a restructuring charge of $21 million. In 2015, we recorded a restructuring charge of $102 million related to these initiatives.</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first quarter of 2016, we also incurred charges of $15 million recorded in Administrative expenses related to the implementation of the new organizational structure and cost savings initiatives. In 2015,we incurred charges of $22 million recorded in Administrative expenses related to the these initiatives.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after-tax impact of restructuring charges, implementation costs and other related costs recorded in the first quarter of 2016 was $23, or $.07 per share. The aggregate after-tax impact of restructuring charges and implementation and other costs recorded in 2015 was $78 million, or $.25 per share. A summary of the pre-tax costs associated with the 2015 initiatives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149"/>
        </w:trPr>
        <w:tc>
          <w:tcPr>
            <w:tcW w:w="9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2"/>
                <w:szCs w:val="12"/>
                <w:color w:val="auto"/>
              </w:rPr>
            </w:pPr>
          </w:p>
        </w:tc>
        <w:tc>
          <w:tcPr>
            <w:tcW w:w="142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5"/>
        </w:trPr>
        <w:tc>
          <w:tcPr>
            <w:tcW w:w="98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November 1, 2015</w:t>
            </w:r>
          </w:p>
        </w:tc>
        <w:tc>
          <w:tcPr>
            <w:tcW w:w="0" w:type="dxa"/>
            <w:vAlign w:val="bottom"/>
          </w:tcPr>
          <w:p>
            <w:pPr>
              <w:spacing w:after="0"/>
              <w:rPr>
                <w:sz w:val="1"/>
                <w:szCs w:val="1"/>
                <w:color w:val="auto"/>
              </w:rPr>
            </w:pPr>
          </w:p>
        </w:tc>
      </w:tr>
      <w:tr>
        <w:trPr>
          <w:trHeight w:val="249"/>
        </w:trPr>
        <w:tc>
          <w:tcPr>
            <w:tcW w:w="9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3"/>
        </w:trPr>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80" w:type="dxa"/>
            <w:vAlign w:val="bottom"/>
          </w:tcPr>
          <w:p>
            <w:pPr>
              <w:spacing w:after="0"/>
              <w:rPr>
                <w:sz w:val="21"/>
                <w:szCs w:val="21"/>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9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total estimated pre-tax costs for the 2015 initiatives are approximately $250 million to $325 million. We expect the costs to consist of approximately $150 million to $165 million in severance pay and benefits, and approximately $100 million to $160 million in implementation costs and other related costs.We expect the total pre-tax costs related to the 2015 initiatives will be associated with segments as follows: Americas Simple Meals and Beverages - approximately 32%; Global Biscuits and Snacks - approximately 31%; Campbell Fresh - approximately 3%; and Corporate - approximately 34%.</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substantially all costs to be cash expenditures, except for $7 million of non-cash postretirement and pension curtailment costs incurred in 2015. We expect to incur the costs through 2018, and fund the costs through cash and short-term borrowings.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the 2015 initiatives to generate pre-tax savings of approximately $165 million to $185 million in 2016, and once fully implemented, annual ongoing savings of approximately $250 million beginning in 2018. In 2015, pre-tax savings were $85 million.</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incurred to date associated with segments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Americas Simple</w:t>
            </w: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Global Biscuits</w:t>
            </w: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Meals and</w:t>
            </w:r>
          </w:p>
        </w:tc>
        <w:tc>
          <w:tcPr>
            <w:tcW w:w="1240" w:type="dxa"/>
            <w:vAlign w:val="bottom"/>
            <w:gridSpan w:val="3"/>
            <w:vMerge w:val="continue"/>
          </w:tcPr>
          <w:p>
            <w:pPr>
              <w:spacing w:after="0"/>
              <w:rPr>
                <w:sz w:val="12"/>
                <w:szCs w:val="12"/>
                <w:color w:val="auto"/>
              </w:rPr>
            </w:pP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Campbell Fresh</w:t>
            </w:r>
          </w:p>
        </w:tc>
        <w:tc>
          <w:tcPr>
            <w:tcW w:w="18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2"/>
                <w:szCs w:val="12"/>
                <w:color w:val="auto"/>
              </w:rPr>
            </w:pPr>
          </w:p>
        </w:tc>
        <w:tc>
          <w:tcPr>
            <w:tcW w:w="8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Snacks</w:t>
            </w:r>
          </w:p>
        </w:tc>
        <w:tc>
          <w:tcPr>
            <w:tcW w:w="12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2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5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See Note 7 to the Consolidated Financial Statements for additional information.</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6"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expect foreseeable liquidity and capital resource requirements to be met through anticipated cash flows from operations; long-term borrowings; short-term borrowings, including commercial paper; and cash and cash equivalents. We believe that our sources of financing will be adequate to meet our future requirements.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generated cash from operations of $218 million in 2016, compared to $188 million in 2015. The increase in 2016 was primarily due to higher cash earnings, partially offset by higher working capital requirements.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Capital expenditures were $71 million in 2016, compared to $62 million in 2015. Capital expenditures are expected to total approximately $350 million in 2016. Capital expenditures in 2016 included a Bolthouse Farms beverage and salad dressing capacity expansion project (approximately $14 million); a cracker capacity expansion at Pepperidge Farm (approximately $4 million); continued enhancement of our corporate headquarters (approximately $2 million); the ongoing initiative to simplify the soup-making process in North America (also known as the soup common platform initiative) (approximately $1 million); and a biscuit capacity expansion in Indonesia (approximately $1 million).</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Dividend payments were $100 million in 2016 and $101 million in 2015.</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repurchased approximately 1 million shares at a cost of $32 million in 2016, and approximately 2 million shares at a cost of $73 million in 2015. In June 2011, our Board of Directors authorized the purchase of up to $1 billion of our stock. Of the amount spent in 2016, $25 million was used to repurchase shares pursuant to our June 2011 publicly announced share repurchase program. Approximately $525 million remained available to repurchase shares under our June 2011 repurchase program as of November 1, 2015. The program has no expiration date. We also expect to continue our longstanding practice, under separate authorization, of purchasing shares sufficient to offset shares issued under incentive compensation plans. See “Unregistered Sales of Equity Securities and Use of Proceeds” for more information.</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November 1, 2015, we had $1.545 billion of short-term borrowings due within one year, of which $1.524 billion was comprised of commercial paper borrowings. As of November 1, 2015, we issued $49 million of standby letters of credit. We have a committed revolving credit facility totaling $2.2 billion that matures in December 2018. This facility remained unused at November 1, 2015, except for $3 million of standby letters of credit that we issued under it. This revolving credit facility supports our commercial paper programs and other general corporate purposes. We may also increase the commitment under the credit facility up to an additional $500 million, upon the agreement of either existing lenders or of additional banks not currently parties to the existing credit agreements.</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September 2014, we filed a registration statement with the Securities and Exchange Commission that registered an indeterminate amount of debt securities. Under the registration statement, we may issue debt securities, depending on market conditions.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in compliance with the covenants contained in our revolving credit facilities and debt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ESTIMATES</w:t>
      </w:r>
    </w:p>
    <w:p>
      <w:pPr>
        <w:spacing w:after="0" w:line="175"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2015 Annual Report on Form 10-K. The accounting policies we used in preparing these financial statements are substantially consistent with those we applied in our Annual Report on Form 10-K for the year ended August 2, 2015 with the exception of the changes in accounting policy related to our method of accounting for the recognition of actuarial gains and losses for defined benefit pension and postretirement plans and the calculation of expected return on pension plan assets as described in Note 1 to the Consolidated Financial Statements. Our significant accounting estimates are described in Management’s Discussion and Analysis included in the 2015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information on recent accounting pronouncements.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that reflect our current expectations regarding our future results of operations, economic performance, financial condition and achievements. We try, wherever possible, to identify these forward-looking statements by using words such as “anticipate,” “believe,” “estimate,” “expect,” “will” and similar expressions. One can also identify them by the fact that they do not relate strictly to historical or current facts. These statements reflect our current plans and expectations and are based on information currently available to us. They rely on a number of assumptions regarding future events and estimates which could be inaccurate and which are inherently subject to risks and uncertainties.</w:t>
      </w:r>
    </w:p>
    <w:p>
      <w:pPr>
        <w:sectPr>
          <w:pgSz w:w="11900" w:h="16838" w:orient="portrait"/>
          <w:cols w:equalWidth="0" w:num="1">
            <w:col w:w="11420"/>
          </w:cols>
          <w:pgMar w:left="240" w:top="1306"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306" w:right="239" w:bottom="1440" w:gutter="0" w:footer="0" w:header="0"/>
          <w:type w:val="continuous"/>
        </w:sectPr>
      </w:pPr>
    </w:p>
    <w:bookmarkStart w:id="28" w:name="page29"/>
    <w:bookmarkEnd w:id="2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wish to caution the reader that the following important factors and those important factors described in our other Securities and Exchange Commission filings, or in our 2015 Annual Report on Form 10-K, could affect our actual results and could cause such results to vary materially from those expressed in any forward-looking statements made by, or on behalf of, us:</w:t>
      </w:r>
    </w:p>
    <w:p>
      <w:pPr>
        <w:spacing w:after="0" w:line="41" w:lineRule="exact"/>
        <w:rPr>
          <w:sz w:val="20"/>
          <w:szCs w:val="20"/>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strong competitive response to our efforts to leverage our brand power with product innovation, promotional programs and new advertising;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consumer demand for our products;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in the marketplace associated with trade and consumer acceptance of product improvements, shelving initiatives, new products, and pricing and promotional strategies;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sales and earnings guidance, which is based on assumptions about sales volume, product mix, the development and success of new products, the impact of marketing, promotional and pricing actions, product costs and currency;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projected cost savings and benefits from our efficiency and/or restructuring initiatives;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changes to our organizational structure and/or business processes, including our selling, distribution, manufacturing and information management systems or processes;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practices and increased significance of certain of our key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or changing inventory management practices by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the supply of and inflation in energy, raw and packaging materials cost;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completing and integrating acquisitions, divestitures and other portfolio changes;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litigation;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currency exchange rates, tax rates, interest rates, debt and equity markets, inflation rates, economic conditions and other external factors;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unforeseen business disruptions in one or more of our markets due to political instability, civil disobedience, armed hostilities, natural disasters or other calamities.</w:t>
      </w:r>
    </w:p>
    <w:p>
      <w:pPr>
        <w:spacing w:after="0" w:line="108"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 see Item 7A, Quantitative and Qualitative Disclosures About Market Risk, in the 2015 Annual Report on Form 10-K. There have been no significant changes in our portfolio of financial instruments or market risk exposures from the 2015 year-end.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7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under the supervision and with the participation of our management, including the President and Chief Executive Officer and the Senior Vice President and Chief Financial Officer, have evaluated the effectiveness of our disclosure controls and procedures (as such term is defined in Rules 13a-15(e) and 15d-15(e) under the Securities Exchange Act of 1934, as amended) as of November 1, 2015 (Evaluation Date). Based on such evaluation, the President and Chief Executive Officer and the Senior Vice President and Chief Financial Officer have concluded that, as of the Evaluation Date, our disclosure controls and procedures are effective.</w:t>
      </w:r>
    </w:p>
    <w:p>
      <w:pPr>
        <w:spacing w:after="0" w:line="130"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were likely to materially affect, such control over financial reporting during the quarter ended November 1, 2015.</w:t>
      </w:r>
    </w:p>
    <w:p>
      <w:pPr>
        <w:sectPr>
          <w:pgSz w:w="11900" w:h="16838" w:orient="portrait"/>
          <w:cols w:equalWidth="0" w:num="1">
            <w:col w:w="11420"/>
          </w:cols>
          <w:pgMar w:left="240" w:top="1337"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337" w:right="2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40" w:type="dxa"/>
            <w:vAlign w:val="bottom"/>
          </w:tcPr>
          <w:p>
            <w:pPr>
              <w:spacing w:after="0"/>
              <w:rPr>
                <w:sz w:val="12"/>
                <w:szCs w:val="12"/>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60"/>
        </w:trPr>
        <w:tc>
          <w:tcPr>
            <w:tcW w:w="4580" w:type="dxa"/>
            <w:vAlign w:val="bottom"/>
            <w:gridSpan w:val="3"/>
            <w:vMerge w:val="continue"/>
          </w:tcPr>
          <w:p>
            <w:pPr>
              <w:spacing w:after="0"/>
              <w:rPr>
                <w:sz w:val="13"/>
                <w:szCs w:val="13"/>
                <w:color w:val="auto"/>
              </w:rPr>
            </w:pPr>
          </w:p>
        </w:tc>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8"/>
                <w:szCs w:val="8"/>
                <w:b w:val="1"/>
                <w:bCs w:val="1"/>
                <w:color w:val="auto"/>
              </w:rPr>
              <w:t>(1)</w:t>
            </w:r>
          </w:p>
        </w:tc>
        <w:tc>
          <w:tcPr>
            <w:tcW w:w="340" w:type="dxa"/>
            <w:vAlign w:val="bottom"/>
          </w:tcPr>
          <w:p>
            <w:pPr>
              <w:spacing w:after="0"/>
              <w:rPr>
                <w:sz w:val="13"/>
                <w:szCs w:val="13"/>
                <w:color w:val="auto"/>
              </w:rPr>
            </w:pPr>
          </w:p>
        </w:tc>
        <w:tc>
          <w:tcPr>
            <w:tcW w:w="14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Per Share </w:t>
            </w:r>
            <w:r>
              <w:rPr>
                <w:rFonts w:ascii="Times New Roman" w:cs="Times New Roman" w:eastAsia="Times New Roman" w:hAnsi="Times New Roman"/>
                <w:sz w:val="8"/>
                <w:szCs w:val="8"/>
                <w:b w:val="1"/>
                <w:bCs w:val="1"/>
                <w:color w:val="auto"/>
              </w:rPr>
              <w:t>(2)</w:t>
            </w:r>
          </w:p>
        </w:tc>
        <w:tc>
          <w:tcPr>
            <w:tcW w:w="20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8"/>
                <w:szCs w:val="8"/>
                <w:b w:val="1"/>
                <w:bCs w:val="1"/>
                <w:color w:val="auto"/>
              </w:rPr>
              <w:t>(3)</w:t>
            </w:r>
          </w:p>
        </w:tc>
        <w:tc>
          <w:tcPr>
            <w:tcW w:w="1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8/3/15 - 8/30/15</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$550</w:t>
            </w:r>
          </w:p>
        </w:tc>
        <w:tc>
          <w:tcPr>
            <w:tcW w:w="0" w:type="dxa"/>
            <w:vAlign w:val="bottom"/>
          </w:tcPr>
          <w:p>
            <w:pPr>
              <w:spacing w:after="0"/>
              <w:rPr>
                <w:sz w:val="1"/>
                <w:szCs w:val="1"/>
                <w:color w:val="auto"/>
              </w:rPr>
            </w:pPr>
          </w:p>
        </w:tc>
      </w:tr>
      <w:tr>
        <w:trPr>
          <w:trHeight w:val="270"/>
        </w:trPr>
        <w:tc>
          <w:tcPr>
            <w:tcW w:w="4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9/1/15 - 9/30/15</w:t>
            </w: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411,938</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(4)</w:t>
            </w:r>
          </w:p>
        </w:tc>
        <w:tc>
          <w:tcPr>
            <w:tcW w:w="1480" w:type="dxa"/>
            <w:vAlign w:val="bottom"/>
            <w:gridSpan w:val="2"/>
          </w:tcPr>
          <w:p>
            <w:pPr>
              <w:ind w:left="620"/>
              <w:spacing w:after="0" w:line="270" w:lineRule="exact"/>
              <w:rPr>
                <w:sz w:val="20"/>
                <w:szCs w:val="20"/>
                <w:color w:val="auto"/>
              </w:rPr>
            </w:pPr>
            <w:r>
              <w:rPr>
                <w:rFonts w:ascii="Times New Roman" w:cs="Times New Roman" w:eastAsia="Times New Roman" w:hAnsi="Times New Roman"/>
                <w:sz w:val="18"/>
                <w:szCs w:val="18"/>
                <w:color w:val="auto"/>
              </w:rPr>
              <w:t xml:space="preserve">$50.41 </w:t>
            </w:r>
            <w:r>
              <w:rPr>
                <w:rFonts w:ascii="Times New Roman" w:cs="Times New Roman" w:eastAsia="Times New Roman" w:hAnsi="Times New Roman"/>
                <w:sz w:val="25"/>
                <w:szCs w:val="25"/>
                <w:color w:val="auto"/>
                <w:vertAlign w:val="superscript"/>
              </w:rPr>
              <w:t>(4)</w:t>
            </w:r>
          </w:p>
        </w:tc>
        <w:tc>
          <w:tcPr>
            <w:tcW w:w="17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385,100</w:t>
            </w:r>
          </w:p>
        </w:tc>
        <w:tc>
          <w:tcPr>
            <w:tcW w:w="34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$531</w:t>
            </w:r>
          </w:p>
        </w:tc>
        <w:tc>
          <w:tcPr>
            <w:tcW w:w="0" w:type="dxa"/>
            <w:vAlign w:val="bottom"/>
          </w:tcPr>
          <w:p>
            <w:pPr>
              <w:spacing w:after="0"/>
              <w:rPr>
                <w:sz w:val="1"/>
                <w:szCs w:val="1"/>
                <w:color w:val="auto"/>
              </w:rPr>
            </w:pPr>
          </w:p>
        </w:tc>
      </w:tr>
      <w:tr>
        <w:trPr>
          <w:trHeight w:val="270"/>
        </w:trPr>
        <w:tc>
          <w:tcPr>
            <w:tcW w:w="45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10/1/15 - 11/1/15</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222,231</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(5)</w:t>
            </w:r>
          </w:p>
        </w:tc>
        <w:tc>
          <w:tcPr>
            <w:tcW w:w="1480" w:type="dxa"/>
            <w:vAlign w:val="bottom"/>
            <w:gridSpan w:val="2"/>
            <w:shd w:val="clear" w:color="auto" w:fill="CCEEFF"/>
          </w:tcPr>
          <w:p>
            <w:pPr>
              <w:ind w:left="620"/>
              <w:spacing w:after="0" w:line="270" w:lineRule="exact"/>
              <w:rPr>
                <w:sz w:val="20"/>
                <w:szCs w:val="20"/>
                <w:color w:val="auto"/>
              </w:rPr>
            </w:pPr>
            <w:r>
              <w:rPr>
                <w:rFonts w:ascii="Times New Roman" w:cs="Times New Roman" w:eastAsia="Times New Roman" w:hAnsi="Times New Roman"/>
                <w:sz w:val="18"/>
                <w:szCs w:val="18"/>
                <w:color w:val="auto"/>
              </w:rPr>
              <w:t xml:space="preserve">$50.79 </w:t>
            </w:r>
            <w:r>
              <w:rPr>
                <w:rFonts w:ascii="Times New Roman" w:cs="Times New Roman" w:eastAsia="Times New Roman" w:hAnsi="Times New Roman"/>
                <w:sz w:val="25"/>
                <w:szCs w:val="25"/>
                <w:color w:val="auto"/>
                <w:vertAlign w:val="superscript"/>
              </w:rPr>
              <w:t>(5)</w:t>
            </w:r>
          </w:p>
        </w:tc>
        <w:tc>
          <w:tcPr>
            <w:tcW w:w="17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110,231</w:t>
            </w:r>
          </w:p>
        </w:tc>
        <w:tc>
          <w:tcPr>
            <w:tcW w:w="34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$525</w:t>
            </w:r>
          </w:p>
        </w:tc>
        <w:tc>
          <w:tcPr>
            <w:tcW w:w="0" w:type="dxa"/>
            <w:vAlign w:val="bottom"/>
          </w:tcPr>
          <w:p>
            <w:pPr>
              <w:spacing w:after="0"/>
              <w:rPr>
                <w:sz w:val="1"/>
                <w:szCs w:val="1"/>
                <w:color w:val="auto"/>
              </w:rPr>
            </w:pPr>
          </w:p>
        </w:tc>
      </w:tr>
      <w:tr>
        <w:trPr>
          <w:trHeight w:val="237"/>
        </w:trPr>
        <w:tc>
          <w:tcPr>
            <w:tcW w:w="4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634,169</w:t>
            </w:r>
          </w:p>
        </w:tc>
        <w:tc>
          <w:tcPr>
            <w:tcW w:w="340" w:type="dxa"/>
            <w:vAlign w:val="bottom"/>
          </w:tcPr>
          <w:p>
            <w:pPr>
              <w:spacing w:after="0"/>
              <w:rPr>
                <w:sz w:val="20"/>
                <w:szCs w:val="20"/>
                <w:color w:val="auto"/>
              </w:rPr>
            </w:pPr>
          </w:p>
        </w:tc>
        <w:tc>
          <w:tcPr>
            <w:tcW w:w="114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$50.54</w:t>
            </w:r>
          </w:p>
        </w:tc>
        <w:tc>
          <w:tcPr>
            <w:tcW w:w="340" w:type="dxa"/>
            <w:vAlign w:val="bottom"/>
          </w:tcPr>
          <w:p>
            <w:pPr>
              <w:spacing w:after="0"/>
              <w:rPr>
                <w:sz w:val="20"/>
                <w:szCs w:val="20"/>
                <w:color w:val="auto"/>
              </w:rPr>
            </w:pPr>
          </w:p>
        </w:tc>
        <w:tc>
          <w:tcPr>
            <w:tcW w:w="1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495,331</w:t>
            </w:r>
          </w:p>
        </w:tc>
        <w:tc>
          <w:tcPr>
            <w:tcW w:w="340" w:type="dxa"/>
            <w:vAlign w:val="bottom"/>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433959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39590" cy="2603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w:t>
      </w:r>
    </w:p>
    <w:p>
      <w:pPr>
        <w:spacing w:after="0" w:line="68" w:lineRule="exact"/>
        <w:rPr>
          <w:sz w:val="20"/>
          <w:szCs w:val="20"/>
          <w:color w:val="auto"/>
        </w:rPr>
      </w:pPr>
    </w:p>
    <w:p>
      <w:pPr>
        <w:jc w:val="both"/>
        <w:ind w:left="340" w:hanging="332"/>
        <w:spacing w:after="0" w:line="228" w:lineRule="auto"/>
        <w:tabs>
          <w:tab w:leader="none" w:pos="34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(i) 112,000 shares repurchased in open-market transactions to offset the dilutive impact to existing shareholders of issuances under stock compensation plans, and (ii) 26,838 shares repurchased in open-market transactions for issuances under stock compensation plans to certain non-U.S. employees.</w:t>
      </w:r>
    </w:p>
    <w:p>
      <w:pPr>
        <w:ind w:left="340" w:hanging="332"/>
        <w:spacing w:after="0" w:line="225" w:lineRule="auto"/>
        <w:tabs>
          <w:tab w:leader="none" w:pos="34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Average price paid per share is calculated on a settlement basis and excludes commission.</w:t>
      </w:r>
    </w:p>
    <w:p>
      <w:pPr>
        <w:spacing w:after="0" w:line="56" w:lineRule="exact"/>
        <w:rPr>
          <w:rFonts w:ascii="Times New Roman" w:cs="Times New Roman" w:eastAsia="Times New Roman" w:hAnsi="Times New Roman"/>
          <w:sz w:val="25"/>
          <w:szCs w:val="25"/>
          <w:color w:val="auto"/>
          <w:vertAlign w:val="superscript"/>
        </w:rPr>
      </w:pPr>
    </w:p>
    <w:p>
      <w:pPr>
        <w:jc w:val="both"/>
        <w:ind w:left="340" w:hanging="332"/>
        <w:spacing w:after="0" w:line="221" w:lineRule="auto"/>
        <w:tabs>
          <w:tab w:leader="none" w:pos="34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During the first quarter of 2016, we had a publicly announced strategic share repurchase program. Under this program, which was announced on June 23, 2011, our Board of Directors authorized the purchase of up to $1 billion of our stock. The program has no expiration date. We also expect to continue our longstanding practice, under separate authorization, of purchasing shares sufficient to offset shares issued under our incentive compensation plans.</w:t>
      </w:r>
    </w:p>
    <w:p>
      <w:pPr>
        <w:spacing w:after="0" w:line="36" w:lineRule="exact"/>
        <w:rPr>
          <w:rFonts w:ascii="Times New Roman" w:cs="Times New Roman" w:eastAsia="Times New Roman" w:hAnsi="Times New Roman"/>
          <w:sz w:val="25"/>
          <w:szCs w:val="25"/>
          <w:color w:val="auto"/>
          <w:vertAlign w:val="superscript"/>
        </w:rPr>
      </w:pPr>
    </w:p>
    <w:p>
      <w:pPr>
        <w:ind w:left="340" w:hanging="332"/>
        <w:spacing w:after="0" w:line="218" w:lineRule="auto"/>
        <w:tabs>
          <w:tab w:leader="none" w:pos="34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26,838 shares repurchased in open-market transactions at an average price of $51.03 for issuances under stock compensation plans to certain non-U.S. employees.</w:t>
      </w:r>
    </w:p>
    <w:p>
      <w:pPr>
        <w:spacing w:after="0" w:line="37" w:lineRule="exact"/>
        <w:rPr>
          <w:rFonts w:ascii="Times New Roman" w:cs="Times New Roman" w:eastAsia="Times New Roman" w:hAnsi="Times New Roman"/>
          <w:sz w:val="25"/>
          <w:szCs w:val="25"/>
          <w:color w:val="auto"/>
          <w:vertAlign w:val="superscript"/>
        </w:rPr>
      </w:pPr>
    </w:p>
    <w:p>
      <w:pPr>
        <w:ind w:left="340" w:hanging="332"/>
        <w:spacing w:after="0" w:line="218" w:lineRule="auto"/>
        <w:tabs>
          <w:tab w:leader="none" w:pos="34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112,000 shares repurchased in open-market transactions at an average price of $50.79 to offset the dilutive impact to existing shareholders of issuances under stock compensation plans.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306"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56" w:lineRule="exact"/>
        <w:rPr>
          <w:sz w:val="20"/>
          <w:szCs w:val="20"/>
          <w:color w:val="auto"/>
        </w:rPr>
      </w:pPr>
    </w:p>
    <w:p>
      <w:pPr>
        <w:ind w:left="1180" w:right="220" w:hanging="1145"/>
        <w:spacing w:after="0" w:line="184" w:lineRule="auto"/>
        <w:tabs>
          <w:tab w:leader="none" w:pos="1180" w:val="left"/>
        </w:tabs>
        <w:numPr>
          <w:ilvl w:val="0"/>
          <w:numId w:val="38"/>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Campbell's By-Laws, effective November 19, 2015, were filed with the SEC on a Form 8-K (SEC file number 1-3822) on November 20, 2015, and are incorporated herein by reference.</w:t>
      </w:r>
    </w:p>
    <w:p>
      <w:pPr>
        <w:spacing w:after="0" w:line="2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Form of 2005 Long-Term Incentive Plan Nonqualified Stock Option Agreement. The form agreement is applicable to the October 1, 2015</w:t>
      </w:r>
    </w:p>
    <w:p>
      <w:pPr>
        <w:spacing w:after="0" w:line="27" w:lineRule="exact"/>
        <w:rPr>
          <w:sz w:val="20"/>
          <w:szCs w:val="20"/>
          <w:color w:val="auto"/>
        </w:rPr>
      </w:pPr>
    </w:p>
    <w:p>
      <w:pPr>
        <w:ind w:left="1180" w:hanging="1145"/>
        <w:spacing w:after="0" w:line="261" w:lineRule="auto"/>
        <w:tabs>
          <w:tab w:leader="none" w:pos="1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grants to Mark R. Alexander, Carlos J. Barroso, Ed Carolan, Adam G. Ciongoli, Anthony P. DiSilvestro, Jeffrey T. Dunn, Luca Mignini, Denise M. Morrison, Robert W. Morrissey and Michael P. Senackerib.</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Preferability letter regarding change in accounting principle.</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Denise M. Morrison pursuant to Rule 13a-14(a).</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Anthony P. DiSilvestro pursuant to Rule 13a-14(a).</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32(a)</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Denise M. Morrison pursuant to 18 U.S.C. Section 1350.</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32(b)</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Certification of Anthony P. DiSilvestro pursuant to 18 U.S.C. Section 1350.</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918"/>
        </w:trPr>
        <w:tc>
          <w:tcPr>
            <w:tcW w:w="900" w:type="dxa"/>
            <w:vAlign w:val="bottom"/>
          </w:tcPr>
          <w:p>
            <w:pPr>
              <w:spacing w:after="0"/>
              <w:rPr>
                <w:sz w:val="24"/>
                <w:szCs w:val="24"/>
                <w:color w:val="auto"/>
              </w:rPr>
            </w:pPr>
          </w:p>
        </w:tc>
        <w:tc>
          <w:tcPr>
            <w:tcW w:w="570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31</w:t>
            </w:r>
          </w:p>
        </w:tc>
      </w:tr>
    </w:tbl>
    <w:p>
      <w:pPr>
        <w:sectPr>
          <w:pgSz w:w="11900" w:h="16838" w:orient="portrait"/>
          <w:cols w:equalWidth="0" w:num="1">
            <w:col w:w="11260"/>
          </w:cols>
          <w:pgMar w:left="240" w:top="1306" w:right="399" w:bottom="1440" w:gutter="0" w:footer="0" w:header="0"/>
        </w:sectPr>
      </w:pPr>
    </w:p>
    <w:bookmarkStart w:id="31" w:name="page32"/>
    <w:bookmarkEnd w:id="31"/>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10, 2015</w:t>
      </w:r>
    </w:p>
    <w:p>
      <w:pPr>
        <w:spacing w:after="0" w:line="38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6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By: /s/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34290</wp:posOffset>
            </wp:positionV>
            <wp:extent cx="26073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Anthony P. DiSilvestro</w:t>
      </w:r>
    </w:p>
    <w:p>
      <w:pPr>
        <w:spacing w:after="0" w:line="6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p>
      <w:pPr>
        <w:spacing w:after="0" w:line="200" w:lineRule="exact"/>
        <w:rPr>
          <w:sz w:val="20"/>
          <w:szCs w:val="20"/>
          <w:color w:val="auto"/>
        </w:rPr>
      </w:pPr>
    </w:p>
    <w:p>
      <w:pPr>
        <w:spacing w:after="0" w:line="30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By: /s/ William J. O'Shea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34290</wp:posOffset>
            </wp:positionV>
            <wp:extent cx="26073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William J. O'Shea</w:t>
      </w:r>
    </w:p>
    <w:p>
      <w:pPr>
        <w:spacing w:after="0" w:line="6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20"/>
          </w:cols>
          <w:pgMar w:left="240" w:top="1225" w:right="739" w:bottom="1440" w:gutter="0" w:footer="0" w:header="0"/>
        </w:sectPr>
      </w:pPr>
    </w:p>
    <w:bookmarkStart w:id="32" w:name="page33"/>
    <w:bookmarkEnd w:id="3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6" w:lineRule="exact"/>
        <w:rPr>
          <w:sz w:val="20"/>
          <w:szCs w:val="20"/>
          <w:color w:val="auto"/>
        </w:rPr>
      </w:pPr>
    </w:p>
    <w:p>
      <w:pPr>
        <w:ind w:left="1160" w:right="200" w:hanging="1158"/>
        <w:spacing w:after="0" w:line="184" w:lineRule="auto"/>
        <w:tabs>
          <w:tab w:leader="none" w:pos="1160" w:val="left"/>
        </w:tabs>
        <w:numPr>
          <w:ilvl w:val="0"/>
          <w:numId w:val="4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Campbell's By-Laws, effective November 19, 2015, were filed with the SEC on a Form 8-K (SEC file number 1-3822) on November 20, 2015, and are incorporated herein by reference.</w:t>
      </w:r>
    </w:p>
    <w:p>
      <w:pPr>
        <w:spacing w:after="0" w:line="2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Form of 2005 Long-Term Incentive Plan Nonqualified Stock Option Agreement. The form agreement is applicable to the October 1, 2015</w:t>
      </w:r>
    </w:p>
    <w:p>
      <w:pPr>
        <w:spacing w:after="0" w:line="27" w:lineRule="exact"/>
        <w:rPr>
          <w:sz w:val="20"/>
          <w:szCs w:val="20"/>
          <w:color w:val="auto"/>
        </w:rPr>
      </w:pPr>
    </w:p>
    <w:p>
      <w:pPr>
        <w:ind w:left="1160" w:hanging="1158"/>
        <w:spacing w:after="0" w:line="261" w:lineRule="auto"/>
        <w:tabs>
          <w:tab w:leader="none" w:pos="1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grants to Mark R. Alexander, Carlos J. Barroso, Ed Carolan, Adam G. Ciongoli, Anthony P. DiSilvestro, Jeffrey T. Dunn, Luca Mignini, Denise M. Morrison, Robert W. Morrissey and Michael P. Senackerib.</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Preferability letter regarding change in accounting principle.</w:t>
            </w: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Denise M. Morrison pursuant to Rule 13a-14(a).</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Anthony P. DiSilvestro pursuant to Rule 13a-14(a).</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32(a)</w:t>
            </w:r>
          </w:p>
        </w:tc>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Denise M. Morrison pursuant to 18 U.S.C. Section 1350.</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32(b)</w:t>
            </w:r>
          </w:p>
        </w:tc>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Certification of Anthony P. DiSilvestro pursuant to 18 U.S.C. Section 1350.</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918"/>
        </w:trPr>
        <w:tc>
          <w:tcPr>
            <w:tcW w:w="920" w:type="dxa"/>
            <w:vAlign w:val="bottom"/>
          </w:tcPr>
          <w:p>
            <w:pPr>
              <w:spacing w:after="0"/>
              <w:rPr>
                <w:sz w:val="24"/>
                <w:szCs w:val="24"/>
                <w:color w:val="auto"/>
              </w:rPr>
            </w:pPr>
          </w:p>
        </w:tc>
        <w:tc>
          <w:tcPr>
            <w:tcW w:w="56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33</w:t>
            </w:r>
          </w:p>
        </w:tc>
      </w:tr>
    </w:tbl>
    <w:p>
      <w:pPr>
        <w:sectPr>
          <w:pgSz w:w="11900" w:h="16838" w:orient="portrait"/>
          <w:cols w:equalWidth="0" w:num="1">
            <w:col w:w="11220"/>
          </w:cols>
          <w:pgMar w:left="300" w:top="1225" w:right="379" w:bottom="1440" w:gutter="0" w:footer="0" w:header="0"/>
        </w:sectPr>
      </w:pPr>
    </w:p>
    <w:bookmarkStart w:id="33" w:name="page34"/>
    <w:bookmarkEnd w:id="33"/>
    <w:p>
      <w:pPr>
        <w:ind w:left="10420"/>
        <w:spacing w:after="0"/>
        <w:rPr>
          <w:sz w:val="20"/>
          <w:szCs w:val="20"/>
          <w:color w:val="auto"/>
        </w:rPr>
      </w:pPr>
      <w:r>
        <w:rPr>
          <w:rFonts w:ascii="Times New Roman" w:cs="Times New Roman" w:eastAsia="Times New Roman" w:hAnsi="Times New Roman"/>
          <w:sz w:val="18"/>
          <w:szCs w:val="18"/>
          <w:b w:val="1"/>
          <w:bCs w:val="1"/>
          <w:color w:val="auto"/>
        </w:rPr>
        <w:t>EXHIBIT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157480</wp:posOffset>
            </wp:positionV>
            <wp:extent cx="2400935" cy="386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93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2005 LONG-TERM INCENTIVE PLAN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NONQUALIFIED STOCK OPTION AGREEMENT</w:t>
      </w:r>
    </w:p>
    <w:p>
      <w:pPr>
        <w:sectPr>
          <w:pgSz w:w="11900" w:h="16838" w:orient="portrait"/>
          <w:cols w:equalWidth="0" w:num="1">
            <w:col w:w="11420"/>
          </w:cols>
          <w:pgMar w:left="240" w:top="576" w:right="239" w:bottom="1440" w:gutter="0" w:footer="0" w:header="0"/>
        </w:sectPr>
      </w:pPr>
    </w:p>
    <w:p>
      <w:pPr>
        <w:spacing w:after="0" w:line="20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THIS AGREEMENT (the “Agreement”) is made as of this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day of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 ] between Campbell Soup Company (the “Company”)</w:t>
      </w:r>
    </w:p>
    <w:p>
      <w:pPr>
        <w:spacing w:after="0" w:line="27" w:lineRule="exact"/>
        <w:rPr>
          <w:sz w:val="20"/>
          <w:szCs w:val="20"/>
          <w:color w:val="auto"/>
        </w:rPr>
      </w:pPr>
    </w:p>
    <w:p>
      <w:pPr>
        <w:sectPr>
          <w:pgSz w:w="11900" w:h="16838" w:orient="portrait"/>
          <w:cols w:equalWidth="0" w:num="3">
            <w:col w:w="5080" w:space="640"/>
            <w:col w:w="680" w:space="660"/>
            <w:col w:w="4360"/>
          </w:cols>
          <w:pgMar w:left="24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and [NAME] (the “Optionee”).</w:t>
      </w:r>
    </w:p>
    <w:p>
      <w:pPr>
        <w:sectPr>
          <w:pgSz w:w="11900" w:h="16838" w:orient="portrait"/>
          <w:cols w:equalWidth="0" w:num="1">
            <w:col w:w="11420"/>
          </w:cols>
          <w:pgMar w:left="240" w:top="576" w:right="239" w:bottom="1440" w:gutter="0" w:footer="0" w:header="0"/>
          <w:type w:val="continuous"/>
        </w:sectPr>
      </w:pPr>
    </w:p>
    <w:p>
      <w:pPr>
        <w:spacing w:after="0" w:line="7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award the Optionee Non-Qualified Stock Options to purchase shares of Common Stock of the Company under the Campbell Soup Company’s 2005 Long-Term Incentive Plan (the “Plan”).</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for valuable consideration, the Company and the Optionee, each intending to be legally bound hereby, agree as follows:</w:t>
      </w:r>
    </w:p>
    <w:p>
      <w:pPr>
        <w:spacing w:after="0" w:line="171" w:lineRule="exact"/>
        <w:rPr>
          <w:sz w:val="20"/>
          <w:szCs w:val="20"/>
          <w:color w:val="auto"/>
        </w:rPr>
      </w:pPr>
    </w:p>
    <w:p>
      <w:pPr>
        <w:jc w:val="both"/>
        <w:ind w:firstLine="656"/>
        <w:spacing w:after="0" w:line="262" w:lineRule="auto"/>
        <w:tabs>
          <w:tab w:leader="none" w:pos="82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grants to the Optionee, as of the Date of Grant, the right and option (this “Option”) to purchase the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shares of the Company’s Common Stock (the “Shares”) for the exercise price per share (the “Exercise Price”), all as set forth below. Such Option shall vest and terminate according to the vesting schedule and term information described below. All terms of this Stock Option Grant Agreement shall be subject to the terms and conditions of the 2005 Long-Term Incentive Plan:</w:t>
      </w:r>
    </w:p>
    <w:p>
      <w:pPr>
        <w:spacing w:after="0" w:line="179" w:lineRule="exact"/>
        <w:rPr>
          <w:sz w:val="20"/>
          <w:szCs w:val="20"/>
          <w:color w:val="auto"/>
        </w:rPr>
      </w:pPr>
    </w:p>
    <w:tbl>
      <w:tblPr>
        <w:tblLayout w:type="fixed"/>
        <w:tblInd w:w="2070" w:type="dxa"/>
        <w:tblCellMar>
          <w:top w:w="0" w:type="dxa"/>
          <w:left w:w="0" w:type="dxa"/>
          <w:bottom w:w="0" w:type="dxa"/>
          <w:right w:w="0" w:type="dxa"/>
        </w:tblCellMar>
      </w:tblPr>
      <w:tr>
        <w:trPr>
          <w:trHeight w:val="257"/>
        </w:trPr>
        <w:tc>
          <w:tcPr>
            <w:tcW w:w="29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Grant:</w:t>
            </w:r>
          </w:p>
        </w:tc>
        <w:tc>
          <w:tcPr>
            <w:tcW w:w="4380" w:type="dxa"/>
            <w:vAlign w:val="bottom"/>
            <w:tcBorders>
              <w:top w:val="single" w:sz="8" w:color="auto"/>
              <w:right w:val="single" w:sz="8" w:color="auto"/>
            </w:tcBorders>
          </w:tcPr>
          <w:p>
            <w:pPr>
              <w:spacing w:after="0"/>
              <w:rPr>
                <w:sz w:val="22"/>
                <w:szCs w:val="22"/>
                <w:color w:val="auto"/>
              </w:rPr>
            </w:pP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r>
        <w:trPr>
          <w:trHeight w:val="237"/>
        </w:trPr>
        <w:tc>
          <w:tcPr>
            <w:tcW w:w="2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Options:</w:t>
            </w:r>
          </w:p>
        </w:tc>
        <w:tc>
          <w:tcPr>
            <w:tcW w:w="4380" w:type="dxa"/>
            <w:vAlign w:val="bottom"/>
            <w:tcBorders>
              <w:right w:val="single" w:sz="8" w:color="auto"/>
            </w:tcBorders>
          </w:tcPr>
          <w:p>
            <w:pPr>
              <w:spacing w:after="0"/>
              <w:rPr>
                <w:sz w:val="20"/>
                <w:szCs w:val="20"/>
                <w:color w:val="auto"/>
              </w:rPr>
            </w:pP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r>
        <w:trPr>
          <w:trHeight w:val="237"/>
        </w:trPr>
        <w:tc>
          <w:tcPr>
            <w:tcW w:w="2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Type of Option:</w:t>
            </w:r>
          </w:p>
        </w:tc>
        <w:tc>
          <w:tcPr>
            <w:tcW w:w="4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Non-Qualified Stock Option</w:t>
            </w: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r>
        <w:trPr>
          <w:trHeight w:val="237"/>
        </w:trPr>
        <w:tc>
          <w:tcPr>
            <w:tcW w:w="2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Exercise Price:</w:t>
            </w:r>
          </w:p>
        </w:tc>
        <w:tc>
          <w:tcPr>
            <w:tcW w:w="4380" w:type="dxa"/>
            <w:vAlign w:val="bottom"/>
            <w:tcBorders>
              <w:right w:val="single" w:sz="8" w:color="auto"/>
            </w:tcBorders>
          </w:tcPr>
          <w:p>
            <w:pPr>
              <w:spacing w:after="0"/>
              <w:rPr>
                <w:sz w:val="20"/>
                <w:szCs w:val="20"/>
                <w:color w:val="auto"/>
              </w:rPr>
            </w:pP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r>
        <w:trPr>
          <w:trHeight w:val="237"/>
        </w:trPr>
        <w:tc>
          <w:tcPr>
            <w:tcW w:w="2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Term of Option:</w:t>
            </w:r>
          </w:p>
        </w:tc>
        <w:tc>
          <w:tcPr>
            <w:tcW w:w="4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 Years from Date of Grant</w:t>
            </w: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bl>
    <w:p>
      <w:pPr>
        <w:spacing w:after="0" w:line="59" w:lineRule="exact"/>
        <w:rPr>
          <w:sz w:val="20"/>
          <w:szCs w:val="20"/>
          <w:color w:val="auto"/>
        </w:rPr>
      </w:pPr>
    </w:p>
    <w:p>
      <w:pPr>
        <w:jc w:val="both"/>
        <w:ind w:firstLine="656"/>
        <w:spacing w:after="0" w:line="268" w:lineRule="auto"/>
        <w:tabs>
          <w:tab w:leader="none" w:pos="828"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this Agreement and the Plan and provided that the Optionee remains continuously employed throughout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vesting periods, this Option shall vest and become exercisable upon the each of the first three (3) anniversaries of the Grant Date (each a “Vesting Date”), as set forth below:</w:t>
      </w:r>
    </w:p>
    <w:p>
      <w:pPr>
        <w:spacing w:after="0" w:line="173" w:lineRule="exact"/>
        <w:rPr>
          <w:sz w:val="20"/>
          <w:szCs w:val="20"/>
          <w:color w:val="auto"/>
        </w:rPr>
      </w:pPr>
    </w:p>
    <w:tbl>
      <w:tblPr>
        <w:tblLayout w:type="fixed"/>
        <w:tblInd w:w="2130" w:type="dxa"/>
        <w:tblCellMar>
          <w:top w:w="0" w:type="dxa"/>
          <w:left w:w="0" w:type="dxa"/>
          <w:bottom w:w="0" w:type="dxa"/>
          <w:right w:w="0" w:type="dxa"/>
        </w:tblCellMar>
      </w:tblPr>
      <w:tr>
        <w:trPr>
          <w:trHeight w:val="257"/>
        </w:trPr>
        <w:tc>
          <w:tcPr>
            <w:tcW w:w="29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Vesting Date</w:t>
            </w:r>
          </w:p>
        </w:tc>
        <w:tc>
          <w:tcPr>
            <w:tcW w:w="43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Cumulative Number of Option Shares</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r>
      <w:tr>
        <w:trPr>
          <w:trHeight w:val="763"/>
        </w:trPr>
        <w:tc>
          <w:tcPr>
            <w:tcW w:w="2900" w:type="dxa"/>
            <w:vAlign w:val="bottom"/>
            <w:tcBorders>
              <w:left w:val="single" w:sz="8" w:color="auto"/>
              <w:bottom w:val="single" w:sz="8" w:color="auto"/>
              <w:right w:val="single" w:sz="8" w:color="auto"/>
            </w:tcBorders>
          </w:tcPr>
          <w:p>
            <w:pPr>
              <w:spacing w:after="0"/>
              <w:rPr>
                <w:sz w:val="24"/>
                <w:szCs w:val="24"/>
                <w:color w:val="auto"/>
              </w:rPr>
            </w:pPr>
          </w:p>
        </w:tc>
        <w:tc>
          <w:tcPr>
            <w:tcW w:w="4320" w:type="dxa"/>
            <w:vAlign w:val="bottom"/>
            <w:tcBorders>
              <w:bottom w:val="single" w:sz="8" w:color="auto"/>
              <w:right w:val="single" w:sz="8" w:color="auto"/>
            </w:tcBorders>
          </w:tcPr>
          <w:p>
            <w:pPr>
              <w:spacing w:after="0"/>
              <w:rPr>
                <w:sz w:val="24"/>
                <w:szCs w:val="24"/>
                <w:color w:val="auto"/>
              </w:rPr>
            </w:pPr>
          </w:p>
        </w:tc>
      </w:tr>
      <w:tr>
        <w:trPr>
          <w:trHeight w:val="763"/>
        </w:trPr>
        <w:tc>
          <w:tcPr>
            <w:tcW w:w="2900" w:type="dxa"/>
            <w:vAlign w:val="bottom"/>
            <w:tcBorders>
              <w:left w:val="single" w:sz="8" w:color="auto"/>
              <w:bottom w:val="single" w:sz="8" w:color="auto"/>
              <w:right w:val="single" w:sz="8" w:color="auto"/>
            </w:tcBorders>
          </w:tcPr>
          <w:p>
            <w:pPr>
              <w:spacing w:after="0"/>
              <w:rPr>
                <w:sz w:val="24"/>
                <w:szCs w:val="24"/>
                <w:color w:val="auto"/>
              </w:rPr>
            </w:pPr>
          </w:p>
        </w:tc>
        <w:tc>
          <w:tcPr>
            <w:tcW w:w="4320" w:type="dxa"/>
            <w:vAlign w:val="bottom"/>
            <w:tcBorders>
              <w:bottom w:val="single" w:sz="8" w:color="auto"/>
              <w:right w:val="single" w:sz="8" w:color="auto"/>
            </w:tcBorders>
          </w:tcPr>
          <w:p>
            <w:pPr>
              <w:spacing w:after="0"/>
              <w:rPr>
                <w:sz w:val="24"/>
                <w:szCs w:val="24"/>
                <w:color w:val="auto"/>
              </w:rPr>
            </w:pPr>
          </w:p>
        </w:tc>
      </w:tr>
      <w:tr>
        <w:trPr>
          <w:trHeight w:val="763"/>
        </w:trPr>
        <w:tc>
          <w:tcPr>
            <w:tcW w:w="2900" w:type="dxa"/>
            <w:vAlign w:val="bottom"/>
            <w:tcBorders>
              <w:left w:val="single" w:sz="8" w:color="auto"/>
              <w:bottom w:val="single" w:sz="8" w:color="auto"/>
              <w:right w:val="single" w:sz="8" w:color="auto"/>
            </w:tcBorders>
          </w:tcPr>
          <w:p>
            <w:pPr>
              <w:spacing w:after="0"/>
              <w:rPr>
                <w:sz w:val="24"/>
                <w:szCs w:val="24"/>
                <w:color w:val="auto"/>
              </w:rPr>
            </w:pPr>
          </w:p>
        </w:tc>
        <w:tc>
          <w:tcPr>
            <w:tcW w:w="4320" w:type="dxa"/>
            <w:vAlign w:val="bottom"/>
            <w:tcBorders>
              <w:bottom w:val="single" w:sz="8" w:color="auto"/>
              <w:right w:val="single" w:sz="8" w:color="auto"/>
            </w:tcBorders>
          </w:tcPr>
          <w:p>
            <w:pPr>
              <w:spacing w:after="0"/>
              <w:rPr>
                <w:sz w:val="24"/>
                <w:szCs w:val="24"/>
                <w:color w:val="auto"/>
              </w:rPr>
            </w:pPr>
          </w:p>
        </w:tc>
      </w:tr>
    </w:tbl>
    <w:p>
      <w:pPr>
        <w:spacing w:after="0" w:line="59" w:lineRule="exact"/>
        <w:rPr>
          <w:sz w:val="20"/>
          <w:szCs w:val="20"/>
          <w:color w:val="auto"/>
        </w:rPr>
      </w:pPr>
    </w:p>
    <w:p>
      <w:pPr>
        <w:ind w:firstLine="656"/>
        <w:spacing w:after="0" w:line="286" w:lineRule="auto"/>
        <w:tabs>
          <w:tab w:leader="none" w:pos="828"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the option price shall be made in U.S. dollars or in the capital stock of the Company valued at its fair market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Section 5.4 of the Plan), or a combination of such capital stock and cash.</w:t>
      </w:r>
    </w:p>
    <w:p>
      <w:pPr>
        <w:spacing w:after="0" w:line="100"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84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Incorporation of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terms, definitions, conditions and restrictions of the Plan are incorporated herein and made part hereof as if 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The Optionee hereby acknowledges that a copy of the Plan has been delivered to the Optionee and accepts this Option subject to all terms and provisions of the Plan. In the event of a conflict or ambiguity between any term or provision contained herein and a term or provision of the Plan, the Plan will govern and prevail. The construction of and decisions under the Plan and this Agreement are vested in the Committee, whose determinations will be final, conclusive and binding upon the Optionee. All capitalized terms used herein shall have the meanings given to such terms in the Plan.</w:t>
      </w:r>
    </w:p>
    <w:p>
      <w:pPr>
        <w:spacing w:after="0" w:line="125"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828"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Optionee’s employment is terminated, (i) any part of the Option that is unvested as of such termination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remain unvested and shall terminate as of such date, and (ii) the Optionee shall have the right for one (1) year after the date of such Termination of Employment or until the Option expires, whichever is earlier, to exercise only that portion of the Option that has become vested as of the date of such Termination of Employment, and thereafter the Option shall terminate and cease to be exercisable, except as provided in below:</w:t>
      </w:r>
    </w:p>
    <w:p>
      <w:pPr>
        <w:sectPr>
          <w:pgSz w:w="11900" w:h="16838" w:orient="portrait"/>
          <w:cols w:equalWidth="0" w:num="1">
            <w:col w:w="11420"/>
          </w:cols>
          <w:pgMar w:left="240" w:top="576" w:right="239" w:bottom="1440" w:gutter="0" w:footer="0" w:header="0"/>
          <w:type w:val="continuous"/>
        </w:sectPr>
      </w:pPr>
    </w:p>
    <w:bookmarkStart w:id="34" w:name="page35"/>
    <w:bookmarkEnd w:id="34"/>
    <w:p>
      <w:pPr>
        <w:ind w:left="411" w:hanging="411"/>
        <w:spacing w:after="0" w:line="286" w:lineRule="auto"/>
        <w:tabs>
          <w:tab w:leader="none" w:pos="4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Termination of Employment for Cause. </w:t>
      </w:r>
      <w:r>
        <w:rPr>
          <w:rFonts w:ascii="Times New Roman" w:cs="Times New Roman" w:eastAsia="Times New Roman" w:hAnsi="Times New Roman"/>
          <w:sz w:val="18"/>
          <w:szCs w:val="18"/>
          <w:color w:val="auto"/>
        </w:rPr>
        <w:t>The portion, if any, of the Option that remains unexercised shall terminate and become null and void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Optionee’s employment is terminated for Cause.</w:t>
      </w:r>
    </w:p>
    <w:p>
      <w:pPr>
        <w:spacing w:after="0" w:line="100" w:lineRule="exact"/>
        <w:rPr>
          <w:rFonts w:ascii="Times New Roman" w:cs="Times New Roman" w:eastAsia="Times New Roman" w:hAnsi="Times New Roman"/>
          <w:sz w:val="18"/>
          <w:szCs w:val="18"/>
          <w:color w:val="auto"/>
        </w:rPr>
      </w:pPr>
    </w:p>
    <w:p>
      <w:pPr>
        <w:jc w:val="both"/>
        <w:ind w:left="411" w:hanging="411"/>
        <w:spacing w:after="0" w:line="259" w:lineRule="auto"/>
        <w:tabs>
          <w:tab w:leader="none" w:pos="4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Voluntary Termination of Employment by Optionee. </w:t>
      </w:r>
      <w:r>
        <w:rPr>
          <w:rFonts w:ascii="Times New Roman" w:cs="Times New Roman" w:eastAsia="Times New Roman" w:hAnsi="Times New Roman"/>
          <w:sz w:val="18"/>
          <w:szCs w:val="18"/>
          <w:color w:val="auto"/>
        </w:rPr>
        <w:t>Upon a voluntary Termination of Employment by Optionee, (i) any part of the 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 unvested as of such termination date shall remain unvested and shall terminate as of such date, and (ii) the Optionee shall have the right for three (3) months after the date of such Termination of Employment or until the Option expires, whichever is earlier, to exercise only that portion of the Option that has become vested as of the date of such Termination of Employment, and thereafter the Option shall terminate and cease to be exercisable.</w:t>
      </w:r>
    </w:p>
    <w:p>
      <w:pPr>
        <w:spacing w:after="0" w:line="125" w:lineRule="exact"/>
        <w:rPr>
          <w:rFonts w:ascii="Times New Roman" w:cs="Times New Roman" w:eastAsia="Times New Roman" w:hAnsi="Times New Roman"/>
          <w:sz w:val="18"/>
          <w:szCs w:val="18"/>
          <w:color w:val="auto"/>
        </w:rPr>
      </w:pPr>
    </w:p>
    <w:p>
      <w:pPr>
        <w:ind w:left="411" w:right="120" w:hanging="411"/>
        <w:spacing w:after="0" w:line="259" w:lineRule="auto"/>
        <w:tabs>
          <w:tab w:leader="none" w:pos="4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Retirement, Total Disability, or Death After Six Months Following the Grant Date. </w:t>
      </w:r>
      <w:r>
        <w:rPr>
          <w:rFonts w:ascii="Times New Roman" w:cs="Times New Roman" w:eastAsia="Times New Roman" w:hAnsi="Times New Roman"/>
          <w:sz w:val="18"/>
          <w:szCs w:val="18"/>
          <w:color w:val="auto"/>
        </w:rPr>
        <w:t>If the Optionee’s employment is terminated after at least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six (6) months have elapsed following the Grant Date: (i) as the result of the Optionee’s Retirement, Total Disability or death; or (ii) by the Company for reasons other than Cause and the Optionee is Retirement Eligible, (i) any part of the Option that was originally scheduled to vest will continue to vest, and (ii) the Optionee or a person who acquired the right to exercise the Option by inheritance or by the laws of descent and distribution shall have the right until the Option ceases to be exercisable to exercise the Option.</w:t>
      </w:r>
    </w:p>
    <w:p>
      <w:pPr>
        <w:spacing w:after="0" w:line="129" w:lineRule="exact"/>
        <w:rPr>
          <w:rFonts w:ascii="Times New Roman" w:cs="Times New Roman" w:eastAsia="Times New Roman" w:hAnsi="Times New Roman"/>
          <w:sz w:val="18"/>
          <w:szCs w:val="18"/>
          <w:color w:val="auto"/>
        </w:rPr>
      </w:pPr>
    </w:p>
    <w:p>
      <w:pPr>
        <w:ind w:left="41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 purposes of this Agreement, the following terms shall have the meanings set forth below:</w:t>
      </w:r>
    </w:p>
    <w:p>
      <w:pPr>
        <w:spacing w:after="0" w:line="90" w:lineRule="exact"/>
        <w:rPr>
          <w:rFonts w:ascii="Times New Roman" w:cs="Times New Roman" w:eastAsia="Times New Roman" w:hAnsi="Times New Roman"/>
          <w:sz w:val="18"/>
          <w:szCs w:val="18"/>
          <w:color w:val="auto"/>
        </w:rPr>
      </w:pPr>
    </w:p>
    <w:p>
      <w:pPr>
        <w:ind w:left="991" w:hanging="315"/>
        <w:spacing w:after="0" w:line="261" w:lineRule="auto"/>
        <w:tabs>
          <w:tab w:leader="none" w:pos="991" w:val="left"/>
        </w:tabs>
        <w:numPr>
          <w:ilvl w:val="3"/>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or “Retirement Eligible” means the Optionee terminates, or is eligible to terminate, employment with the Company or its subsidiaries after attaining 55 years of age with at least 5 Years of Service on or prior to the date of termination.</w:t>
      </w:r>
    </w:p>
    <w:p>
      <w:pPr>
        <w:jc w:val="both"/>
        <w:ind w:left="991" w:hanging="315"/>
        <w:spacing w:after="0" w:line="250" w:lineRule="auto"/>
        <w:tabs>
          <w:tab w:leader="none" w:pos="991" w:val="left"/>
        </w:tabs>
        <w:numPr>
          <w:ilvl w:val="3"/>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of Service” means the total number of years of continuous employment rendered as a regular employee of the Company and all its wholly-owned subsidiaries and affiliates since the employee’s most recent date of hire, plus any prior service included under the Company’s service bridging policy.</w:t>
      </w:r>
    </w:p>
    <w:p>
      <w:pPr>
        <w:spacing w:after="0" w:line="1" w:lineRule="exact"/>
        <w:rPr>
          <w:rFonts w:ascii="Times New Roman" w:cs="Times New Roman" w:eastAsia="Times New Roman" w:hAnsi="Times New Roman"/>
          <w:sz w:val="18"/>
          <w:szCs w:val="18"/>
          <w:color w:val="auto"/>
        </w:rPr>
      </w:pPr>
    </w:p>
    <w:p>
      <w:pPr>
        <w:ind w:left="991" w:hanging="315"/>
        <w:spacing w:after="0" w:line="261" w:lineRule="auto"/>
        <w:tabs>
          <w:tab w:leader="none" w:pos="991" w:val="left"/>
        </w:tabs>
        <w:numPr>
          <w:ilvl w:val="3"/>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Disability” means “Total Disability” as that term is defined under a Company-sponsored long-term disability plan from which the Optionee is receiving disability benefits.</w:t>
      </w:r>
    </w:p>
    <w:p>
      <w:pPr>
        <w:spacing w:after="0" w:line="40" w:lineRule="exact"/>
        <w:rPr>
          <w:rFonts w:ascii="Times New Roman" w:cs="Times New Roman" w:eastAsia="Times New Roman" w:hAnsi="Times New Roman"/>
          <w:sz w:val="18"/>
          <w:szCs w:val="18"/>
          <w:color w:val="auto"/>
        </w:rPr>
      </w:pPr>
    </w:p>
    <w:p>
      <w:pPr>
        <w:jc w:val="both"/>
        <w:ind w:left="-629" w:firstLine="656"/>
        <w:spacing w:after="0" w:line="262" w:lineRule="auto"/>
        <w:tabs>
          <w:tab w:leader="none" w:pos="244"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Delivery of the Common Shares purchased upon exercise of this Option will be reduced by the amount equal to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state and local income taxes and other amounts required to be withheld (the “Withholding Taxes”) in connection with such exercise. Subject to the limitations of applicable law, the Company will have the power and the right to deduct or withhold, or require the Optionee to remit to the Company, the minimum statutory amount to satisfy the Withholding Taxes with respect to any taxable event arising as a result of this Agreement.</w:t>
      </w:r>
    </w:p>
    <w:p>
      <w:pPr>
        <w:spacing w:after="0" w:line="122" w:lineRule="exact"/>
        <w:rPr>
          <w:rFonts w:ascii="Times New Roman" w:cs="Times New Roman" w:eastAsia="Times New Roman" w:hAnsi="Times New Roman"/>
          <w:sz w:val="18"/>
          <w:szCs w:val="18"/>
          <w:b w:val="1"/>
          <w:bCs w:val="1"/>
          <w:color w:val="auto"/>
        </w:rPr>
      </w:pPr>
    </w:p>
    <w:p>
      <w:pPr>
        <w:jc w:val="both"/>
        <w:ind w:left="-629" w:firstLine="656"/>
        <w:spacing w:after="0" w:line="268" w:lineRule="auto"/>
        <w:tabs>
          <w:tab w:leader="none" w:pos="199"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 on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 may not be sold, pledged, hypothecated, or transferred in any manner other than by will or by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descent and distribution and may be exercised during the lifetime of Optionee only by Optionee. The terms of the Option shall be binding upon the executors, administrators, heirs, successors and assigns of Optionee.</w:t>
      </w:r>
    </w:p>
    <w:p>
      <w:pPr>
        <w:spacing w:after="0" w:line="116" w:lineRule="exact"/>
        <w:rPr>
          <w:rFonts w:ascii="Times New Roman" w:cs="Times New Roman" w:eastAsia="Times New Roman" w:hAnsi="Times New Roman"/>
          <w:sz w:val="18"/>
          <w:szCs w:val="18"/>
          <w:b w:val="1"/>
          <w:bCs w:val="1"/>
          <w:color w:val="auto"/>
        </w:rPr>
      </w:pPr>
    </w:p>
    <w:p>
      <w:pPr>
        <w:jc w:val="both"/>
        <w:ind w:left="-629" w:firstLine="656"/>
        <w:spacing w:after="0" w:line="262" w:lineRule="auto"/>
        <w:tabs>
          <w:tab w:leader="none" w:pos="199"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Compensation Deferrals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Plan nor this Agreement is intended to provide for an elective deferral of compensation that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409A (“Section 409A”) of the Internal Revenue Code of 1986, as amended from time to time. The Company reserves the right, to the extent the Company deems necessary or advisable in its sole discretion, to unilaterally amend or modify the Plan and/or this Agreement to ensure that no awards (including without limitation, this Option) become subject to Section 409A.</w:t>
      </w:r>
    </w:p>
    <w:p>
      <w:pPr>
        <w:spacing w:after="0" w:line="122" w:lineRule="exact"/>
        <w:rPr>
          <w:rFonts w:ascii="Times New Roman" w:cs="Times New Roman" w:eastAsia="Times New Roman" w:hAnsi="Times New Roman"/>
          <w:sz w:val="18"/>
          <w:szCs w:val="18"/>
          <w:b w:val="1"/>
          <w:bCs w:val="1"/>
          <w:color w:val="auto"/>
        </w:rPr>
      </w:pPr>
    </w:p>
    <w:p>
      <w:pPr>
        <w:jc w:val="both"/>
        <w:ind w:left="-629" w:firstLine="656"/>
        <w:spacing w:after="0" w:line="257" w:lineRule="auto"/>
        <w:tabs>
          <w:tab w:leader="none" w:pos="199"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Enforcement of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any provision of this Agreement is deemed by a court to be broader than permitted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then such provision shall be reformed so that it is enforceable to the fullest extent permitted by applicable law. If any provision of this Agreement shall be declared by a court to be invalid or unenforceable to any extent, the validity or enforceability of the remaining provisions of this Agreement shall not be affected. Each party irrevocably agrees that any legal proceeding arising out of, or relating to the subject matter of, this Agreement shall be brought in the Superior Court of New Jersey in Camden County or the United States District Court of New Jersey, Camden Vicinage. Each party irrevocably consents to such jurisdiction and venue.</w:t>
      </w:r>
    </w:p>
    <w:p>
      <w:pPr>
        <w:spacing w:after="0" w:line="128" w:lineRule="exact"/>
        <w:rPr>
          <w:rFonts w:ascii="Times New Roman" w:cs="Times New Roman" w:eastAsia="Times New Roman" w:hAnsi="Times New Roman"/>
          <w:sz w:val="18"/>
          <w:szCs w:val="18"/>
          <w:b w:val="1"/>
          <w:bCs w:val="1"/>
          <w:color w:val="auto"/>
        </w:rPr>
      </w:pPr>
    </w:p>
    <w:p>
      <w:pPr>
        <w:ind w:left="291" w:hanging="264"/>
        <w:spacing w:after="0"/>
        <w:tabs>
          <w:tab w:leader="none" w:pos="291"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survive the termination of Optionee’s employment for any reason.</w:t>
      </w:r>
    </w:p>
    <w:p>
      <w:pPr>
        <w:spacing w:after="0" w:line="171" w:lineRule="exact"/>
        <w:rPr>
          <w:rFonts w:ascii="Times New Roman" w:cs="Times New Roman" w:eastAsia="Times New Roman" w:hAnsi="Times New Roman"/>
          <w:sz w:val="18"/>
          <w:szCs w:val="18"/>
          <w:b w:val="1"/>
          <w:bCs w:val="1"/>
          <w:color w:val="auto"/>
        </w:rPr>
      </w:pPr>
    </w:p>
    <w:p>
      <w:pPr>
        <w:ind w:left="-629" w:firstLine="656"/>
        <w:spacing w:after="0" w:line="286" w:lineRule="auto"/>
        <w:tabs>
          <w:tab w:leader="none" w:pos="293"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Plan constitute the entire agreement between the parties hereto with respect to the subject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and thereof, merging any and all prior agreements.</w:t>
      </w:r>
    </w:p>
    <w:p>
      <w:pPr>
        <w:sectPr>
          <w:pgSz w:w="11900" w:h="16838" w:orient="portrait"/>
          <w:cols w:equalWidth="0" w:num="1">
            <w:col w:w="10791"/>
          </w:cols>
          <w:pgMar w:left="869" w:top="657" w:right="239"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executed this Agreement as of the Date of Grant.</w:t>
      </w:r>
    </w:p>
    <w:p>
      <w:pPr>
        <w:spacing w:after="0" w:line="252" w:lineRule="exact"/>
        <w:rPr>
          <w:sz w:val="20"/>
          <w:szCs w:val="20"/>
          <w:color w:val="auto"/>
        </w:rPr>
      </w:pPr>
    </w:p>
    <w:p>
      <w:pPr>
        <w:jc w:val="right"/>
        <w:ind w:right="699"/>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3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005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138" w:lineRule="exact"/>
        <w:rPr>
          <w:sz w:val="20"/>
          <w:szCs w:val="20"/>
          <w:color w:val="auto"/>
        </w:rPr>
      </w:pPr>
    </w:p>
    <w:p>
      <w:pPr>
        <w:spacing w:after="0"/>
        <w:tabs>
          <w:tab w:leader="none" w:pos="6720" w:val="left"/>
        </w:tabs>
        <w:rPr>
          <w:sz w:val="20"/>
          <w:szCs w:val="20"/>
          <w:color w:val="auto"/>
        </w:rPr>
      </w:pPr>
      <w:r>
        <w:rPr>
          <w:rFonts w:ascii="Times New Roman" w:cs="Times New Roman" w:eastAsia="Times New Roman" w:hAnsi="Times New Roman"/>
          <w:sz w:val="18"/>
          <w:szCs w:val="18"/>
          <w:color w:val="auto"/>
        </w:rPr>
        <w:t>Optionee’s Signature</w:t>
      </w:r>
      <w:r>
        <w:rPr>
          <w:sz w:val="20"/>
          <w:szCs w:val="20"/>
          <w:color w:val="auto"/>
        </w:rPr>
        <w:tab/>
      </w:r>
      <w:r>
        <w:rPr>
          <w:rFonts w:ascii="Times New Roman" w:cs="Times New Roman" w:eastAsia="Times New Roman" w:hAnsi="Times New Roman"/>
          <w:sz w:val="17"/>
          <w:szCs w:val="17"/>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497840</wp:posOffset>
            </wp:positionV>
            <wp:extent cx="28301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Optionee’s Name (printed)</w:t>
      </w:r>
    </w:p>
    <w:p>
      <w:pPr>
        <w:sectPr>
          <w:pgSz w:w="11900" w:h="16838" w:orient="portrait"/>
          <w:cols w:equalWidth="0" w:num="1">
            <w:col w:w="9959"/>
          </w:cols>
          <w:pgMar w:left="500" w:top="657"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18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10,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Campbell Soup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Campbell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Camden, NJ 08103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providing this letter to you for inclusion as an exhibit to your Form 10-Q filing pursuant to Item 601 of Regulation S-K.</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We have been provided a copy of the Company’s Quarterly Report on Form 10-Q for the period ended November 1, 2015. Note 1 therein describes a change in accounting principle for pension and postretirement benefit plans. It should be understood that the preferability of one acceptable method of accounting over another for pension and postretirement benefit plans has not been addressed in any authoritative accounting literature, and in expressing our concurrence below we have relied on management’s determination that this change in accounting principle is preferable. Based on our reading of management’s stated reasons and justification for this change in accounting principle in the Form 10-Q, and our discussions with management as to their judgment about the relevant business planning factors relating to the change, we concur with management that such change represents, in the Company’s circumstances, the adoption of a preferable accounting principle in conformity with Accounting Standards Codification 250,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have not audited any financial statements of the Company as of any date or for any period subsequent to August 2, 2015. Accordingly, our comments are subject to change upon completion of an audit of the financial statements covering the period of the accounting 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616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10, 2015</w:t>
      </w:r>
    </w:p>
    <w:p>
      <w:pPr>
        <w:sectPr>
          <w:pgSz w:w="11900" w:h="16838" w:orient="portrait"/>
          <w:cols w:equalWidth="0" w:num="1">
            <w:col w:w="11420"/>
          </w:cols>
          <w:pgMar w:left="240" w:top="576"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Denise M. Morrison, certify that:</w:t>
      </w:r>
    </w:p>
    <w:p>
      <w:pPr>
        <w:spacing w:after="0" w:line="171" w:lineRule="exact"/>
        <w:rPr>
          <w:sz w:val="20"/>
          <w:szCs w:val="20"/>
          <w:color w:val="auto"/>
        </w:rPr>
      </w:pPr>
    </w:p>
    <w:p>
      <w:pPr>
        <w:ind w:left="400" w:hanging="176"/>
        <w:spacing w:after="0"/>
        <w:tabs>
          <w:tab w:leader="none" w:pos="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Campbell Soup Company;</w:t>
      </w:r>
    </w:p>
    <w:p>
      <w:pPr>
        <w:spacing w:after="0" w:line="171" w:lineRule="exact"/>
        <w:rPr>
          <w:rFonts w:ascii="Times New Roman" w:cs="Times New Roman" w:eastAsia="Times New Roman" w:hAnsi="Times New Roman"/>
          <w:sz w:val="18"/>
          <w:szCs w:val="18"/>
          <w:color w:val="auto"/>
        </w:rPr>
      </w:pPr>
    </w:p>
    <w:p>
      <w:pPr>
        <w:ind w:right="440" w:firstLine="224"/>
        <w:spacing w:after="0" w:line="282" w:lineRule="auto"/>
        <w:tabs>
          <w:tab w:leader="none" w:pos="3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00" w:firstLine="224"/>
        <w:spacing w:after="0" w:line="282" w:lineRule="auto"/>
        <w:tabs>
          <w:tab w:leader="none" w:pos="3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60" w:firstLine="224"/>
        <w:spacing w:after="0" w:line="266" w:lineRule="auto"/>
        <w:tabs>
          <w:tab w:leader="none" w:pos="39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right="100" w:firstLine="440"/>
        <w:spacing w:after="0" w:line="266" w:lineRule="auto"/>
        <w:tabs>
          <w:tab w:leader="none" w:pos="61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right="80" w:firstLine="440"/>
        <w:spacing w:after="0" w:line="266" w:lineRule="auto"/>
        <w:tabs>
          <w:tab w:leader="none" w:pos="62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right="140" w:firstLine="440"/>
        <w:spacing w:after="0" w:line="282" w:lineRule="auto"/>
        <w:tabs>
          <w:tab w:leader="none" w:pos="61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180" w:firstLine="440"/>
        <w:spacing w:after="0" w:line="266" w:lineRule="auto"/>
        <w:tabs>
          <w:tab w:leader="none" w:pos="62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240" w:firstLine="224"/>
        <w:spacing w:after="0" w:line="282" w:lineRule="auto"/>
        <w:tabs>
          <w:tab w:leader="none" w:pos="39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80" w:firstLine="440"/>
        <w:spacing w:after="0" w:line="282" w:lineRule="auto"/>
        <w:tabs>
          <w:tab w:leader="none" w:pos="61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120" w:firstLine="440"/>
        <w:spacing w:after="0" w:line="282" w:lineRule="auto"/>
        <w:tabs>
          <w:tab w:leader="none" w:pos="62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10, 2015</w:t>
      </w:r>
    </w:p>
    <w:p>
      <w:pPr>
        <w:spacing w:after="0" w:line="360" w:lineRule="exact"/>
        <w:rPr>
          <w:sz w:val="20"/>
          <w:szCs w:val="20"/>
          <w:color w:val="auto"/>
        </w:rPr>
      </w:pPr>
    </w:p>
    <w:p>
      <w:pPr>
        <w:ind w:left="4380"/>
        <w:spacing w:after="0"/>
        <w:tabs>
          <w:tab w:leader="none" w:pos="4820" w:val="left"/>
        </w:tabs>
        <w:rPr>
          <w:sz w:val="20"/>
          <w:szCs w:val="20"/>
          <w:color w:val="auto"/>
        </w:rPr>
      </w:pPr>
      <w:r>
        <w:rPr>
          <w:rFonts w:ascii="Times New Roman" w:cs="Times New Roman" w:eastAsia="Times New Roman" w:hAnsi="Times New Roman"/>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34290</wp:posOffset>
            </wp:positionV>
            <wp:extent cx="31813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6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Denise M. Morrison</w:t>
      </w:r>
    </w:p>
    <w:p>
      <w:pPr>
        <w:spacing w:after="0" w:line="63" w:lineRule="exact"/>
        <w:rPr>
          <w:sz w:val="20"/>
          <w:szCs w:val="20"/>
          <w:color w:val="auto"/>
        </w:rPr>
      </w:pPr>
    </w:p>
    <w:p>
      <w:pPr>
        <w:ind w:left="484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P. DiSilvestro, certify that:</w:t>
      </w:r>
    </w:p>
    <w:p>
      <w:pPr>
        <w:spacing w:after="0" w:line="171" w:lineRule="exact"/>
        <w:rPr>
          <w:sz w:val="20"/>
          <w:szCs w:val="20"/>
          <w:color w:val="auto"/>
        </w:rPr>
      </w:pPr>
    </w:p>
    <w:p>
      <w:pPr>
        <w:ind w:left="400" w:hanging="176"/>
        <w:spacing w:after="0"/>
        <w:tabs>
          <w:tab w:leader="none" w:pos="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Campbell Soup Company;</w:t>
      </w:r>
    </w:p>
    <w:p>
      <w:pPr>
        <w:spacing w:after="0" w:line="171" w:lineRule="exact"/>
        <w:rPr>
          <w:rFonts w:ascii="Times New Roman" w:cs="Times New Roman" w:eastAsia="Times New Roman" w:hAnsi="Times New Roman"/>
          <w:sz w:val="18"/>
          <w:szCs w:val="18"/>
          <w:color w:val="auto"/>
        </w:rPr>
      </w:pPr>
    </w:p>
    <w:p>
      <w:pPr>
        <w:ind w:right="440" w:firstLine="224"/>
        <w:spacing w:after="0" w:line="282" w:lineRule="auto"/>
        <w:tabs>
          <w:tab w:leader="none" w:pos="3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00" w:firstLine="224"/>
        <w:spacing w:after="0" w:line="282" w:lineRule="auto"/>
        <w:tabs>
          <w:tab w:leader="none" w:pos="3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60" w:firstLine="224"/>
        <w:spacing w:after="0" w:line="266" w:lineRule="auto"/>
        <w:tabs>
          <w:tab w:leader="none" w:pos="3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right="100" w:firstLine="440"/>
        <w:spacing w:after="0" w:line="266" w:lineRule="auto"/>
        <w:tabs>
          <w:tab w:leader="none" w:pos="61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right="80" w:firstLine="440"/>
        <w:spacing w:after="0" w:line="266" w:lineRule="auto"/>
        <w:tabs>
          <w:tab w:leader="none" w:pos="62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right="140" w:firstLine="440"/>
        <w:spacing w:after="0" w:line="282" w:lineRule="auto"/>
        <w:tabs>
          <w:tab w:leader="none" w:pos="61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180" w:firstLine="440"/>
        <w:spacing w:after="0" w:line="266" w:lineRule="auto"/>
        <w:tabs>
          <w:tab w:leader="none" w:pos="62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240" w:firstLine="224"/>
        <w:spacing w:after="0" w:line="282" w:lineRule="auto"/>
        <w:tabs>
          <w:tab w:leader="none" w:pos="3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80" w:firstLine="440"/>
        <w:spacing w:after="0" w:line="282" w:lineRule="auto"/>
        <w:tabs>
          <w:tab w:leader="none" w:pos="61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120" w:firstLine="440"/>
        <w:spacing w:after="0" w:line="282" w:lineRule="auto"/>
        <w:tabs>
          <w:tab w:leader="none" w:pos="62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10, 2015</w:t>
      </w:r>
    </w:p>
    <w:p>
      <w:pPr>
        <w:spacing w:after="0" w:line="171" w:lineRule="exact"/>
        <w:rPr>
          <w:sz w:val="20"/>
          <w:szCs w:val="20"/>
          <w:color w:val="auto"/>
        </w:rPr>
      </w:pPr>
    </w:p>
    <w:p>
      <w:pPr>
        <w:ind w:left="4260"/>
        <w:spacing w:after="0"/>
        <w:tabs>
          <w:tab w:leader="none" w:pos="4700" w:val="left"/>
        </w:tabs>
        <w:rPr>
          <w:sz w:val="20"/>
          <w:szCs w:val="20"/>
          <w:color w:val="auto"/>
        </w:rPr>
      </w:pPr>
      <w:r>
        <w:rPr>
          <w:rFonts w:ascii="Times New Roman" w:cs="Times New Roman" w:eastAsia="Times New Roman" w:hAnsi="Times New Roman"/>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34290</wp:posOffset>
            </wp:positionV>
            <wp:extent cx="31902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Anthony P. DiSilvestro</w:t>
      </w:r>
    </w:p>
    <w:p>
      <w:pPr>
        <w:spacing w:after="0" w:line="74" w:lineRule="exact"/>
        <w:rPr>
          <w:sz w:val="20"/>
          <w:szCs w:val="20"/>
          <w:color w:val="auto"/>
        </w:rPr>
      </w:pPr>
    </w:p>
    <w:p>
      <w:pPr>
        <w:sectPr>
          <w:pgSz w:w="11900" w:h="16838" w:orient="portrait"/>
          <w:cols w:equalWidth="0" w:num="2">
            <w:col w:w="5200" w:space="340"/>
            <w:col w:w="5880"/>
          </w:cols>
          <w:pgMar w:left="240" w:top="576" w:right="239"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Senior Vice President and Chief Financial</w:t>
      </w:r>
    </w:p>
    <w:p>
      <w:pPr>
        <w:spacing w:after="0" w:line="75" w:lineRule="exact"/>
        <w:rPr>
          <w:sz w:val="20"/>
          <w:szCs w:val="20"/>
          <w:color w:val="auto"/>
        </w:rPr>
      </w:pPr>
    </w:p>
    <w:p>
      <w:pPr>
        <w:sectPr>
          <w:pgSz w:w="11900" w:h="16838" w:orient="portrait"/>
          <w:cols w:equalWidth="0" w:num="2">
            <w:col w:w="5100" w:space="440"/>
            <w:col w:w="5880"/>
          </w:cols>
          <w:pgMar w:left="240" w:top="576" w:right="23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7"/>
          <w:szCs w:val="17"/>
          <w:color w:val="auto"/>
        </w:rPr>
        <w:t>Officer</w:t>
      </w:r>
    </w:p>
    <w:p>
      <w:pPr>
        <w:sectPr>
          <w:pgSz w:w="11900" w:h="16838" w:orient="portrait"/>
          <w:cols w:equalWidth="0" w:num="1">
            <w:col w:w="11420"/>
          </w:cols>
          <w:pgMar w:left="240" w:top="576" w:right="239" w:bottom="1440" w:gutter="0" w:footer="0" w:header="0"/>
          <w:type w:val="continuous"/>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140" w:firstLine="21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Campbell Soup Company (the “Company”) on Form 10-Q for the fiscal quarter ended November 1, 2015 (the “Report”), I, Denise M. Morrison, President and Chief Executive Officer of the Company, hereby certify, pursuant to 18 U.S.C. Section 1350, as adopted pursuant to Section 906 of the Sarbanes-Oxley Act of 2002, that, to my knowledge:</w:t>
      </w:r>
    </w:p>
    <w:p>
      <w:pPr>
        <w:spacing w:after="0" w:line="122" w:lineRule="exact"/>
        <w:rPr>
          <w:sz w:val="20"/>
          <w:szCs w:val="20"/>
          <w:color w:val="auto"/>
        </w:rPr>
      </w:pPr>
    </w:p>
    <w:p>
      <w:pPr>
        <w:ind w:left="700" w:hanging="260"/>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280" w:firstLine="440"/>
        <w:spacing w:after="0" w:line="438" w:lineRule="auto"/>
        <w:tabs>
          <w:tab w:leader="none" w:pos="6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December 10, 2015</w:t>
      </w:r>
    </w:p>
    <w:p>
      <w:pPr>
        <w:spacing w:after="0" w:line="1" w:lineRule="exact"/>
        <w:rPr>
          <w:sz w:val="20"/>
          <w:szCs w:val="20"/>
          <w:color w:val="auto"/>
        </w:rPr>
      </w:pPr>
    </w:p>
    <w:p>
      <w:pPr>
        <w:ind w:left="4260"/>
        <w:spacing w:after="0"/>
        <w:tabs>
          <w:tab w:leader="none" w:pos="4700" w:val="left"/>
        </w:tabs>
        <w:rPr>
          <w:sz w:val="20"/>
          <w:szCs w:val="20"/>
          <w:color w:val="auto"/>
        </w:rPr>
      </w:pPr>
      <w:r>
        <w:rPr>
          <w:rFonts w:ascii="Times New Roman" w:cs="Times New Roman" w:eastAsia="Times New Roman" w:hAnsi="Times New Roman"/>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34290</wp:posOffset>
            </wp:positionV>
            <wp:extent cx="31902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Denise M. Morrison</w:t>
      </w:r>
    </w:p>
    <w:p>
      <w:pPr>
        <w:spacing w:after="0" w:line="74" w:lineRule="exact"/>
        <w:rPr>
          <w:sz w:val="20"/>
          <w:szCs w:val="20"/>
          <w:color w:val="auto"/>
        </w:rPr>
      </w:pPr>
    </w:p>
    <w:p>
      <w:pPr>
        <w:sectPr>
          <w:pgSz w:w="11900" w:h="16838" w:orient="portrait"/>
          <w:cols w:equalWidth="0" w:num="2">
            <w:col w:w="5200" w:space="340"/>
            <w:col w:w="5880"/>
          </w:cols>
          <w:pgMar w:left="240" w:top="576" w:right="239"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2">
            <w:col w:w="5100" w:space="440"/>
            <w:col w:w="5880"/>
          </w:cols>
          <w:pgMar w:left="240" w:top="576" w:right="239" w:bottom="1440" w:gutter="0" w:footer="0" w:header="0"/>
          <w:type w:val="continuous"/>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jc w:val="both"/>
        <w:ind w:right="140" w:firstLine="21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Campbell Soup Company (the “Company”) on Form 10-Q for the fiscal quarter ended November 1, 2015 (the “Report”), I, Anthony P. DiSilvestro, Senior Vice President and Chief Financial Officer of the Company, hereby certify, pursuant to 18 U.S.C. Section 1350, as adopted pursuant to Section 906 of the Sarbanes-Oxley Act of 2002, that, to my knowledge:</w:t>
      </w:r>
    </w:p>
    <w:p>
      <w:pPr>
        <w:spacing w:after="0" w:line="122" w:lineRule="exact"/>
        <w:rPr>
          <w:sz w:val="20"/>
          <w:szCs w:val="20"/>
          <w:color w:val="auto"/>
        </w:rPr>
      </w:pPr>
    </w:p>
    <w:p>
      <w:pPr>
        <w:ind w:left="700" w:hanging="260"/>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280" w:firstLine="440"/>
        <w:spacing w:after="0" w:line="438" w:lineRule="auto"/>
        <w:tabs>
          <w:tab w:leader="none" w:pos="6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December 10, 2015</w:t>
      </w:r>
    </w:p>
    <w:p>
      <w:pPr>
        <w:spacing w:after="0" w:line="1" w:lineRule="exact"/>
        <w:rPr>
          <w:sz w:val="20"/>
          <w:szCs w:val="20"/>
          <w:color w:val="auto"/>
        </w:rPr>
      </w:pPr>
    </w:p>
    <w:p>
      <w:pPr>
        <w:ind w:left="4260"/>
        <w:spacing w:after="0"/>
        <w:tabs>
          <w:tab w:leader="none" w:pos="4700" w:val="left"/>
        </w:tabs>
        <w:rPr>
          <w:sz w:val="20"/>
          <w:szCs w:val="20"/>
          <w:color w:val="auto"/>
        </w:rPr>
      </w:pPr>
      <w:r>
        <w:rPr>
          <w:rFonts w:ascii="Times New Roman" w:cs="Times New Roman" w:eastAsia="Times New Roman" w:hAnsi="Times New Roman"/>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34290</wp:posOffset>
            </wp:positionV>
            <wp:extent cx="31902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Anthony P. DiSilvestro</w:t>
      </w:r>
    </w:p>
    <w:p>
      <w:pPr>
        <w:spacing w:after="0" w:line="74" w:lineRule="exact"/>
        <w:rPr>
          <w:sz w:val="20"/>
          <w:szCs w:val="20"/>
          <w:color w:val="auto"/>
        </w:rPr>
      </w:pPr>
    </w:p>
    <w:p>
      <w:pPr>
        <w:sectPr>
          <w:pgSz w:w="11900" w:h="16838" w:orient="portrait"/>
          <w:cols w:equalWidth="0" w:num="2">
            <w:col w:w="5200" w:space="340"/>
            <w:col w:w="5880"/>
          </w:cols>
          <w:pgMar w:left="240" w:top="576" w:right="239"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Senior Vice President and Chief Financial</w:t>
      </w:r>
    </w:p>
    <w:p>
      <w:pPr>
        <w:spacing w:after="0" w:line="75" w:lineRule="exact"/>
        <w:rPr>
          <w:sz w:val="20"/>
          <w:szCs w:val="20"/>
          <w:color w:val="auto"/>
        </w:rPr>
      </w:pPr>
    </w:p>
    <w:p>
      <w:pPr>
        <w:sectPr>
          <w:pgSz w:w="11900" w:h="16838" w:orient="portrait"/>
          <w:cols w:equalWidth="0" w:num="2">
            <w:col w:w="5100" w:space="440"/>
            <w:col w:w="5880"/>
          </w:cols>
          <w:pgMar w:left="240" w:top="576" w:right="23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7"/>
          <w:szCs w:val="17"/>
          <w:color w:val="auto"/>
        </w:rPr>
        <w:t>Officer</w:t>
      </w:r>
    </w:p>
    <w:sectPr>
      <w:pgSz w:w="11900" w:h="16838" w:orient="portrait"/>
      <w:cols w:equalWidth="0" w:num="1">
        <w:col w:w="11420"/>
      </w:cols>
      <w:pgMar w:left="240" w:top="57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21"/>
    </w:lvl>
  </w:abstractNum>
  <w:abstractNum w:abstractNumId="1">
    <w:nsid w:val="4353D0CD"/>
    <w:multiLevelType w:val="hybridMultilevel"/>
    <w:lvl w:ilvl="0">
      <w:lvlJc w:val="left"/>
      <w:lvlText w:val="%1"/>
      <w:numFmt w:val="decimal"/>
      <w:start w:val="13"/>
    </w:lvl>
  </w:abstractNum>
  <w:abstractNum w:abstractNumId="2">
    <w:nsid w:val="B03E0C6"/>
    <w:multiLevelType w:val="hybridMultilevel"/>
    <w:lvl w:ilvl="0">
      <w:lvlJc w:val="left"/>
      <w:lvlText w:val="%1"/>
      <w:numFmt w:val="decimal"/>
      <w:start w:val="133"/>
    </w:lvl>
  </w:abstractNum>
  <w:abstractNum w:abstractNumId="3">
    <w:nsid w:val="189A769B"/>
    <w:multiLevelType w:val="hybridMultilevel"/>
    <w:lvl w:ilvl="0">
      <w:lvlJc w:val="left"/>
      <w:lvlText w:val="%1"/>
      <w:numFmt w:val="decimal"/>
      <w:start w:val="74"/>
    </w:lvl>
  </w:abstractNum>
  <w:abstractNum w:abstractNumId="4">
    <w:nsid w:val="54E49EB4"/>
    <w:multiLevelType w:val="hybridMultilevel"/>
    <w:lvl w:ilvl="0">
      <w:lvlJc w:val="left"/>
      <w:lvlText w:val="(%1)"/>
      <w:numFmt w:val="decimal"/>
      <w:start w:val="35"/>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84"/>
    </w:lvl>
  </w:abstractNum>
  <w:abstractNum w:abstractNumId="7">
    <w:nsid w:val="836C40E"/>
    <w:multiLevelType w:val="hybridMultilevel"/>
    <w:lvl w:ilvl="0">
      <w:lvlJc w:val="left"/>
      <w:lvlText w:val="(%1)"/>
      <w:numFmt w:val="decimal"/>
      <w:start w:val="56"/>
    </w:lvl>
  </w:abstractNum>
  <w:abstractNum w:abstractNumId="8">
    <w:nsid w:val="2901D82"/>
    <w:multiLevelType w:val="hybridMultilevel"/>
    <w:lvl w:ilvl="0">
      <w:lvlJc w:val="left"/>
      <w:lvlText w:val="(%1)"/>
      <w:numFmt w:val="decimal"/>
      <w:start w:val="6"/>
    </w:lvl>
  </w:abstractNum>
  <w:abstractNum w:abstractNumId="9">
    <w:nsid w:val="3A95F874"/>
    <w:multiLevelType w:val="hybridMultilevel"/>
    <w:lvl w:ilvl="0">
      <w:lvlJc w:val="left"/>
      <w:lvlText w:val="%1"/>
      <w:numFmt w:val="decimal"/>
      <w:start w:val="72"/>
    </w:lvl>
    <w:lvl w:ilvl="1">
      <w:lvlJc w:val="left"/>
      <w:lvlText w:val="(%2)"/>
      <w:numFmt w:val="decimal"/>
      <w:start w:val="1"/>
    </w:lvl>
  </w:abstractNum>
  <w:abstractNum w:abstractNumId="10">
    <w:nsid w:val="8138641"/>
    <w:multiLevelType w:val="hybridMultilevel"/>
    <w:lvl w:ilvl="0">
      <w:lvlJc w:val="left"/>
      <w:lvlText w:val="3"/>
      <w:numFmt w:val="bullet"/>
      <w:start w:val="1"/>
    </w:lvl>
  </w:abstractNum>
  <w:abstractNum w:abstractNumId="11">
    <w:nsid w:val="1E7FF521"/>
    <w:multiLevelType w:val="hybridMultilevel"/>
    <w:lvl w:ilvl="0">
      <w:lvlJc w:val="left"/>
      <w:lvlText w:val="(%1)"/>
      <w:numFmt w:val="decimal"/>
      <w:start w:val="9"/>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2"/>
    </w:lvl>
  </w:abstractNum>
  <w:abstractNum w:abstractNumId="15">
    <w:nsid w:val="22221A70"/>
    <w:multiLevelType w:val="hybridMultilevel"/>
    <w:lvl w:ilvl="0">
      <w:lvlJc w:val="left"/>
      <w:lvlText w:val="%1."/>
      <w:numFmt w:val="decimal"/>
      <w:start w:val="3"/>
    </w:lvl>
  </w:abstractNum>
  <w:abstractNum w:abstractNumId="16">
    <w:nsid w:val="4516DDE9"/>
    <w:multiLevelType w:val="hybridMultilevel"/>
    <w:lvl w:ilvl="0">
      <w:lvlJc w:val="left"/>
      <w:lvlText w:val="%1."/>
      <w:numFmt w:val="decimal"/>
      <w:start w:val="4"/>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6"/>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7"/>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8"/>
    </w:lvl>
  </w:abstractNum>
  <w:abstractNum w:abstractNumId="24">
    <w:nsid w:val="77465F01"/>
    <w:multiLevelType w:val="hybridMultilevel"/>
    <w:lvl w:ilvl="0">
      <w:lvlJc w:val="left"/>
      <w:lvlText w:val="%1."/>
      <w:numFmt w:val="decimal"/>
      <w:start w:val="9"/>
    </w:lvl>
  </w:abstractNum>
  <w:abstractNum w:abstractNumId="25">
    <w:nsid w:val="7724C67E"/>
    <w:multiLevelType w:val="hybridMultilevel"/>
    <w:lvl w:ilvl="0">
      <w:lvlJc w:val="left"/>
      <w:lvlText w:val="%1."/>
      <w:numFmt w:val="decimal"/>
      <w:start w:val="11"/>
    </w:lvl>
    <w:lvl w:ilvl="1">
      <w:lvlJc w:val="left"/>
      <w:lvlText w:val="•"/>
      <w:numFmt w:val="bullet"/>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decimal"/>
      <w:start w:val="1"/>
    </w:lvl>
    <w:lvl w:ilvl="1">
      <w:lvlJc w:val="left"/>
      <w:lvlText w:val="•"/>
      <w:numFmt w:val="bullet"/>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2"/>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3"/>
      <w:numFmt w:val="bullet"/>
      <w:start w:val="1"/>
    </w:lvl>
  </w:abstractNum>
  <w:abstractNum w:abstractNumId="38">
    <w:nsid w:val="725A06FB"/>
    <w:multiLevelType w:val="hybridMultilevel"/>
    <w:lvl w:ilvl="0">
      <w:lvlJc w:val="left"/>
      <w:lvlText w:val="%1"/>
      <w:numFmt w:val="decimal"/>
      <w:start w:val="10"/>
    </w:lvl>
  </w:abstractNum>
  <w:abstractNum w:abstractNumId="39">
    <w:nsid w:val="2CD89A32"/>
    <w:multiLevelType w:val="hybridMultilevel"/>
    <w:lvl w:ilvl="0">
      <w:lvlJc w:val="left"/>
      <w:lvlText w:val="3"/>
      <w:numFmt w:val="bullet"/>
      <w:start w:val="1"/>
    </w:lvl>
  </w:abstractNum>
  <w:abstractNum w:abstractNumId="40">
    <w:nsid w:val="57E4CCAF"/>
    <w:multiLevelType w:val="hybridMultilevel"/>
    <w:lvl w:ilvl="0">
      <w:lvlJc w:val="left"/>
      <w:lvlText w:val="%1"/>
      <w:numFmt w:val="decimal"/>
      <w:start w:val="10"/>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2"/>
    </w:lvl>
  </w:abstractNum>
  <w:abstractNum w:abstractNumId="43">
    <w:nsid w:val="542289EC"/>
    <w:multiLevelType w:val="hybridMultilevel"/>
    <w:lvl w:ilvl="0">
      <w:lvlJc w:val="left"/>
      <w:lvlText w:val="%1."/>
      <w:numFmt w:val="decimal"/>
      <w:start w:val="3"/>
    </w:lvl>
  </w:abstractNum>
  <w:abstractNum w:abstractNumId="44">
    <w:nsid w:val="6DE91B18"/>
    <w:multiLevelType w:val="hybridMultilevel"/>
    <w:lvl w:ilvl="0">
      <w:lvlJc w:val="left"/>
      <w:lvlText w:val="(%1)"/>
      <w:numFmt w:val="lowerLetter"/>
      <w:start w:val="1"/>
    </w:lvl>
    <w:lvl w:ilvl="1">
      <w:lvlJc w:val="left"/>
      <w:lvlText w:val="%2."/>
      <w:numFmt w:val="decimal"/>
      <w:start w:val="5"/>
    </w:lvl>
    <w:lvl w:ilvl="2">
      <w:lvlJc w:val="left"/>
      <w:lvlText w:val="%3"/>
      <w:numFmt w:val="upperLetter"/>
      <w:start w:val="1"/>
    </w:lvl>
    <w:lvl w:ilvl="3">
      <w:lvlJc w:val="left"/>
      <w:lvlText w:val="%4)"/>
      <w:numFmt w:val="decimal"/>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2019-12-29T14:38:56Z</dcterms:created>
  <dcterms:modified xsi:type="dcterms:W3CDTF">2019-12-29T14:38:56Z</dcterms:modified>
</cp:coreProperties>
</file>