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 w:lineRule="exact"/>
        <w:rPr>
          <w:sz w:val="24"/>
          <w:szCs w:val="24"/>
          <w:color w:val="auto"/>
        </w:rPr>
      </w:pPr>
    </w:p>
    <w:p>
      <w:pPr>
        <w:ind w:left="39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792" w:right="239" w:bottom="1440" w:gutter="0" w:footer="0" w:header="0"/>
        </w:sectPr>
      </w:pPr>
    </w:p>
    <w:p>
      <w:pPr>
        <w:spacing w:after="0" w:line="137"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sectPr>
          <w:pgSz w:w="11900" w:h="16838" w:orient="portrait"/>
          <w:cols w:equalWidth="0" w:num="2">
            <w:col w:w="7320" w:space="720"/>
            <w:col w:w="3380"/>
          </w:cols>
          <w:pgMar w:left="240" w:top="792" w:right="239" w:bottom="1440" w:gutter="0" w:footer="0" w:header="0"/>
          <w:type w:val="continuous"/>
        </w:sectPr>
      </w:pPr>
    </w:p>
    <w:p>
      <w:pPr>
        <w:ind w:left="1740"/>
        <w:spacing w:after="0"/>
        <w:rPr>
          <w:sz w:val="20"/>
          <w:szCs w:val="20"/>
          <w:color w:val="auto"/>
        </w:rPr>
      </w:pPr>
      <w:r>
        <w:rPr>
          <w:rFonts w:ascii="Arial" w:cs="Arial" w:eastAsia="Arial" w:hAnsi="Arial"/>
          <w:sz w:val="16"/>
          <w:szCs w:val="16"/>
          <w:b w:val="1"/>
          <w:bCs w:val="1"/>
          <w:color w:val="auto"/>
        </w:rPr>
        <w:t>January 29,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186690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1-3822</w:t>
      </w:r>
    </w:p>
    <w:p>
      <w:pPr>
        <w:spacing w:after="0" w:line="200" w:lineRule="exact"/>
        <w:rPr>
          <w:sz w:val="24"/>
          <w:szCs w:val="24"/>
          <w:color w:val="auto"/>
        </w:rPr>
      </w:pPr>
    </w:p>
    <w:p>
      <w:pPr>
        <w:sectPr>
          <w:pgSz w:w="11900" w:h="16838" w:orient="portrait"/>
          <w:cols w:equalWidth="0" w:num="2">
            <w:col w:w="8040" w:space="720"/>
            <w:col w:w="2660"/>
          </w:cols>
          <w:pgMar w:left="240" w:top="79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CAMPBELL SOUP COMPANY</w:t>
      </w:r>
    </w:p>
    <w:p>
      <w:pPr>
        <w:sectPr>
          <w:pgSz w:w="11900" w:h="16838" w:orient="portrait"/>
          <w:cols w:equalWidth="0" w:num="1">
            <w:col w:w="11420"/>
          </w:cols>
          <w:pgMar w:left="240" w:top="792" w:right="239" w:bottom="1440" w:gutter="0" w:footer="0" w:header="0"/>
          <w:type w:val="continuous"/>
        </w:sectPr>
      </w:pPr>
    </w:p>
    <w:p>
      <w:pPr>
        <w:spacing w:after="0" w:line="298"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792"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792"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792"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4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792" w:right="239" w:bottom="1440" w:gutter="0" w:footer="0" w:header="0"/>
          <w:type w:val="continuous"/>
        </w:sectPr>
      </w:pPr>
    </w:p>
    <w:p>
      <w:pPr>
        <w:spacing w:after="0" w:line="84"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ind w:left="1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333333"/>
        </w:rPr>
        <w:t>☐</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0" w:lineRule="exact"/>
        <w:rPr>
          <w:sz w:val="24"/>
          <w:szCs w:val="24"/>
          <w:color w:val="auto"/>
        </w:rPr>
      </w:pPr>
    </w:p>
    <w:p>
      <w:pPr>
        <w:ind w:left="2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333333"/>
        </w:rPr>
        <w:t>☐</w:t>
      </w:r>
    </w:p>
    <w:p>
      <w:pPr>
        <w:spacing w:after="0" w:line="511" w:lineRule="exact"/>
        <w:rPr>
          <w:sz w:val="24"/>
          <w:szCs w:val="24"/>
          <w:color w:val="auto"/>
        </w:rPr>
      </w:pPr>
    </w:p>
    <w:p>
      <w:pPr>
        <w:sectPr>
          <w:pgSz w:w="11900" w:h="16838" w:orient="portrait"/>
          <w:cols w:equalWidth="0" w:num="4">
            <w:col w:w="2780" w:space="720"/>
            <w:col w:w="1820" w:space="720"/>
            <w:col w:w="1940" w:space="720"/>
            <w:col w:w="2720"/>
          </w:cols>
          <w:pgMar w:left="240" w:top="792" w:right="23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4"/>
          <w:szCs w:val="14"/>
          <w:color w:val="auto"/>
        </w:rPr>
        <w:t>☑</w:t>
      </w:r>
      <w:r>
        <w:rPr>
          <w:rFonts w:ascii="Arial" w:cs="Arial" w:eastAsia="Arial" w:hAnsi="Arial"/>
          <w:sz w:val="16"/>
          <w:szCs w:val="16"/>
          <w:color w:val="auto"/>
        </w:rPr>
        <w:t xml:space="preserve"> No</w:t>
      </w:r>
    </w:p>
    <w:p>
      <w:pPr>
        <w:spacing w:after="0" w:line="315" w:lineRule="exact"/>
        <w:rPr>
          <w:sz w:val="24"/>
          <w:szCs w:val="24"/>
          <w:color w:val="auto"/>
        </w:rPr>
      </w:pPr>
    </w:p>
    <w:p>
      <w:pPr>
        <w:ind w:left="2960"/>
        <w:spacing w:after="0"/>
        <w:rPr>
          <w:sz w:val="20"/>
          <w:szCs w:val="20"/>
          <w:color w:val="auto"/>
        </w:rPr>
      </w:pPr>
      <w:r>
        <w:rPr>
          <w:rFonts w:ascii="Arial" w:cs="Arial" w:eastAsia="Arial" w:hAnsi="Arial"/>
          <w:sz w:val="18"/>
          <w:szCs w:val="18"/>
          <w:color w:val="auto"/>
        </w:rPr>
        <w:t>There were 304,379,165 shares of capital stock outstanding as of March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5">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3. Quantitative and Qualitative Disclosures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4.</w:t>
              </w:r>
            </w:hyperlink>
          </w:p>
        </w:tc>
        <w:tc>
          <w:tcPr>
            <w:tcW w:w="7520" w:type="dxa"/>
            <w:vAlign w:val="bottom"/>
            <w:gridSpan w:val="3"/>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70"/>
        </w:trPr>
        <w:tc>
          <w:tcPr>
            <w:tcW w:w="1220" w:type="dxa"/>
            <w:vAlign w:val="bottom"/>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41</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98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5"/>
              </w:rPr>
              <w:t>January 31,</w:t>
            </w:r>
          </w:p>
        </w:tc>
      </w:tr>
      <w:tr>
        <w:trPr>
          <w:trHeight w:val="192"/>
        </w:trPr>
        <w:tc>
          <w:tcPr>
            <w:tcW w:w="65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4,373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4,404</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2,830</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465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449</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55</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3,675</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205</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662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729</w:t>
            </w: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6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215</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1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Dividends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.624</w:t>
            </w:r>
          </w:p>
        </w:tc>
      </w:tr>
      <w:tr>
        <w:trPr>
          <w:trHeight w:val="67"/>
        </w:trPr>
        <w:tc>
          <w:tcPr>
            <w:tcW w:w="65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tcPr>
          <w:p>
            <w:pPr>
              <w:spacing w:after="0"/>
              <w:rPr>
                <w:sz w:val="19"/>
                <w:szCs w:val="19"/>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27"/>
        </w:trPr>
        <w:tc>
          <w:tcPr>
            <w:tcW w:w="65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January 29, 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January 31, 2016</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(16)</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gridSpan w:val="4"/>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98"/>
              </w:rPr>
              <w:t>January 29, 2017</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January 31, 2016</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(24)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385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29,</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31,</w:t>
            </w:r>
          </w:p>
        </w:tc>
      </w:tr>
      <w:tr>
        <w:trPr>
          <w:trHeight w:val="192"/>
        </w:trPr>
        <w:tc>
          <w:tcPr>
            <w:tcW w:w="554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309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714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820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940</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3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1,896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1,908</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2,375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2,064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2,263</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Other assets ($47 and $34 attributable to variable interest entity)</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7,570</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r>
      <w:tr>
        <w:trPr>
          <w:trHeight w:val="20"/>
        </w:trPr>
        <w:tc>
          <w:tcPr>
            <w:tcW w:w="5540" w:type="dxa"/>
            <w:vAlign w:val="bottom"/>
            <w:tcBorders>
              <w:top w:val="single" w:sz="8" w:color="auto"/>
              <w:bottom w:val="single" w:sz="8" w:color="auto"/>
            </w:tcBorders>
          </w:tcPr>
          <w:p>
            <w:pPr>
              <w:spacing w:after="0" w:line="20" w:lineRule="exact"/>
              <w:rPr>
                <w:sz w:val="1"/>
                <w:szCs w:val="1"/>
                <w:color w:val="auto"/>
              </w:rPr>
            </w:pPr>
          </w:p>
        </w:tc>
        <w:tc>
          <w:tcPr>
            <w:tcW w:w="3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3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1,185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564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559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Dividend payable</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3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2,436</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2,555</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2,293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402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3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960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6,091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6,304</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3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w w:val="90"/>
              </w:rPr>
              <w:t>Capital stock, $.0375 par value; authorized 560 shares; issued 323 shares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324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2,102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1,927</w:t>
            </w:r>
          </w:p>
        </w:tc>
      </w:tr>
      <w:tr>
        <w:trPr>
          <w:trHeight w:val="27"/>
        </w:trPr>
        <w:tc>
          <w:tcPr>
            <w:tcW w:w="55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3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324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(113)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3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1,470</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32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3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1,479</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r>
      <w:tr>
        <w:trPr>
          <w:trHeight w:val="237"/>
        </w:trPr>
        <w:tc>
          <w:tcPr>
            <w:tcW w:w="55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3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7,570</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7,837</w:t>
            </w:r>
          </w:p>
        </w:tc>
      </w:tr>
      <w:tr>
        <w:trPr>
          <w:trHeight w:val="27"/>
        </w:trPr>
        <w:tc>
          <w:tcPr>
            <w:tcW w:w="55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5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554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3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5540" w:type="dxa"/>
            <w:vAlign w:val="bottom"/>
          </w:tcPr>
          <w:p>
            <w:pPr>
              <w:spacing w:after="0"/>
              <w:rPr>
                <w:sz w:val="24"/>
                <w:szCs w:val="24"/>
                <w:color w:val="auto"/>
              </w:rPr>
            </w:pPr>
          </w:p>
        </w:tc>
        <w:tc>
          <w:tcPr>
            <w:tcW w:w="3240" w:type="dxa"/>
            <w:vAlign w:val="bottom"/>
          </w:tcPr>
          <w:p>
            <w:pPr>
              <w:jc w:val="right"/>
              <w:ind w:right="293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220"/>
        <w:spacing w:after="0"/>
        <w:tabs>
          <w:tab w:leader="none" w:pos="700" w:val="left"/>
        </w:tabs>
        <w:rPr>
          <w:sz w:val="20"/>
          <w:szCs w:val="20"/>
          <w:color w:val="auto"/>
        </w:rPr>
      </w:pPr>
      <w:r>
        <w:rPr>
          <w:rFonts w:ascii="Arial" w:cs="Arial" w:eastAsia="Arial" w:hAnsi="Arial"/>
          <w:sz w:val="14"/>
          <w:szCs w:val="14"/>
          <w:b w:val="1"/>
          <w:bCs w:val="1"/>
          <w:color w:val="auto"/>
        </w:rPr>
        <w:t>January 29,</w:t>
      </w:r>
      <w:r>
        <w:rPr>
          <w:sz w:val="20"/>
          <w:szCs w:val="20"/>
          <w:color w:val="auto"/>
        </w:rPr>
        <w:tab/>
      </w:r>
      <w:r>
        <w:rPr>
          <w:rFonts w:ascii="Arial" w:cs="Arial" w:eastAsia="Arial" w:hAnsi="Arial"/>
          <w:sz w:val="13"/>
          <w:szCs w:val="13"/>
          <w:b w:val="1"/>
          <w:bCs w:val="1"/>
          <w:color w:val="auto"/>
        </w:rPr>
        <w:t>January 31,</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29" w:right="2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Pension and postretirement benefit expense (income)</w:t>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working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Receipts from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393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459</w:t>
      </w:r>
    </w:p>
    <w:p>
      <w:pPr>
        <w:spacing w:after="0" w:line="360" w:lineRule="exact"/>
        <w:rPr>
          <w:sz w:val="20"/>
          <w:szCs w:val="20"/>
          <w:color w:val="auto"/>
        </w:rPr>
      </w:pPr>
    </w:p>
    <w:p>
      <w:pPr>
        <w:ind w:left="2080" w:hanging="1314"/>
        <w:spacing w:after="0"/>
        <w:tabs>
          <w:tab w:leader="none" w:pos="20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30</w:t>
      </w:r>
    </w:p>
    <w:p>
      <w:pPr>
        <w:spacing w:after="0" w:line="90" w:lineRule="exact"/>
        <w:rPr>
          <w:sz w:val="20"/>
          <w:szCs w:val="20"/>
          <w:color w:val="auto"/>
        </w:rPr>
      </w:pPr>
    </w:p>
    <w:p>
      <w:pPr>
        <w:ind w:left="2080" w:hanging="1233"/>
        <w:spacing w:after="0"/>
        <w:tabs>
          <w:tab w:leader="none" w:pos="20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34</w:t>
      </w:r>
    </w:p>
    <w:p>
      <w:pPr>
        <w:spacing w:after="0" w:line="86" w:lineRule="exact"/>
        <w:rPr>
          <w:sz w:val="20"/>
          <w:szCs w:val="20"/>
          <w:color w:val="auto"/>
        </w:rPr>
      </w:pPr>
    </w:p>
    <w:p>
      <w:pPr>
        <w:ind w:left="2000" w:hanging="1206"/>
        <w:spacing w:after="0"/>
        <w:tabs>
          <w:tab w:leader="none" w:pos="20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109</w:t>
      </w:r>
    </w:p>
    <w:p>
      <w:pPr>
        <w:spacing w:after="0" w:line="86" w:lineRule="exact"/>
        <w:rPr>
          <w:sz w:val="20"/>
          <w:szCs w:val="20"/>
          <w:color w:val="auto"/>
        </w:rPr>
      </w:pPr>
    </w:p>
    <w:p>
      <w:pPr>
        <w:ind w:left="2000" w:hanging="1234"/>
        <w:spacing w:after="0"/>
        <w:tabs>
          <w:tab w:leader="none" w:pos="200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152</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color w:val="auto"/>
        </w:rPr>
        <w:t>(14)</w:t>
      </w:r>
    </w:p>
    <w:p>
      <w:pPr>
        <w:spacing w:after="0" w:line="90" w:lineRule="exact"/>
        <w:rPr>
          <w:sz w:val="20"/>
          <w:szCs w:val="20"/>
          <w:color w:val="auto"/>
        </w:rPr>
      </w:pPr>
    </w:p>
    <w:p>
      <w:pPr>
        <w:ind w:left="2180" w:hanging="1252"/>
        <w:spacing w:after="0"/>
        <w:tabs>
          <w:tab w:leader="none" w:pos="2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4</w:t>
      </w:r>
    </w:p>
    <w:p>
      <w:pPr>
        <w:spacing w:after="0" w:line="356" w:lineRule="exact"/>
        <w:rPr>
          <w:sz w:val="20"/>
          <w:szCs w:val="20"/>
          <w:color w:val="auto"/>
        </w:rPr>
      </w:pPr>
    </w:p>
    <w:p>
      <w:pPr>
        <w:ind w:left="1960" w:hanging="1166"/>
        <w:spacing w:after="0"/>
        <w:tabs>
          <w:tab w:leader="none" w:pos="196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(130)</w:t>
      </w:r>
    </w:p>
    <w:p>
      <w:pPr>
        <w:spacing w:after="0" w:line="109" w:lineRule="exact"/>
        <w:rPr>
          <w:sz w:val="20"/>
          <w:szCs w:val="20"/>
          <w:color w:val="auto"/>
        </w:rPr>
      </w:pPr>
    </w:p>
    <w:p>
      <w:pPr>
        <w:ind w:left="2000" w:hanging="1225"/>
        <w:spacing w:after="0"/>
        <w:tabs>
          <w:tab w:leader="none" w:pos="200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133</w:t>
      </w:r>
    </w:p>
    <w:p>
      <w:pPr>
        <w:spacing w:after="0" w:line="86" w:lineRule="exact"/>
        <w:rPr>
          <w:rFonts w:ascii="Arial" w:cs="Arial" w:eastAsia="Arial" w:hAnsi="Arial"/>
          <w:sz w:val="16"/>
          <w:szCs w:val="16"/>
          <w:b w:val="1"/>
          <w:bCs w:val="1"/>
          <w:color w:val="auto"/>
        </w:rPr>
      </w:pPr>
    </w:p>
    <w:p>
      <w:pPr>
        <w:ind w:left="2120" w:hanging="1245"/>
        <w:spacing w:after="0"/>
        <w:tabs>
          <w:tab w:leader="none" w:pos="2120" w:val="left"/>
        </w:tabs>
        <w:numPr>
          <w:ilvl w:val="1"/>
          <w:numId w:val="9"/>
        </w:numPr>
        <w:rPr>
          <w:rFonts w:ascii="Arial" w:cs="Arial" w:eastAsia="Arial" w:hAnsi="Arial"/>
          <w:sz w:val="14"/>
          <w:szCs w:val="14"/>
          <w:b w:val="1"/>
          <w:bCs w:val="1"/>
          <w:color w:val="auto"/>
        </w:rPr>
      </w:pPr>
      <w:r>
        <w:rPr>
          <w:rFonts w:ascii="Arial" w:cs="Arial" w:eastAsia="Arial" w:hAnsi="Arial"/>
          <w:sz w:val="14"/>
          <w:szCs w:val="14"/>
          <w:color w:val="auto"/>
        </w:rPr>
        <w:t>(2)</w:t>
      </w:r>
    </w:p>
    <w:p>
      <w:pPr>
        <w:spacing w:after="0" w:line="109" w:lineRule="exact"/>
        <w:rPr>
          <w:sz w:val="20"/>
          <w:szCs w:val="20"/>
          <w:color w:val="auto"/>
        </w:rPr>
      </w:pPr>
    </w:p>
    <w:p>
      <w:pPr>
        <w:ind w:left="2120" w:hanging="1407"/>
        <w:spacing w:after="0"/>
        <w:tabs>
          <w:tab w:leader="none" w:pos="212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(3)</w:t>
      </w:r>
    </w:p>
    <w:p>
      <w:pPr>
        <w:spacing w:after="0" w:line="105" w:lineRule="exact"/>
        <w:rPr>
          <w:rFonts w:ascii="Arial" w:cs="Arial" w:eastAsia="Arial" w:hAnsi="Arial"/>
          <w:sz w:val="14"/>
          <w:szCs w:val="14"/>
          <w:b w:val="1"/>
          <w:bCs w:val="1"/>
          <w:color w:val="auto"/>
        </w:rPr>
      </w:pPr>
    </w:p>
    <w:p>
      <w:pPr>
        <w:ind w:left="92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1</w:t>
      </w:r>
      <w:r>
        <w:rPr>
          <w:rFonts w:ascii="Arial" w:cs="Arial" w:eastAsia="Arial" w:hAnsi="Arial"/>
          <w:sz w:val="16"/>
          <w:szCs w:val="16"/>
          <w:color w:val="auto"/>
        </w:rPr>
        <w:t>—</w:t>
      </w:r>
    </w:p>
    <w:p>
      <w:pPr>
        <w:spacing w:after="0" w:line="90" w:lineRule="exact"/>
        <w:rPr>
          <w:sz w:val="20"/>
          <w:szCs w:val="20"/>
          <w:color w:val="auto"/>
        </w:rPr>
      </w:pPr>
    </w:p>
    <w:p>
      <w:pPr>
        <w:ind w:left="2040" w:hanging="1246"/>
        <w:spacing w:after="0"/>
        <w:tabs>
          <w:tab w:leader="none" w:pos="2040" w:val="left"/>
        </w:tabs>
        <w:numPr>
          <w:ilvl w:val="0"/>
          <w:numId w:val="11"/>
        </w:numPr>
        <w:rPr>
          <w:rFonts w:ascii="Arial" w:cs="Arial" w:eastAsia="Arial" w:hAnsi="Arial"/>
          <w:sz w:val="14"/>
          <w:szCs w:val="14"/>
          <w:b w:val="1"/>
          <w:bCs w:val="1"/>
          <w:color w:val="auto"/>
        </w:rPr>
      </w:pPr>
      <w:r>
        <w:rPr>
          <w:rFonts w:ascii="Arial" w:cs="Arial" w:eastAsia="Arial" w:hAnsi="Arial"/>
          <w:sz w:val="14"/>
          <w:szCs w:val="14"/>
          <w:color w:val="auto"/>
        </w:rPr>
        <w:t>(18)</w:t>
      </w:r>
    </w:p>
    <w:p>
      <w:pPr>
        <w:spacing w:after="0" w:line="118" w:lineRule="exact"/>
        <w:rPr>
          <w:rFonts w:ascii="Arial" w:cs="Arial" w:eastAsia="Arial" w:hAnsi="Arial"/>
          <w:sz w:val="14"/>
          <w:szCs w:val="14"/>
          <w:b w:val="1"/>
          <w:bCs w:val="1"/>
          <w:color w:val="auto"/>
        </w:rPr>
      </w:pPr>
    </w:p>
    <w:p>
      <w:pPr>
        <w:ind w:left="76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667</w:t>
      </w:r>
      <w:r>
        <w:rPr>
          <w:rFonts w:ascii="Arial" w:cs="Arial" w:eastAsia="Arial" w:hAnsi="Arial"/>
          <w:sz w:val="15"/>
          <w:szCs w:val="15"/>
          <w:color w:val="auto"/>
        </w:rPr>
        <w:t>754</w:t>
      </w:r>
    </w:p>
    <w:p>
      <w:pPr>
        <w:spacing w:after="0" w:line="360" w:lineRule="exact"/>
        <w:rPr>
          <w:sz w:val="20"/>
          <w:szCs w:val="20"/>
          <w:color w:val="auto"/>
        </w:rPr>
      </w:pPr>
    </w:p>
    <w:p>
      <w:pPr>
        <w:sectPr>
          <w:pgSz w:w="11900" w:h="16838" w:orient="portrait"/>
          <w:cols w:equalWidth="0" w:num="2">
            <w:col w:w="8340" w:space="720"/>
            <w:col w:w="2360"/>
          </w:cols>
          <w:pgMar w:left="240" w:top="1229"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780" w:type="dxa"/>
            <w:vAlign w:val="bottom"/>
          </w:tcPr>
          <w:p>
            <w:pPr>
              <w:ind w:left="180"/>
              <w:spacing w:after="0"/>
              <w:rPr>
                <w:sz w:val="20"/>
                <w:szCs w:val="20"/>
                <w:color w:val="auto"/>
              </w:rPr>
            </w:pPr>
            <w:r>
              <w:rPr>
                <w:rFonts w:ascii="Arial" w:cs="Arial" w:eastAsia="Arial" w:hAnsi="Arial"/>
                <w:sz w:val="16"/>
                <w:szCs w:val="16"/>
                <w:color w:val="auto"/>
              </w:rPr>
              <w:t>Purchases of plant assets</w:t>
            </w:r>
          </w:p>
        </w:tc>
        <w:tc>
          <w:tcPr>
            <w:tcW w:w="268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(119)</w:t>
            </w:r>
          </w:p>
        </w:tc>
        <w:tc>
          <w:tcPr>
            <w:tcW w:w="5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(153)</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Sales of plant assets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(13)</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r>
      <w:tr>
        <w:trPr>
          <w:trHeight w:val="217"/>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r>
      <w:tr>
        <w:trPr>
          <w:trHeight w:val="47"/>
        </w:trPr>
        <w:tc>
          <w:tcPr>
            <w:tcW w:w="67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short-term borrowings (repayments)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(61)</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(207)</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(234)</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33"/>
        </w:trPr>
        <w:tc>
          <w:tcPr>
            <w:tcW w:w="67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issuances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b w:val="1"/>
                <w:bCs w:val="1"/>
                <w:color w:val="auto"/>
              </w:rPr>
              <w:t>(20)</w:t>
            </w:r>
          </w:p>
        </w:tc>
        <w:tc>
          <w:tcPr>
            <w:tcW w:w="5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26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(518)</w:t>
            </w:r>
          </w:p>
        </w:tc>
        <w:tc>
          <w:tcPr>
            <w:tcW w:w="5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31"/>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w:t>
            </w:r>
          </w:p>
        </w:tc>
        <w:tc>
          <w:tcPr>
            <w:tcW w:w="5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w:t>
            </w:r>
          </w:p>
        </w:tc>
        <w:tc>
          <w:tcPr>
            <w:tcW w:w="5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r>
      <w:tr>
        <w:trPr>
          <w:trHeight w:val="237"/>
        </w:trPr>
        <w:tc>
          <w:tcPr>
            <w:tcW w:w="6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80" w:type="dxa"/>
            <w:vAlign w:val="bottom"/>
          </w:tcPr>
          <w:p>
            <w:pPr>
              <w:spacing w:after="0"/>
              <w:rPr>
                <w:sz w:val="20"/>
                <w:szCs w:val="20"/>
                <w:color w:val="auto"/>
              </w:rPr>
            </w:pPr>
          </w:p>
        </w:tc>
        <w:tc>
          <w:tcPr>
            <w:tcW w:w="760" w:type="dxa"/>
            <w:vAlign w:val="bottom"/>
          </w:tcPr>
          <w:p>
            <w:pPr>
              <w:jc w:val="right"/>
              <w:ind w:right="79"/>
              <w:spacing w:after="0"/>
              <w:rPr>
                <w:sz w:val="20"/>
                <w:szCs w:val="20"/>
                <w:color w:val="auto"/>
              </w:rPr>
            </w:pPr>
            <w:r>
              <w:rPr>
                <w:rFonts w:ascii="Arial" w:cs="Arial" w:eastAsia="Arial" w:hAnsi="Arial"/>
                <w:sz w:val="16"/>
                <w:szCs w:val="16"/>
                <w:b w:val="1"/>
                <w:bCs w:val="1"/>
                <w:color w:val="auto"/>
              </w:rPr>
              <w:t>296</w:t>
            </w:r>
          </w:p>
        </w:tc>
        <w:tc>
          <w:tcPr>
            <w:tcW w:w="5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678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309</w:t>
            </w:r>
          </w:p>
        </w:tc>
        <w:tc>
          <w:tcPr>
            <w:tcW w:w="50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r>
      <w:tr>
        <w:trPr>
          <w:trHeight w:val="20"/>
        </w:trPr>
        <w:tc>
          <w:tcPr>
            <w:tcW w:w="6780" w:type="dxa"/>
            <w:vAlign w:val="bottom"/>
            <w:tcBorders>
              <w:top w:val="single" w:sz="8" w:color="auto"/>
              <w:bottom w:val="single" w:sz="8" w:color="auto"/>
            </w:tcBorders>
          </w:tcPr>
          <w:p>
            <w:pPr>
              <w:spacing w:after="0" w:line="20" w:lineRule="exact"/>
              <w:rPr>
                <w:sz w:val="1"/>
                <w:szCs w:val="1"/>
                <w:color w:val="auto"/>
              </w:rPr>
            </w:pPr>
          </w:p>
        </w:tc>
        <w:tc>
          <w:tcPr>
            <w:tcW w:w="2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6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2,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459</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($.624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January 31,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393</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($.70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(218)</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(4)</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(234)</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(234)</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January 29,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(865)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334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2,102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9</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1,479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presentation of the results of operations, financial position, and cash flows for the indicated periods. The accounting policies we used in preparing these financial statements are substantially consistent with those we applied in our Annual Report on Form 10-K for the year ended July 31, 2016, except as described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w:t>
      </w:r>
    </w:p>
    <w:p>
      <w:pPr>
        <w:spacing w:after="0" w:line="112"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2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April 2015, the FASB issued guidance to clarify the accounting for fees paid by a customer in a cloud computing arrangement. The guidance is effective for fiscal years beginning after December 15, 2015, and interim periods within those years. Early adoption is permitted. The new guidance should be applied either prospectively to all arrangements entered into or materially modified after the effective date or retrospectively. In 2017, we prospectively adopted the guidance. The adoption did not have a material impact on our consolidated financial statements.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the FASB issued guidance that eliminates the requirement to restate prior period financial statements for measurement period adjustments for business combinations. The new guidance requires that the cumulative impact of a measurement period adjustment (including the impact on prior periods) be recognized in the reporting period in which the adjustment is identified. The guidance is effective for fiscal years beginning after December 15, 2015, and interim periods within those years and should be applied prospectively to measurement period adjustments that occur after the effective date. We will prospectively apply the guidance to applicable transactions.</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adopted the guidance in 2017. In accordance with the prospective adoption of the recognition of excess tax benefits and deficiencies in the Consolidated Statements of Earnings, we recognized a $6 tax benefit in Taxes on earnings in the six-month</w:t>
      </w:r>
    </w:p>
    <w:p>
      <w:pPr>
        <w:sectPr>
          <w:pgSz w:w="11900" w:h="16838" w:orient="portrait"/>
          <w:cols w:equalWidth="0" w:num="1">
            <w:col w:w="11420"/>
          </w:cols>
          <w:pgMar w:left="240" w:top="1229"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29" w:right="239" w:bottom="1440" w:gutter="0" w:footer="0" w:header="0"/>
          <w:type w:val="continuous"/>
        </w:sectPr>
      </w:pPr>
    </w:p>
    <w:bookmarkStart w:id="8" w:name="page9"/>
    <w:bookmarkEnd w:id="8"/>
    <w:p>
      <w:pPr>
        <w:jc w:val="both"/>
        <w:spacing w:after="0" w:line="293" w:lineRule="auto"/>
        <w:rPr>
          <w:sz w:val="20"/>
          <w:szCs w:val="20"/>
          <w:color w:val="auto"/>
        </w:rPr>
      </w:pPr>
      <w:r>
        <w:rPr>
          <w:rFonts w:ascii="Arial" w:cs="Arial" w:eastAsia="Arial" w:hAnsi="Arial"/>
          <w:sz w:val="16"/>
          <w:szCs w:val="16"/>
          <w:color w:val="auto"/>
        </w:rPr>
        <w:t>period ended January 29, 2017. We elected to continue to estimate forfeitures expected to occur. In addition, we elected to adopt retrospectively the amendment to present excess tax benefits on share-based compensation as an operating activity, which resulted in a reclassification of $7 from Net cash used in financing activities to Net cash provided by operating activities in the Consolidated Statement of Cash Flows for the six-month period ended January 31, 2016. We also adopted retrospectively the amendment to present cash payments to tax authorities in connection with shares withheld to meet statutory tax withholding requirements as a financing activity. As a result, there was a reclassification of $20 from Net cash provided by operating activities to Net cash used in financing activities in the Consolidated Statement of Cash Flows for the six-month period ended January 31, 2016.</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We will prospectively apply the guidance to applicable transactions.</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FASB issued guidance that simplifies the test for goodwill impairment. Under the revised guidance, if a reporting unit’s carrying amount exceeds its fair value, an entity will record an impairment charge based on that difference. The impairment charge will be limited to the amount of goodwill allocated to that reporting unit. The revised guidance eliminates the current requirement to determine the fair value of individual assets and liabilities of a reporting unit to measure the goodwill impairment. The guidance is effective for fiscal years beginning after December 15, 2019, and interim periods within those years. Early adoption is permitted. We will apply the new guidance in performing future impairment assessments.</w:t>
      </w:r>
    </w:p>
    <w:p>
      <w:pPr>
        <w:spacing w:after="0" w:line="11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29,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8"/>
          <w:szCs w:val="18"/>
          <w:color w:val="auto"/>
        </w:rPr>
        <w:t>Included a tax expense of $6 as of January 29, 2017, and July 31, 2016.</w:t>
      </w:r>
    </w:p>
    <w:p>
      <w:pPr>
        <w:ind w:left="340" w:hanging="332"/>
        <w:spacing w:after="0" w:line="203"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8"/>
          <w:szCs w:val="18"/>
          <w:color w:val="auto"/>
        </w:rPr>
        <w:t>Included a tax benefit of $10 as of January 29, 2017, and $23 as of July 31, 2016.</w:t>
      </w:r>
    </w:p>
    <w:p>
      <w:pPr>
        <w:ind w:left="340" w:right="5140" w:hanging="332"/>
        <w:spacing w:after="0" w:line="321"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8"/>
          <w:szCs w:val="18"/>
          <w:color w:val="auto"/>
        </w:rPr>
        <w:t>Included a tax expense of $30 as of January 29, 2017, and $35 as of July 31, 2016. Amounts related to noncontrolling interests were not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4" w:right="2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0" w:type="dxa"/>
            <w:vAlign w:val="bottom"/>
          </w:tcPr>
          <w:p>
            <w:pPr>
              <w:spacing w:after="0"/>
              <w:rPr>
                <w:sz w:val="13"/>
                <w:szCs w:val="13"/>
                <w:color w:val="auto"/>
              </w:rPr>
            </w:pPr>
          </w:p>
        </w:tc>
        <w:tc>
          <w:tcPr>
            <w:tcW w:w="38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 Income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vMerge w:val="restart"/>
          </w:tcPr>
          <w:p>
            <w:pPr>
              <w:spacing w:after="0"/>
              <w:rPr>
                <w:sz w:val="13"/>
                <w:szCs w:val="13"/>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31, 2016</w:t>
            </w:r>
          </w:p>
        </w:tc>
        <w:tc>
          <w:tcPr>
            <w:tcW w:w="120" w:type="dxa"/>
            <w:vAlign w:val="bottom"/>
            <w:vMerge w:val="restart"/>
          </w:tcPr>
          <w:p>
            <w:pPr>
              <w:spacing w:after="0"/>
              <w:rPr>
                <w:sz w:val="13"/>
                <w:szCs w:val="13"/>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4"/>
              </w:rPr>
              <w:t>January 29, 2017</w:t>
            </w:r>
          </w:p>
        </w:tc>
        <w:tc>
          <w:tcPr>
            <w:tcW w:w="120" w:type="dxa"/>
            <w:vAlign w:val="bottom"/>
            <w:vMerge w:val="restart"/>
          </w:tcPr>
          <w:p>
            <w:pPr>
              <w:spacing w:after="0"/>
              <w:rPr>
                <w:sz w:val="13"/>
                <w:szCs w:val="13"/>
                <w:color w:val="auto"/>
              </w:rPr>
            </w:pPr>
          </w:p>
        </w:tc>
        <w:tc>
          <w:tcPr>
            <w:tcW w:w="1000" w:type="dxa"/>
            <w:vAlign w:val="bottom"/>
            <w:gridSpan w:val="2"/>
          </w:tcPr>
          <w:p>
            <w:pPr>
              <w:jc w:val="right"/>
              <w:ind w:right="50"/>
              <w:spacing w:after="0" w:line="153" w:lineRule="exact"/>
              <w:rPr>
                <w:sz w:val="20"/>
                <w:szCs w:val="20"/>
                <w:color w:val="auto"/>
              </w:rPr>
            </w:pPr>
            <w:r>
              <w:rPr>
                <w:rFonts w:ascii="Arial" w:cs="Arial" w:eastAsia="Arial" w:hAnsi="Arial"/>
                <w:sz w:val="14"/>
                <w:szCs w:val="14"/>
                <w:b w:val="1"/>
                <w:bCs w:val="1"/>
                <w:color w:val="auto"/>
              </w:rPr>
              <w:t>January 31,</w:t>
            </w:r>
          </w:p>
        </w:tc>
        <w:tc>
          <w:tcPr>
            <w:tcW w:w="120" w:type="dxa"/>
            <w:vAlign w:val="bottom"/>
          </w:tcPr>
          <w:p>
            <w:pPr>
              <w:spacing w:after="0"/>
              <w:rPr>
                <w:sz w:val="13"/>
                <w:szCs w:val="13"/>
                <w:color w:val="auto"/>
              </w:rPr>
            </w:pPr>
          </w:p>
        </w:tc>
        <w:tc>
          <w:tcPr>
            <w:tcW w:w="2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(Loss) Components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3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Pension and postretirement benefit adjustments:</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388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340" w:type="dxa"/>
            <w:vAlign w:val="bottom"/>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680" w:type="dxa"/>
            <w:vAlign w:val="bottom"/>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2720" w:type="dxa"/>
            <w:vAlign w:val="bottom"/>
            <w:gridSpan w:val="2"/>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3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3880" w:type="dxa"/>
            <w:vAlign w:val="bottom"/>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340" w:type="dxa"/>
            <w:vAlign w:val="bottom"/>
            <w:tcBorders>
              <w:top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0"/>
                <w:szCs w:val="20"/>
                <w:color w:val="auto"/>
              </w:rPr>
            </w:pPr>
          </w:p>
        </w:tc>
        <w:tc>
          <w:tcPr>
            <w:tcW w:w="7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20"/>
                <w:szCs w:val="20"/>
                <w:color w:val="auto"/>
              </w:rPr>
            </w:pP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20" w:type="dxa"/>
            <w:vAlign w:val="bottom"/>
            <w:gridSpan w:val="2"/>
            <w:vMerge w:val="restart"/>
          </w:tcPr>
          <w:p>
            <w:pPr>
              <w:jc w:val="right"/>
              <w:ind w:right="393"/>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3"/>
          <w:szCs w:val="13"/>
          <w:color w:val="auto"/>
        </w:rPr>
      </w:pPr>
      <w:r>
        <w:rPr>
          <w:rFonts w:ascii="Arial" w:cs="Arial" w:eastAsia="Arial" w:hAnsi="Arial"/>
          <w:sz w:val="18"/>
          <w:szCs w:val="18"/>
          <w:color w:val="auto"/>
        </w:rPr>
        <w:t>This is included in the components of net periodic benefit costs (see Note 8 for additional details).</w:t>
      </w:r>
    </w:p>
    <w:p>
      <w:pPr>
        <w:spacing w:after="0" w:line="5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balance at July 31, 2016</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Accumulated impairment charges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31, 2016</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Impairment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Balance at January 29, 2017</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775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749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540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2,064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color w:val="auto"/>
        </w:rPr>
        <w:t>In the fourth quarter of 2016, as part of our annual review of intangible assets, an impairment charge of $106 was recorded on goodwill for the Bolthouse Farms carrot and carrot ingredients reporting unit within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 During the second quarter of 2017, sales and operating profit performance for the reporting unit were well below our revised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 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goodwill impairment assessment as of December 31, 2016, which resulted in a $127 impairment charge to reduce the carrying amount to $75. The updated cash flow projections include expectations that operating margins will improve from reduced levels in 2016 and 2017.</w:t>
      </w:r>
    </w:p>
    <w:p>
      <w:pPr>
        <w:sectPr>
          <w:pgSz w:w="11900" w:h="16838" w:orient="portrait"/>
          <w:cols w:equalWidth="0" w:num="1">
            <w:col w:w="11420"/>
          </w:cols>
          <w:pgMar w:left="240" w:top="1314" w:right="239" w:bottom="1440" w:gutter="0" w:footer="0" w:header="0"/>
        </w:sect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4" w:right="239" w:bottom="1440" w:gutter="0" w:footer="0" w:header="0"/>
          <w:type w:val="continuous"/>
        </w:sectPr>
      </w:pPr>
    </w:p>
    <w:bookmarkStart w:id="10" w:name="page11"/>
    <w:bookmarkEnd w:id="10"/>
    <w:p>
      <w:pPr>
        <w:jc w:val="both"/>
        <w:ind w:firstLine="324"/>
        <w:spacing w:after="0" w:line="289" w:lineRule="auto"/>
        <w:rPr>
          <w:sz w:val="20"/>
          <w:szCs w:val="20"/>
          <w:color w:val="auto"/>
        </w:rPr>
      </w:pPr>
      <w:r>
        <w:rPr>
          <w:rFonts w:ascii="Arial" w:cs="Arial" w:eastAsia="Arial" w:hAnsi="Arial"/>
          <w:sz w:val="16"/>
          <w:szCs w:val="16"/>
          <w:color w:val="auto"/>
        </w:rPr>
        <w:t>Garden Fresh Gourmet was acquired in June 2015 and is a reporting unit within the Campbell Fresh segment. During 2017, sales and operating profit performance for Garden Fresh Gourmet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goodwill impairment assessment on this reporting unit as of December 31, 2016, which resulted in a $64 impairment charge to reduce the carrying amount to $52. The updated cash flow projections include expectations that we will build distribution in the U.S., operating margins will expand partly driven by the benefits from further integration, and sales growth rates will exceed the company's overall sales growth rates.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January 29,</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221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927</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was $10 for the six-month periods ended January 29, 2017, and January 31, 2016. Amortization expense for the next 5 years is estimated to be $20 in 2017, and $15 in 2018 through 2021. Asset useful lives range from 5 to 20 years.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fourth quarter of 2016, as part of our annual review of intangible assets, an impairment charge of $35 was recognized on the Bolthouse Farms carrot and carrot ingredients reporting unit trademark as a result of the factors previously described. Due to the factors previously described, we performed an interim impairment assessment as of December 31, 2016, which resulted in a $20 impairment charge on the trademark to reduce the carrying amount to $48.</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factors previously described, we also performed an interim impairment assessment as of December 31, 2016 on the trademark in the Garden Fresh Gourmet reporting unit, which resulted in a $1 impairment charge to reduce the carrying amount to $37.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manage our businesses in three segments focused mainly on product categories. The segments are:</w:t>
      </w:r>
    </w:p>
    <w:p>
      <w:pPr>
        <w:spacing w:after="0" w:line="171" w:lineRule="exact"/>
        <w:rPr>
          <w:rFonts w:ascii="Arial" w:cs="Arial" w:eastAsia="Arial" w:hAnsi="Arial"/>
          <w:sz w:val="18"/>
          <w:szCs w:val="18"/>
          <w:b w:val="1"/>
          <w:bCs w:val="1"/>
          <w:color w:val="auto"/>
        </w:rPr>
      </w:pPr>
    </w:p>
    <w:p>
      <w:pPr>
        <w:ind w:left="660" w:hanging="328"/>
        <w:spacing w:after="0" w:line="277" w:lineRule="auto"/>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p>
    <w:p>
      <w:pPr>
        <w:sectPr>
          <w:pgSz w:w="11900" w:h="16838" w:orient="portrait"/>
          <w:cols w:equalWidth="0" w:num="1">
            <w:col w:w="11420"/>
          </w:cols>
          <w:pgMar w:left="240" w:top="1233"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33" w:right="239" w:bottom="1440" w:gutter="0" w:footer="0" w:header="0"/>
          <w:type w:val="continuous"/>
        </w:sectPr>
      </w:pPr>
    </w:p>
    <w:bookmarkStart w:id="11" w:name="page12"/>
    <w:bookmarkEnd w:id="11"/>
    <w:p>
      <w:pPr>
        <w:ind w:left="660" w:right="20"/>
        <w:spacing w:after="0" w:line="324" w:lineRule="auto"/>
        <w:rPr>
          <w:sz w:val="20"/>
          <w:szCs w:val="20"/>
          <w:color w:val="auto"/>
        </w:rPr>
      </w:pPr>
      <w:r>
        <w:rPr>
          <w:rFonts w:ascii="Arial" w:cs="Arial" w:eastAsia="Arial" w:hAnsi="Arial"/>
          <w:sz w:val="18"/>
          <w:szCs w:val="18"/>
          <w:color w:val="auto"/>
        </w:rPr>
        <w:t xml:space="preserve">broth and stocks; </w:t>
      </w:r>
      <w:r>
        <w:rPr>
          <w:rFonts w:ascii="Arial" w:cs="Arial" w:eastAsia="Arial" w:hAnsi="Arial"/>
          <w:sz w:val="18"/>
          <w:szCs w:val="18"/>
          <w:i w:val="1"/>
          <w:iCs w:val="1"/>
          <w:color w:val="auto"/>
        </w:rPr>
        <w:t>Well Yes!</w:t>
      </w:r>
      <w:r>
        <w:rPr>
          <w:rFonts w:ascii="Arial" w:cs="Arial" w:eastAsia="Arial" w:hAnsi="Arial"/>
          <w:sz w:val="18"/>
          <w:szCs w:val="18"/>
          <w:color w:val="auto"/>
        </w:rPr>
        <w:t xml:space="preserve"> soups;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tomato juice;</w:t>
      </w:r>
    </w:p>
    <w:p>
      <w:pPr>
        <w:spacing w:after="0" w:line="89" w:lineRule="exact"/>
        <w:rPr>
          <w:sz w:val="20"/>
          <w:szCs w:val="20"/>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7"/>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35"/>
              <w:spacing w:after="0"/>
              <w:rPr>
                <w:sz w:val="20"/>
                <w:szCs w:val="20"/>
                <w:color w:val="auto"/>
              </w:rPr>
            </w:pPr>
            <w:r>
              <w:rPr>
                <w:rFonts w:ascii="Arial" w:cs="Arial" w:eastAsia="Arial" w:hAnsi="Arial"/>
                <w:sz w:val="14"/>
                <w:szCs w:val="14"/>
                <w:b w:val="1"/>
                <w:bCs w:val="1"/>
                <w:color w:val="auto"/>
                <w:w w:val="93"/>
              </w:rPr>
              <w:t>Six Months Ended</w:t>
            </w:r>
          </w:p>
        </w:tc>
      </w:tr>
      <w:tr>
        <w:trPr>
          <w:trHeight w:val="152"/>
        </w:trPr>
        <w:tc>
          <w:tcPr>
            <w:tcW w:w="6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5"/>
              </w:rPr>
              <w:t>January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220"/>
              <w:spacing w:after="0" w:line="153" w:lineRule="exact"/>
              <w:rPr>
                <w:sz w:val="20"/>
                <w:szCs w:val="20"/>
                <w:color w:val="auto"/>
              </w:rPr>
            </w:pPr>
            <w:r>
              <w:rPr>
                <w:rFonts w:ascii="Arial" w:cs="Arial" w:eastAsia="Arial" w:hAnsi="Arial"/>
                <w:sz w:val="14"/>
                <w:szCs w:val="14"/>
                <w:b w:val="1"/>
                <w:bCs w:val="1"/>
                <w:color w:val="auto"/>
                <w:w w:val="95"/>
              </w:rPr>
              <w:t>January 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63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2,528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2,539</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1,334</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260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531</w:t>
            </w:r>
          </w:p>
        </w:tc>
      </w:tr>
      <w:tr>
        <w:trPr>
          <w:trHeight w:val="27"/>
        </w:trPr>
        <w:tc>
          <w:tcPr>
            <w:tcW w:w="63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2,171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4,373</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4,404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r>
      <w:tr>
        <w:trPr>
          <w:trHeight w:val="461"/>
        </w:trPr>
        <w:tc>
          <w:tcPr>
            <w:tcW w:w="6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57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300" w:type="dxa"/>
            <w:vAlign w:val="bottom"/>
          </w:tcPr>
          <w:p>
            <w:pPr>
              <w:spacing w:after="0"/>
              <w:rPr>
                <w:sz w:val="13"/>
                <w:szCs w:val="13"/>
                <w:color w:val="auto"/>
              </w:rPr>
            </w:pPr>
          </w:p>
        </w:tc>
        <w:tc>
          <w:tcPr>
            <w:tcW w:w="1280" w:type="dxa"/>
            <w:vAlign w:val="bottom"/>
            <w:gridSpan w:val="4"/>
          </w:tcPr>
          <w:p>
            <w:pPr>
              <w:jc w:val="right"/>
              <w:ind w:right="360"/>
              <w:spacing w:after="0" w:line="153" w:lineRule="exact"/>
              <w:rPr>
                <w:sz w:val="20"/>
                <w:szCs w:val="20"/>
                <w:color w:val="auto"/>
              </w:rPr>
            </w:pPr>
            <w:r>
              <w:rPr>
                <w:rFonts w:ascii="Arial" w:cs="Arial" w:eastAsia="Arial" w:hAnsi="Arial"/>
                <w:sz w:val="14"/>
                <w:szCs w:val="14"/>
                <w:b w:val="1"/>
                <w:bCs w:val="1"/>
                <w:color w:val="auto"/>
              </w:rPr>
              <w:t>January 29,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3"/>
          </w:tcPr>
          <w:p>
            <w:pPr>
              <w:jc w:val="right"/>
              <w:ind w:right="400"/>
              <w:spacing w:after="0" w:line="153" w:lineRule="exact"/>
              <w:rPr>
                <w:sz w:val="20"/>
                <w:szCs w:val="20"/>
                <w:color w:val="auto"/>
              </w:rPr>
            </w:pPr>
            <w:r>
              <w:rPr>
                <w:rFonts w:ascii="Arial" w:cs="Arial" w:eastAsia="Arial" w:hAnsi="Arial"/>
                <w:sz w:val="14"/>
                <w:szCs w:val="14"/>
                <w:b w:val="1"/>
                <w:bCs w:val="1"/>
                <w:color w:val="auto"/>
                <w:w w:val="93"/>
              </w:rPr>
              <w:t>January 31,</w:t>
            </w:r>
          </w:p>
        </w:tc>
        <w:tc>
          <w:tcPr>
            <w:tcW w:w="100" w:type="dxa"/>
            <w:vAlign w:val="bottom"/>
          </w:tcPr>
          <w:p>
            <w:pPr>
              <w:spacing w:after="0"/>
              <w:rPr>
                <w:sz w:val="13"/>
                <w:szCs w:val="13"/>
                <w:color w:val="auto"/>
              </w:rPr>
            </w:pPr>
          </w:p>
        </w:tc>
        <w:tc>
          <w:tcPr>
            <w:tcW w:w="1140" w:type="dxa"/>
            <w:vAlign w:val="bottom"/>
            <w:gridSpan w:val="3"/>
          </w:tcPr>
          <w:p>
            <w:pPr>
              <w:jc w:val="right"/>
              <w:ind w:right="340"/>
              <w:spacing w:after="0" w:line="153" w:lineRule="exact"/>
              <w:rPr>
                <w:sz w:val="20"/>
                <w:szCs w:val="20"/>
                <w:color w:val="auto"/>
              </w:rPr>
            </w:pPr>
            <w:r>
              <w:rPr>
                <w:rFonts w:ascii="Arial" w:cs="Arial" w:eastAsia="Arial" w:hAnsi="Arial"/>
                <w:sz w:val="14"/>
                <w:szCs w:val="14"/>
                <w:b w:val="1"/>
                <w:bCs w:val="1"/>
                <w:color w:val="auto"/>
              </w:rPr>
              <w:t>January 29,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3"/>
              </w:rPr>
              <w:t>January 31,</w:t>
            </w:r>
          </w:p>
        </w:tc>
      </w:tr>
      <w:tr>
        <w:trPr>
          <w:trHeight w:val="192"/>
        </w:trPr>
        <w:tc>
          <w:tcPr>
            <w:tcW w:w="6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r>
      <w:tr>
        <w:trPr>
          <w:trHeight w:val="250"/>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240" w:type="dxa"/>
            <w:vAlign w:val="bottom"/>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21"/>
                <w:szCs w:val="21"/>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313</w:t>
            </w:r>
          </w:p>
        </w:tc>
        <w:tc>
          <w:tcPr>
            <w:tcW w:w="1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b w:val="1"/>
                <w:bCs w:val="1"/>
                <w:color w:val="auto"/>
              </w:rPr>
              <w:t>696</w:t>
            </w:r>
          </w:p>
        </w:tc>
        <w:tc>
          <w:tcPr>
            <w:tcW w:w="120" w:type="dxa"/>
            <w:vAlign w:val="bottom"/>
          </w:tcPr>
          <w:p>
            <w:pPr>
              <w:spacing w:after="0"/>
              <w:rPr>
                <w:sz w:val="21"/>
                <w:szCs w:val="21"/>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653</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135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39</w:t>
            </w:r>
          </w:p>
        </w:tc>
      </w:tr>
      <w:tr>
        <w:trPr>
          <w:trHeight w:val="27"/>
        </w:trPr>
        <w:tc>
          <w:tcPr>
            <w:tcW w:w="6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63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40" w:type="dxa"/>
            <w:vAlign w:val="bottom"/>
            <w:tcBorders>
              <w:right w:val="single" w:sz="8" w:color="CCEEFF"/>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tcBorders>
              <w:right w:val="single" w:sz="8" w:color="CCEEFF"/>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270"/>
        </w:trPr>
        <w:tc>
          <w:tcPr>
            <w:tcW w:w="6300" w:type="dxa"/>
            <w:vAlign w:val="bottom"/>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4"/>
        </w:trPr>
        <w:tc>
          <w:tcPr>
            <w:tcW w:w="6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205</w:t>
            </w:r>
          </w:p>
        </w:tc>
        <w:tc>
          <w:tcPr>
            <w:tcW w:w="14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662</w:t>
            </w:r>
          </w:p>
        </w:tc>
        <w:tc>
          <w:tcPr>
            <w:tcW w:w="12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729</w:t>
            </w:r>
          </w:p>
        </w:tc>
      </w:tr>
      <w:tr>
        <w:trPr>
          <w:trHeight w:val="20"/>
        </w:trPr>
        <w:tc>
          <w:tcPr>
            <w:tcW w:w="6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bl>
    <w:p>
      <w:pPr>
        <w:spacing w:after="0" w:line="13" w:lineRule="exact"/>
        <w:rPr>
          <w:sz w:val="20"/>
          <w:szCs w:val="20"/>
          <w:color w:val="auto"/>
        </w:rPr>
      </w:pPr>
    </w:p>
    <w:p>
      <w:pPr>
        <w:jc w:val="both"/>
        <w:ind w:left="340" w:hanging="332"/>
        <w:spacing w:after="0" w:line="251" w:lineRule="auto"/>
        <w:tabs>
          <w:tab w:leader="none" w:pos="34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Represents unallocated items. Pension and postretirement benefit mark-to-market adjustments are included in Corporate. Gains were $7 in the three-month period ended January 31, 2016, and losses were $20 and $121 in the six-month periods ended January 29, 2017, and January 31, 2016, respectively. Costs related to the implementation of our new organizational structure and cost savings initiatives were $7 in the three-month period ended January 31, 2016, and $11 and $22 in the six-month periods ended January 29, 2017, and January 31, 2016, respectively. Impairment charges of $212 on the intangible assets of the Bolthouse Farms carrot and carrot ingredients reporting unit and the Garden Fresh Gourmet reporting unit were also included in the three- and six-month periods ended in January 29, 2017. See Note 4 for additional information.</w:t>
      </w:r>
    </w:p>
    <w:p>
      <w:pPr>
        <w:ind w:left="340" w:hanging="332"/>
        <w:spacing w:after="0" w:line="180"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See Note 6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-968375</wp:posOffset>
            </wp:positionV>
            <wp:extent cx="3249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41" w:right="239" w:bottom="1440" w:gutter="0" w:footer="0" w:header="0"/>
        </w:sectPr>
      </w:pPr>
    </w:p>
    <w:bookmarkStart w:id="12" w:name="page13"/>
    <w:bookmarkEnd w:id="12"/>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9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5"/>
              </w:rPr>
              <w:t>January 31,</w:t>
            </w:r>
          </w:p>
        </w:tc>
      </w:tr>
      <w:tr>
        <w:trPr>
          <w:trHeight w:val="192"/>
        </w:trPr>
        <w:tc>
          <w:tcPr>
            <w:tcW w:w="6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Soup</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7"/>
              <w:spacing w:after="0"/>
              <w:rPr>
                <w:sz w:val="20"/>
                <w:szCs w:val="20"/>
                <w:color w:val="auto"/>
              </w:rPr>
            </w:pPr>
            <w:r>
              <w:rPr>
                <w:rFonts w:ascii="Arial" w:cs="Arial" w:eastAsia="Arial" w:hAnsi="Arial"/>
                <w:sz w:val="18"/>
                <w:szCs w:val="18"/>
                <w:b w:val="1"/>
                <w:bCs w:val="1"/>
                <w:color w:val="auto"/>
              </w:rPr>
              <w:t>831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1,694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1,678</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1,302</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14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b w:val="1"/>
                <w:bCs w:val="1"/>
                <w:color w:val="auto"/>
              </w:rPr>
              <w:t>436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865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876</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2,171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4,373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4,404</w:t>
            </w:r>
          </w:p>
        </w:tc>
      </w:tr>
      <w:tr>
        <w:trPr>
          <w:trHeight w:val="27"/>
        </w:trPr>
        <w:tc>
          <w:tcPr>
            <w:tcW w:w="65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11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such as adopting zero-based budgeting over time.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related to the implementation of the new organizational structure and costs savings initiatives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83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2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3"/>
                <w:szCs w:val="13"/>
                <w:color w:val="auto"/>
              </w:rPr>
            </w:pPr>
          </w:p>
        </w:tc>
        <w:tc>
          <w:tcPr>
            <w:tcW w:w="11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31,</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July 31,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8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2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37"/>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860" w:type="dxa"/>
            <w:vAlign w:val="bottom"/>
          </w:tcPr>
          <w:p>
            <w:pPr>
              <w:jc w:val="right"/>
              <w:ind w:right="65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3"/>
              <w:spacing w:after="0"/>
              <w:rPr>
                <w:sz w:val="20"/>
                <w:szCs w:val="20"/>
                <w:color w:val="auto"/>
              </w:rPr>
            </w:pPr>
            <w:r>
              <w:rPr>
                <w:rFonts w:ascii="Arial" w:cs="Arial" w:eastAsia="Arial" w:hAnsi="Arial"/>
                <w:sz w:val="18"/>
                <w:szCs w:val="18"/>
                <w:color w:val="auto"/>
                <w:w w:val="95"/>
              </w:rPr>
              <w:t>.17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2015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right"/>
              <w:ind w:right="197"/>
              <w:spacing w:after="0"/>
              <w:rPr>
                <w:sz w:val="20"/>
                <w:szCs w:val="20"/>
                <w:color w:val="auto"/>
              </w:rPr>
            </w:pPr>
            <w:r>
              <w:rPr>
                <w:rFonts w:ascii="Arial" w:cs="Arial" w:eastAsia="Arial" w:hAnsi="Arial"/>
                <w:sz w:val="14"/>
                <w:szCs w:val="14"/>
                <w:b w:val="1"/>
                <w:bCs w:val="1"/>
                <w:color w:val="auto"/>
                <w:w w:val="95"/>
              </w:rPr>
              <w:t>Recognized as of</w:t>
            </w:r>
          </w:p>
        </w:tc>
      </w:tr>
      <w:tr>
        <w:trPr>
          <w:trHeight w:val="192"/>
        </w:trPr>
        <w:tc>
          <w:tcPr>
            <w:tcW w:w="9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8"/>
              </w:rPr>
              <w:t>January 29, 2017</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Arial" w:cs="Arial" w:eastAsia="Arial" w:hAnsi="Arial"/>
                <w:sz w:val="18"/>
                <w:szCs w:val="18"/>
                <w:color w:val="auto"/>
              </w:rPr>
              <w:t>89</w:t>
            </w:r>
          </w:p>
        </w:tc>
      </w:tr>
      <w:tr>
        <w:trPr>
          <w:trHeight w:val="27"/>
        </w:trPr>
        <w:tc>
          <w:tcPr>
            <w:tcW w:w="9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217</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the 2015 initiatives for actions that have been identified are approximately $250 to $270. We expect to incur these costs through 2019. The estimates will be updated as costs for the expanded initiatives are developed.</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4" w:right="239" w:bottom="1440" w:gutter="0" w:footer="0" w:header="0"/>
          <w:type w:val="continuous"/>
        </w:sectPr>
      </w:pPr>
    </w:p>
    <w:bookmarkStart w:id="13" w:name="page14"/>
    <w:bookmarkEnd w:id="13"/>
    <w:p>
      <w:pPr>
        <w:jc w:val="both"/>
        <w:ind w:firstLine="324"/>
        <w:spacing w:after="0" w:line="259" w:lineRule="auto"/>
        <w:rPr>
          <w:sz w:val="20"/>
          <w:szCs w:val="20"/>
          <w:color w:val="auto"/>
        </w:rPr>
      </w:pPr>
      <w:r>
        <w:rPr>
          <w:rFonts w:ascii="Arial" w:cs="Arial" w:eastAsia="Arial" w:hAnsi="Arial"/>
          <w:sz w:val="18"/>
          <w:szCs w:val="18"/>
          <w:color w:val="auto"/>
        </w:rPr>
        <w:t>We expect the costs for actions that have been identified to date to consist of approximately $130 to $135 in severance pay and benefits, and approximately $120 to $135 in implementation costs and other related costs.We expect these total pre-tax costs related to the 2015 initiatives will be associated with segments as follows: Americas Simple Meals and Beverages - approximately 33%; Global Biscuits and Snacks - approximately 32%; Campbell Fresh - approximately 3%; and Corporate - approximately 32%.</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substantially all costs to be cash expenditures, except for $7 of non-cash postretirement and pension curtailment costs incurred in 2015. In addition, we expect to invest approximately $105 in capital expenditures through 2019 related to the construction of a network of distribution centers for our U.S. thermal plants.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2015 initiatives at January 29,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38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w w:val="97"/>
              </w:rPr>
              <w:t>Severance Pay and</w:t>
            </w:r>
          </w:p>
        </w:tc>
        <w:tc>
          <w:tcPr>
            <w:tcW w:w="12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80" w:type="dxa"/>
            <w:vAlign w:val="bottom"/>
          </w:tcPr>
          <w:p>
            <w:pPr>
              <w:spacing w:after="0"/>
              <w:rPr>
                <w:sz w:val="12"/>
                <w:szCs w:val="12"/>
                <w:color w:val="auto"/>
              </w:rPr>
            </w:pPr>
          </w:p>
        </w:tc>
        <w:tc>
          <w:tcPr>
            <w:tcW w:w="118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ind w:left="20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(3)</w:t>
            </w: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Accrued balance at July 31, 2016</w:t>
            </w:r>
            <w:r>
              <w:rPr>
                <w:rFonts w:ascii="Arial" w:cs="Arial" w:eastAsia="Arial" w:hAnsi="Arial"/>
                <w:sz w:val="25"/>
                <w:szCs w:val="25"/>
                <w:color w:val="auto"/>
                <w:vertAlign w:val="superscript"/>
              </w:rPr>
              <w:t>(1)</w:t>
            </w:r>
          </w:p>
        </w:tc>
        <w:tc>
          <w:tcPr>
            <w:tcW w:w="98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2017 charges</w:t>
            </w:r>
          </w:p>
        </w:tc>
        <w:tc>
          <w:tcPr>
            <w:tcW w:w="9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Pr>
          <w:p>
            <w:pPr>
              <w:jc w:val="right"/>
              <w:ind w:right="39"/>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2017 cash payments</w:t>
            </w:r>
          </w:p>
        </w:tc>
        <w:tc>
          <w:tcPr>
            <w:tcW w:w="9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8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Accrued balance at January 29, 2017</w:t>
            </w:r>
            <w:r>
              <w:rPr>
                <w:rFonts w:ascii="Arial" w:cs="Arial" w:eastAsia="Arial" w:hAnsi="Arial"/>
                <w:sz w:val="25"/>
                <w:szCs w:val="25"/>
                <w:b w:val="1"/>
                <w:bCs w:val="1"/>
                <w:color w:val="auto"/>
                <w:vertAlign w:val="superscript"/>
              </w:rPr>
              <w:t>(2)</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jc w:val="right"/>
              <w:ind w:right="3490"/>
              <w:spacing w:after="0"/>
              <w:rPr>
                <w:sz w:val="20"/>
                <w:szCs w:val="20"/>
                <w:color w:val="auto"/>
              </w:rPr>
            </w:pPr>
            <w:r>
              <w:rPr>
                <w:rFonts w:ascii="Arial" w:cs="Arial" w:eastAsia="Arial" w:hAnsi="Arial"/>
                <w:sz w:val="18"/>
                <w:szCs w:val="18"/>
                <w:color w:val="auto"/>
                <w:w w:val="89"/>
              </w:rPr>
              <w:t>_______________________________________</w:t>
            </w: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00" w:type="dxa"/>
            <w:vAlign w:val="bottom"/>
            <w:gridSpan w:val="2"/>
            <w:vMerge w:val="continue"/>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$17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Includes $6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right="80" w:hanging="332"/>
        <w:spacing w:after="0" w:line="208"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January 29, 2017</w:t>
            </w: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Three Months</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vMerge w:val="restart"/>
          </w:tcPr>
          <w:p>
            <w:pPr>
              <w:spacing w:after="0"/>
              <w:rPr>
                <w:sz w:val="13"/>
                <w:szCs w:val="13"/>
                <w:color w:val="auto"/>
              </w:rPr>
            </w:pPr>
          </w:p>
        </w:tc>
        <w:tc>
          <w:tcPr>
            <w:tcW w:w="12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rPr>
              <w:t>Costs Incurred to</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Ended</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7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2016, we recorded a reduction to restructuring charges of $4 ($3 after tax, or $.01 per share) related to the 2014 initiatives. Of the amounts recorded in 2016, $3 ($2 after tax, or $.01 per share) was recorded in the second quarter related to the 2014 initiative to improve supply chain efficiency in Australia. As of July 31, 2016, we incurred substantially all of the costs related to the 2014 initiatives.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8890</wp:posOffset>
            </wp:positionV>
            <wp:extent cx="29673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-130175</wp:posOffset>
            </wp:positionV>
            <wp:extent cx="29673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94"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Recognized as of August 2, 2015.</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14" w:right="239" w:bottom="1440" w:gutter="0" w:footer="0" w:header="0"/>
        </w:sectPr>
      </w:pPr>
    </w:p>
    <w:bookmarkStart w:id="14" w:name="page15"/>
    <w:bookmarkEnd w:id="14"/>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and six-month periods ended January 29, 2017, and January 31, 2016, excludes less than 1 million stock options that would have been antidilutive.</w:t>
      </w:r>
    </w:p>
    <w:p>
      <w:pPr>
        <w:spacing w:after="0" w:line="12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sponsor certain defined benefit pension and postretirement plans for employees. Actuarial gains and losses are recognized immediately in our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Earnings as of the measurement date, which is our fiscal year end, or more frequently if an interim remeasurement is required.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Components of net benefit (income) / expense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9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29,</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31,</w:t>
            </w:r>
          </w:p>
        </w:tc>
        <w:tc>
          <w:tcPr>
            <w:tcW w:w="14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31,</w:t>
            </w:r>
          </w:p>
        </w:tc>
        <w:tc>
          <w:tcPr>
            <w:tcW w:w="160" w:type="dxa"/>
            <w:vAlign w:val="bottom"/>
          </w:tcPr>
          <w:p>
            <w:pPr>
              <w:spacing w:after="0"/>
              <w:rPr>
                <w:sz w:val="13"/>
                <w:szCs w:val="13"/>
                <w:color w:val="auto"/>
              </w:rPr>
            </w:pPr>
          </w:p>
        </w:tc>
        <w:tc>
          <w:tcPr>
            <w:tcW w:w="10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29,</w:t>
            </w:r>
          </w:p>
        </w:tc>
        <w:tc>
          <w:tcPr>
            <w:tcW w:w="160" w:type="dxa"/>
            <w:vAlign w:val="bottom"/>
          </w:tcPr>
          <w:p>
            <w:pPr>
              <w:spacing w:after="0"/>
              <w:rPr>
                <w:sz w:val="13"/>
                <w:szCs w:val="13"/>
                <w:color w:val="auto"/>
              </w:rPr>
            </w:pPr>
          </w:p>
        </w:tc>
        <w:tc>
          <w:tcPr>
            <w:tcW w:w="98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5"/>
              </w:rPr>
              <w:t>January 31,</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21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Expected return on</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160" w:type="dxa"/>
            <w:vAlign w:val="bottom"/>
          </w:tcPr>
          <w:p>
            <w:pPr>
              <w:spacing w:after="0"/>
              <w:rPr>
                <w:sz w:val="19"/>
                <w:szCs w:val="19"/>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w w:val="97"/>
              </w:rPr>
              <w:t>prior service credit</w:t>
            </w:r>
          </w:p>
        </w:tc>
        <w:tc>
          <w:tcPr>
            <w:tcW w:w="1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net</w:t>
            </w:r>
          </w:p>
        </w:tc>
        <w:tc>
          <w:tcPr>
            <w:tcW w:w="160" w:type="dxa"/>
            <w:vAlign w:val="bottom"/>
            <w:shd w:val="clear" w:color="auto" w:fill="CCEEFF"/>
          </w:tcPr>
          <w:p>
            <w:pPr>
              <w:spacing w:after="0"/>
              <w:rPr>
                <w:sz w:val="19"/>
                <w:szCs w:val="19"/>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actuarial (gain)/loss</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vMerge w:val="continue"/>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vMerge w:val="continue"/>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vMerge w:val="continue"/>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tcPr>
          <w:p>
            <w:pPr>
              <w:ind w:left="40"/>
              <w:spacing w:after="0"/>
              <w:rPr>
                <w:sz w:val="20"/>
                <w:szCs w:val="20"/>
                <w:color w:val="auto"/>
              </w:rPr>
            </w:pPr>
            <w:r>
              <w:rPr>
                <w:rFonts w:ascii="Arial" w:cs="Arial" w:eastAsia="Arial" w:hAnsi="Arial"/>
                <w:sz w:val="18"/>
                <w:szCs w:val="18"/>
                <w:color w:val="auto"/>
              </w:rPr>
              <w:t>Net periodic</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tcPr>
          <w:p>
            <w:pPr>
              <w:ind w:left="40"/>
              <w:spacing w:after="0"/>
              <w:rPr>
                <w:sz w:val="20"/>
                <w:szCs w:val="20"/>
                <w:color w:val="auto"/>
              </w:rPr>
            </w:pPr>
            <w:r>
              <w:rPr>
                <w:rFonts w:ascii="Arial" w:cs="Arial" w:eastAsia="Arial" w:hAnsi="Arial"/>
                <w:sz w:val="18"/>
                <w:szCs w:val="18"/>
                <w:color w:val="auto"/>
              </w:rPr>
              <w:t>benefit (income) /</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w:t>
            </w:r>
          </w:p>
        </w:tc>
        <w:tc>
          <w:tcPr>
            <w:tcW w:w="14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8"/>
                <w:szCs w:val="18"/>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2"/>
        </w:trPr>
        <w:tc>
          <w:tcPr>
            <w:tcW w:w="1500" w:type="dxa"/>
            <w:vAlign w:val="bottom"/>
          </w:tcPr>
          <w:p>
            <w:pPr>
              <w:ind w:left="40"/>
              <w:spacing w:after="0"/>
              <w:rPr>
                <w:sz w:val="20"/>
                <w:szCs w:val="20"/>
                <w:color w:val="auto"/>
              </w:rPr>
            </w:pPr>
            <w:r>
              <w:rPr>
                <w:rFonts w:ascii="Arial" w:cs="Arial" w:eastAsia="Arial" w:hAnsi="Arial"/>
                <w:sz w:val="18"/>
                <w:szCs w:val="18"/>
                <w:color w:val="auto"/>
              </w:rPr>
              <w:t>expense</w:t>
            </w:r>
          </w:p>
        </w:tc>
        <w:tc>
          <w:tcPr>
            <w:tcW w:w="1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July 2016, the retirement medical program was amended and beginning on January 1, 2017, we no longer sponsor our own medical coverage for certain Medicare-eligible retirees. Instead, we offer these Medicare-eligible retirees access to health care coverage through a private exchange and offer a health reimbursement account to subsidize benefits for a select group of retirees. The prior service credit is primarily related to the amendment in July 2016.</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recognized net actuarial loss in 2016 resulted from the remeasurement of certain U.S. plans in the first and second quarters. The remeasurement was required due to a high level of lump sum payments to certain vested plan participants arising primarily out of a limited-time offer to accept a single lump sum in lieu of future annuity payments.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 contributions are expected to be made to U.S. pension plans in 2017. Contributions to non-U.S. pension plans during the six-month period ended January 29, 2017, were $3. We expect contributions to non-U.S. pension plans during the remainder of the year to be approximately $2.</w:t>
      </w:r>
    </w:p>
    <w:p>
      <w:pPr>
        <w:spacing w:after="0" w:line="89"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January 29, 2017, or July 31, 2016.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2016,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40% of our consolidated net sales in 2016.</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ectPr>
          <w:pgSz w:w="11900" w:h="16838" w:orient="portrait"/>
          <w:cols w:equalWidth="0" w:num="1">
            <w:col w:w="11420"/>
          </w:cols>
          <w:pgMar w:left="240" w:top="131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0"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$71 at January 29, 2017, and $91 at July 31, 2016. The effective portion of the changes in fair value on these instruments is recorded in other comprehensive income (loss) and is reclassified into the Consolidated Statements of Earnings on the same line item and in the same period in which the underlying hedged transaction affects earnings. The notional amount of foreign exchange forward contracts that are not designated as accounting hedges was $118 and $175 at January 29, 2017, and July 31, 2016, respectively. There were no cross-currency swap contracts outstanding as of January 29, 2017, or July 31,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January 29, 2017 and at July 31, 2016, which relates to an anticipated debt issuance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cocoa, aluminum, natural gas, soybean oil,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January 29, 2017, or July 31, 2016. The notional amount of commodity contracts not designated as accounting hedges was $58 at January 29, 2017, and $88 at July 31, 2016.</w:t>
      </w:r>
    </w:p>
    <w:p>
      <w:pPr>
        <w:spacing w:after="0" w:line="1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is approximately $75 as of January 29, 2017. The fair value was not material as of January 29, 2017. Unrealized gains (losses) and settlements are included in Cost of products sold in our Consolidated Statements of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January 29, 2017, and July 31, 2016, were $45 and $44,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4" w:right="239" w:bottom="1440" w:gutter="0" w:footer="0" w:header="0"/>
        </w:sectPr>
      </w:pPr>
    </w:p>
    <w:bookmarkStart w:id="16" w:name="page17"/>
    <w:bookmarkEnd w:id="16"/>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January 29, 2017, and July 31,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January 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January 29,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31,</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January 29, 2017, and July 31, 2016,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January 29, 2017</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31, 2016</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17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January 29, 2017, and July 31, 2016, a cash margin account balance of $1 and $5, respectively, was included in Other current assets in the Consolidated Balance Sheets.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six-month periods ended January 29, 2017, and January 31, 2016, in other comprehensive income (loss) (OCI) and the Consolidated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r>
      <w:tr>
        <w:trPr>
          <w:trHeight w:val="149"/>
        </w:trPr>
        <w:tc>
          <w:tcPr>
            <w:tcW w:w="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20" w:type="dxa"/>
            <w:vAlign w:val="bottom"/>
            <w:gridSpan w:val="3"/>
          </w:tcPr>
          <w:p>
            <w:pPr>
              <w:jc w:val="right"/>
              <w:ind w:right="54"/>
              <w:spacing w:after="0" w:line="149" w:lineRule="exact"/>
              <w:rPr>
                <w:sz w:val="20"/>
                <w:szCs w:val="20"/>
                <w:color w:val="auto"/>
              </w:rPr>
            </w:pPr>
            <w:r>
              <w:rPr>
                <w:rFonts w:ascii="Arial" w:cs="Arial" w:eastAsia="Arial" w:hAnsi="Arial"/>
                <w:sz w:val="14"/>
                <w:szCs w:val="14"/>
                <w:b w:val="1"/>
                <w:bCs w:val="1"/>
                <w:color w:val="auto"/>
              </w:rPr>
              <w:t>Cash-Flow Hedge</w:t>
            </w: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214"/>
              <w:spacing w:after="0"/>
              <w:rPr>
                <w:sz w:val="20"/>
                <w:szCs w:val="20"/>
                <w:color w:val="auto"/>
              </w:rPr>
            </w:pPr>
            <w:r>
              <w:rPr>
                <w:rFonts w:ascii="Arial" w:cs="Arial" w:eastAsia="Arial" w:hAnsi="Arial"/>
                <w:sz w:val="14"/>
                <w:szCs w:val="14"/>
                <w:b w:val="1"/>
                <w:bCs w:val="1"/>
                <w:color w:val="auto"/>
              </w:rPr>
              <w:t>OCI Activity</w:t>
            </w:r>
          </w:p>
        </w:tc>
        <w:tc>
          <w:tcPr>
            <w:tcW w:w="480" w:type="dxa"/>
            <w:vAlign w:val="bottom"/>
            <w:tcBorders>
              <w:bottom w:val="single" w:sz="8" w:color="auto"/>
            </w:tcBorders>
          </w:tcPr>
          <w:p>
            <w:pPr>
              <w:spacing w:after="0"/>
              <w:rPr>
                <w:sz w:val="16"/>
                <w:szCs w:val="16"/>
                <w:color w:val="auto"/>
              </w:rPr>
            </w:pPr>
          </w:p>
        </w:tc>
      </w:tr>
      <w:tr>
        <w:trPr>
          <w:trHeight w:val="264"/>
        </w:trPr>
        <w:tc>
          <w:tcPr>
            <w:tcW w:w="64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4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29, 2017</w:t>
            </w: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January 31, 2016</w:t>
            </w:r>
          </w:p>
        </w:tc>
      </w:tr>
      <w:tr>
        <w:trPr>
          <w:trHeight w:val="189"/>
        </w:trPr>
        <w:tc>
          <w:tcPr>
            <w:tcW w:w="6400" w:type="dxa"/>
            <w:vAlign w:val="bottom"/>
            <w:tcBorders>
              <w:top w:val="single" w:sz="8" w:color="auto"/>
            </w:tcBorders>
            <w:gridSpan w:val="4"/>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auto"/>
            </w:tcBorders>
            <w:shd w:val="clear" w:color="auto" w:fill="CCEEFF"/>
          </w:tcPr>
          <w:p>
            <w:pPr>
              <w:spacing w:after="0"/>
              <w:rPr>
                <w:sz w:val="5"/>
                <w:szCs w:val="5"/>
                <w:color w:val="auto"/>
              </w:rPr>
            </w:pPr>
          </w:p>
        </w:tc>
        <w:tc>
          <w:tcPr>
            <w:tcW w:w="180" w:type="dxa"/>
            <w:vAlign w:val="bottom"/>
            <w:tcBorders>
              <w:top w:val="single" w:sz="8" w:color="auto"/>
            </w:tcBorders>
            <w:shd w:val="clear" w:color="auto" w:fill="CCEEFF"/>
          </w:tcPr>
          <w:p>
            <w:pPr>
              <w:spacing w:after="0"/>
              <w:rPr>
                <w:sz w:val="5"/>
                <w:szCs w:val="5"/>
                <w:color w:val="auto"/>
              </w:rPr>
            </w:pPr>
          </w:p>
        </w:tc>
        <w:tc>
          <w:tcPr>
            <w:tcW w:w="49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2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3020" w:type="dxa"/>
            <w:vAlign w:val="bottom"/>
            <w:gridSpan w:val="4"/>
          </w:tcPr>
          <w:p>
            <w:pPr>
              <w:ind w:left="268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21"/>
                <w:szCs w:val="21"/>
                <w:color w:val="auto"/>
              </w:rPr>
            </w:pPr>
          </w:p>
        </w:tc>
        <w:tc>
          <w:tcPr>
            <w:tcW w:w="660" w:type="dxa"/>
            <w:vAlign w:val="bottom"/>
          </w:tcPr>
          <w:p>
            <w:pPr>
              <w:jc w:val="right"/>
              <w:ind w:right="45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03"/>
        </w:trPr>
        <w:tc>
          <w:tcPr>
            <w:tcW w:w="64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Pr>
          <w:p>
            <w:pPr>
              <w:spacing w:after="0"/>
              <w:rPr>
                <w:sz w:val="17"/>
                <w:szCs w:val="17"/>
                <w:color w:val="auto"/>
              </w:rPr>
            </w:pPr>
          </w:p>
        </w:tc>
        <w:tc>
          <w:tcPr>
            <w:tcW w:w="2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90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Other expenses / (income)</w:t>
            </w: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40" w:type="dxa"/>
            <w:vAlign w:val="bottom"/>
            <w:gridSpan w:val="3"/>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67"/>
        </w:trPr>
        <w:tc>
          <w:tcPr>
            <w:tcW w:w="4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49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r>
      <w:tr>
        <w:trPr>
          <w:trHeight w:val="189"/>
        </w:trPr>
        <w:tc>
          <w:tcPr>
            <w:tcW w:w="6400" w:type="dxa"/>
            <w:vAlign w:val="bottom"/>
            <w:gridSpan w:val="4"/>
          </w:tcPr>
          <w:p>
            <w:pPr>
              <w:ind w:left="40"/>
              <w:spacing w:after="0"/>
              <w:rPr>
                <w:sz w:val="20"/>
                <w:szCs w:val="20"/>
                <w:color w:val="auto"/>
              </w:rPr>
            </w:pPr>
            <w:r>
              <w:rPr>
                <w:rFonts w:ascii="Arial" w:cs="Arial" w:eastAsia="Arial" w:hAnsi="Arial"/>
                <w:sz w:val="16"/>
                <w:szCs w:val="16"/>
                <w:b w:val="1"/>
                <w:bCs w:val="1"/>
                <w:color w:val="auto"/>
              </w:rPr>
              <w:t>Six Months Ended</w:t>
            </w: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61"/>
        </w:trPr>
        <w:tc>
          <w:tcPr>
            <w:tcW w:w="40" w:type="dxa"/>
            <w:vAlign w:val="bottom"/>
          </w:tcPr>
          <w:p>
            <w:pPr>
              <w:spacing w:after="0"/>
              <w:rPr>
                <w:sz w:val="5"/>
                <w:szCs w:val="5"/>
                <w:color w:val="auto"/>
              </w:rPr>
            </w:pPr>
          </w:p>
        </w:tc>
        <w:tc>
          <w:tcPr>
            <w:tcW w:w="128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4900" w:type="dxa"/>
            <w:vAlign w:val="bottom"/>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80" w:type="dxa"/>
            <w:vAlign w:val="bottom"/>
          </w:tcPr>
          <w:p>
            <w:pPr>
              <w:spacing w:after="0"/>
              <w:rPr>
                <w:sz w:val="5"/>
                <w:szCs w:val="5"/>
                <w:color w:val="auto"/>
              </w:rPr>
            </w:pPr>
          </w:p>
        </w:tc>
        <w:tc>
          <w:tcPr>
            <w:tcW w:w="3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3020" w:type="dxa"/>
            <w:vAlign w:val="bottom"/>
            <w:tcBorders>
              <w:bottom w:val="single" w:sz="8" w:color="CCEEFF"/>
            </w:tcBorders>
            <w:gridSpan w:val="4"/>
            <w:shd w:val="clear" w:color="auto" w:fill="CCEEFF"/>
          </w:tcPr>
          <w:p>
            <w:pPr>
              <w:ind w:left="26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360" w:type="dxa"/>
            <w:vAlign w:val="bottom"/>
            <w:tcBorders>
              <w:bottom w:val="single" w:sz="8" w:color="CCEEFF"/>
            </w:tcBorders>
            <w:gridSpan w:val="2"/>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298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3020" w:type="dxa"/>
            <w:vAlign w:val="bottom"/>
            <w:tcBorders>
              <w:bottom w:val="single" w:sz="8" w:color="CCEEFF"/>
            </w:tcBorders>
            <w:gridSpan w:val="4"/>
            <w:shd w:val="clear" w:color="auto" w:fill="CCEEFF"/>
          </w:tcPr>
          <w:p>
            <w:pPr>
              <w:ind w:left="26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$8.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100" w:type="dxa"/>
            <w:vAlign w:val="bottom"/>
            <w:tcBorders>
              <w:bottom w:val="single" w:sz="8" w:color="auto"/>
            </w:tcBorders>
            <w:gridSpan w:val="9"/>
          </w:tcPr>
          <w:p>
            <w:pPr>
              <w:ind w:left="200"/>
              <w:spacing w:after="0"/>
              <w:rPr>
                <w:sz w:val="20"/>
                <w:szCs w:val="20"/>
                <w:color w:val="auto"/>
              </w:rPr>
            </w:pPr>
            <w:r>
              <w:rPr>
                <w:rFonts w:ascii="Arial" w:cs="Arial" w:eastAsia="Arial" w:hAnsi="Arial"/>
                <w:sz w:val="14"/>
                <w:szCs w:val="14"/>
                <w:b w:val="1"/>
                <w:bCs w:val="1"/>
                <w:color w:val="auto"/>
                <w:w w:val="93"/>
              </w:rPr>
              <w:t>Amount of (Gain) Loss Recognized in Earnings on Derivatives</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Location of (Gain) Loss</w:t>
            </w: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w w:val="99"/>
              </w:rPr>
              <w:t>Three Months Ended</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vMerge w:val="restart"/>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31, 2016</w:t>
            </w:r>
          </w:p>
        </w:tc>
        <w:tc>
          <w:tcPr>
            <w:tcW w:w="100" w:type="dxa"/>
            <w:vAlign w:val="bottom"/>
            <w:vMerge w:val="restart"/>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29, 2017</w:t>
            </w:r>
          </w:p>
        </w:tc>
        <w:tc>
          <w:tcPr>
            <w:tcW w:w="100" w:type="dxa"/>
            <w:vAlign w:val="bottom"/>
            <w:vMerge w:val="restart"/>
          </w:tcPr>
          <w:p>
            <w:pPr>
              <w:spacing w:after="0"/>
              <w:rPr>
                <w:sz w:val="6"/>
                <w:szCs w:val="6"/>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January 31, 2016</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34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6"/>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Variable Interest Entity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February 2016, we agreed to make a $125 capital commitment to Acre Venture Partners, L.P. (Acre), a limited partnership formed to make venture capital investments in innovative new companies in food and food-related industries. Acre is managed</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jc w:val="both"/>
        <w:spacing w:after="0" w:line="257" w:lineRule="auto"/>
        <w:rPr>
          <w:sz w:val="20"/>
          <w:szCs w:val="20"/>
          <w:color w:val="auto"/>
        </w:rPr>
      </w:pPr>
      <w:r>
        <w:rPr>
          <w:rFonts w:ascii="Arial" w:cs="Arial" w:eastAsia="Arial" w:hAnsi="Arial"/>
          <w:sz w:val="18"/>
          <w:szCs w:val="18"/>
          <w:color w:val="auto"/>
        </w:rPr>
        <w:t>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January 29, 2017, we funded $51 of the capital commitment. Except for the remaining unfunded capital commitment of $74, we do not have obligations to provide additional financial or other support to Acre.</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The investments were $47 and $34 as of January 29, 2017, and July 31, 2016, respectively, and are included in Other assets on the Consolidated Balance Sheets. Changes in the fair values of investments for which the fair value option was elected are included in Other expenses / (income) on the Consolidated Statements of Earnings. Changes in the fair value were not material through January 29, 2017. Current assets and liabilities of Acre were not material as of January 29, 2017, or July 31, 2016.</w:t>
      </w:r>
    </w:p>
    <w:p>
      <w:pPr>
        <w:spacing w:after="0" w:line="130"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January 29, 2017, and July 31, 2016,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7"/>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2"/>
              </w:rPr>
              <w:t>January 29, 2017 Using</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January 29,</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Fair value option</w:t>
            </w:r>
          </w:p>
        </w:tc>
        <w:tc>
          <w:tcPr>
            <w:tcW w:w="16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(4)</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500" w:type="dxa"/>
            <w:vAlign w:val="bottom"/>
            <w:gridSpan w:val="3"/>
          </w:tcPr>
          <w:p>
            <w:pPr>
              <w:ind w:left="40"/>
              <w:spacing w:after="0"/>
              <w:rPr>
                <w:sz w:val="20"/>
                <w:szCs w:val="20"/>
                <w:color w:val="auto"/>
              </w:rPr>
            </w:pPr>
            <w:r>
              <w:rPr>
                <w:rFonts w:ascii="Arial" w:cs="Arial" w:eastAsia="Arial" w:hAnsi="Arial"/>
                <w:sz w:val="18"/>
                <w:szCs w:val="18"/>
                <w:color w:val="auto"/>
                <w:w w:val="97"/>
              </w:rPr>
              <w:t>Total assets at fair</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52</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2</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1500" w:type="dxa"/>
            <w:vAlign w:val="bottom"/>
            <w:gridSpan w:val="3"/>
          </w:tcPr>
          <w:p>
            <w:pPr>
              <w:ind w:left="40"/>
              <w:spacing w:after="0"/>
              <w:rPr>
                <w:sz w:val="20"/>
                <w:szCs w:val="20"/>
                <w:color w:val="auto"/>
              </w:rPr>
            </w:pPr>
            <w:r>
              <w:rPr>
                <w:rFonts w:ascii="Arial" w:cs="Arial" w:eastAsia="Arial" w:hAnsi="Arial"/>
                <w:sz w:val="18"/>
                <w:szCs w:val="18"/>
                <w:color w:val="auto"/>
              </w:rPr>
              <w:t>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7"/>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2"/>
              </w:rPr>
              <w:t>January 29, 2017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January 29,</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7"/>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15</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(5)</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2"/>
                <w:szCs w:val="22"/>
                <w:color w:val="auto"/>
              </w:rPr>
            </w:pPr>
          </w:p>
        </w:tc>
        <w:tc>
          <w:tcPr>
            <w:tcW w:w="114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151</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420" w:type="dxa"/>
            <w:vAlign w:val="bottom"/>
            <w:gridSpan w:val="3"/>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18</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vMerge w:val="continue"/>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20" w:type="dxa"/>
            <w:vAlign w:val="bottom"/>
            <w:gridSpan w:val="3"/>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57" w:lineRule="auto"/>
        <w:tabs>
          <w:tab w:leader="none" w:pos="340"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10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through January 29, 2017.</w:t>
      </w:r>
    </w:p>
    <w:p>
      <w:pPr>
        <w:ind w:left="340" w:hanging="332"/>
        <w:spacing w:after="0" w:line="180"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7"/>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$106 on goodwill and $35 on a trademark of the Bolthouse Farms carrot and carrot ingredients reporting unit. During the second quarter of 2017, we performed an interim impairment assessment as of December 31, 2016, and recognized an impairment charge of $127 on goodwill and $20 on a trademark of the Bolthouse Farms carrot and carrot ingredients reporting unit.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2017, we performed an interim impairment assessment of the Garden Fresh Gourmet reporting unit as of December 31, 2016, and recognized an impairment charge of $64 on goodwill and $1 on a trademark.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was determined based on unobservable Level 3 inputs. The fair value of goodwill was determined based on discounted cash flow analysis that include significant management assumptions such as revenue growth rates, operating margins, weighted average cost of capital, and future economic and market conditions. The fair value of trademarks was determined based on discounted cash flow analysis that include significant management assumptions such as revenue growth rates, weighted average cost of capital and assumed royalty rates.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74" w:right="239" w:bottom="1440" w:gutter="0" w:footer="0" w:header="0"/>
        </w:sectPr>
      </w:pPr>
    </w:p>
    <w:bookmarkStart w:id="20" w:name="page21"/>
    <w:bookmarkEnd w:id="20"/>
    <w:p>
      <w:pPr>
        <w:jc w:val="both"/>
        <w:ind w:firstLine="324"/>
        <w:spacing w:after="0" w:line="277" w:lineRule="auto"/>
        <w:rPr>
          <w:sz w:val="20"/>
          <w:szCs w:val="20"/>
          <w:color w:val="auto"/>
        </w:rPr>
      </w:pPr>
      <w:r>
        <w:rPr>
          <w:rFonts w:ascii="Arial" w:cs="Arial" w:eastAsia="Arial" w:hAnsi="Arial"/>
          <w:sz w:val="18"/>
          <w:szCs w:val="18"/>
          <w:color w:val="auto"/>
        </w:rPr>
        <w:t>The following table presents fair value measurements of intangible assets that were recognized in the second quarter of 2017 and the fourth quarter of 2016, respectively, consistent with the fair value hierarchy:</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January 29, 2017</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96"/>
              <w:spacing w:after="0"/>
              <w:rPr>
                <w:sz w:val="20"/>
                <w:szCs w:val="20"/>
                <w:color w:val="auto"/>
              </w:rPr>
            </w:pPr>
            <w:r>
              <w:rPr>
                <w:rFonts w:ascii="Arial" w:cs="Arial" w:eastAsia="Arial" w:hAnsi="Arial"/>
                <w:sz w:val="14"/>
                <w:szCs w:val="14"/>
                <w:b w:val="1"/>
                <w:bCs w:val="1"/>
                <w:color w:val="auto"/>
              </w:rPr>
              <w:t>July 31, 2016</w:t>
            </w:r>
          </w:p>
        </w:tc>
      </w:tr>
      <w:tr>
        <w:trPr>
          <w:trHeight w:val="263"/>
        </w:trPr>
        <w:tc>
          <w:tcPr>
            <w:tcW w:w="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Impairment Charges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Impairment Charges</w:t>
            </w:r>
          </w:p>
        </w:tc>
        <w:tc>
          <w:tcPr>
            <w:tcW w:w="220" w:type="dxa"/>
            <w:vAlign w:val="bottom"/>
          </w:tcPr>
          <w:p>
            <w:pPr>
              <w:spacing w:after="0"/>
              <w:rPr>
                <w:sz w:val="22"/>
                <w:szCs w:val="22"/>
                <w:color w:val="auto"/>
              </w:rPr>
            </w:pPr>
          </w:p>
        </w:tc>
        <w:tc>
          <w:tcPr>
            <w:tcW w:w="1120" w:type="dxa"/>
            <w:vAlign w:val="bottom"/>
          </w:tcPr>
          <w:p>
            <w:pPr>
              <w:jc w:val="right"/>
              <w:ind w:right="276"/>
              <w:spacing w:after="0"/>
              <w:rPr>
                <w:sz w:val="20"/>
                <w:szCs w:val="20"/>
                <w:color w:val="auto"/>
              </w:rPr>
            </w:pPr>
            <w:r>
              <w:rPr>
                <w:rFonts w:ascii="Arial" w:cs="Arial" w:eastAsia="Arial" w:hAnsi="Arial"/>
                <w:sz w:val="14"/>
                <w:szCs w:val="14"/>
                <w:b w:val="1"/>
                <w:bCs w:val="1"/>
                <w:color w:val="auto"/>
              </w:rPr>
              <w:t>Fair Value</w:t>
            </w:r>
          </w:p>
        </w:tc>
      </w:tr>
      <w:tr>
        <w:trPr>
          <w:trHeight w:val="311"/>
        </w:trPr>
        <w:tc>
          <w:tcPr>
            <w:tcW w:w="60" w:type="dxa"/>
            <w:vAlign w:val="bottom"/>
          </w:tcPr>
          <w:p>
            <w:pPr>
              <w:spacing w:after="0"/>
              <w:rPr>
                <w:sz w:val="24"/>
                <w:szCs w:val="24"/>
                <w:color w:val="auto"/>
              </w:rPr>
            </w:pPr>
          </w:p>
        </w:tc>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Bolthouse Farms Carrot and Carrot Ingredients</w:t>
            </w:r>
          </w:p>
        </w:tc>
        <w:tc>
          <w:tcPr>
            <w:tcW w:w="5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358"/>
        </w:trPr>
        <w:tc>
          <w:tcPr>
            <w:tcW w:w="60" w:type="dxa"/>
            <w:vAlign w:val="bottom"/>
          </w:tcPr>
          <w:p>
            <w:pPr>
              <w:spacing w:after="0"/>
              <w:rPr>
                <w:sz w:val="24"/>
                <w:szCs w:val="24"/>
                <w:color w:val="auto"/>
              </w:rPr>
            </w:pPr>
          </w:p>
        </w:tc>
        <w:tc>
          <w:tcPr>
            <w:tcW w:w="5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75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w:t>
            </w:r>
          </w:p>
        </w:tc>
      </w:tr>
      <w:tr>
        <w:trPr>
          <w:trHeight w:val="351"/>
        </w:trPr>
        <w:tc>
          <w:tcPr>
            <w:tcW w:w="60" w:type="dxa"/>
            <w:vAlign w:val="bottom"/>
          </w:tcPr>
          <w:p>
            <w:pPr>
              <w:spacing w:after="0"/>
              <w:rPr>
                <w:sz w:val="24"/>
                <w:szCs w:val="24"/>
                <w:color w:val="auto"/>
              </w:rPr>
            </w:pPr>
          </w:p>
        </w:tc>
        <w:tc>
          <w:tcPr>
            <w:tcW w:w="5520" w:type="dxa"/>
            <w:vAlign w:val="bottom"/>
          </w:tcPr>
          <w:p>
            <w:pPr>
              <w:ind w:left="360"/>
              <w:spacing w:after="0"/>
              <w:rPr>
                <w:sz w:val="20"/>
                <w:szCs w:val="20"/>
                <w:color w:val="auto"/>
              </w:rPr>
            </w:pPr>
            <w:r>
              <w:rPr>
                <w:rFonts w:ascii="Arial" w:cs="Arial" w:eastAsia="Arial" w:hAnsi="Arial"/>
                <w:sz w:val="18"/>
                <w:szCs w:val="18"/>
                <w:color w:val="auto"/>
              </w:rPr>
              <w:t>Trademark</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34"/>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4"/>
                <w:szCs w:val="24"/>
                <w:color w:val="auto"/>
              </w:rPr>
            </w:pPr>
          </w:p>
        </w:tc>
        <w:tc>
          <w:tcPr>
            <w:tcW w:w="1020" w:type="dxa"/>
            <w:vAlign w:val="bottom"/>
          </w:tcPr>
          <w:p>
            <w:pPr>
              <w:jc w:val="right"/>
              <w:ind w:right="834"/>
              <w:spacing w:after="0"/>
              <w:rPr>
                <w:sz w:val="20"/>
                <w:szCs w:val="20"/>
                <w:color w:val="auto"/>
              </w:rPr>
            </w:pPr>
            <w:r>
              <w:rPr>
                <w:rFonts w:ascii="Arial" w:cs="Arial" w:eastAsia="Arial" w:hAnsi="Arial"/>
                <w:sz w:val="18"/>
                <w:szCs w:val="18"/>
                <w:b w:val="1"/>
                <w:bCs w:val="1"/>
                <w:color w:val="auto"/>
                <w:w w:val="79"/>
              </w:rPr>
              <w:t>$</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48</w:t>
            </w:r>
          </w:p>
        </w:tc>
        <w:tc>
          <w:tcPr>
            <w:tcW w:w="100" w:type="dxa"/>
            <w:vAlign w:val="bottom"/>
          </w:tcPr>
          <w:p>
            <w:pPr>
              <w:spacing w:after="0"/>
              <w:rPr>
                <w:sz w:val="24"/>
                <w:szCs w:val="24"/>
                <w:color w:val="auto"/>
              </w:rPr>
            </w:pPr>
          </w:p>
        </w:tc>
        <w:tc>
          <w:tcPr>
            <w:tcW w:w="54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w:t>
            </w:r>
          </w:p>
        </w:tc>
      </w:tr>
      <w:tr>
        <w:trPr>
          <w:trHeight w:val="486"/>
        </w:trPr>
        <w:tc>
          <w:tcPr>
            <w:tcW w:w="5580" w:type="dxa"/>
            <w:vAlign w:val="bottom"/>
            <w:gridSpan w:val="2"/>
          </w:tcPr>
          <w:p>
            <w:pPr>
              <w:ind w:left="20"/>
              <w:spacing w:after="0"/>
              <w:rPr>
                <w:sz w:val="20"/>
                <w:szCs w:val="20"/>
                <w:color w:val="auto"/>
              </w:rPr>
            </w:pPr>
            <w:r>
              <w:rPr>
                <w:rFonts w:ascii="Arial" w:cs="Arial" w:eastAsia="Arial" w:hAnsi="Arial"/>
                <w:sz w:val="18"/>
                <w:szCs w:val="18"/>
                <w:b w:val="1"/>
                <w:bCs w:val="1"/>
                <w:color w:val="auto"/>
              </w:rPr>
              <w:t>Garden Fresh Gourmet</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8"/>
        </w:trPr>
        <w:tc>
          <w:tcPr>
            <w:tcW w:w="60" w:type="dxa"/>
            <w:vAlign w:val="bottom"/>
          </w:tcPr>
          <w:p>
            <w:pPr>
              <w:spacing w:after="0"/>
              <w:rPr>
                <w:sz w:val="9"/>
                <w:szCs w:val="9"/>
                <w:color w:val="auto"/>
              </w:rPr>
            </w:pPr>
          </w:p>
        </w:tc>
        <w:tc>
          <w:tcPr>
            <w:tcW w:w="5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358"/>
        </w:trPr>
        <w:tc>
          <w:tcPr>
            <w:tcW w:w="60" w:type="dxa"/>
            <w:vAlign w:val="bottom"/>
            <w:tcBorders>
              <w:bottom w:val="single" w:sz="8" w:color="CCEEFF"/>
            </w:tcBorders>
            <w:shd w:val="clear" w:color="auto" w:fill="CCEEFF"/>
          </w:tcPr>
          <w:p>
            <w:pPr>
              <w:spacing w:after="0"/>
              <w:rPr>
                <w:sz w:val="24"/>
                <w:szCs w:val="24"/>
                <w:color w:val="auto"/>
              </w:rPr>
            </w:pPr>
          </w:p>
        </w:tc>
        <w:tc>
          <w:tcPr>
            <w:tcW w:w="55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Goodwill</w:t>
            </w:r>
          </w:p>
        </w:tc>
        <w:tc>
          <w:tcPr>
            <w:tcW w:w="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51"/>
        </w:trPr>
        <w:tc>
          <w:tcPr>
            <w:tcW w:w="60" w:type="dxa"/>
            <w:vAlign w:val="bottom"/>
          </w:tcPr>
          <w:p>
            <w:pPr>
              <w:spacing w:after="0"/>
              <w:rPr>
                <w:sz w:val="24"/>
                <w:szCs w:val="24"/>
                <w:color w:val="auto"/>
              </w:rPr>
            </w:pPr>
          </w:p>
        </w:tc>
        <w:tc>
          <w:tcPr>
            <w:tcW w:w="5520" w:type="dxa"/>
            <w:vAlign w:val="bottom"/>
          </w:tcPr>
          <w:p>
            <w:pPr>
              <w:ind w:left="300"/>
              <w:spacing w:after="0"/>
              <w:rPr>
                <w:sz w:val="20"/>
                <w:szCs w:val="20"/>
                <w:color w:val="auto"/>
              </w:rPr>
            </w:pPr>
            <w:r>
              <w:rPr>
                <w:rFonts w:ascii="Arial" w:cs="Arial" w:eastAsia="Arial" w:hAnsi="Arial"/>
                <w:sz w:val="18"/>
                <w:szCs w:val="18"/>
                <w:color w:val="auto"/>
              </w:rPr>
              <w:t>Trademark</w:t>
            </w:r>
          </w:p>
        </w:tc>
        <w:tc>
          <w:tcPr>
            <w:tcW w:w="5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4"/>
                <w:szCs w:val="24"/>
                <w:color w:val="auto"/>
              </w:rPr>
            </w:pPr>
          </w:p>
        </w:tc>
        <w:tc>
          <w:tcPr>
            <w:tcW w:w="1020" w:type="dxa"/>
            <w:vAlign w:val="bottom"/>
          </w:tcPr>
          <w:p>
            <w:pPr>
              <w:jc w:val="right"/>
              <w:ind w:right="814"/>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60" w:type="dxa"/>
            <w:vAlign w:val="bottom"/>
          </w:tcPr>
          <w:p>
            <w:pPr>
              <w:spacing w:after="0"/>
              <w:rPr>
                <w:sz w:val="24"/>
                <w:szCs w:val="24"/>
                <w:color w:val="auto"/>
              </w:rPr>
            </w:pPr>
          </w:p>
        </w:tc>
        <w:tc>
          <w:tcPr>
            <w:tcW w:w="5520" w:type="dxa"/>
            <w:vAlign w:val="bottom"/>
          </w:tcPr>
          <w:p>
            <w:pPr>
              <w:ind w:left="220"/>
              <w:spacing w:after="0"/>
              <w:rPr>
                <w:sz w:val="20"/>
                <w:szCs w:val="20"/>
                <w:color w:val="auto"/>
              </w:rPr>
            </w:pPr>
            <w:r>
              <w:rPr>
                <w:rFonts w:ascii="Arial" w:cs="Arial" w:eastAsia="Arial" w:hAnsi="Arial"/>
                <w:sz w:val="18"/>
                <w:szCs w:val="18"/>
                <w:color w:val="auto"/>
                <w:w w:val="95"/>
              </w:rPr>
              <w:t>See also Note 4 for additional information on the impairment charges.</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$122 at January 29, 2017, and $74 at July 31, 2016,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$2,747 at January 29, 2017, and $2,949 at July 31, 2016. The carrying value was $2,692 at January 29, 2017, and $2,755 at July 31, 2016.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 Repurchases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2011, the Board authorized the purchase of up to $1,000 of our stock. This program has no expiration date. In addition to this publicly announced program, we also have a separate Board authorization to purchase shares to offset the impact of dilution from shares issued under our stock compensation plans.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six-month period ended January 29, 2017, we repurchased 4 million shares at a cost of $234. Of this amount, $200 was used to repurchase shares pursuant to our June 2011 publicly announced share repurchase program. Approximately $250 remained available under this program as of January 29, 2017. During the six-month period ended January 31, 2016, we repurchased 2 million shares at a cost of $86.</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2017, we issued stock options, time-lapse restricted stock units, unrestricted stock, EPS performance restricted stock units and TSR performance restricted stock units. We have not issued strategic performance restricted stock units or special performance restricted stock units in 2017.</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Pre-tax stock-based compensation expense and tax-related benefits recognized in the Consolidated Statement of Earnings were as follows: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tcBorders>
              <w:bottom w:val="single" w:sz="8" w:color="auto"/>
            </w:tcBorders>
            <w:gridSpan w:val="5"/>
          </w:tcPr>
          <w:p>
            <w:pPr>
              <w:jc w:val="right"/>
              <w:ind w:right="57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606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08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rPr>
              <w:t>January 31,</w:t>
            </w:r>
          </w:p>
        </w:tc>
      </w:tr>
      <w:tr>
        <w:trPr>
          <w:trHeight w:val="192"/>
        </w:trPr>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980" w:type="dxa"/>
            <w:vAlign w:val="bottom"/>
          </w:tcPr>
          <w:p>
            <w:pPr>
              <w:jc w:val="right"/>
              <w:ind w:right="78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41"/>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13</w:t>
            </w: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received from the exercise of stock options was $2 for the six-month periods ended January 29, 2017, and January 31, 2016, and is reflected in cash flows from financing activities in the Consolidated Statements of Cash Flows.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8"/>
          <w:szCs w:val="18"/>
          <w:color w:val="auto"/>
        </w:rPr>
        <w:t>The following table summarizes stock option activity as of January 29,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Outstanding at July 31, 2016</w:t>
            </w:r>
          </w:p>
        </w:tc>
        <w:tc>
          <w:tcPr>
            <w:tcW w:w="16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spacing w:after="0"/>
              <w:rPr>
                <w:sz w:val="22"/>
                <w:szCs w:val="22"/>
                <w:color w:val="auto"/>
              </w:rPr>
            </w:pPr>
          </w:p>
        </w:tc>
        <w:tc>
          <w:tcPr>
            <w:tcW w:w="130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54.65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BFE4FF"/>
            </w:tcBorders>
            <w:shd w:val="clear" w:color="auto" w:fill="BFE4FF"/>
          </w:tcPr>
          <w:p>
            <w:pPr>
              <w:spacing w:after="0"/>
              <w:rPr>
                <w:sz w:val="21"/>
                <w:szCs w:val="21"/>
                <w:color w:val="auto"/>
              </w:rPr>
            </w:pPr>
          </w:p>
        </w:tc>
        <w:tc>
          <w:tcPr>
            <w:tcW w:w="16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00" w:type="dxa"/>
            <w:vAlign w:val="bottom"/>
            <w:tcBorders>
              <w:bottom w:val="single" w:sz="8" w:color="BFE4FF"/>
            </w:tcBorders>
            <w:shd w:val="clear" w:color="auto" w:fill="BFE4FF"/>
          </w:tcPr>
          <w:p>
            <w:pPr>
              <w:spacing w:after="0"/>
              <w:rPr>
                <w:sz w:val="21"/>
                <w:szCs w:val="21"/>
                <w:color w:val="auto"/>
              </w:rPr>
            </w:pPr>
          </w:p>
        </w:tc>
        <w:tc>
          <w:tcPr>
            <w:tcW w:w="13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52.49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BFE4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080" w:type="dxa"/>
            <w:vAlign w:val="bottom"/>
            <w:tcBorders>
              <w:bottom w:val="single" w:sz="8" w:color="BFE4FF"/>
            </w:tcBorders>
          </w:tcPr>
          <w:p>
            <w:pPr>
              <w:spacing w:after="0"/>
              <w:rPr>
                <w:sz w:val="2"/>
                <w:szCs w:val="2"/>
                <w:color w:val="auto"/>
              </w:rPr>
            </w:pPr>
          </w:p>
        </w:tc>
        <w:tc>
          <w:tcPr>
            <w:tcW w:w="52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0" w:type="dxa"/>
            <w:vAlign w:val="bottom"/>
            <w:tcBorders>
              <w:bottom w:val="single" w:sz="8" w:color="BFE4FF"/>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300" w:type="dxa"/>
            <w:vAlign w:val="bottom"/>
            <w:tcBorders>
              <w:bottom w:val="single" w:sz="8" w:color="BFE4FF"/>
            </w:tcBorders>
          </w:tcPr>
          <w:p>
            <w:pPr>
              <w:spacing w:after="0"/>
              <w:rPr>
                <w:sz w:val="2"/>
                <w:szCs w:val="2"/>
                <w:color w:val="auto"/>
              </w:rPr>
            </w:pPr>
          </w:p>
        </w:tc>
        <w:tc>
          <w:tcPr>
            <w:tcW w:w="1300" w:type="dxa"/>
            <w:vAlign w:val="bottom"/>
            <w:tcBorders>
              <w:bottom w:val="single" w:sz="8" w:color="BFE4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Outstanding at January 29, 2017</w:t>
            </w:r>
          </w:p>
        </w:tc>
        <w:tc>
          <w:tcPr>
            <w:tcW w:w="1600" w:type="dxa"/>
            <w:vAlign w:val="bottom"/>
            <w:tcBorders>
              <w:bottom w:val="single" w:sz="8" w:color="BFE4FF"/>
            </w:tcBorders>
            <w:shd w:val="clear" w:color="auto" w:fill="BFE4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BFE4FF"/>
            </w:tcBorders>
            <w:shd w:val="clear" w:color="auto" w:fill="BFE4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BFE4FF"/>
            </w:tcBorders>
            <w:shd w:val="clear" w:color="auto" w:fill="BFE4FF"/>
          </w:tcPr>
          <w:p>
            <w:pPr>
              <w:spacing w:after="0"/>
              <w:rPr>
                <w:sz w:val="22"/>
                <w:szCs w:val="22"/>
                <w:color w:val="auto"/>
              </w:rPr>
            </w:pPr>
          </w:p>
        </w:tc>
        <w:tc>
          <w:tcPr>
            <w:tcW w:w="16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700" w:type="dxa"/>
            <w:vAlign w:val="bottom"/>
            <w:tcBorders>
              <w:top w:val="single" w:sz="8" w:color="BFE4FF"/>
              <w:bottom w:val="single" w:sz="8" w:color="BFE4FF"/>
            </w:tcBorders>
            <w:vMerge w:val="restart"/>
          </w:tcPr>
          <w:p>
            <w:pPr>
              <w:ind w:left="40"/>
              <w:spacing w:after="0"/>
              <w:rPr>
                <w:sz w:val="20"/>
                <w:szCs w:val="20"/>
                <w:color w:val="auto"/>
              </w:rPr>
            </w:pPr>
            <w:r>
              <w:rPr>
                <w:rFonts w:ascii="Arial" w:cs="Arial" w:eastAsia="Arial" w:hAnsi="Arial"/>
                <w:sz w:val="18"/>
                <w:szCs w:val="18"/>
                <w:color w:val="auto"/>
              </w:rPr>
              <w:t>Exercisable at January 29, 2017</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total intrinsic value of options exercised during the six-month period ended January 29, 2017, was not material. During the six-month period ended January 31, 2016, the total intrinsic value of options exercised was $2.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2017 and 2016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1.68%</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18.35%</w:t>
            </w:r>
          </w:p>
        </w:tc>
      </w:tr>
      <w:tr>
        <w:trPr>
          <w:trHeight w:val="243"/>
        </w:trPr>
        <w:tc>
          <w:tcPr>
            <w:tcW w:w="92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140" w:type="dxa"/>
            <w:vAlign w:val="bottom"/>
            <w:gridSpan w:val="2"/>
          </w:tcPr>
          <w:p>
            <w:pPr>
              <w:ind w:left="240"/>
              <w:spacing w:after="0"/>
              <w:rPr>
                <w:sz w:val="20"/>
                <w:szCs w:val="20"/>
                <w:color w:val="auto"/>
              </w:rPr>
            </w:pPr>
            <w:r>
              <w:rPr>
                <w:rFonts w:ascii="Arial" w:cs="Arial" w:eastAsia="Arial" w:hAnsi="Arial"/>
                <w:sz w:val="18"/>
                <w:szCs w:val="18"/>
                <w:b w:val="1"/>
                <w:bCs w:val="1"/>
                <w:color w:val="auto"/>
              </w:rPr>
              <w:t>6 years</w:t>
            </w:r>
          </w:p>
        </w:tc>
        <w:tc>
          <w:tcPr>
            <w:tcW w:w="1020" w:type="dxa"/>
            <w:vAlign w:val="bottom"/>
          </w:tcPr>
          <w:p>
            <w:pPr>
              <w:ind w:left="240"/>
              <w:spacing w:after="0"/>
              <w:rPr>
                <w:sz w:val="20"/>
                <w:szCs w:val="20"/>
                <w:color w:val="auto"/>
              </w:rPr>
            </w:pPr>
            <w:r>
              <w:rPr>
                <w:rFonts w:ascii="Arial" w:cs="Arial" w:eastAsia="Arial" w:hAnsi="Arial"/>
                <w:sz w:val="18"/>
                <w:szCs w:val="18"/>
                <w:color w:val="auto"/>
              </w:rPr>
              <w:t>6 years</w:t>
            </w:r>
          </w:p>
        </w:tc>
      </w:tr>
      <w:tr>
        <w:trPr>
          <w:trHeight w:val="27"/>
        </w:trPr>
        <w:tc>
          <w:tcPr>
            <w:tcW w:w="9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9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$7.51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$6.86</w:t>
            </w:r>
          </w:p>
        </w:tc>
      </w:tr>
      <w:tr>
        <w:trPr>
          <w:trHeight w:val="27"/>
        </w:trPr>
        <w:tc>
          <w:tcPr>
            <w:tcW w:w="9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jc w:val="both"/>
        <w:ind w:firstLine="324"/>
        <w:spacing w:after="0" w:line="255"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January 29, 2017, total remaining unearned compensation related to nonvested stock options was $3, which will be amortized over the weighted-average remaining service period of 1.4 years.</w:t>
      </w:r>
    </w:p>
    <w:p>
      <w:pPr>
        <w:spacing w:after="0" w:line="5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January 29,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43.04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29,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1,299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50.61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155 thousand EPS performance target grants outstanding at January 29, 2017, with a weighted-average grant-date fair value of $49.89. The actual number of EPS performance restricted stock units issued at the vesting date could range from 0% or 100% of the initial grant, depending on actual performance achieved. We estimate expense based on the number of awards expected to vest. In the first quarter of 2017, recipients of strategic performance restricted stock units earned 35% of the initial grants based on</w:t>
      </w:r>
    </w:p>
    <w:p>
      <w:pPr>
        <w:sectPr>
          <w:pgSz w:w="11900" w:h="16838" w:orient="portrait"/>
          <w:cols w:equalWidth="0" w:num="1">
            <w:col w:w="11420"/>
          </w:cols>
          <w:pgMar w:left="240" w:top="131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actual performance achieved during a three-year period ended July 31, 2016. There were no strategic performance restricted stock units outstanding at January 29, 2017.</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and are included in the table above.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29, 2017, total remaining unearned compensation related to nonvested time-lapse restricted stock units and EPS performance restricted stock units was $34, which will be amortized over the weighted-average remaining service period of 1.8 years. The fair value of restricted stock units vested during the six-month periods ended January 29, 2017, and January 31, 2016, was $51 and $40, respectively. The weighted-average grant-date fair value of the restricted stock units granted during the six-month period ended January 31, 2016, was $50.00.</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January 29,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43.57</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January 29,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48.23</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0.85%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2.46%</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17.78%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17.25%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3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 compensation expense on a straight-line basis over the service period. As of January 29, 2017, total remaining unearned compensation related to TSR performance restricted stock units was $40, which will be amortized over the weighted-average remaining service period of 1.9 years. In the first quarter of 2017, recipients of TSR performance restricted stock units earned 75% of the initial grants based upon our TSR ranking in a performance peer group during a three-year period ended July 29, 2016. In the first quarter of 2016, recipients of TSR performance restricted stock units earned 100% of the initial grants based upon our TSR ranking in a performance peer group during a three-year period ended July 31, 2015. The fair value of TSR performance restricted stock units vested during the six-month periods ended January 29, 2017, and January 31, 2016, was $14 and $22, respectively. The grant-date fair value of the TSR performance restricted stock units granted during 2016 was $62.44.</w:t>
      </w:r>
    </w:p>
    <w:p>
      <w:pPr>
        <w:spacing w:after="0" w:line="15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for the six-month periods ended January 29, 2017, and January 31, 2016, were $6 and $7,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12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14" w:right="239" w:bottom="1440" w:gutter="0" w:footer="0" w:header="0"/>
          <w:type w:val="continuous"/>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3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January 29, 2017. While the potential future charges could be material in a particular quarter or annual period, based on information currently known by management, management does not believe any such charges are likely to have a material adverse effect on our consolidated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Inventories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January 29,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right"/>
              <w:ind w:right="497"/>
              <w:spacing w:after="0"/>
              <w:rPr>
                <w:sz w:val="20"/>
                <w:szCs w:val="20"/>
                <w:color w:val="auto"/>
              </w:rPr>
            </w:pPr>
            <w:r>
              <w:rPr>
                <w:rFonts w:ascii="Arial" w:cs="Arial" w:eastAsia="Arial" w:hAnsi="Arial"/>
                <w:sz w:val="14"/>
                <w:szCs w:val="14"/>
                <w:b w:val="1"/>
                <w:bCs w:val="1"/>
                <w:color w:val="auto"/>
              </w:rPr>
              <w:t>July 31,</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500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447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5000" w:type="dxa"/>
            <w:vAlign w:val="bottom"/>
            <w:tcBorders>
              <w:bottom w:val="single" w:sz="8" w:color="CCEEFF"/>
            </w:tcBorders>
            <w:gridSpan w:val="2"/>
            <w:shd w:val="clear" w:color="auto" w:fill="CCEEFF"/>
          </w:tcPr>
          <w:p>
            <w:pPr>
              <w:jc w:val="right"/>
              <w:ind w:right="1008"/>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820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24</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manage our businesses in three divisions focused mainly on product categories. The divisions, which represent our operating and reportable segments, are as follows: Americas Simple Meals and Beverages; Global Biscuits and Snacks; and Campbell Fresh. On December 31, 2016, we had approximately 18,000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sales decreased 1% in the current quarter to $2.171 billion due to lower volume and an increase in promotional spending.</w:t>
      </w:r>
    </w:p>
    <w:p>
      <w:pPr>
        <w:spacing w:after="0" w:line="17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Gross profit, as a percent of sales, increased to 38.0% from 37.2% in the year-ago quarter. The increase was primarily due to productivity improvements and increased benefits from cost savings initiatives, partly offset by higher supply chain costs and cost inflation, as well as higher promotional spending. The increase reflects continued expansion in Americas Simple Meals and Beverages. The increase in supply chain costs was primarily due to higher carrot costs in the quarter due to the adverse impact on crop yields of heavy rains, and lower beverage operating efficiencies within Campbell Fresh.</w:t>
      </w:r>
    </w:p>
    <w:p>
      <w:pPr>
        <w:spacing w:after="0" w:line="13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expenses / (income) increased to $220 million from $4 million in the year-ago quarter, primarily due to non-cash impairment charges of $212 million on the intangible assets of the Bolthouse Farms carrot and carrot ingredients reporting unit and the Garden Fresh Gourmet reporting unit, as discussed below.</w:t>
      </w:r>
    </w:p>
    <w:p>
      <w:pPr>
        <w:spacing w:after="0" w:line="127"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effective tax rate was 42.9% in the current quarter, compared to 31.5% in the year-ago quarter. In the current quarter, we recognized a tax benefit of $32 million on $212 million of impairment charges. After adjusting for this item, the effective rate decreased as the timing of recognizing tax expense was favorably impacted by the impairment, which will reverse over the course of the second half of 2017.</w:t>
      </w:r>
    </w:p>
    <w:p>
      <w:pPr>
        <w:spacing w:after="0" w:line="111"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Earnings per share were $.33 in the current quarter, compared to $.85 in the year-ago quarter. The current and prior-year quarter included expenses of $.58 and $.02 per share, respectively, from items impacting comparability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7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the first quarter of 2017, we recognized losses of $20 million in Costs and expenses ($13 million after tax, or $.04 per share) associated with mark-to-market adjustments for defined benefit pension and postretirement plans. In the second quarter of 2016, we recognized a gain of $7 million in Costs and expenses ($4 million after tax, or $.01 per share) associated with mark-to-market adjustments for defined benefit pension and postretirement plans. Year-to-date in 2016, we recognized losses of $121 million in Costs and expenses ($76 million after tax, or $.24 per share) associated with mark-to-market adjustments for defined benefit pension and postretirement plans;</w:t>
      </w:r>
    </w:p>
    <w:p>
      <w:pPr>
        <w:spacing w:after="0" w:line="118"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2015, we implemented a new enterprise design and initiatives to reduce costs and to streamline our organizational structure. Year-to-date in 2017, we recorded implementation costs and other related costs of $11 million in Administrative expenses ($7 million after tax, or $.02 per share) related to these initiatives. In the second quarter of 2016, we recorded a pre-tax restructuring charge of $12 million and implementation costs and other related costs of $7 million in Administrative expenses related to the 2015 initiatives. In the second quarter of 2016, we also recorded a reduction to pre-tax restructuring charges of $3 million related to the fiscal 2014 initiative to improve supply chain efficiency in Australia. The aggregate after-tax impact of restructuring charges, implementation costs and other related costs in the second quarter of 2016 was $10 million, or $.03 per share. Year-to-date in 2016, we recorded pre-tax restructuring charges, implementation costs and other related costs associated with the 2015 and 2014 initiatives of $52 million ($33 million after tax, or $.11 per share). See Note 6 to the Consolidated Financial Statements and "Restructuring Charges and Cost Savings Initiatives" for additional information; and</w:t>
      </w:r>
    </w:p>
    <w:p>
      <w:pPr>
        <w:spacing w:after="0" w:line="12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0" w:right="239" w:bottom="1440" w:gutter="0" w:footer="0" w:header="0"/>
        </w:sectPr>
      </w:pPr>
    </w:p>
    <w:bookmarkStart w:id="25" w:name="page26"/>
    <w:bookmarkEnd w:id="25"/>
    <w:p>
      <w:pPr>
        <w:jc w:val="both"/>
        <w:ind w:left="660"/>
        <w:spacing w:after="0" w:line="354" w:lineRule="auto"/>
        <w:rPr>
          <w:sz w:val="20"/>
          <w:szCs w:val="20"/>
          <w:color w:val="auto"/>
        </w:rPr>
      </w:pPr>
      <w:r>
        <w:rPr>
          <w:rFonts w:ascii="Arial" w:cs="Arial" w:eastAsia="Arial" w:hAnsi="Arial"/>
          <w:sz w:val="16"/>
          <w:szCs w:val="16"/>
          <w:color w:val="auto"/>
        </w:rPr>
        <w:t>led to a revised outlook for future sales, earnings, and cash flow. The company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$.58 per share). The charges are included in Other expenses / (income).</w:t>
      </w:r>
    </w:p>
    <w:p>
      <w:pPr>
        <w:spacing w:after="0" w:line="200" w:lineRule="exact"/>
        <w:rPr>
          <w:sz w:val="20"/>
          <w:szCs w:val="20"/>
          <w:color w:val="auto"/>
        </w:rPr>
      </w:pPr>
    </w:p>
    <w:p>
      <w:pPr>
        <w:spacing w:after="0" w:line="2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items impacting comparability are summarized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January 29,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January 31, 2016</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January 29, 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January 31, 2016</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line="264" w:lineRule="exact"/>
              <w:rPr>
                <w:sz w:val="20"/>
                <w:szCs w:val="20"/>
                <w:color w:val="auto"/>
              </w:rPr>
            </w:pPr>
            <w:r>
              <w:rPr>
                <w:rFonts w:ascii="Arial" w:cs="Arial" w:eastAsia="Arial" w:hAnsi="Arial"/>
                <w:sz w:val="18"/>
                <w:szCs w:val="18"/>
                <w:color w:val="auto"/>
              </w:rPr>
              <w:t>Impact of items on Net earnings</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The sum of the individual per share amounts may not add due to rounding.</w:t>
      </w:r>
    </w:p>
    <w:p>
      <w:pPr>
        <w:spacing w:after="0" w:line="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Net earnings attributable to Campbell Soup Company were $101 million ($.33 per share) in the current quarter, compared to $265 million ($.85 per share) in the year-ago quarter. After adjusting for items impacting comparability, net earnings increased primarily due to a lower effective tax rate and improved gross profit performance, partially offset by lower sales and higher marketing and selling expenses. Earnings per share benefited from a reduction in the weighted average diluted shares outstanding, primarily due to share repurchases under our strategic share repurchase program.</w:t>
      </w:r>
    </w:p>
    <w:p>
      <w:pPr>
        <w:spacing w:after="0" w:line="12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Net earnings attributable to Campbell Soup Company were $393 million ($1.27 per share) in the six-month period ended January 29, 2017, compared to $459 million ($1.47 per share) in the year-ago period. After adjusting for items impacting comparability, net earnings increased primarily due to improved gross profit performance and a lower effective tax rate, partially offset by higher marketing and selling expenses and volume declines. Earnings per share benefited from a reduction in the weighted average diluted shares outstanding, primarily due to share repurchases under our strategic share repurchase program.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4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SECOND-QUARTER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2016</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b w:val="1"/>
                <w:bCs w:val="1"/>
                <w:color w:val="auto"/>
              </w:rPr>
              <w:t>680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2,171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00" w:type="dxa"/>
            <w:vAlign w:val="bottom"/>
            <w:vMerge w:val="restart"/>
          </w:tcPr>
          <w:p>
            <w:pPr>
              <w:spacing w:after="0"/>
              <w:rPr>
                <w:sz w:val="14"/>
                <w:szCs w:val="14"/>
                <w:color w:val="auto"/>
              </w:rPr>
            </w:pPr>
          </w:p>
        </w:tc>
        <w:tc>
          <w:tcPr>
            <w:tcW w:w="16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(2)</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Snacks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3"/>
                <w:szCs w:val="23"/>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(8)%</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700" w:type="dxa"/>
            <w:vAlign w:val="bottom"/>
            <w:vMerge w:val="restart"/>
          </w:tcPr>
          <w:p>
            <w:pPr>
              <w:jc w:val="right"/>
              <w:ind w:right="1272"/>
              <w:spacing w:after="0"/>
              <w:rPr>
                <w:sz w:val="20"/>
                <w:szCs w:val="20"/>
                <w:color w:val="auto"/>
              </w:rPr>
            </w:pPr>
            <w:r>
              <w:rPr>
                <w:rFonts w:ascii="Arial" w:cs="Arial" w:eastAsia="Arial" w:hAnsi="Arial"/>
                <w:sz w:val="16"/>
                <w:szCs w:val="16"/>
                <w:color w:val="auto"/>
                <w:w w:val="91"/>
              </w:rPr>
              <w:t>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1"/>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Americas Simple Meals and Beverages, sales were comparable to the prior year as declines in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were offset by gains in soup,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and </w:t>
      </w:r>
      <w:r>
        <w:rPr>
          <w:rFonts w:ascii="Arial" w:cs="Arial" w:eastAsia="Arial" w:hAnsi="Arial"/>
          <w:sz w:val="17"/>
          <w:szCs w:val="17"/>
          <w:i w:val="1"/>
          <w:iCs w:val="1"/>
          <w:color w:val="auto"/>
        </w:rPr>
        <w:t>Plum</w:t>
      </w:r>
      <w:r>
        <w:rPr>
          <w:rFonts w:ascii="Arial" w:cs="Arial" w:eastAsia="Arial" w:hAnsi="Arial"/>
          <w:sz w:val="17"/>
          <w:szCs w:val="17"/>
          <w:color w:val="auto"/>
        </w:rPr>
        <w:t xml:space="preserve"> products. U.S. soup sales increased 1% with double-digit gains in ready-to-serve soups, driven by </w:t>
      </w:r>
      <w:r>
        <w:rPr>
          <w:rFonts w:ascii="Arial" w:cs="Arial" w:eastAsia="Arial" w:hAnsi="Arial"/>
          <w:sz w:val="17"/>
          <w:szCs w:val="17"/>
          <w:i w:val="1"/>
          <w:iCs w:val="1"/>
          <w:color w:val="auto"/>
        </w:rPr>
        <w:t>Campbell’s Chunky</w:t>
      </w:r>
      <w:r>
        <w:rPr>
          <w:rFonts w:ascii="Arial" w:cs="Arial" w:eastAsia="Arial" w:hAnsi="Arial"/>
          <w:sz w:val="17"/>
          <w:szCs w:val="17"/>
          <w:color w:val="auto"/>
        </w:rPr>
        <w:t xml:space="preserve"> soups and the launch of </w:t>
      </w:r>
      <w:r>
        <w:rPr>
          <w:rFonts w:ascii="Arial" w:cs="Arial" w:eastAsia="Arial" w:hAnsi="Arial"/>
          <w:sz w:val="17"/>
          <w:szCs w:val="17"/>
          <w:i w:val="1"/>
          <w:iCs w:val="1"/>
          <w:color w:val="auto"/>
        </w:rPr>
        <w:t>Well Yes!</w:t>
      </w:r>
      <w:r>
        <w:rPr>
          <w:rFonts w:ascii="Arial" w:cs="Arial" w:eastAsia="Arial" w:hAnsi="Arial"/>
          <w:sz w:val="17"/>
          <w:szCs w:val="17"/>
          <w:color w:val="auto"/>
        </w:rPr>
        <w:t xml:space="preserve"> soups, mostly offset by declines in broth and condensed soups. Gains in </w:t>
      </w:r>
      <w:r>
        <w:rPr>
          <w:rFonts w:ascii="Arial" w:cs="Arial" w:eastAsia="Arial" w:hAnsi="Arial"/>
          <w:sz w:val="17"/>
          <w:szCs w:val="17"/>
          <w:i w:val="1"/>
          <w:iCs w:val="1"/>
          <w:color w:val="auto"/>
        </w:rPr>
        <w:t>Campbell’s Chunky</w:t>
      </w:r>
      <w:r>
        <w:rPr>
          <w:rFonts w:ascii="Arial" w:cs="Arial" w:eastAsia="Arial" w:hAnsi="Arial"/>
          <w:sz w:val="17"/>
          <w:szCs w:val="17"/>
          <w:color w:val="auto"/>
        </w:rPr>
        <w:t xml:space="preserve"> soups were due to improved execution, including dedicated advertising, and new items. Declines in broth were primarily a result of increased competitive activity. In 2017, we increased promotional spending on broth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to remain competitive, and in Canada to hold promoted prices following price increases.</w:t>
      </w:r>
    </w:p>
    <w:p>
      <w:pPr>
        <w:spacing w:after="0" w:line="1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Global Biscuits and Snacks, sales were comparable to the prior year. Excluding the 1% favorable impact of currency translation, segment sales decreased primarily due to declines in Kelsen, mostly in the U.S., and in Arnott’s biscuits, partially offset by gains in Pepperidge Farm. Pepperidge Farms sales increased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cookies, partly offset by declines in fresh bakery and frozen products. In 2017, we increased promotional spending to support Arnott’s biscuits and Pepperidge Farm bakery products to remain competitive.</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Campbell Fresh, sales decreased 8% due to lower sales of carrots, refrigerated beverages and Garden Fresh Gourmet, partly offset by gains in refrigerated soup. The carrot sales performance reflects the market share impact of quality and execution issues experienced in 2016. The decrease in refrigerated beverages reflects the adverse impact of the continued supply constraints related to the voluntary recall of </w:t>
      </w:r>
      <w:r>
        <w:rPr>
          <w:rFonts w:ascii="Arial" w:cs="Arial" w:eastAsia="Arial" w:hAnsi="Arial"/>
          <w:sz w:val="18"/>
          <w:szCs w:val="18"/>
          <w:i w:val="1"/>
          <w:iCs w:val="1"/>
          <w:color w:val="auto"/>
        </w:rPr>
        <w:t>Bolthouse Farms Protein PLUS</w:t>
      </w:r>
      <w:r>
        <w:rPr>
          <w:rFonts w:ascii="Arial" w:cs="Arial" w:eastAsia="Arial" w:hAnsi="Arial"/>
          <w:sz w:val="18"/>
          <w:szCs w:val="18"/>
          <w:color w:val="auto"/>
        </w:rPr>
        <w:t xml:space="preserve"> drinks in June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$6 million in 2017 from 2016. As a percent of sales, gross profit was 38.0% in 2017 and 37.2% in 2016.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0.8% percentage point overall increase in gross margin was due to the following factors: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1.8%</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Mix</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0.1</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Higher selling prices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0.1</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(0.6)</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(0.8)</w:t>
            </w: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0.8%</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0" w:right="239" w:bottom="1440" w:gutter="0" w:footer="0" w:header="0"/>
          <w:type w:val="continuous"/>
        </w:sectPr>
      </w:pPr>
    </w:p>
    <w:bookmarkStart w:id="27" w:name="page28"/>
    <w:bookmarkEnd w:id="27"/>
    <w:p>
      <w:pPr>
        <w:ind w:left="340" w:hanging="332"/>
        <w:spacing w:after="0"/>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Mark-to-market losses were $2 million in 2016.</w:t>
      </w:r>
    </w:p>
    <w:p>
      <w:pPr>
        <w:spacing w:after="0" w:line="55"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0.8 points from cost savings initiatives, which was more than offset by cost inflation and other factors, including a negative impact of 0.4 points on carrot costs due to heavy rains this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Marketing and selling expenses as a percent of sales were 10.9% in 2017 compared to 10.1% in 2016. Marketing and selling expenses increased 6% in 2017 from 2016. The increase was due to higher advertising and consumer promotion expenses (approximately 3 percentage points); higher selling expenses (approximately 1 percentage point); and gains on pension and postretirement benefit mark-to-market adjustments recognized in 2016 (approximately 1 percentage point). The increase in advertising and consumer promotion expenses was primarily due to the launch of </w:t>
      </w:r>
      <w:r>
        <w:rPr>
          <w:rFonts w:ascii="Arial" w:cs="Arial" w:eastAsia="Arial" w:hAnsi="Arial"/>
          <w:sz w:val="18"/>
          <w:szCs w:val="18"/>
          <w:i w:val="1"/>
          <w:iCs w:val="1"/>
          <w:color w:val="auto"/>
        </w:rPr>
        <w:t>Well Yes!</w:t>
      </w:r>
      <w:r>
        <w:rPr>
          <w:rFonts w:ascii="Arial" w:cs="Arial" w:eastAsia="Arial" w:hAnsi="Arial"/>
          <w:sz w:val="18"/>
          <w:szCs w:val="18"/>
          <w:color w:val="auto"/>
        </w:rPr>
        <w:t xml:space="preserve"> soups and higher levels of support on </w:t>
      </w:r>
      <w:r>
        <w:rPr>
          <w:rFonts w:ascii="Arial" w:cs="Arial" w:eastAsia="Arial" w:hAnsi="Arial"/>
          <w:sz w:val="18"/>
          <w:szCs w:val="18"/>
          <w:i w:val="1"/>
          <w:iCs w:val="1"/>
          <w:color w:val="auto"/>
        </w:rPr>
        <w:t>V8</w:t>
      </w:r>
      <w:r>
        <w:rPr>
          <w:rFonts w:ascii="Arial" w:cs="Arial" w:eastAsia="Arial" w:hAnsi="Arial"/>
          <w:sz w:val="18"/>
          <w:szCs w:val="18"/>
          <w:color w:val="auto"/>
        </w:rPr>
        <w:t xml:space="preserve"> vegetable juice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Administrative expenses as a percent of sales were 6.4% in 2017 compared to 6.6% in 2016. Administrative expenses decreased 5% in 2017 from 2016. The decrease was primarily due to lower incentive compensation costs (approximately 10 percentage points); lower costs related to the implementation of the new organizational structure and cost savings initiatives (approximately 3 percentage points); increased benefits from cost savings initiatives (approximately 1 percentage point); and lower other general costs (approximately 1 percentage point), partially offset by higher benefit-related costs (approximately 6 percentage points); gains on pension and postretirement benefit mark-to-market adjustments recognized in 2016 (approximately 3 percentage points); and investments in long-term innovation (approximately 1 percentage point).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increased $2 million, or 9%, in 2017 from 2016. The increase was primarily due to gains on pension and postretirement benefit mark-to-market adjustments recognized in 2016 (approximately 9 percentage points) and inflation (approximately 4 percentage points), partially offset by increased benefits from cost savings initiatives (approximately 4 percentage points).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2% from the year-ago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9"/>
              </w:rPr>
              <w:t>January 29, 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January 31, 2016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290</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8%</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135</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141</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w:t>
            </w:r>
          </w:p>
        </w:tc>
      </w:tr>
      <w:tr>
        <w:trPr>
          <w:trHeight w:val="27"/>
        </w:trPr>
        <w:tc>
          <w:tcPr>
            <w:tcW w:w="7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r>
      <w:tr>
        <w:trPr>
          <w:trHeight w:val="237"/>
        </w:trPr>
        <w:tc>
          <w:tcPr>
            <w:tcW w:w="75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445</w:t>
            </w:r>
          </w:p>
        </w:tc>
        <w:tc>
          <w:tcPr>
            <w:tcW w:w="12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7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69"/>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205</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Earnings from Americas Simple Meals and Beverages increased 8%. The increase was primarily due to a higher gross profit percentage, benefiting from productivity improvements, partly offset by increased advertising and consumer promotion expenses.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Global Biscuits and Snacks decreased 4%. The decrease was primarily due to a lower gross profit percentage as other supply chain costs and higher promotional spending were partly offset by productivity improvements.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Campbell Fresh decreased by $24 million from $21 million in 2016 to a loss of $3 million in the current quarter. The decrease was primarily due to higher carrot costs, which were associated with the adverse impact on crop yields of heavy rains in December and January this year, as well as the cost impact of lower beverage operating efficiencies and lower sales.</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Corporate in 2017 included non-cash impairment charges of $212 million on the intangible assets of the Bolthouse Farms carrot and carrot ingredients reporting unit and the Garden Fresh Gourmet reporting unit. Corporate in 2016 included a gain of $7 million associated with pension and postretirement benefit mark-to-market adjustments and costs of $7 million related to the implementation of our new organizational structure and cost savings initiatives.</w:t>
      </w:r>
    </w:p>
    <w:p>
      <w:pPr>
        <w:sectPr>
          <w:pgSz w:w="11900" w:h="16838" w:orient="portrait"/>
          <w:cols w:equalWidth="0" w:num="1">
            <w:col w:w="11420"/>
          </w:cols>
          <w:pgMar w:left="240" w:top="1230"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3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of $29 million in 2017 compared to $28 million in 2016 reflecting higher average interest rates on the debt portfolio, partly offset by lower average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effective tax rate was 42.9% in 2017, and 31.5% in 2016. In 2017, we recognized a tax benefit of $32 million on the $212 million impairment charges on the intangible assets of the Bolthouse Farms carrot and carrot ingredients reporting unit and the Garden Fresh Gourmet reporting unit. In 2016, we recognized a tax expense of $3 million on $7 million of pension and postretirement benefit mark-to-market gains and a $6 million tax benefit on $16 million of restructuring charges, implementation costs and other related costs. After adjusting for the items above, the effective tax rate decreased reflecting a benefit from a favorable timing impact related to the 2017 impairment charges, which will reverse over the course of the second half of 2017.</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January 29, 2017</w:t>
            </w:r>
          </w:p>
        </w:tc>
        <w:tc>
          <w:tcPr>
            <w:tcW w:w="14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31, 2016</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260" w:type="dxa"/>
            <w:vAlign w:val="bottom"/>
          </w:tcPr>
          <w:p>
            <w:pPr>
              <w:jc w:val="right"/>
              <w:ind w:right="36"/>
              <w:spacing w:after="0"/>
              <w:rPr>
                <w:sz w:val="20"/>
                <w:szCs w:val="20"/>
                <w:color w:val="auto"/>
              </w:rPr>
            </w:pPr>
            <w:r>
              <w:rPr>
                <w:rFonts w:ascii="Arial" w:cs="Arial" w:eastAsia="Arial" w:hAnsi="Arial"/>
                <w:sz w:val="18"/>
                <w:szCs w:val="18"/>
                <w:b w:val="1"/>
                <w:bCs w:val="1"/>
                <w:color w:val="auto"/>
              </w:rPr>
              <w:t>1,351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4,373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4,404</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00" w:type="dxa"/>
            <w:vAlign w:val="bottom"/>
            <w:vMerge w:val="restart"/>
          </w:tcPr>
          <w:p>
            <w:pPr>
              <w:spacing w:after="0"/>
              <w:rPr>
                <w:sz w:val="14"/>
                <w:szCs w:val="14"/>
                <w:color w:val="auto"/>
              </w:rPr>
            </w:pP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(2)</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tcPr>
          <w:p>
            <w:pPr>
              <w:spacing w:after="0"/>
              <w:rPr>
                <w:sz w:val="23"/>
                <w:szCs w:val="23"/>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(7)%</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700" w:type="dxa"/>
            <w:vAlign w:val="bottom"/>
            <w:vMerge w:val="restart"/>
          </w:tcPr>
          <w:p>
            <w:pPr>
              <w:jc w:val="right"/>
              <w:ind w:right="1272"/>
              <w:spacing w:after="0"/>
              <w:rPr>
                <w:sz w:val="20"/>
                <w:szCs w:val="20"/>
                <w:color w:val="auto"/>
              </w:rPr>
            </w:pPr>
            <w:r>
              <w:rPr>
                <w:rFonts w:ascii="Arial" w:cs="Arial" w:eastAsia="Arial" w:hAnsi="Arial"/>
                <w:sz w:val="16"/>
                <w:szCs w:val="16"/>
                <w:color w:val="auto"/>
                <w:w w:val="91"/>
              </w:rPr>
              <w:t>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Americas Simple Meals and Beverages, sales were comparable to the prior year as declines in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were offset by gains in </w:t>
      </w:r>
      <w:r>
        <w:rPr>
          <w:rFonts w:ascii="Arial" w:cs="Arial" w:eastAsia="Arial" w:hAnsi="Arial"/>
          <w:sz w:val="17"/>
          <w:szCs w:val="17"/>
          <w:i w:val="1"/>
          <w:iCs w:val="1"/>
          <w:color w:val="auto"/>
        </w:rPr>
        <w:t>Plum</w:t>
      </w:r>
      <w:r>
        <w:rPr>
          <w:rFonts w:ascii="Arial" w:cs="Arial" w:eastAsia="Arial" w:hAnsi="Arial"/>
          <w:sz w:val="17"/>
          <w:szCs w:val="17"/>
          <w:color w:val="auto"/>
        </w:rPr>
        <w:t xml:space="preserve"> products. U.S. soup sales were comparable to the prior year as gains in ready-to-serve soups were offset by declines in condensed soups and broth. Gains in ready-to-serve soups were primarily driven by </w:t>
      </w:r>
      <w:r>
        <w:rPr>
          <w:rFonts w:ascii="Arial" w:cs="Arial" w:eastAsia="Arial" w:hAnsi="Arial"/>
          <w:sz w:val="17"/>
          <w:szCs w:val="17"/>
          <w:i w:val="1"/>
          <w:iCs w:val="1"/>
          <w:color w:val="auto"/>
        </w:rPr>
        <w:t>Campbell’s Chunky</w:t>
      </w:r>
      <w:r>
        <w:rPr>
          <w:rFonts w:ascii="Arial" w:cs="Arial" w:eastAsia="Arial" w:hAnsi="Arial"/>
          <w:sz w:val="17"/>
          <w:szCs w:val="17"/>
          <w:color w:val="auto"/>
        </w:rPr>
        <w:t xml:space="preserve"> soups due to improved execution, including dedicated advertising, and the launch of </w:t>
      </w:r>
      <w:r>
        <w:rPr>
          <w:rFonts w:ascii="Arial" w:cs="Arial" w:eastAsia="Arial" w:hAnsi="Arial"/>
          <w:sz w:val="17"/>
          <w:szCs w:val="17"/>
          <w:i w:val="1"/>
          <w:iCs w:val="1"/>
          <w:color w:val="auto"/>
        </w:rPr>
        <w:t>Well Yes!</w:t>
      </w:r>
      <w:r>
        <w:rPr>
          <w:rFonts w:ascii="Arial" w:cs="Arial" w:eastAsia="Arial" w:hAnsi="Arial"/>
          <w:sz w:val="17"/>
          <w:szCs w:val="17"/>
          <w:color w:val="auto"/>
        </w:rPr>
        <w:t xml:space="preserve"> soups. In 2017, we increased promotional spending on broth, in Canada and on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We increased promotional spending on broth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to remain competitive and in Canada to hold promoted prices following price increases.</w:t>
      </w:r>
    </w:p>
    <w:p>
      <w:pPr>
        <w:spacing w:after="0" w:line="1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Global Biscuits and Snacks, sales increased 1% reflecting a 2% favorable impact from currency translation. Excluding the favorable impact of currency translation, segment sales decreased primarily due to declines in Kelsen, mostly in the U.S., and in Arnott's in Indonesia, partially offset by gains in Pepperidge Farm. Pepperidge Farm sales increased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cookies, benefiting from increased marketing support and new items, partly offset by declines in fresh bakery and frozen products. In 2017, we increased promotional spending to support Pepperidge Farm bakery products, as well as Arnott’s in Australia and in Indonesia to remain competitive.</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In Campbell Fresh, sales decreased 7% due to lower sales of carrots, refrigerated beverages and Garden Fresh Gourmet, partly offset by gains in refrigerated soup. The carrot sales performance reflects the market share impact of quality and execution issues experienced in 2016, as well as the adverse impact of weather conditions in the second quarter of 2017. The decrease in refrigerated beverages reflects the adverse impact of the continued supply constraints related to the voluntary recall of </w:t>
      </w:r>
      <w:r>
        <w:rPr>
          <w:rFonts w:ascii="Arial" w:cs="Arial" w:eastAsia="Arial" w:hAnsi="Arial"/>
          <w:sz w:val="18"/>
          <w:szCs w:val="18"/>
          <w:i w:val="1"/>
          <w:iCs w:val="1"/>
          <w:color w:val="auto"/>
        </w:rPr>
        <w:t>Bolthouse Farms Protein PLUS</w:t>
      </w:r>
      <w:r>
        <w:rPr>
          <w:rFonts w:ascii="Arial" w:cs="Arial" w:eastAsia="Arial" w:hAnsi="Arial"/>
          <w:sz w:val="18"/>
          <w:szCs w:val="18"/>
          <w:color w:val="auto"/>
        </w:rPr>
        <w:t xml:space="preserve"> drinks in June 2016.</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$92 million in 2017 from 2016. As a percent of sales, gross profit was 38.1% in 2017 and 35.7% in 2016.</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2.4 percentage point overall increase in gross margin was due to the following factors: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1.7%</w:t>
            </w:r>
          </w:p>
        </w:tc>
        <w:tc>
          <w:tcPr>
            <w:tcW w:w="0" w:type="dxa"/>
            <w:vAlign w:val="bottom"/>
          </w:tcPr>
          <w:p>
            <w:pPr>
              <w:spacing w:after="0"/>
              <w:rPr>
                <w:sz w:val="1"/>
                <w:szCs w:val="1"/>
                <w:color w:val="auto"/>
              </w:rPr>
            </w:pPr>
          </w:p>
        </w:tc>
      </w:tr>
      <w:tr>
        <w:trPr>
          <w:trHeight w:val="270"/>
        </w:trPr>
        <w:tc>
          <w:tcPr>
            <w:tcW w:w="9820" w:type="dxa"/>
            <w:vAlign w:val="bottom"/>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1.4</w:t>
            </w:r>
          </w:p>
        </w:tc>
        <w:tc>
          <w:tcPr>
            <w:tcW w:w="0" w:type="dxa"/>
            <w:vAlign w:val="bottom"/>
          </w:tcPr>
          <w:p>
            <w:pPr>
              <w:spacing w:after="0"/>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0.3</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Higher selling prices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(0.4)</w:t>
            </w:r>
          </w:p>
        </w:tc>
        <w:tc>
          <w:tcPr>
            <w:tcW w:w="0" w:type="dxa"/>
            <w:vAlign w:val="bottom"/>
          </w:tcPr>
          <w:p>
            <w:pPr>
              <w:spacing w:after="0"/>
              <w:rPr>
                <w:sz w:val="1"/>
                <w:szCs w:val="1"/>
                <w:color w:val="auto"/>
              </w:rPr>
            </w:pPr>
          </w:p>
        </w:tc>
      </w:tr>
      <w:tr>
        <w:trPr>
          <w:trHeight w:val="270"/>
        </w:trPr>
        <w:tc>
          <w:tcPr>
            <w:tcW w:w="98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(0.8)</w:t>
            </w:r>
          </w:p>
        </w:tc>
        <w:tc>
          <w:tcPr>
            <w:tcW w:w="0" w:type="dxa"/>
            <w:vAlign w:val="bottom"/>
          </w:tcPr>
          <w:p>
            <w:pPr>
              <w:spacing w:after="0"/>
              <w:rPr>
                <w:sz w:val="1"/>
                <w:szCs w:val="1"/>
                <w:color w:val="auto"/>
              </w:rPr>
            </w:pPr>
          </w:p>
        </w:tc>
      </w:tr>
      <w:tr>
        <w:trPr>
          <w:trHeight w:val="269"/>
        </w:trPr>
        <w:tc>
          <w:tcPr>
            <w:tcW w:w="98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2.4%</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82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Mark-to-market losses were $20 million in 2017 and $81 million in 2016.</w:t>
      </w:r>
    </w:p>
    <w:p>
      <w:pPr>
        <w:spacing w:after="0" w:line="55" w:lineRule="exact"/>
        <w:rPr>
          <w:rFonts w:ascii="Arial" w:cs="Arial" w:eastAsia="Arial" w:hAnsi="Arial"/>
          <w:sz w:val="25"/>
          <w:szCs w:val="25"/>
          <w:color w:val="auto"/>
          <w:vertAlign w:val="superscript"/>
        </w:rPr>
      </w:pPr>
    </w:p>
    <w:p>
      <w:pPr>
        <w:ind w:left="340" w:hanging="332"/>
        <w:spacing w:after="0" w:line="208"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0.9 points from cost savings initiatives, which was more than offset by cost inflation and other factors, including a negative impact of 0.2 points on carrot costs due to heavy rains in December and January this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Marketing and selling expenses as a percent of sales were 10.6% in 2017 compared to 10.2% in 2016. Marketing and selling expenses increased 4% in 2017 from 2016. The increase was due to higher advertising and consumer promotion expenses (approximately 4 percentage points); higher selling expenses (approximately 3 percentage points); and inflation (approximately 1 percentage point), partially offset by pension and postretirement benefit mark-to-market adjustments recognized in 2016 (approximately 4 percentage points). The increase in advertising and consumer promotion expenses was primarily due to the launch of </w:t>
      </w:r>
      <w:r>
        <w:rPr>
          <w:rFonts w:ascii="Arial" w:cs="Arial" w:eastAsia="Arial" w:hAnsi="Arial"/>
          <w:sz w:val="16"/>
          <w:szCs w:val="16"/>
          <w:i w:val="1"/>
          <w:iCs w:val="1"/>
          <w:color w:val="auto"/>
        </w:rPr>
        <w:t>Well Yes!</w:t>
      </w:r>
      <w:r>
        <w:rPr>
          <w:rFonts w:ascii="Arial" w:cs="Arial" w:eastAsia="Arial" w:hAnsi="Arial"/>
          <w:sz w:val="16"/>
          <w:szCs w:val="16"/>
          <w:color w:val="auto"/>
        </w:rPr>
        <w:t xml:space="preserve"> soups and higher levels of support on </w:t>
      </w:r>
      <w:r>
        <w:rPr>
          <w:rFonts w:ascii="Arial" w:cs="Arial" w:eastAsia="Arial" w:hAnsi="Arial"/>
          <w:sz w:val="16"/>
          <w:szCs w:val="16"/>
          <w:i w:val="1"/>
          <w:iCs w:val="1"/>
          <w:color w:val="auto"/>
        </w:rPr>
        <w:t>Prego</w:t>
      </w:r>
      <w:r>
        <w:rPr>
          <w:rFonts w:ascii="Arial" w:cs="Arial" w:eastAsia="Arial" w:hAnsi="Arial"/>
          <w:sz w:val="16"/>
          <w:szCs w:val="16"/>
          <w:color w:val="auto"/>
        </w:rPr>
        <w:t xml:space="preserve"> pasta sauces, </w:t>
      </w:r>
      <w:r>
        <w:rPr>
          <w:rFonts w:ascii="Arial" w:cs="Arial" w:eastAsia="Arial" w:hAnsi="Arial"/>
          <w:sz w:val="16"/>
          <w:szCs w:val="16"/>
          <w:i w:val="1"/>
          <w:iCs w:val="1"/>
          <w:color w:val="auto"/>
        </w:rPr>
        <w:t>V8</w:t>
      </w:r>
      <w:r>
        <w:rPr>
          <w:rFonts w:ascii="Arial" w:cs="Arial" w:eastAsia="Arial" w:hAnsi="Arial"/>
          <w:sz w:val="16"/>
          <w:szCs w:val="16"/>
          <w:color w:val="auto"/>
        </w:rPr>
        <w:t xml:space="preserve"> vegetable juice and Pepperidge Farm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Administrative expenses as a percent of sales were 6.0% in 2017 compared to 6.9% in 2016. Administrative expenses decreased 13% in 2017 from 2016. The decrease was primarily due to losses on pension and postretirement benefit mark-to-market adjustments recognized in 2016 (approximately 6 percentage points); increased benefits from cost savings initiatives (approximately 5 percentage points); lower incentive compensation costs (approximately 4 percentage points); and lower costs related to the implementation of the new organizational structure and cost savings initiatives (approximately 4 percentage points), partially offset by higher benefit-related costs (approximately 2 percentage points); inflation and other factors (approximately 2 percentage points) and investments in long-term innovation (approximately 1 percentage point).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Research and development expenses decreased $4 million, or 7%, in 2017 from 2016. The decrease was primarily due to losses on pension and postretirement benefit mark-to-market adjustments recognized in 2016 (approximately 11 percentage points), partially offset by investments in long-term innovation (approximately 2 percentage points) and inflation and other factors (approximately 2 percentage points).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14"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1% in 2017 from 2016.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56"/>
              <w:spacing w:after="0"/>
              <w:rPr>
                <w:sz w:val="20"/>
                <w:szCs w:val="20"/>
                <w:color w:val="auto"/>
              </w:rPr>
            </w:pPr>
            <w:r>
              <w:rPr>
                <w:rFonts w:ascii="Arial" w:cs="Arial" w:eastAsia="Arial" w:hAnsi="Arial"/>
                <w:sz w:val="14"/>
                <w:szCs w:val="14"/>
                <w:b w:val="1"/>
                <w:bCs w:val="1"/>
                <w:color w:val="auto"/>
              </w:rPr>
              <w:t>Six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w w:val="99"/>
              </w:rPr>
              <w:t>January 29, 2017</w:t>
            </w:r>
          </w:p>
        </w:tc>
        <w:tc>
          <w:tcPr>
            <w:tcW w:w="1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w w:val="99"/>
              </w:rPr>
              <w:t>January 31, 2016</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50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653</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50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247</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255</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(3)</w:t>
            </w:r>
          </w:p>
        </w:tc>
      </w:tr>
      <w:tr>
        <w:trPr>
          <w:trHeight w:val="27"/>
        </w:trPr>
        <w:tc>
          <w:tcPr>
            <w:tcW w:w="7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5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NM</w:t>
            </w:r>
          </w:p>
        </w:tc>
      </w:tr>
      <w:tr>
        <w:trPr>
          <w:trHeight w:val="237"/>
        </w:trPr>
        <w:tc>
          <w:tcPr>
            <w:tcW w:w="75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941</w:t>
            </w: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r>
      <w:tr>
        <w:trPr>
          <w:trHeight w:val="27"/>
        </w:trPr>
        <w:tc>
          <w:tcPr>
            <w:tcW w:w="7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5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80" w:type="dxa"/>
            <w:vAlign w:val="bottom"/>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9"/>
        </w:trPr>
        <w:tc>
          <w:tcPr>
            <w:tcW w:w="7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500" w:type="dxa"/>
            <w:vAlign w:val="bottom"/>
            <w:tcBorders>
              <w:top w:val="single" w:sz="8" w:color="auto"/>
              <w:bottom w:val="single" w:sz="8" w:color="CCEEFF"/>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660" w:type="dxa"/>
            <w:vAlign w:val="bottom"/>
            <w:tcBorders>
              <w:top w:val="single" w:sz="8" w:color="auto"/>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Earnings from Americas Simple Meals and Beverages increased 7%. The increase was primarily due to a higher gross profit percentage, benefiting from productivity improvements, partly offset by increased marketing and selling expenses. Advertising and consumer promotion expenses increased in 2017 primarily due to the launch of </w:t>
      </w:r>
      <w:r>
        <w:rPr>
          <w:rFonts w:ascii="Arial" w:cs="Arial" w:eastAsia="Arial" w:hAnsi="Arial"/>
          <w:sz w:val="17"/>
          <w:szCs w:val="17"/>
          <w:i w:val="1"/>
          <w:iCs w:val="1"/>
          <w:color w:val="auto"/>
        </w:rPr>
        <w:t>Well Yes!</w:t>
      </w:r>
      <w:r>
        <w:rPr>
          <w:rFonts w:ascii="Arial" w:cs="Arial" w:eastAsia="Arial" w:hAnsi="Arial"/>
          <w:sz w:val="17"/>
          <w:szCs w:val="17"/>
          <w:color w:val="auto"/>
        </w:rPr>
        <w:t xml:space="preserve"> soups and higher levels of support on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and </w:t>
      </w:r>
      <w:r>
        <w:rPr>
          <w:rFonts w:ascii="Arial" w:cs="Arial" w:eastAsia="Arial" w:hAnsi="Arial"/>
          <w:sz w:val="17"/>
          <w:szCs w:val="17"/>
          <w:i w:val="1"/>
          <w:iCs w:val="1"/>
          <w:color w:val="auto"/>
        </w:rPr>
        <w:t>V8</w:t>
      </w:r>
      <w:r>
        <w:rPr>
          <w:rFonts w:ascii="Arial" w:cs="Arial" w:eastAsia="Arial" w:hAnsi="Arial"/>
          <w:sz w:val="17"/>
          <w:szCs w:val="17"/>
          <w:color w:val="auto"/>
        </w:rPr>
        <w:t xml:space="preserve"> vegetable juice.</w:t>
      </w:r>
    </w:p>
    <w:p>
      <w:pPr>
        <w:spacing w:after="0" w:line="12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Global Biscuits and Snacks decreased 3%. The decrease was primarily due to a lower gross profit percentage as other supply chain costs and higher promotional spending were partly offset by productivity improvements.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Campbell Fresh decreased by $41 million from $39 million in 2016 to a loss of $2 million in the current year. The decrease was primarily due to higher carrot costs, which were associated with the adverse impact on crop yields of heavy rains in December and January this year, as well as excess organic carrots; the cost impact of lower beverage operating efficiencies; and lower sales.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Corporate in 2017 included non-cash impairment charges of $212 million on the intangible assets of the Bolthouse Farms carrot and carrot ingredients reporting unit, and the Garden Fresh Gourmet reporting unit; a $20 million loss associated with pension and postretirement benefit mark-to-market adjustments and costs of $11 million related to the implementation of our new organizational structure and cost savings initiatives. Corporate in 2016 included a $121 million loss associated with pension and postretirement benefit mark-to-market adjustments and costs of $22 million related to the implementation of our new organizational structure and cost savings initiatives.The remaining decrease was primarily due to lower postretirement benefit costs.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of $58 million in 2017 compared to $57 million in 2016 reflecting higher average interest rates on the debt portfolio, partly offset by lower average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effective tax rate was 35.1% in 2017, and 31.9% in 2016. In 2017, we recognized a $32 million tax benefit on the $212 million impairment charges on the intangible assets of the Bolthouse Farms carrot and carrot ingredients reporting unit and the Garden Fresh reporting unit, a tax benefit of $7 million on $20 million of pension and postretirement benefit mark-to-market losses and a $4 million tax benefit on $11 million of restructuring charges, implementation costs and other related costs. In 2016, we recognized a tax benefit of $45 million on $121 million of pension and postretirement benefit mark-to-market losses and a $19 million tax benefit on $52 million of restructuring charges, implementation costs and other related costs. After adjusting for the items above, the effective tax rate decreased reflecting a benefit from a favorable timing impact related to the 2017 impairment charges, which will reverse over the course of the second half of 2017, and the recognition of $6 million of excess tax benefits in connection with the adoption of new accounting guidance on stock-based compensation in 2017. See Note 2 to the Consolidated Financial Statements for additional information on the adoption of the new accounting guidance.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such as adopting zero-based budgeting over time.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related to the implementation of the new organizational structure and costs savings initiatives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620" w:type="dxa"/>
            <w:vAlign w:val="bottom"/>
            <w:tcBorders>
              <w:bottom w:val="single" w:sz="8" w:color="auto"/>
            </w:tcBorders>
            <w:gridSpan w:val="5"/>
          </w:tcPr>
          <w:p>
            <w:pPr>
              <w:jc w:val="right"/>
              <w:ind w:right="555"/>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January 29,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January 31,</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29,</w:t>
            </w:r>
          </w:p>
        </w:tc>
        <w:tc>
          <w:tcPr>
            <w:tcW w:w="18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3"/>
                <w:szCs w:val="13"/>
                <w:color w:val="auto"/>
              </w:rPr>
            </w:pPr>
          </w:p>
        </w:tc>
        <w:tc>
          <w:tcPr>
            <w:tcW w:w="108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July 31,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74"/>
              <w:spacing w:after="0" w:line="153" w:lineRule="exact"/>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9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980" w:type="dxa"/>
            <w:vAlign w:val="bottom"/>
            <w:tcBorders>
              <w:bottom w:val="single" w:sz="8" w:color="CCEEFF"/>
            </w:tcBorders>
            <w:shd w:val="clear" w:color="auto" w:fill="CCEEFF"/>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340" w:type="dxa"/>
            <w:vAlign w:val="bottom"/>
            <w:vMerge w:val="continue"/>
          </w:tcPr>
          <w:p>
            <w:pPr>
              <w:spacing w:after="0"/>
              <w:rPr>
                <w:sz w:val="19"/>
                <w:szCs w:val="19"/>
                <w:color w:val="auto"/>
              </w:rPr>
            </w:pPr>
          </w:p>
        </w:tc>
        <w:tc>
          <w:tcPr>
            <w:tcW w:w="980" w:type="dxa"/>
            <w:vAlign w:val="bottom"/>
          </w:tcPr>
          <w:p>
            <w:pPr>
              <w:jc w:val="right"/>
              <w:ind w:right="798"/>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7"/>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9"/>
                <w:szCs w:val="19"/>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260" w:type="dxa"/>
            <w:vAlign w:val="bottom"/>
            <w:gridSpan w:val="8"/>
          </w:tcPr>
          <w:p>
            <w:pPr>
              <w:ind w:left="340"/>
              <w:spacing w:after="0"/>
              <w:rPr>
                <w:sz w:val="20"/>
                <w:szCs w:val="20"/>
                <w:color w:val="auto"/>
              </w:rPr>
            </w:pPr>
            <w:r>
              <w:rPr>
                <w:rFonts w:ascii="Arial" w:cs="Arial" w:eastAsia="Arial" w:hAnsi="Arial"/>
                <w:sz w:val="18"/>
                <w:szCs w:val="18"/>
                <w:color w:val="auto"/>
                <w:w w:val="92"/>
              </w:rPr>
              <w:t>A summary of the pre-tax costs associated with the 2015 initiatives is as follows:</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Recognized as of</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w w:val="94"/>
              </w:rPr>
              <w:t>January 29, 2017</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w w:val="91"/>
              </w:rPr>
              <w:t>Implementation costs and other related costs</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the 2015 initiatives for actions that have been identified are approximately $250 million to $270 million. The estimates will be updated as costs for the expanded initiatives are developed.</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expect the costs for actions that have been identified to date to consist of approximately $130 million to $135 million in severance pay and benefits, and approximately $120 million to $135 million in implementation costs and other related costs.We expect these total pre-tax costs related to the 2015 initiatives will be associated with segments as follows: Americas Simple Meals and Beverages - approximately 33%; Global Biscuits and Snacks - approximately 32%; Campbell Fresh - approximately 3%; and Corporate - approximately 32%.</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substantially all costs to be cash expenditures, except for $7 million of non-cash postretirement and pension curtailment costs incurred in 2015. In addition, we expect to invest approximately $105 million in capital expenditures through 2019 related to the construction of a network of distribution centers for our U.S. thermal plants.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to incur the costs through 2019, and to fund the costs through cash flows from operations and short-term borrowings.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4" w:right="239" w:bottom="1440" w:gutter="0" w:footer="0" w:header="0"/>
        </w:sectPr>
      </w:pPr>
    </w:p>
    <w:bookmarkStart w:id="32" w:name="page33"/>
    <w:bookmarkEnd w:id="32"/>
    <w:p>
      <w:pPr>
        <w:jc w:val="both"/>
        <w:ind w:firstLine="324"/>
        <w:spacing w:after="0" w:line="264" w:lineRule="auto"/>
        <w:rPr>
          <w:sz w:val="20"/>
          <w:szCs w:val="20"/>
          <w:color w:val="auto"/>
        </w:rPr>
      </w:pPr>
      <w:r>
        <w:rPr>
          <w:rFonts w:ascii="Arial" w:cs="Arial" w:eastAsia="Arial" w:hAnsi="Arial"/>
          <w:sz w:val="18"/>
          <w:szCs w:val="18"/>
          <w:color w:val="auto"/>
        </w:rPr>
        <w:t>We expect the 2015 initiatives to generate pre-tax savings of approximately $300 million in 2017. For actions that have been identified to date, we expect annual savings of $350 million, and once all phases are implemented, to generate annual ongoing savings of approximately $450 million beginning in 2020. The annual pre-tax savings generated by the 2015 initiatives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Six Months</w:t>
            </w:r>
          </w:p>
        </w:tc>
        <w:tc>
          <w:tcPr>
            <w:tcW w:w="140" w:type="dxa"/>
            <w:vAlign w:val="bottom"/>
          </w:tcPr>
          <w:p>
            <w:pPr>
              <w:spacing w:after="0"/>
              <w:rPr>
                <w:sz w:val="14"/>
                <w:szCs w:val="14"/>
                <w:color w:val="auto"/>
              </w:rPr>
            </w:pPr>
          </w:p>
        </w:tc>
        <w:tc>
          <w:tcPr>
            <w:tcW w:w="1680" w:type="dxa"/>
            <w:vAlign w:val="bottom"/>
            <w:gridSpan w:val="3"/>
            <w:vMerge w:val="restart"/>
          </w:tcPr>
          <w:p>
            <w:pPr>
              <w:jc w:val="right"/>
              <w:ind w:right="179"/>
              <w:spacing w:after="0"/>
              <w:rPr>
                <w:sz w:val="20"/>
                <w:szCs w:val="20"/>
                <w:color w:val="auto"/>
              </w:rPr>
            </w:pPr>
            <w:r>
              <w:rPr>
                <w:rFonts w:ascii="Arial" w:cs="Arial" w:eastAsia="Arial" w:hAnsi="Arial"/>
                <w:sz w:val="14"/>
                <w:szCs w:val="14"/>
                <w:b w:val="1"/>
                <w:bCs w:val="1"/>
                <w:color w:val="auto"/>
              </w:rPr>
              <w:t>Year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29,</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2016</w:t>
            </w:r>
          </w:p>
        </w:tc>
        <w:tc>
          <w:tcPr>
            <w:tcW w:w="1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August 2, 2015</w:t>
            </w:r>
          </w:p>
        </w:tc>
        <w:tc>
          <w:tcPr>
            <w:tcW w:w="0" w:type="dxa"/>
            <w:vAlign w:val="bottom"/>
          </w:tcPr>
          <w:p>
            <w:pPr>
              <w:spacing w:after="0"/>
              <w:rPr>
                <w:sz w:val="1"/>
                <w:szCs w:val="1"/>
                <w:color w:val="auto"/>
              </w:rPr>
            </w:pPr>
          </w:p>
        </w:tc>
      </w:tr>
      <w:tr>
        <w:trPr>
          <w:trHeight w:val="243"/>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w w:val="79"/>
              </w:rPr>
              <w:t>275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77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January 29, 2017</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5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Costs Incurred to Date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68</w:t>
            </w:r>
          </w:p>
        </w:tc>
      </w:tr>
      <w:tr>
        <w:trPr>
          <w:trHeight w:val="27"/>
        </w:trPr>
        <w:tc>
          <w:tcPr>
            <w:tcW w:w="6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6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w:t>
            </w:r>
          </w:p>
        </w:tc>
        <w:tc>
          <w:tcPr>
            <w:tcW w:w="680" w:type="dxa"/>
            <w:vAlign w:val="bottom"/>
          </w:tcPr>
          <w:p>
            <w:pPr>
              <w:spacing w:after="0"/>
              <w:rPr>
                <w:sz w:val="21"/>
                <w:szCs w:val="21"/>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76</w:t>
            </w:r>
          </w:p>
        </w:tc>
      </w:tr>
      <w:tr>
        <w:trPr>
          <w:trHeight w:val="27"/>
        </w:trPr>
        <w:tc>
          <w:tcPr>
            <w:tcW w:w="67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217</w:t>
            </w:r>
          </w:p>
        </w:tc>
      </w:tr>
      <w:tr>
        <w:trPr>
          <w:trHeight w:val="20"/>
        </w:trPr>
        <w:tc>
          <w:tcPr>
            <w:tcW w:w="6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2016, we recorded a reduction to restructuring charges of $4 million ($3 million after tax, or $.01 per share) related to the 2014 initiatives. Of the amounts recorded in 2016, $3 million ($2 million after tax, or $.01 per share) was recorded in the second quarter related to the 2014 initiative to improve supply chain efficiency in Australia. As of July 31, 2016, we incurred substantially all of the costs related to the 2014 initiatives.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Recognized as of August 2, 2015.</w:t>
      </w:r>
    </w:p>
    <w:p>
      <w:pPr>
        <w:spacing w:after="0" w:line="147"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See Note 6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$667 million in 2017, compared to $754 million in 2016. The decline in 2017 was primarily due to changes in accrued liabilities, principally accrued taxes and accrued incentive compensation.</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$540 million as of January 29, 2017, and $647 million as of July 31, 2016. Debt maturing within one year was $1.185 billion as of January 29, 2017.</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Capital expenditures were $119 million in 2017, compared to $153 million in 2016. Capital expenditures are expected to total approximately $325 million in 2017. Capital expenditures in 2017 included projects to expand: Australian multi-pack biscuit capacity (approximately $9 million); beverage and salad dressing capacity at Bolthouse Farms (approximately $6 million); and</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14" w:right="239" w:bottom="1440" w:gutter="0" w:footer="0" w:header="0"/>
          <w:type w:val="continuous"/>
        </w:sectPr>
      </w:pPr>
    </w:p>
    <w:bookmarkStart w:id="33" w:name="page34"/>
    <w:bookmarkEnd w:id="33"/>
    <w:p>
      <w:pPr>
        <w:jc w:val="both"/>
        <w:ind w:right="20"/>
        <w:spacing w:after="0" w:line="277" w:lineRule="auto"/>
        <w:rPr>
          <w:sz w:val="20"/>
          <w:szCs w:val="20"/>
          <w:color w:val="auto"/>
        </w:rPr>
      </w:pPr>
      <w:r>
        <w:rPr>
          <w:rFonts w:ascii="Arial" w:cs="Arial" w:eastAsia="Arial" w:hAnsi="Arial"/>
          <w:sz w:val="18"/>
          <w:szCs w:val="18"/>
          <w:color w:val="auto"/>
        </w:rPr>
        <w:t>capacity at Garden Fresh (approximately $3 million); as well as the continued enhancement of our corporate headquarters (approximately $7 million); and replacement of a Pepperidge Farm refrigeration system (approximately $4 million).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$207 million in 2017, and $197 million in 2016. We repurchased approximately 4 million shares at a cost of $234 million in 2017, and approximately 2 million shares at a cost of $86 million in 2016. See Note 12 to the Consolidated Financial Statements and “Unregistered Sales of Equity Securities and Use of Proceeds” for more information.</w:t>
      </w:r>
    </w:p>
    <w:p>
      <w:pPr>
        <w:spacing w:after="0" w:line="12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January 29, 2017, we had $1.185 billion of short-term borrowings due within one year, of which $785 million was comprised of commercial paper borrowings. As of January 29, 2017, we issued $48 million of standby letters of credit. We have a committed revolving credit facility totaling $1.85 billion that matures in December 2021. This U.S. facility remained unused at January 29, 2017, except for $3 million of standby letters of credit that we issued under it. The U.S. facility supports our commercial paper programs and other general corporate purposes. In July 2016, we entered into a committed revolving credit facility totaling CAD $280 million, or $213 million, that matures in July 2019. The Canadian facility's commitment mandatorily reduces to CAD $225 million in July 2017 and to CAD $185 million in July 2018. The Canadian facility supports general corporate purposes. Through January 2017, we reduced the borrowings and commitment under the Canadian facility by CAD $80 million, or $61 million. As of January 29, 2017, we had borrowings of CAD $200 million, or $152 million, at a rate of 1.848% under this facility.</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shelf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2016 Annual Report on Form 10-K. The accounting policies we used in preparing these financial statements are substantially consistent with those we applied in our Annual Report on Form 10-K for the year ended July 31, 2016, with the exception of the adoption of new guidance on accounting for share-based payments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2016 Annual Report on Form 10-K.</w:t>
      </w:r>
    </w:p>
    <w:p>
      <w:pPr>
        <w:spacing w:after="0" w:line="11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Valuation of long-lived assets </w:t>
      </w:r>
      <w:r>
        <w:rPr>
          <w:rFonts w:ascii="Arial" w:cs="Arial" w:eastAsia="Arial" w:hAnsi="Arial"/>
          <w:sz w:val="16"/>
          <w:szCs w:val="16"/>
          <w:color w:val="auto"/>
        </w:rPr>
        <w:t>- The valuation of long-lived assets is an area that requires the use of subjective or complex judgments,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Goodwill and intangible assets deemed to have indefinite lives are not amortized but rather are tested at least annually for impairment, or more often if events or changes in circumstances indicate that more likely than not the carrying amount of the asset may not be recoverable. In the fourth quarter of 2016, as part of our annual review of intangible assets, we recognized an impairment charge of $106 million on goodwill and $35 million on a trademark within the Bolthouse Farms carrot and carrot ingredients reporting unit, which is part of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w:t>
      </w:r>
    </w:p>
    <w:p>
      <w:pPr>
        <w:spacing w:after="0" w:line="11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second quarter of 2017, sales and operating profit performance for Bolthouse Farms carrot and carrot ingredients were well below our revised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impairment assessment as of December 31, 2016, which resulted in a $127 million impairment charge on goodwill and $20 million on a trademark in the reporting unit. The updated cash flow projections include expectations that operating margins will improve from reduced levels in 2016 and 2017.</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14" w:right="239" w:bottom="1440" w:gutter="0" w:footer="0" w:header="0"/>
        </w:sectPr>
      </w:pPr>
    </w:p>
    <w:bookmarkStart w:id="34" w:name="page35"/>
    <w:bookmarkEnd w:id="34"/>
    <w:p>
      <w:pPr>
        <w:jc w:val="both"/>
        <w:ind w:firstLine="324"/>
        <w:spacing w:after="0" w:line="288" w:lineRule="auto"/>
        <w:rPr>
          <w:sz w:val="20"/>
          <w:szCs w:val="20"/>
          <w:color w:val="auto"/>
        </w:rPr>
      </w:pPr>
      <w:r>
        <w:rPr>
          <w:rFonts w:ascii="Arial" w:cs="Arial" w:eastAsia="Arial" w:hAnsi="Arial"/>
          <w:sz w:val="16"/>
          <w:szCs w:val="16"/>
          <w:color w:val="auto"/>
        </w:rPr>
        <w:t>We acquired Garden Fresh Gourmet on June 29, 2015, and therefore the fair value was not significantly in excess of the carrying value as of July 31, 2016. During 2017, sales and operating profit performance for Garden Fresh Gourmet, which is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as of December 31, 2016, which resulted in a $64 million impairment charge on goodwill and $1 million on a trademark in the reporting unit. The updated cash flow projections include expectations that we will build distribution in the U.S., operating margins will expand partly driven by the benefits from further integration, and sales growth rates will exceed the company's overall sales growth rates.</w:t>
      </w:r>
    </w:p>
    <w:p>
      <w:pPr>
        <w:spacing w:after="0" w:line="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During the second quarter of 2017, Bolthouse Farms refrigerated beverages and salad dressings sales performance was below expectations, principally due to constrained production capacity related to the voluntary recall of </w:t>
      </w:r>
      <w:r>
        <w:rPr>
          <w:rFonts w:ascii="Arial" w:cs="Arial" w:eastAsia="Arial" w:hAnsi="Arial"/>
          <w:sz w:val="17"/>
          <w:szCs w:val="17"/>
          <w:i w:val="1"/>
          <w:iCs w:val="1"/>
          <w:color w:val="auto"/>
        </w:rPr>
        <w:t>Bolthouse Farms Protein PLUS</w:t>
      </w:r>
      <w:r>
        <w:rPr>
          <w:rFonts w:ascii="Arial" w:cs="Arial" w:eastAsia="Arial" w:hAnsi="Arial"/>
          <w:sz w:val="17"/>
          <w:szCs w:val="17"/>
          <w:color w:val="auto"/>
        </w:rPr>
        <w:t xml:space="preserve"> drinks in the fourth quarter of 2016. In addition, as part of a strategic review initiated by a new leadership team of Campbell Fresh during the second quarter, we now expect that the rate of future sales growth will be above the company's overall sales growth but sales will be lower than previously expected and we decided to increase our focus on improving profitability by pursuing various supply chain initiatives. While we do not believe that events or changes in circumstances indicate that it is more likely than not the carrying amount of the Bolthouse Farms refrigerated beverages and salad dressings reporting unit, nor the </w:t>
      </w:r>
      <w:r>
        <w:rPr>
          <w:rFonts w:ascii="Arial" w:cs="Arial" w:eastAsia="Arial" w:hAnsi="Arial"/>
          <w:sz w:val="17"/>
          <w:szCs w:val="17"/>
          <w:i w:val="1"/>
          <w:iCs w:val="1"/>
          <w:color w:val="auto"/>
        </w:rPr>
        <w:t>Bolthouse Farms</w:t>
      </w:r>
      <w:r>
        <w:rPr>
          <w:rFonts w:ascii="Arial" w:cs="Arial" w:eastAsia="Arial" w:hAnsi="Arial"/>
          <w:sz w:val="17"/>
          <w:szCs w:val="17"/>
          <w:color w:val="auto"/>
        </w:rPr>
        <w:t xml:space="preserve"> trademark within the reporting unit, may not be recoverable, we performed a sensitivity analysis for the </w:t>
      </w:r>
      <w:r>
        <w:rPr>
          <w:rFonts w:ascii="Arial" w:cs="Arial" w:eastAsia="Arial" w:hAnsi="Arial"/>
          <w:sz w:val="17"/>
          <w:szCs w:val="17"/>
          <w:i w:val="1"/>
          <w:iCs w:val="1"/>
          <w:color w:val="auto"/>
        </w:rPr>
        <w:t>Bolthouse Farms</w:t>
      </w:r>
      <w:r>
        <w:rPr>
          <w:rFonts w:ascii="Arial" w:cs="Arial" w:eastAsia="Arial" w:hAnsi="Arial"/>
          <w:sz w:val="17"/>
          <w:szCs w:val="17"/>
          <w:color w:val="auto"/>
        </w:rPr>
        <w:t xml:space="preserve"> trademark. We concluded that the trademark is not impaired but had risk of decreasing coverage. The carrying value of the trademark related to the Bolthouse Farms beverages and salad dressings reporting unit was $280 million at January 29, 2017, and July 31, 2016. As of July 31, 2016, the fair value of the trademark exceeded the carrying value by approximately 20%. We will continue to monitor this trademark.</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January 29, 2017, the carrying value of goodwill was $2.064 billion. Of this amount, the carrying value of goodwill related to the Bolthouse Farms carrot and carrot ingredients reporting unit was $75 million, and the carrying value of the goodwill related to the Garden Fresh Gourmet reporting unit was $52 million, which represent fair value as a result of the impairment charges in 2017. Holding all other assumptions used in the 2017 interim assessment constant, changes in the assumptions below would reduce fair value of the two reporting units by approximately:</w:t>
      </w: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74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increase in the weighted-average cost of capital</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reduction in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1% reduction in EBITDA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margin</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9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Earnings before interest, taxes, depreciation and amortization.</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If assumptions are not achieved or market conditions decline, potential additional impairment charges could result.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Bolthouse Farms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Carrot and Carrot</w:t>
            </w:r>
          </w:p>
        </w:tc>
        <w:tc>
          <w:tcPr>
            <w:tcW w:w="140" w:type="dxa"/>
            <w:vAlign w:val="bottom"/>
          </w:tcPr>
          <w:p>
            <w:pPr>
              <w:spacing w:after="0"/>
              <w:rPr>
                <w:sz w:val="12"/>
                <w:szCs w:val="12"/>
                <w:color w:val="auto"/>
              </w:rPr>
            </w:pPr>
          </w:p>
        </w:tc>
        <w:tc>
          <w:tcPr>
            <w:tcW w:w="10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2"/>
              </w:rPr>
              <w:t>Garden Fresh</w:t>
            </w:r>
          </w:p>
        </w:tc>
        <w:tc>
          <w:tcPr>
            <w:tcW w:w="0" w:type="dxa"/>
            <w:vAlign w:val="bottom"/>
          </w:tcPr>
          <w:p>
            <w:pPr>
              <w:spacing w:after="0"/>
              <w:rPr>
                <w:sz w:val="1"/>
                <w:szCs w:val="1"/>
                <w:color w:val="auto"/>
              </w:rPr>
            </w:pPr>
          </w:p>
        </w:tc>
      </w:tr>
      <w:tr>
        <w:trPr>
          <w:trHeight w:val="81"/>
        </w:trPr>
        <w:tc>
          <w:tcPr>
            <w:tcW w:w="200" w:type="dxa"/>
            <w:vAlign w:val="bottom"/>
          </w:tcPr>
          <w:p>
            <w:pPr>
              <w:spacing w:after="0"/>
              <w:rPr>
                <w:sz w:val="7"/>
                <w:szCs w:val="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Ingredients</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197"/>
              <w:spacing w:after="0"/>
              <w:rPr>
                <w:sz w:val="20"/>
                <w:szCs w:val="20"/>
                <w:color w:val="auto"/>
              </w:rPr>
            </w:pPr>
            <w:r>
              <w:rPr>
                <w:rFonts w:ascii="Arial" w:cs="Arial" w:eastAsia="Arial" w:hAnsi="Arial"/>
                <w:sz w:val="14"/>
                <w:szCs w:val="14"/>
                <w:b w:val="1"/>
                <w:bCs w:val="1"/>
                <w:color w:val="auto"/>
              </w:rPr>
              <w:t>Gourmet</w:t>
            </w:r>
          </w:p>
        </w:tc>
        <w:tc>
          <w:tcPr>
            <w:tcW w:w="0" w:type="dxa"/>
            <w:vAlign w:val="bottom"/>
          </w:tcPr>
          <w:p>
            <w:pPr>
              <w:spacing w:after="0"/>
              <w:rPr>
                <w:sz w:val="1"/>
                <w:szCs w:val="1"/>
                <w:color w:val="auto"/>
              </w:rPr>
            </w:pPr>
          </w:p>
        </w:tc>
      </w:tr>
      <w:tr>
        <w:trPr>
          <w:trHeight w:val="87"/>
        </w:trPr>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91"/>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32"/>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32"/>
        </w:trPr>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1038" w:lineRule="exact"/>
        <w:rPr>
          <w:sz w:val="20"/>
          <w:szCs w:val="20"/>
          <w:color w:val="auto"/>
        </w:rPr>
      </w:pPr>
    </w:p>
    <w:p>
      <w:pPr>
        <w:sectPr>
          <w:pgSz w:w="11900" w:h="16838" w:orient="portrait"/>
          <w:cols w:equalWidth="0" w:num="2">
            <w:col w:w="8280" w:space="640"/>
            <w:col w:w="2500"/>
          </w:cols>
          <w:pgMar w:left="240" w:top="1233" w:right="239" w:bottom="1440" w:gutter="0" w:footer="0" w:header="0"/>
          <w:type w:val="continuous"/>
        </w:sectPr>
      </w:pPr>
    </w:p>
    <w:p>
      <w:pPr>
        <w:jc w:val="both"/>
        <w:ind w:firstLine="324"/>
        <w:spacing w:after="0" w:line="259" w:lineRule="auto"/>
        <w:rPr>
          <w:sz w:val="20"/>
          <w:szCs w:val="20"/>
          <w:color w:val="auto"/>
        </w:rPr>
      </w:pPr>
      <w:r>
        <w:rPr>
          <w:rFonts w:ascii="Arial" w:cs="Arial" w:eastAsia="Arial" w:hAnsi="Arial"/>
          <w:sz w:val="18"/>
          <w:szCs w:val="18"/>
          <w:color w:val="auto"/>
        </w:rPr>
        <w:t>As of January 29, 2017, the carrying value of the trademarks was $900 million. Of this amount, $48 million related to the Bolthouse Farms carrot and carrot ingredients reporting unit, and $37 million related to the Garden Fresh Gourmet reporting unit, which represent fair value as a result of the impairment charges in 2017. Holding all other assumptions used in the 2017 interim assessment constant, changes in the assumptions below would reduce fair value of the trademarks by approximately:</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Bolthouse Farms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920" w:type="dxa"/>
            <w:vAlign w:val="bottom"/>
          </w:tcPr>
          <w:p>
            <w:pPr>
              <w:spacing w:after="0"/>
              <w:rPr>
                <w:sz w:val="12"/>
                <w:szCs w:val="12"/>
                <w:color w:val="auto"/>
              </w:rPr>
            </w:pPr>
          </w:p>
        </w:tc>
        <w:tc>
          <w:tcPr>
            <w:tcW w:w="136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rPr>
              <w:t>Carrot and Carrot</w:t>
            </w:r>
          </w:p>
        </w:tc>
        <w:tc>
          <w:tcPr>
            <w:tcW w:w="140" w:type="dxa"/>
            <w:vAlign w:val="bottom"/>
          </w:tcPr>
          <w:p>
            <w:pPr>
              <w:spacing w:after="0"/>
              <w:rPr>
                <w:sz w:val="12"/>
                <w:szCs w:val="12"/>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92"/>
              </w:rPr>
              <w:t>Garden Fresh</w:t>
            </w:r>
          </w:p>
        </w:tc>
        <w:tc>
          <w:tcPr>
            <w:tcW w:w="0" w:type="dxa"/>
            <w:vAlign w:val="bottom"/>
          </w:tcPr>
          <w:p>
            <w:pPr>
              <w:spacing w:after="0"/>
              <w:rPr>
                <w:sz w:val="1"/>
                <w:szCs w:val="1"/>
                <w:color w:val="auto"/>
              </w:rPr>
            </w:pPr>
          </w:p>
        </w:tc>
      </w:tr>
      <w:tr>
        <w:trPr>
          <w:trHeight w:val="81"/>
        </w:trPr>
        <w:tc>
          <w:tcPr>
            <w:tcW w:w="8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Ingredients</w:t>
            </w: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8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Gourmet</w:t>
            </w:r>
          </w:p>
        </w:tc>
        <w:tc>
          <w:tcPr>
            <w:tcW w:w="0" w:type="dxa"/>
            <w:vAlign w:val="bottom"/>
          </w:tcPr>
          <w:p>
            <w:pPr>
              <w:spacing w:after="0"/>
              <w:rPr>
                <w:sz w:val="1"/>
                <w:szCs w:val="1"/>
                <w:color w:val="auto"/>
              </w:rPr>
            </w:pPr>
          </w:p>
        </w:tc>
      </w:tr>
      <w:tr>
        <w:trPr>
          <w:trHeight w:val="87"/>
        </w:trPr>
        <w:tc>
          <w:tcPr>
            <w:tcW w:w="892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8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88"/>
        </w:trPr>
        <w:tc>
          <w:tcPr>
            <w:tcW w:w="892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vMerge w:val="continue"/>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vMerge w:val="continue"/>
            <w:shd w:val="clear" w:color="auto" w:fill="CCEEFF"/>
          </w:tcPr>
          <w:p>
            <w:pPr>
              <w:spacing w:after="0"/>
              <w:rPr>
                <w:sz w:val="7"/>
                <w:szCs w:val="7"/>
                <w:color w:val="auto"/>
              </w:rPr>
            </w:pPr>
          </w:p>
        </w:tc>
        <w:tc>
          <w:tcPr>
            <w:tcW w:w="10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920" w:type="dxa"/>
            <w:vAlign w:val="bottom"/>
          </w:tcPr>
          <w:p>
            <w:pPr>
              <w:ind w:left="40"/>
              <w:spacing w:after="0"/>
              <w:rPr>
                <w:sz w:val="20"/>
                <w:szCs w:val="20"/>
                <w:color w:val="auto"/>
              </w:rPr>
            </w:pPr>
            <w:r>
              <w:rPr>
                <w:rFonts w:ascii="Arial" w:cs="Arial" w:eastAsia="Arial" w:hAnsi="Arial"/>
                <w:sz w:val="18"/>
                <w:szCs w:val="18"/>
                <w:color w:val="auto"/>
              </w:rPr>
              <w:t>1% reduction in revenue growth</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81"/>
        </w:trPr>
        <w:tc>
          <w:tcPr>
            <w:tcW w:w="892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33" w:right="239" w:bottom="1440" w:gutter="0" w:footer="0" w:header="0"/>
          <w:type w:val="continuous"/>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33"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4 to the Consolidated Financial Statements for additional information on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quarterly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2016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right="2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changing customer landscape, including inventory management practices, and increased significance of certain of our key customers;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complete and integrate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14" w:right="2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Disclosures About Market Risk, in the 2016 Annual Report on Form 10-K. There have been no significant changes in our portfolio of financial instruments or market risk exposures from the 2016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January 29, 2017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control over financial reporting during the quarter ended January 29,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10" w:right="239" w:bottom="1440" w:gutter="0" w:footer="0" w:header="0"/>
        </w:sectPr>
      </w:pPr>
    </w:p>
    <w:bookmarkStart w:id="37" w:name="page38"/>
    <w:bookmarkEnd w:id="37"/>
    <w:p>
      <w:pPr>
        <w:ind w:left="4300"/>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Issuer Purchases of Equity Securities</w:t>
            </w: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400" w:type="dxa"/>
            <w:vAlign w:val="bottom"/>
            <w:tcBorders>
              <w:top w:val="single" w:sz="8" w:color="auto"/>
              <w:bottom w:val="single" w:sz="8" w:color="BFE4FF"/>
            </w:tcBorders>
          </w:tcPr>
          <w:p>
            <w:pPr>
              <w:spacing w:after="0" w:line="20" w:lineRule="exact"/>
              <w:rPr>
                <w:sz w:val="1"/>
                <w:szCs w:val="1"/>
                <w:color w:val="auto"/>
              </w:rPr>
            </w:pPr>
          </w:p>
        </w:tc>
        <w:tc>
          <w:tcPr>
            <w:tcW w:w="4140" w:type="dxa"/>
            <w:vAlign w:val="bottom"/>
            <w:tcBorders>
              <w:bottom w:val="single" w:sz="8" w:color="BFE4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10/31/16 - 11/30/16</w:t>
            </w:r>
          </w:p>
        </w:tc>
        <w:tc>
          <w:tcPr>
            <w:tcW w:w="1280" w:type="dxa"/>
            <w:vAlign w:val="bottom"/>
            <w:shd w:val="clear" w:color="auto" w:fill="BFE4FF"/>
          </w:tcPr>
          <w:p>
            <w:pPr>
              <w:jc w:val="right"/>
              <w:ind w:right="38"/>
              <w:spacing w:after="0"/>
              <w:rPr>
                <w:sz w:val="20"/>
                <w:szCs w:val="20"/>
                <w:color w:val="auto"/>
              </w:rPr>
            </w:pPr>
            <w:r>
              <w:rPr>
                <w:rFonts w:ascii="Arial" w:cs="Arial" w:eastAsia="Arial" w:hAnsi="Arial"/>
                <w:sz w:val="18"/>
                <w:szCs w:val="18"/>
                <w:color w:val="auto"/>
              </w:rPr>
              <w:t>202,500</w:t>
            </w:r>
          </w:p>
        </w:tc>
        <w:tc>
          <w:tcPr>
            <w:tcW w:w="340" w:type="dxa"/>
            <w:vAlign w:val="bottom"/>
            <w:shd w:val="clear" w:color="auto" w:fill="BFE4FF"/>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shd w:val="clear" w:color="auto" w:fill="BFE4FF"/>
          </w:tcPr>
          <w:p>
            <w:pPr>
              <w:ind w:left="620"/>
              <w:spacing w:after="0" w:line="264" w:lineRule="exact"/>
              <w:rPr>
                <w:sz w:val="20"/>
                <w:szCs w:val="20"/>
                <w:color w:val="auto"/>
              </w:rPr>
            </w:pPr>
            <w:r>
              <w:rPr>
                <w:rFonts w:ascii="Arial" w:cs="Arial" w:eastAsia="Arial" w:hAnsi="Arial"/>
                <w:sz w:val="18"/>
                <w:szCs w:val="18"/>
                <w:color w:val="auto"/>
              </w:rPr>
              <w:t xml:space="preserve">$57.45 </w:t>
            </w:r>
            <w:r>
              <w:rPr>
                <w:rFonts w:ascii="Arial" w:cs="Arial" w:eastAsia="Arial" w:hAnsi="Arial"/>
                <w:sz w:val="25"/>
                <w:szCs w:val="25"/>
                <w:color w:val="auto"/>
                <w:vertAlign w:val="superscript"/>
              </w:rPr>
              <w:t>(4)</w:t>
            </w:r>
          </w:p>
        </w:tc>
        <w:tc>
          <w:tcPr>
            <w:tcW w:w="1700" w:type="dxa"/>
            <w:vAlign w:val="bottom"/>
            <w:shd w:val="clear" w:color="auto" w:fill="BFE4FF"/>
          </w:tcPr>
          <w:p>
            <w:pPr>
              <w:jc w:val="right"/>
              <w:ind w:right="20"/>
              <w:spacing w:after="0"/>
              <w:rPr>
                <w:sz w:val="20"/>
                <w:szCs w:val="20"/>
                <w:color w:val="auto"/>
              </w:rPr>
            </w:pPr>
            <w:r>
              <w:rPr>
                <w:rFonts w:ascii="Arial" w:cs="Arial" w:eastAsia="Arial" w:hAnsi="Arial"/>
                <w:sz w:val="18"/>
                <w:szCs w:val="18"/>
                <w:color w:val="auto"/>
              </w:rPr>
              <w:t>155,500</w:t>
            </w:r>
          </w:p>
        </w:tc>
        <w:tc>
          <w:tcPr>
            <w:tcW w:w="340" w:type="dxa"/>
            <w:vAlign w:val="bottom"/>
            <w:shd w:val="clear" w:color="auto" w:fill="BFE4FF"/>
          </w:tcPr>
          <w:p>
            <w:pPr>
              <w:spacing w:after="0"/>
              <w:rPr>
                <w:sz w:val="22"/>
                <w:szCs w:val="22"/>
                <w:color w:val="auto"/>
              </w:rPr>
            </w:pPr>
          </w:p>
        </w:tc>
        <w:tc>
          <w:tcPr>
            <w:tcW w:w="17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$341</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12/1/16 - 12/30/16</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1,685,631</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(5)</w:t>
            </w:r>
          </w:p>
        </w:tc>
        <w:tc>
          <w:tcPr>
            <w:tcW w:w="148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$58.99 </w:t>
            </w:r>
            <w:r>
              <w:rPr>
                <w:rFonts w:ascii="Arial" w:cs="Arial" w:eastAsia="Arial" w:hAnsi="Arial"/>
                <w:sz w:val="25"/>
                <w:szCs w:val="25"/>
                <w:color w:val="auto"/>
                <w:vertAlign w:val="superscript"/>
              </w:rPr>
              <w:t>(5)</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1,356,631</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$261</w:t>
            </w:r>
          </w:p>
        </w:tc>
        <w:tc>
          <w:tcPr>
            <w:tcW w:w="0" w:type="dxa"/>
            <w:vAlign w:val="bottom"/>
          </w:tcPr>
          <w:p>
            <w:pPr>
              <w:spacing w:after="0"/>
              <w:rPr>
                <w:sz w:val="1"/>
                <w:szCs w:val="1"/>
                <w:color w:val="auto"/>
              </w:rPr>
            </w:pPr>
          </w:p>
        </w:tc>
      </w:tr>
      <w:tr>
        <w:trPr>
          <w:trHeight w:val="270"/>
        </w:trPr>
        <w:tc>
          <w:tcPr>
            <w:tcW w:w="458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1/3/17 - 1/27/17</w:t>
            </w:r>
          </w:p>
        </w:tc>
        <w:tc>
          <w:tcPr>
            <w:tcW w:w="128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179,437</w:t>
            </w:r>
          </w:p>
        </w:tc>
        <w:tc>
          <w:tcPr>
            <w:tcW w:w="340" w:type="dxa"/>
            <w:vAlign w:val="bottom"/>
            <w:tcBorders>
              <w:bottom w:val="single" w:sz="8" w:color="BFE4FF"/>
            </w:tcBorders>
            <w:shd w:val="clear" w:color="auto" w:fill="BFE4FF"/>
          </w:tcPr>
          <w:p>
            <w:pPr>
              <w:spacing w:after="0"/>
              <w:rPr>
                <w:sz w:val="23"/>
                <w:szCs w:val="23"/>
                <w:color w:val="auto"/>
              </w:rPr>
            </w:pPr>
          </w:p>
        </w:tc>
        <w:tc>
          <w:tcPr>
            <w:tcW w:w="114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8"/>
                <w:szCs w:val="18"/>
                <w:color w:val="auto"/>
                <w:w w:val="90"/>
              </w:rPr>
              <w:t>$60.84</w:t>
            </w:r>
          </w:p>
        </w:tc>
        <w:tc>
          <w:tcPr>
            <w:tcW w:w="34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right"/>
              <w:ind w:right="20"/>
              <w:spacing w:after="0"/>
              <w:rPr>
                <w:sz w:val="20"/>
                <w:szCs w:val="20"/>
                <w:color w:val="auto"/>
              </w:rPr>
            </w:pPr>
            <w:r>
              <w:rPr>
                <w:rFonts w:ascii="Arial" w:cs="Arial" w:eastAsia="Arial" w:hAnsi="Arial"/>
                <w:sz w:val="18"/>
                <w:szCs w:val="18"/>
                <w:color w:val="auto"/>
              </w:rPr>
              <w:t>179,437</w:t>
            </w:r>
          </w:p>
        </w:tc>
        <w:tc>
          <w:tcPr>
            <w:tcW w:w="340" w:type="dxa"/>
            <w:vAlign w:val="bottom"/>
            <w:tcBorders>
              <w:bottom w:val="single" w:sz="8" w:color="BFE4FF"/>
            </w:tcBorders>
            <w:shd w:val="clear" w:color="auto" w:fill="BFE4FF"/>
          </w:tcPr>
          <w:p>
            <w:pPr>
              <w:spacing w:after="0"/>
              <w:rPr>
                <w:sz w:val="23"/>
                <w:szCs w:val="23"/>
                <w:color w:val="auto"/>
              </w:rPr>
            </w:pP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$250</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2,067,568</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$59.00</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1,691,568</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Shares purchased are as of the trade date. Includes 376,000 shares repurchased in open-market transactions primarily to offset the dilutive impact to existing shareholders of issuances under stock compensation plans.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27"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During the second quarter of 2017, we had a publicly announced strategic share repurchase program. Under this program, which was announced on June 23, 2011, our Board of Directors authorized the purchase of up to $1 billion of our stock. The program has no expiration date. Pursuant to our longstanding practice, under a separate 2017 authorization, we expect to continue purchasing shares sufficient to offset shares issued under our incentive compensation plans.</w:t>
      </w:r>
    </w:p>
    <w:p>
      <w:pPr>
        <w:spacing w:after="0" w:line="43"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47,000 shares repurchased in open-market transactions at a price of $57.47 primarily to offset the dilutive impact to existing shareholders of issuances under stock compensation plans.</w:t>
      </w:r>
    </w:p>
    <w:p>
      <w:pPr>
        <w:spacing w:after="0" w:line="41" w:lineRule="exact"/>
        <w:rPr>
          <w:rFonts w:ascii="Arial" w:cs="Arial" w:eastAsia="Arial" w:hAnsi="Arial"/>
          <w:sz w:val="25"/>
          <w:szCs w:val="25"/>
          <w:color w:val="auto"/>
          <w:vertAlign w:val="superscript"/>
        </w:rPr>
      </w:pPr>
    </w:p>
    <w:p>
      <w:pPr>
        <w:ind w:left="340" w:right="20" w:hanging="332"/>
        <w:spacing w:after="0" w:line="216"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329,000 shares repurchased in open-market transactions at an average price of $58.70 primarily to offset the dilutive impact to existing shareholders of issuances under stock compensation plans.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1180" w:hanging="1145"/>
        <w:spacing w:after="0" w:line="264" w:lineRule="auto"/>
        <w:tabs>
          <w:tab w:leader="none" w:pos="11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Five-Year Credit Agreement, dated December 9, 2016, by and among Campbell Soup Company, the eligible subsidiaries referred to therein, JPMorgan Chase Bank, N.A., as administrative agent, and the other lenders named therein, is incorporated by reference to Exhibit 10 to Campbell's Form 8-K (SEC file number 1-3822) filed with the SEC on December 12, 2016.</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57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57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570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570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7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70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70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70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70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70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702"/>
        </w:trPr>
        <w:tc>
          <w:tcPr>
            <w:tcW w:w="900" w:type="dxa"/>
            <w:vAlign w:val="bottom"/>
          </w:tcPr>
          <w:p>
            <w:pPr>
              <w:spacing w:after="0"/>
              <w:rPr>
                <w:sz w:val="24"/>
                <w:szCs w:val="24"/>
                <w:color w:val="auto"/>
              </w:rPr>
            </w:pPr>
          </w:p>
        </w:tc>
        <w:tc>
          <w:tcPr>
            <w:tcW w:w="5700" w:type="dxa"/>
            <w:vAlign w:val="bottom"/>
          </w:tcPr>
          <w:p>
            <w:pPr>
              <w:ind w:left="468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260"/>
          </w:cols>
          <w:pgMar w:left="240" w:top="1310" w:right="399" w:bottom="1440" w:gutter="0" w:footer="0" w:header="0"/>
        </w:sectPr>
      </w:pPr>
    </w:p>
    <w:bookmarkStart w:id="39" w:name="page40"/>
    <w:bookmarkEnd w:id="39"/>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38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9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William J. O'Shea</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1229" w:right="379" w:bottom="1440" w:gutter="0" w:footer="0" w:header="0"/>
        </w:sectPr>
      </w:pPr>
    </w:p>
    <w:bookmarkStart w:id="40" w:name="page41"/>
    <w:bookmarkEnd w:id="40"/>
    <w:p>
      <w:pPr>
        <w:jc w:val="center"/>
        <w:ind w:right="-64"/>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jc w:val="both"/>
        <w:ind w:left="1145" w:hanging="1145"/>
        <w:spacing w:after="0" w:line="264" w:lineRule="auto"/>
        <w:tabs>
          <w:tab w:leader="none" w:pos="1145"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Five-Year Credit Agreement, dated December 9, 2016, by and among Campbell Soup Company, the eligible subsidiaries referred to therein, JPMorgan Chase Bank, N.A., as administrative agent, and the other lenders named therein, is incorporated by reference to Exhibit 10 to Campbell's Form 8-K (SEC file number 1-3822) filed with the SEC on December 12, 2016.</w:t>
      </w:r>
    </w:p>
    <w:p>
      <w:pPr>
        <w:spacing w:after="0" w:line="154" w:lineRule="exact"/>
        <w:rPr>
          <w:sz w:val="20"/>
          <w:szCs w:val="20"/>
          <w:color w:val="auto"/>
        </w:rPr>
      </w:pPr>
    </w:p>
    <w:tbl>
      <w:tblPr>
        <w:tblLayout w:type="fixed"/>
        <w:tblInd w:w="5"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57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57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570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570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7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70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70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70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70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70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486"/>
        </w:trPr>
        <w:tc>
          <w:tcPr>
            <w:tcW w:w="900" w:type="dxa"/>
            <w:vAlign w:val="bottom"/>
          </w:tcPr>
          <w:p>
            <w:pPr>
              <w:spacing w:after="0"/>
              <w:rPr>
                <w:sz w:val="24"/>
                <w:szCs w:val="24"/>
                <w:color w:val="auto"/>
              </w:rPr>
            </w:pPr>
          </w:p>
        </w:tc>
        <w:tc>
          <w:tcPr>
            <w:tcW w:w="5700" w:type="dxa"/>
            <w:vAlign w:val="bottom"/>
          </w:tcPr>
          <w:p>
            <w:pPr>
              <w:ind w:left="468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305"/>
          </w:cols>
          <w:pgMar w:left="275" w:top="1229" w:right="3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March 9, 2017</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29, 2017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9,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January 29, 2017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March 9,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212"/>
    </w:lvl>
  </w:abstractNum>
  <w:abstractNum w:abstractNumId="1">
    <w:nsid w:val="79838CB2"/>
    <w:multiLevelType w:val="hybridMultilevel"/>
    <w:lvl w:ilvl="0">
      <w:lvlJc w:val="left"/>
      <w:lvlText w:val="\emdash "/>
      <w:numFmt w:val="bullet"/>
      <w:start w:val="1"/>
    </w:lvl>
  </w:abstractNum>
  <w:abstractNum w:abstractNumId="2">
    <w:nsid w:val="4353D0CD"/>
    <w:multiLevelType w:val="hybridMultilevel"/>
    <w:lvl w:ilvl="0">
      <w:lvlJc w:val="left"/>
      <w:lvlText w:val="%1"/>
      <w:numFmt w:val="decimal"/>
      <w:start w:val="32"/>
    </w:lvl>
  </w:abstractNum>
  <w:abstractNum w:abstractNumId="3">
    <w:nsid w:val="B03E0C6"/>
    <w:multiLevelType w:val="hybridMultilevel"/>
    <w:lvl w:ilvl="0">
      <w:lvlJc w:val="left"/>
      <w:lvlText w:val="(%1)"/>
      <w:numFmt w:val="decimal"/>
      <w:start w:val="23"/>
    </w:lvl>
  </w:abstractNum>
  <w:abstractNum w:abstractNumId="4">
    <w:nsid w:val="189A769B"/>
    <w:multiLevelType w:val="hybridMultilevel"/>
    <w:lvl w:ilvl="0">
      <w:lvlJc w:val="left"/>
      <w:lvlText w:val="%1"/>
      <w:numFmt w:val="decimal"/>
      <w:start w:val="154"/>
    </w:lvl>
  </w:abstractNum>
  <w:abstractNum w:abstractNumId="5">
    <w:nsid w:val="54E49EB4"/>
    <w:multiLevelType w:val="hybridMultilevel"/>
    <w:lvl w:ilvl="0">
      <w:lvlJc w:val="left"/>
      <w:lvlText w:val="\emdash "/>
      <w:numFmt w:val="bullet"/>
      <w:start w:val="1"/>
    </w:lvl>
  </w:abstractNum>
  <w:abstractNum w:abstractNumId="6">
    <w:nsid w:val="71F32454"/>
    <w:multiLevelType w:val="hybridMultilevel"/>
    <w:lvl w:ilvl="0">
      <w:lvlJc w:val="left"/>
      <w:lvlText w:val="6"/>
      <w:numFmt w:val="bullet"/>
      <w:start w:val="1"/>
    </w:lvl>
  </w:abstractNum>
  <w:abstractNum w:abstractNumId="7">
    <w:nsid w:val="2CA88611"/>
    <w:multiLevelType w:val="hybridMultilevel"/>
    <w:lvl w:ilvl="0">
      <w:lvlJc w:val="left"/>
      <w:lvlText w:val="(%1)"/>
      <w:numFmt w:val="decimal"/>
      <w:start w:val="95"/>
    </w:lvl>
  </w:abstractNum>
  <w:abstractNum w:abstractNumId="8">
    <w:nsid w:val="836C40E"/>
    <w:multiLevelType w:val="hybridMultilevel"/>
    <w:lvl w:ilvl="0">
      <w:lvlJc w:val="left"/>
      <w:lvlText w:val="%1"/>
      <w:numFmt w:val="decimal"/>
      <w:start w:val="117"/>
    </w:lvl>
    <w:lvl w:ilvl="1">
      <w:lvlJc w:val="left"/>
      <w:lvlText w:val="(%2)"/>
      <w:numFmt w:val="decimal"/>
      <w:start w:val="9"/>
    </w:lvl>
  </w:abstractNum>
  <w:abstractNum w:abstractNumId="9">
    <w:nsid w:val="2901D82"/>
    <w:multiLevelType w:val="hybridMultilevel"/>
    <w:lvl w:ilvl="0">
      <w:lvlJc w:val="left"/>
      <w:lvlText w:val="(%1)"/>
      <w:numFmt w:val="decimal"/>
      <w:start w:val="100"/>
    </w:lvl>
  </w:abstractNum>
  <w:abstractNum w:abstractNumId="10">
    <w:nsid w:val="3A95F874"/>
    <w:multiLevelType w:val="hybridMultilevel"/>
    <w:lvl w:ilvl="0">
      <w:lvlJc w:val="left"/>
      <w:lvlText w:val="(%1)"/>
      <w:numFmt w:val="decimal"/>
      <w:start w:val="2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2"/>
    </w:lvl>
  </w:abstractNum>
  <w:abstractNum w:abstractNumId="13">
    <w:nsid w:val="7C3DBD3D"/>
    <w:multiLevelType w:val="hybridMultilevel"/>
    <w:lvl w:ilvl="0">
      <w:lvlJc w:val="left"/>
      <w:lvlText w:val="%1."/>
      <w:numFmt w:val="decimal"/>
      <w:start w:val="3"/>
    </w:lvl>
  </w:abstractNum>
  <w:abstractNum w:abstractNumId="14">
    <w:nsid w:val="737B8DDC"/>
    <w:multiLevelType w:val="hybridMultilevel"/>
    <w:lvl w:ilvl="0">
      <w:lvlJc w:val="left"/>
      <w:lvlText w:val="(%1)"/>
      <w:numFmt w:val="decimal"/>
      <w:start w:val="1"/>
    </w:lvl>
  </w:abstractNum>
  <w:abstractNum w:abstractNumId="15">
    <w:nsid w:val="6CEAF087"/>
    <w:multiLevelType w:val="hybridMultilevel"/>
    <w:lvl w:ilvl="0">
      <w:lvlJc w:val="left"/>
      <w:lvlText w:val="(%1)"/>
      <w:numFmt w:val="decimal"/>
      <w:start w:val="1"/>
    </w:lvl>
  </w:abstractNum>
  <w:abstractNum w:abstractNumId="16">
    <w:nsid w:val="22221A70"/>
    <w:multiLevelType w:val="hybridMultilevel"/>
    <w:lvl w:ilvl="0">
      <w:lvlJc w:val="left"/>
      <w:lvlText w:val="%1."/>
      <w:numFmt w:val="decimal"/>
      <w:start w:val="4"/>
    </w:lvl>
  </w:abstractNum>
  <w:abstractNum w:abstractNumId="17">
    <w:nsid w:val="4516DDE9"/>
    <w:multiLevelType w:val="hybridMultilevel"/>
    <w:lvl w:ilvl="0">
      <w:lvlJc w:val="left"/>
      <w:lvlText w:val="%1."/>
      <w:numFmt w:val="decimal"/>
      <w:start w:val="5"/>
    </w:lvl>
    <w:lvl w:ilvl="1">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1."/>
      <w:numFmt w:val="decimal"/>
      <w:start w:val="6"/>
    </w:lvl>
  </w:abstractNum>
  <w:abstractNum w:abstractNumId="21">
    <w:nsid w:val="5577F8E1"/>
    <w:multiLevelType w:val="hybridMultilevel"/>
    <w:lvl w:ilvl="0">
      <w:lvlJc w:val="left"/>
      <w:lvlText w:val="(%1)"/>
      <w:numFmt w:val="decimal"/>
      <w:start w:val="1"/>
    </w:lvl>
  </w:abstractNum>
  <w:abstractNum w:abstractNumId="22">
    <w:nsid w:val="440BADFC"/>
    <w:multiLevelType w:val="hybridMultilevel"/>
    <w:lvl w:ilvl="0">
      <w:lvlJc w:val="left"/>
      <w:lvlText w:val="%1."/>
      <w:numFmt w:val="decimal"/>
      <w:start w:val="7"/>
    </w:lvl>
  </w:abstractNum>
  <w:abstractNum w:abstractNumId="23">
    <w:nsid w:val="5072367"/>
    <w:multiLevelType w:val="hybridMultilevel"/>
    <w:lvl w:ilvl="0">
      <w:lvlJc w:val="left"/>
      <w:lvlText w:val="%1."/>
      <w:numFmt w:val="decimal"/>
      <w:start w:val="8"/>
    </w:lvl>
  </w:abstractNum>
  <w:abstractNum w:abstractNumId="24">
    <w:nsid w:val="3804823E"/>
    <w:multiLevelType w:val="hybridMultilevel"/>
    <w:lvl w:ilvl="0">
      <w:lvlJc w:val="left"/>
      <w:lvlText w:val="%1."/>
      <w:numFmt w:val="decimal"/>
      <w:start w:val="9"/>
    </w:lvl>
  </w:abstractNum>
  <w:abstractNum w:abstractNumId="25">
    <w:nsid w:val="77465F01"/>
    <w:multiLevelType w:val="hybridMultilevel"/>
    <w:lvl w:ilvl="0">
      <w:lvlJc w:val="left"/>
      <w:lvlText w:val="%1."/>
      <w:numFmt w:val="decimal"/>
      <w:start w:val="11"/>
    </w:lvl>
    <w:lvl w:ilvl="1">
      <w:lvlJc w:val="left"/>
      <w:lvlText w:val="•"/>
      <w:numFmt w:val="bullet"/>
      <w:start w:val="1"/>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decimal"/>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2"/>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1"/>
      <w:numFmt w:val="decimal"/>
      <w:start w:val="10"/>
    </w:lvl>
  </w:abstractNum>
  <w:abstractNum w:abstractNumId="43">
    <w:nsid w:val="4B588F54"/>
    <w:multiLevelType w:val="hybridMultilevel"/>
    <w:lvl w:ilvl="0">
      <w:lvlJc w:val="left"/>
      <w:lvlText w:val="%1"/>
      <w:numFmt w:val="decimal"/>
      <w:start w:val="10"/>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2019-12-29T08:21:11Z</dcterms:created>
  <dcterms:modified xsi:type="dcterms:W3CDTF">2019-12-29T08:21:11Z</dcterms:modified>
</cp:coreProperties>
</file>