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10-K</w:t>
      </w:r>
    </w:p>
    <w:p>
      <w:pPr>
        <w:pStyle w:val="TextBody"/>
        <w:bidi w:val="0"/>
        <w:spacing w:lineRule="auto" w:line="288" w:before="0" w:after="60"/>
        <w:jc w:val="center"/>
        <w:rPr>
          <w:rFonts w:ascii="Times New Roman;serif" w:hAnsi="Times New Roman;serif"/>
          <w:b/>
          <w:color w:val="000000"/>
          <w:sz w:val="10"/>
        </w:rPr>
      </w:pPr>
      <w:r>
        <w:rPr>
          <w:rFonts w:ascii="Times New Roman;serif" w:hAnsi="Times New Roman;serif"/>
          <w:b/>
          <w:color w:val="000000"/>
          <w:sz w:val="10"/>
        </w:rPr>
        <w:t>_________________________________________________________________________________</w:t>
      </w:r>
    </w:p>
    <w:p>
      <w:pPr>
        <w:pStyle w:val="TextBody"/>
        <w:bidi w:val="0"/>
        <w:spacing w:lineRule="auto" w:line="268" w:before="0" w:after="0"/>
        <w:jc w:val="left"/>
        <w:rPr/>
      </w:pPr>
      <w:r>
        <w:rPr>
          <w:color w:val="000000"/>
        </w:rPr>
        <w:t xml:space="preserve">☑ </w:t>
      </w:r>
      <w:r>
        <w:rPr>
          <w:rFonts w:ascii="Times New Roman;serif" w:hAnsi="Times New Roman;serif"/>
          <w:b/>
          <w:color w:val="000000"/>
          <w:sz w:val="18"/>
        </w:rPr>
        <w:t>ANNUAL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August 2,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_______________ to 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1-3822</w:t>
      </w:r>
    </w:p>
    <w:p>
      <w:pPr>
        <w:pStyle w:val="TextBody"/>
        <w:bidi w:val="0"/>
        <w:spacing w:before="0" w:after="0"/>
        <w:jc w:val="center"/>
        <w:rPr/>
      </w:pPr>
      <w:r>
        <w:rPr/>
        <w:drawing>
          <wp:inline distT="0" distB="0" distL="0" distR="0">
            <wp:extent cx="9810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7239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THE CAMPBELL'S COMPANY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994" w:type="dxa"/>
        <w:jc w:val="center"/>
        <w:tblInd w:w="0" w:type="dxa"/>
        <w:tblLayout w:type="fixed"/>
        <w:tblCellMar>
          <w:top w:w="28" w:type="dxa"/>
          <w:left w:w="28" w:type="dxa"/>
          <w:bottom w:w="28" w:type="dxa"/>
          <w:right w:w="28" w:type="dxa"/>
        </w:tblCellMar>
      </w:tblPr>
      <w:tblGrid>
        <w:gridCol w:w="1799"/>
        <w:gridCol w:w="1577"/>
        <w:gridCol w:w="158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21-0419870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Campbell Place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Camden, New Jersey 08103-1799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(856) 342-4800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856" w:type="dxa"/>
        <w:jc w:val="center"/>
        <w:tblInd w:w="0" w:type="dxa"/>
        <w:tblLayout w:type="fixed"/>
        <w:tblCellMar>
          <w:top w:w="28" w:type="dxa"/>
          <w:left w:w="28" w:type="dxa"/>
          <w:bottom w:w="28" w:type="dxa"/>
          <w:right w:w="28" w:type="dxa"/>
        </w:tblCellMar>
      </w:tblPr>
      <w:tblGrid>
        <w:gridCol w:w="973"/>
        <w:gridCol w:w="851"/>
        <w:gridCol w:w="860"/>
        <w:gridCol w:w="109"/>
        <w:gridCol w:w="109"/>
        <w:gridCol w:w="109"/>
        <w:gridCol w:w="499"/>
        <w:gridCol w:w="499"/>
        <w:gridCol w:w="501"/>
        <w:gridCol w:w="109"/>
        <w:gridCol w:w="109"/>
        <w:gridCol w:w="109"/>
        <w:gridCol w:w="1174"/>
        <w:gridCol w:w="1174"/>
        <w:gridCol w:w="1671"/>
      </w:tblGrid>
      <w:tr>
        <w:trPr/>
        <w:tc>
          <w:tcPr>
            <w:tcW w:w="97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 Stock, par value $.0375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60" w:after="60"/>
        <w:ind w:left="0" w:right="0" w:firstLine="360"/>
        <w:jc w:val="both"/>
        <w:rPr/>
      </w:pPr>
      <w:r>
        <w:rPr>
          <w:rFonts w:ascii="Times New Roman;serif" w:hAnsi="Times New Roman;serif"/>
          <w:b w:val="false"/>
          <w:color w:val="000000"/>
          <w:sz w:val="18"/>
        </w:rPr>
        <w:t xml:space="preserve">Indicate by check mark if the registrant is a well-known seasoned issuer, as defined in Rule 405 of the Securities Act. </w:t>
      </w:r>
      <w:r>
        <w:rPr>
          <w:color w:val="000000"/>
        </w:rPr>
        <w:t>☑ </w:t>
      </w:r>
      <w:r>
        <w:rPr>
          <w:rFonts w:ascii="Times New Roman;serif" w:hAnsi="Times New Roman;serif"/>
          <w:b w:val="false"/>
          <w:color w:val="000000"/>
          <w:sz w:val="18"/>
        </w:rPr>
        <w:t>Yes </w:t>
      </w:r>
      <w:r>
        <w:rPr>
          <w:color w:val="333333"/>
        </w:rPr>
        <w:t>☐</w:t>
      </w:r>
      <w:r>
        <w:rPr>
          <w:color w:val="000000"/>
        </w:rPr>
        <w:t> </w:t>
      </w:r>
      <w:r>
        <w:rPr>
          <w:rFonts w:ascii="Times New Roman;serif" w:hAnsi="Times New Roman;serif"/>
          <w:b w:val="false"/>
          <w:color w:val="000000"/>
          <w:sz w:val="18"/>
        </w:rPr>
        <w:t>No</w:t>
      </w:r>
    </w:p>
    <w:p>
      <w:pPr>
        <w:pStyle w:val="TextBody"/>
        <w:bidi w:val="0"/>
        <w:spacing w:lineRule="auto" w:line="288" w:before="60" w:after="60"/>
        <w:ind w:left="0" w:right="0" w:firstLine="360"/>
        <w:jc w:val="both"/>
        <w:rPr/>
      </w:pPr>
      <w:r>
        <w:rPr>
          <w:rFonts w:ascii="Times New Roman;serif" w:hAnsi="Times New Roman;serif"/>
          <w:b w:val="false"/>
          <w:color w:val="000000"/>
          <w:sz w:val="18"/>
        </w:rPr>
        <w:t xml:space="preserve">Indicate by check mark if the registrant is not required to file reports pursuant to Section 13 or 15(d) of the Act. </w:t>
      </w:r>
      <w:r>
        <w:rPr>
          <w:color w:val="333333"/>
        </w:rPr>
        <w:t>☐</w:t>
      </w:r>
      <w:r>
        <w:rPr>
          <w:color w:val="000000"/>
        </w:rPr>
        <w:t> </w:t>
      </w:r>
      <w:r>
        <w:rPr>
          <w:rFonts w:ascii="Times New Roman;serif" w:hAnsi="Times New Roman;serif"/>
          <w:b w:val="false"/>
          <w:color w:val="000000"/>
          <w:sz w:val="18"/>
        </w:rPr>
        <w:t>Yes </w:t>
      </w:r>
      <w:r>
        <w:rPr>
          <w:color w:val="000000"/>
        </w:rPr>
        <w:t xml:space="preserve">☑ </w:t>
      </w:r>
      <w:r>
        <w:rPr>
          <w:rFonts w:ascii="Times New Roman;serif" w:hAnsi="Times New Roman;serif"/>
          <w:b w:val="false"/>
          <w:color w:val="000000"/>
          <w:sz w:val="18"/>
        </w:rPr>
        <w:t>No</w:t>
      </w:r>
    </w:p>
    <w:p>
      <w:pPr>
        <w:pStyle w:val="TextBody"/>
        <w:bidi w:val="0"/>
        <w:spacing w:lineRule="auto" w:line="288" w:before="60" w:after="60"/>
        <w:ind w:left="0" w:right="0" w:firstLine="3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Yes </w:t>
      </w:r>
      <w:r>
        <w:rPr>
          <w:color w:val="333333"/>
        </w:rPr>
        <w:t>☐</w:t>
      </w:r>
      <w:r>
        <w:rPr>
          <w:color w:val="000000"/>
        </w:rPr>
        <w:t> </w:t>
      </w:r>
      <w:r>
        <w:rPr>
          <w:rFonts w:ascii="Times New Roman;serif" w:hAnsi="Times New Roman;serif"/>
          <w:b w:val="false"/>
          <w:color w:val="000000"/>
          <w:sz w:val="18"/>
        </w:rPr>
        <w:t>No</w:t>
      </w:r>
    </w:p>
    <w:p>
      <w:pPr>
        <w:pStyle w:val="TextBody"/>
        <w:bidi w:val="0"/>
        <w:spacing w:lineRule="auto" w:line="288" w:before="60" w:after="60"/>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Yes </w:t>
      </w:r>
      <w:r>
        <w:rPr>
          <w:color w:val="333333"/>
        </w:rPr>
        <w:t>☐</w:t>
      </w:r>
      <w:r>
        <w:rPr>
          <w:color w:val="000000"/>
        </w:rPr>
        <w:t> </w:t>
      </w:r>
      <w:r>
        <w:rPr>
          <w:rFonts w:ascii="Times New Roman;serif" w:hAnsi="Times New Roman;serif"/>
          <w:b w:val="false"/>
          <w:color w:val="000000"/>
          <w:sz w:val="18"/>
        </w:rPr>
        <w:t>No</w:t>
      </w:r>
    </w:p>
    <w:p>
      <w:pPr>
        <w:pStyle w:val="TextBody"/>
        <w:bidi w:val="0"/>
        <w:spacing w:lineRule="auto" w:line="288" w:before="60" w:after="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60"/>
        <w:ind w:left="0" w:right="0" w:firstLine="36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333333"/>
        </w:rPr>
        <w:t>☐</w:t>
      </w:r>
    </w:p>
    <w:p>
      <w:pPr>
        <w:pStyle w:val="TextBody"/>
        <w:bidi w:val="0"/>
        <w:spacing w:lineRule="auto" w:line="288" w:before="60" w:after="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60"/>
        <w:ind w:left="0" w:right="0" w:firstLine="360"/>
        <w:jc w:val="both"/>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333333"/>
        </w:rPr>
        <w:t>☐</w:t>
      </w:r>
    </w:p>
    <w:p>
      <w:pPr>
        <w:pStyle w:val="TextBody"/>
        <w:bidi w:val="0"/>
        <w:spacing w:lineRule="auto" w:line="288" w:before="60" w:after="60"/>
        <w:ind w:left="0" w:right="0" w:firstLine="360"/>
        <w:jc w:val="both"/>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333333"/>
        </w:rPr>
        <w:t>☐</w:t>
      </w:r>
    </w:p>
    <w:p>
      <w:pPr>
        <w:pStyle w:val="TextBody"/>
        <w:bidi w:val="0"/>
        <w:spacing w:lineRule="auto" w:line="288" w:before="60" w:after="60"/>
        <w:ind w:left="0" w:right="0" w:firstLine="360"/>
        <w:jc w:val="left"/>
        <w:rPr/>
      </w:pPr>
      <w:r>
        <w:rPr>
          <w:rFonts w:ascii="Times New Roman;serif" w:hAnsi="Times New Roman;serif"/>
          <w:b w:val="false"/>
          <w:color w:val="000000"/>
          <w:sz w:val="18"/>
        </w:rPr>
        <w:t>Indicate by check mark whether the registrant is a shell company (as defined in Rule 12b-2 of the Act). </w:t>
      </w:r>
      <w:r>
        <w:rPr>
          <w:color w:val="333333"/>
        </w:rPr>
        <w:t>☐</w:t>
      </w:r>
      <w:r>
        <w:rPr>
          <w:color w:val="000000"/>
        </w:rPr>
        <w:t> </w:t>
      </w:r>
      <w:r>
        <w:rPr>
          <w:rFonts w:ascii="Times New Roman;serif" w:hAnsi="Times New Roman;serif"/>
          <w:b w:val="false"/>
          <w:color w:val="000000"/>
          <w:sz w:val="18"/>
        </w:rPr>
        <w:t>Yes </w:t>
      </w:r>
      <w:r>
        <w:rPr>
          <w:color w:val="000000"/>
        </w:rPr>
        <w:t xml:space="preserve">☑ </w:t>
      </w:r>
      <w:r>
        <w:rPr>
          <w:rFonts w:ascii="Times New Roman;serif" w:hAnsi="Times New Roman;serif"/>
          <w:b w:val="false"/>
          <w:color w:val="000000"/>
          <w:sz w:val="18"/>
        </w:rPr>
        <w:t>No</w:t>
      </w:r>
    </w:p>
    <w:p>
      <w:pPr>
        <w:pStyle w:val="TextBody"/>
        <w:bidi w:val="0"/>
        <w:spacing w:lineRule="auto" w:line="288" w:before="60" w:after="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Based on the closing price on January 30, 2026 (the last business day of the registrant’s most recently completed second fiscal quarter), the aggregate market value of capital stock held by non-affiliates of the registrant was approximately $5,375,793,679. There were 298,234,693 shares of capital stock outstanding as of September 16, 2026. </w:t>
      </w:r>
    </w:p>
    <w:p>
      <w:pPr>
        <w:pStyle w:val="TextBody"/>
        <w:bidi w:val="0"/>
        <w:spacing w:lineRule="auto" w:line="288" w:before="60" w:after="60"/>
        <w:ind w:left="0" w:right="0" w:firstLine="36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60" w:after="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Portions of the Registrant’s Proxy Statement for the 2026 Annual Meeting of Shareholders are incorporated by reference into 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center"/>
        <w:tblInd w:w="0" w:type="dxa"/>
        <w:tblLayout w:type="fixed"/>
        <w:tblCellMar>
          <w:top w:w="28" w:type="dxa"/>
          <w:left w:w="28" w:type="dxa"/>
          <w:bottom w:w="28" w:type="dxa"/>
          <w:right w:w="28" w:type="dxa"/>
        </w:tblCellMar>
      </w:tblPr>
      <w:tblGrid>
        <w:gridCol w:w="132"/>
        <w:gridCol w:w="116"/>
        <w:gridCol w:w="116"/>
        <w:gridCol w:w="3150"/>
        <w:gridCol w:w="3149"/>
        <w:gridCol w:w="3166"/>
        <w:gridCol w:w="109"/>
        <w:gridCol w:w="109"/>
        <w:gridCol w:w="158"/>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
              <w:r>
                <w:rPr>
                  <w:rStyle w:val="InternetLink"/>
                  <w:rFonts w:ascii="Times New Roman;serif" w:hAnsi="Times New Roman;serif"/>
                  <w:b w:val="false"/>
                  <w:strike w:val="false"/>
                  <w:dstrike w:val="false"/>
                  <w:color w:val="0000FF"/>
                  <w:sz w:val="20"/>
                  <w:u w:val="none"/>
                  <w:effect w:val="none"/>
                </w:rPr>
                <w:t>PART I</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3">
              <w:r>
                <w:rPr>
                  <w:rStyle w:val="InternetLink"/>
                  <w:rFonts w:ascii="Times New Roman;serif" w:hAnsi="Times New Roman;serif"/>
                  <w:b w:val="false"/>
                  <w:strike w:val="false"/>
                  <w:dstrike w:val="false"/>
                  <w:color w:val="0000FF"/>
                  <w:sz w:val="20"/>
                  <w:u w:val="none"/>
                  <w:effect w:val="none"/>
                </w:rPr>
                <w:t>Item 1. Business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3">
              <w:r>
                <w:rPr>
                  <w:rStyle w:val="InternetLink"/>
                  <w:rFonts w:ascii="Times New Roman;serif" w:hAnsi="Times New Roman;serif"/>
                  <w:b w:val="false"/>
                  <w:strike w:val="false"/>
                  <w:dstrike w:val="false"/>
                  <w:color w:val="0000FF"/>
                  <w:sz w:val="20"/>
                  <w:u w:val="none"/>
                  <w:effect w:val="none"/>
                </w:rPr>
                <w:t>3</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
              <w:r>
                <w:rPr>
                  <w:rStyle w:val="InternetLink"/>
                  <w:rFonts w:ascii="Times New Roman;serif" w:hAnsi="Times New Roman;serif"/>
                  <w:b w:val="false"/>
                  <w:strike w:val="false"/>
                  <w:dstrike w:val="false"/>
                  <w:color w:val="0000FF"/>
                  <w:sz w:val="20"/>
                  <w:u w:val="none"/>
                  <w:effect w:val="none"/>
                </w:rPr>
                <w:t>Item 1A. 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
              <w:r>
                <w:rPr>
                  <w:rStyle w:val="InternetLink"/>
                  <w:rFonts w:ascii="Times New Roman;serif" w:hAnsi="Times New Roman;serif"/>
                  <w:b w:val="false"/>
                  <w:strike w:val="false"/>
                  <w:dstrike w:val="false"/>
                  <w:color w:val="0000FF"/>
                  <w:sz w:val="20"/>
                  <w:u w:val="none"/>
                  <w:effect w:val="none"/>
                </w:rPr>
                <w:t>6</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
              <w:r>
                <w:rPr>
                  <w:rStyle w:val="InternetLink"/>
                  <w:rFonts w:ascii="Times New Roman;serif" w:hAnsi="Times New Roman;serif"/>
                  <w:b w:val="false"/>
                  <w:strike w:val="false"/>
                  <w:dstrike w:val="false"/>
                  <w:color w:val="0000FF"/>
                  <w:sz w:val="20"/>
                  <w:u w:val="none"/>
                  <w:effect w:val="none"/>
                </w:rPr>
                <w:t>Item 1B. Unresolved Staff Comments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
              <w:r>
                <w:rPr>
                  <w:rStyle w:val="InternetLink"/>
                  <w:rFonts w:ascii="Times New Roman;serif" w:hAnsi="Times New Roman;serif"/>
                  <w:b w:val="false"/>
                  <w:strike w:val="false"/>
                  <w:dstrike w:val="false"/>
                  <w:color w:val="0000FF"/>
                  <w:sz w:val="20"/>
                  <w:u w:val="none"/>
                  <w:effect w:val="none"/>
                </w:rPr>
                <w:t>14</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rPr>
            </w:pPr>
            <w:r>
              <w:rPr>
                <w:rFonts w:ascii="Times New Roman;serif" w:hAnsi="Times New Roman;serif"/>
                <w:b w:val="false"/>
                <w:color w:val="0000FF"/>
                <w:sz w:val="20"/>
              </w:rPr>
              <w:t>Item 1C. Cybersecurity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
              <w:r>
                <w:rPr>
                  <w:rStyle w:val="InternetLink"/>
                  <w:rFonts w:ascii="Times New Roman;serif" w:hAnsi="Times New Roman;serif"/>
                  <w:b w:val="false"/>
                  <w:strike w:val="false"/>
                  <w:dstrike w:val="false"/>
                  <w:color w:val="0000FF"/>
                  <w:sz w:val="20"/>
                  <w:u w:val="none"/>
                  <w:effect w:val="none"/>
                </w:rPr>
                <w:t>14</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5">
              <w:r>
                <w:rPr>
                  <w:rStyle w:val="InternetLink"/>
                  <w:rFonts w:ascii="Times New Roman;serif" w:hAnsi="Times New Roman;serif"/>
                  <w:b w:val="false"/>
                  <w:strike w:val="false"/>
                  <w:dstrike w:val="false"/>
                  <w:color w:val="0000FF"/>
                  <w:sz w:val="20"/>
                  <w:u w:val="none"/>
                  <w:effect w:val="none"/>
                </w:rPr>
                <w:t>Item 2. Properties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5">
              <w:r>
                <w:rPr>
                  <w:rStyle w:val="InternetLink"/>
                  <w:rFonts w:ascii="Times New Roman;serif" w:hAnsi="Times New Roman;serif"/>
                  <w:b w:val="false"/>
                  <w:strike w:val="false"/>
                  <w:dstrike w:val="false"/>
                  <w:color w:val="0000FF"/>
                  <w:sz w:val="20"/>
                  <w:u w:val="none"/>
                  <w:effect w:val="none"/>
                </w:rPr>
                <w:t>16</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8">
              <w:r>
                <w:rPr>
                  <w:rStyle w:val="InternetLink"/>
                  <w:rFonts w:ascii="Times New Roman;serif" w:hAnsi="Times New Roman;serif"/>
                  <w:b w:val="false"/>
                  <w:strike w:val="false"/>
                  <w:dstrike w:val="false"/>
                  <w:color w:val="0000FF"/>
                  <w:sz w:val="20"/>
                  <w:u w:val="none"/>
                  <w:effect w:val="none"/>
                </w:rPr>
                <w:t>Item 3. 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8">
              <w:r>
                <w:rPr>
                  <w:rStyle w:val="InternetLink"/>
                  <w:rFonts w:ascii="Times New Roman;serif" w:hAnsi="Times New Roman;serif"/>
                  <w:b w:val="false"/>
                  <w:strike w:val="false"/>
                  <w:dstrike w:val="false"/>
                  <w:color w:val="0000FF"/>
                  <w:sz w:val="20"/>
                  <w:u w:val="none"/>
                  <w:effect w:val="none"/>
                </w:rPr>
                <w:t>16</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31">
              <w:r>
                <w:rPr>
                  <w:rStyle w:val="InternetLink"/>
                  <w:rFonts w:ascii="Times New Roman;serif" w:hAnsi="Times New Roman;serif"/>
                  <w:b w:val="false"/>
                  <w:strike w:val="false"/>
                  <w:dstrike w:val="false"/>
                  <w:color w:val="0000FF"/>
                  <w:sz w:val="20"/>
                  <w:u w:val="none"/>
                  <w:effect w:val="none"/>
                </w:rPr>
                <w:t>Item 4. 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31">
              <w:r>
                <w:rPr>
                  <w:rStyle w:val="InternetLink"/>
                  <w:rFonts w:ascii="Times New Roman;serif" w:hAnsi="Times New Roman;serif"/>
                  <w:b w:val="false"/>
                  <w:strike w:val="false"/>
                  <w:dstrike w:val="false"/>
                  <w:color w:val="0000FF"/>
                  <w:sz w:val="20"/>
                  <w:u w:val="none"/>
                  <w:effect w:val="none"/>
                </w:rPr>
                <w:t>16</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34">
              <w:r>
                <w:rPr>
                  <w:rStyle w:val="InternetLink"/>
                  <w:rFonts w:ascii="Times New Roman;serif" w:hAnsi="Times New Roman;serif"/>
                  <w:b w:val="false"/>
                  <w:strike w:val="false"/>
                  <w:dstrike w:val="false"/>
                  <w:color w:val="0000FF"/>
                  <w:sz w:val="20"/>
                  <w:u w:val="none"/>
                  <w:effect w:val="none"/>
                </w:rPr>
                <w:t>Information about our Executive Officers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34">
              <w:r>
                <w:rPr>
                  <w:rStyle w:val="InternetLink"/>
                  <w:rFonts w:ascii="Times New Roman;serif" w:hAnsi="Times New Roman;serif"/>
                  <w:b w:val="false"/>
                  <w:strike w:val="false"/>
                  <w:dstrike w:val="false"/>
                  <w:color w:val="0000FF"/>
                  <w:sz w:val="20"/>
                  <w:u w:val="none"/>
                  <w:effect w:val="none"/>
                </w:rPr>
                <w:t>17</w:t>
              </w:r>
            </w:hyperlink>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37">
              <w:r>
                <w:rPr>
                  <w:rStyle w:val="InternetLink"/>
                  <w:rFonts w:ascii="Times New Roman;serif" w:hAnsi="Times New Roman;serif"/>
                  <w:b w:val="false"/>
                  <w:strike w:val="false"/>
                  <w:dstrike w:val="false"/>
                  <w:color w:val="0000FF"/>
                  <w:sz w:val="20"/>
                  <w:u w:val="none"/>
                  <w:effect w:val="none"/>
                </w:rPr>
                <w:t>PART II</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both"/>
              <w:rPr/>
            </w:pPr>
            <w:hyperlink w:anchor="idf8dcfb831fd4ff7a700868205e1f44f_40">
              <w:r>
                <w:rPr>
                  <w:rStyle w:val="InternetLink"/>
                  <w:rFonts w:ascii="Times New Roman;serif" w:hAnsi="Times New Roman;serif"/>
                  <w:b w:val="false"/>
                  <w:strike w:val="false"/>
                  <w:dstrike w:val="false"/>
                  <w:color w:val="000080"/>
                  <w:sz w:val="20"/>
                  <w:u w:val="single"/>
                  <w:effect w:val="none"/>
                </w:rPr>
                <w:t>Item 5. Market for Registrant’s Capital Stock, Related Shareholder Matters and Issuer Purchases of</w:t>
              </w:r>
            </w:hyperlink>
            <w:hyperlink w:anchor="idf8dcfb831fd4ff7a700868205e1f44f_40">
              <w:r>
                <w:rPr>
                  <w:rStyle w:val="InternetLink"/>
                  <w:rFonts w:ascii="Times New Roman;serif" w:hAnsi="Times New Roman;serif"/>
                  <w:b w:val="false"/>
                  <w:strike w:val="false"/>
                  <w:dstrike w:val="false"/>
                  <w:color w:val="000080"/>
                  <w:sz w:val="20"/>
                  <w:u w:val="single"/>
                  <w:effect w:val="none"/>
                </w:rPr>
                <w:t xml:space="preserve"> </w:t>
              </w:r>
            </w:hyperlink>
            <w:hyperlink w:anchor="idf8dcfb831fd4ff7a700868205e1f44f_40">
              <w:r>
                <w:rPr>
                  <w:rStyle w:val="InternetLink"/>
                  <w:rFonts w:ascii="Times New Roman;serif" w:hAnsi="Times New Roman;serif"/>
                  <w:b w:val="false"/>
                  <w:strike w:val="false"/>
                  <w:dstrike w:val="false"/>
                  <w:color w:val="000080"/>
                  <w:sz w:val="20"/>
                  <w:u w:val="single"/>
                  <w:effect w:val="none"/>
                </w:rPr>
                <w:t>Equity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40">
              <w:r>
                <w:rPr>
                  <w:rStyle w:val="InternetLink"/>
                  <w:rFonts w:ascii="Times New Roman;serif" w:hAnsi="Times New Roman;serif"/>
                  <w:b w:val="false"/>
                  <w:strike w:val="false"/>
                  <w:dstrike w:val="false"/>
                  <w:color w:val="0000FF"/>
                  <w:sz w:val="20"/>
                  <w:u w:val="none"/>
                  <w:effect w:val="none"/>
                </w:rPr>
                <w:t>18</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43">
              <w:r>
                <w:rPr>
                  <w:rStyle w:val="InternetLink"/>
                  <w:rFonts w:ascii="Times New Roman;serif" w:hAnsi="Times New Roman;serif"/>
                  <w:b w:val="false"/>
                  <w:strike w:val="false"/>
                  <w:dstrike w:val="false"/>
                  <w:color w:val="0000FF"/>
                  <w:sz w:val="20"/>
                  <w:u w:val="none"/>
                  <w:effect w:val="none"/>
                </w:rPr>
                <w:t>Item 6. Reserved</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43">
              <w:r>
                <w:rPr>
                  <w:rStyle w:val="InternetLink"/>
                  <w:rFonts w:ascii="Times New Roman;serif" w:hAnsi="Times New Roman;serif"/>
                  <w:b w:val="false"/>
                  <w:strike w:val="false"/>
                  <w:dstrike w:val="false"/>
                  <w:color w:val="0000FF"/>
                  <w:sz w:val="20"/>
                  <w:u w:val="none"/>
                  <w:effect w:val="none"/>
                </w:rPr>
                <w:t>19</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46">
              <w:r>
                <w:rPr>
                  <w:rStyle w:val="InternetLink"/>
                  <w:rFonts w:ascii="Times New Roman;serif" w:hAnsi="Times New Roman;serif"/>
                  <w:b w:val="false"/>
                  <w:strike w:val="false"/>
                  <w:dstrike w:val="false"/>
                  <w:color w:val="0000FF"/>
                  <w:sz w:val="20"/>
                  <w:u w:val="none"/>
                  <w:effect w:val="none"/>
                </w:rPr>
                <w:t>Item 7. 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46">
              <w:r>
                <w:rPr>
                  <w:rStyle w:val="InternetLink"/>
                  <w:rFonts w:ascii="Times New Roman;serif" w:hAnsi="Times New Roman;serif"/>
                  <w:b w:val="false"/>
                  <w:strike w:val="false"/>
                  <w:dstrike w:val="false"/>
                  <w:color w:val="0000FF"/>
                  <w:sz w:val="20"/>
                  <w:u w:val="none"/>
                  <w:effect w:val="none"/>
                </w:rPr>
                <w:t>19</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88">
              <w:r>
                <w:rPr>
                  <w:rStyle w:val="InternetLink"/>
                  <w:rFonts w:ascii="Times New Roman;serif" w:hAnsi="Times New Roman;serif"/>
                  <w:b w:val="false"/>
                  <w:strike w:val="false"/>
                  <w:dstrike w:val="false"/>
                  <w:color w:val="000080"/>
                  <w:sz w:val="20"/>
                  <w:u w:val="single"/>
                  <w:effect w:val="none"/>
                </w:rPr>
                <w:t xml:space="preserve">Item 7A. Quantitative and Qualitative Disclosure </w:t>
              </w:r>
            </w:hyperlink>
            <w:hyperlink w:anchor="idf8dcfb831fd4ff7a700868205e1f44f_88">
              <w:r>
                <w:rPr>
                  <w:rStyle w:val="InternetLink"/>
                  <w:rFonts w:ascii="Times New Roman;serif" w:hAnsi="Times New Roman;serif"/>
                  <w:b w:val="false"/>
                  <w:strike w:val="false"/>
                  <w:dstrike w:val="false"/>
                  <w:color w:val="000080"/>
                  <w:sz w:val="20"/>
                  <w:u w:val="single"/>
                  <w:effect w:val="none"/>
                </w:rPr>
                <w:t>A</w:t>
              </w:r>
            </w:hyperlink>
            <w:hyperlink w:anchor="idf8dcfb831fd4ff7a700868205e1f44f_88">
              <w:r>
                <w:rPr>
                  <w:rStyle w:val="InternetLink"/>
                  <w:rFonts w:ascii="Times New Roman;serif" w:hAnsi="Times New Roman;serif"/>
                  <w:b w:val="false"/>
                  <w:strike w:val="false"/>
                  <w:dstrike w:val="false"/>
                  <w:color w:val="000080"/>
                  <w:sz w:val="20"/>
                  <w:u w:val="single"/>
                  <w:effect w:val="none"/>
                </w:rPr>
                <w:t>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88">
              <w:r>
                <w:rPr>
                  <w:rStyle w:val="InternetLink"/>
                  <w:rFonts w:ascii="Times New Roman;serif" w:hAnsi="Times New Roman;serif"/>
                  <w:b w:val="false"/>
                  <w:strike w:val="false"/>
                  <w:dstrike w:val="false"/>
                  <w:color w:val="0000FF"/>
                  <w:sz w:val="20"/>
                  <w:u w:val="none"/>
                  <w:effect w:val="none"/>
                </w:rPr>
                <w:t>40</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91">
              <w:r>
                <w:rPr>
                  <w:rStyle w:val="InternetLink"/>
                  <w:rFonts w:ascii="Times New Roman;serif" w:hAnsi="Times New Roman;serif"/>
                  <w:b w:val="false"/>
                  <w:strike w:val="false"/>
                  <w:dstrike w:val="false"/>
                  <w:color w:val="0000FF"/>
                  <w:sz w:val="20"/>
                  <w:u w:val="none"/>
                  <w:effect w:val="none"/>
                </w:rPr>
                <w:t>Item 8. Financial Statements and Supplementary Data</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91">
              <w:r>
                <w:rPr>
                  <w:rStyle w:val="InternetLink"/>
                  <w:rFonts w:ascii="Times New Roman;serif" w:hAnsi="Times New Roman;serif"/>
                  <w:b w:val="false"/>
                  <w:strike w:val="false"/>
                  <w:dstrike w:val="false"/>
                  <w:color w:val="0000FF"/>
                  <w:sz w:val="20"/>
                  <w:u w:val="none"/>
                  <w:effect w:val="none"/>
                </w:rPr>
                <w:t>41</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2">
              <w:r>
                <w:rPr>
                  <w:rStyle w:val="InternetLink"/>
                  <w:rFonts w:ascii="Times New Roman;serif" w:hAnsi="Times New Roman;serif"/>
                  <w:b w:val="false"/>
                  <w:strike w:val="false"/>
                  <w:dstrike w:val="false"/>
                  <w:color w:val="0000FF"/>
                  <w:sz w:val="20"/>
                  <w:u w:val="none"/>
                  <w:effect w:val="none"/>
                </w:rPr>
                <w:t>Item 9. Changes in and Disagreements with Accountants on Accounting and Financial Disclosure</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2">
              <w:r>
                <w:rPr>
                  <w:rStyle w:val="InternetLink"/>
                  <w:rFonts w:ascii="Times New Roman;serif" w:hAnsi="Times New Roman;serif"/>
                  <w:b w:val="false"/>
                  <w:strike w:val="false"/>
                  <w:dstrike w:val="false"/>
                  <w:color w:val="0000FF"/>
                  <w:sz w:val="20"/>
                  <w:u w:val="none"/>
                  <w:effect w:val="none"/>
                </w:rPr>
                <w:t>93</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5">
              <w:r>
                <w:rPr>
                  <w:rStyle w:val="InternetLink"/>
                  <w:rFonts w:ascii="Times New Roman;serif" w:hAnsi="Times New Roman;serif"/>
                  <w:b w:val="false"/>
                  <w:strike w:val="false"/>
                  <w:dstrike w:val="false"/>
                  <w:color w:val="0000FF"/>
                  <w:sz w:val="20"/>
                  <w:u w:val="none"/>
                  <w:effect w:val="none"/>
                </w:rPr>
                <w:t>Item 9A. 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5">
              <w:r>
                <w:rPr>
                  <w:rStyle w:val="InternetLink"/>
                  <w:rFonts w:ascii="Times New Roman;serif" w:hAnsi="Times New Roman;serif"/>
                  <w:b w:val="false"/>
                  <w:strike w:val="false"/>
                  <w:dstrike w:val="false"/>
                  <w:color w:val="0000FF"/>
                  <w:sz w:val="20"/>
                  <w:u w:val="none"/>
                  <w:effect w:val="none"/>
                </w:rPr>
                <w:t>93</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8">
              <w:r>
                <w:rPr>
                  <w:rStyle w:val="InternetLink"/>
                  <w:rFonts w:ascii="Times New Roman;serif" w:hAnsi="Times New Roman;serif"/>
                  <w:b w:val="false"/>
                  <w:strike w:val="false"/>
                  <w:dstrike w:val="false"/>
                  <w:color w:val="0000FF"/>
                  <w:sz w:val="20"/>
                  <w:u w:val="none"/>
                  <w:effect w:val="none"/>
                </w:rPr>
                <w:t>Item 9B. 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8">
              <w:r>
                <w:rPr>
                  <w:rStyle w:val="InternetLink"/>
                  <w:rFonts w:ascii="Times New Roman;serif" w:hAnsi="Times New Roman;serif"/>
                  <w:b w:val="false"/>
                  <w:strike w:val="false"/>
                  <w:dstrike w:val="false"/>
                  <w:color w:val="0000FF"/>
                  <w:sz w:val="20"/>
                  <w:u w:val="none"/>
                  <w:effect w:val="none"/>
                </w:rPr>
                <w:t>93</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11">
              <w:r>
                <w:rPr>
                  <w:rStyle w:val="InternetLink"/>
                  <w:rFonts w:ascii="Times New Roman;serif" w:hAnsi="Times New Roman;serif"/>
                  <w:b w:val="false"/>
                  <w:strike w:val="false"/>
                  <w:dstrike w:val="false"/>
                  <w:color w:val="0000FF"/>
                  <w:sz w:val="20"/>
                  <w:u w:val="none"/>
                  <w:effect w:val="none"/>
                </w:rPr>
                <w:t>Item 9C. Disclosure Regarding Foreign Jurisdictions that Prevent Inspections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08">
              <w:r>
                <w:rPr>
                  <w:rStyle w:val="InternetLink"/>
                  <w:rFonts w:ascii="Times New Roman;serif" w:hAnsi="Times New Roman;serif"/>
                  <w:b w:val="false"/>
                  <w:strike w:val="false"/>
                  <w:dstrike w:val="false"/>
                  <w:color w:val="0000FF"/>
                  <w:sz w:val="20"/>
                  <w:u w:val="none"/>
                  <w:effect w:val="none"/>
                </w:rPr>
                <w:t>93</w:t>
              </w:r>
            </w:hyperlink>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14">
              <w:r>
                <w:rPr>
                  <w:rStyle w:val="InternetLink"/>
                  <w:rFonts w:ascii="Times New Roman;serif" w:hAnsi="Times New Roman;serif"/>
                  <w:b w:val="false"/>
                  <w:strike w:val="false"/>
                  <w:dstrike w:val="false"/>
                  <w:color w:val="0000FF"/>
                  <w:sz w:val="20"/>
                  <w:u w:val="none"/>
                  <w:effect w:val="none"/>
                </w:rPr>
                <w:t>PART III</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17">
              <w:r>
                <w:rPr>
                  <w:rStyle w:val="InternetLink"/>
                  <w:rFonts w:ascii="Times New Roman;serif" w:hAnsi="Times New Roman;serif"/>
                  <w:b w:val="false"/>
                  <w:strike w:val="false"/>
                  <w:dstrike w:val="false"/>
                  <w:color w:val="0000FF"/>
                  <w:sz w:val="20"/>
                  <w:u w:val="none"/>
                  <w:effect w:val="none"/>
                </w:rPr>
                <w:t>Item 10. Directors, Executive Officers and Corporate Governance</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17">
              <w:r>
                <w:rPr>
                  <w:rStyle w:val="InternetLink"/>
                  <w:rFonts w:ascii="Times New Roman;serif" w:hAnsi="Times New Roman;serif"/>
                  <w:b w:val="false"/>
                  <w:strike w:val="false"/>
                  <w:dstrike w:val="false"/>
                  <w:color w:val="0000FF"/>
                  <w:sz w:val="20"/>
                  <w:u w:val="none"/>
                  <w:effect w:val="none"/>
                </w:rPr>
                <w:t>93</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0">
              <w:r>
                <w:rPr>
                  <w:rStyle w:val="InternetLink"/>
                  <w:rFonts w:ascii="Times New Roman;serif" w:hAnsi="Times New Roman;serif"/>
                  <w:b w:val="false"/>
                  <w:strike w:val="false"/>
                  <w:dstrike w:val="false"/>
                  <w:color w:val="0000FF"/>
                  <w:sz w:val="20"/>
                  <w:u w:val="none"/>
                  <w:effect w:val="none"/>
                </w:rPr>
                <w:t>Item 11. Executive Compensation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0">
              <w:r>
                <w:rPr>
                  <w:rStyle w:val="InternetLink"/>
                  <w:rFonts w:ascii="Times New Roman;serif" w:hAnsi="Times New Roman;serif"/>
                  <w:b w:val="false"/>
                  <w:strike w:val="false"/>
                  <w:dstrike w:val="false"/>
                  <w:color w:val="0000FF"/>
                  <w:sz w:val="20"/>
                  <w:u w:val="none"/>
                  <w:effect w:val="none"/>
                </w:rPr>
                <w:t>94</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both"/>
              <w:rPr/>
            </w:pPr>
            <w:hyperlink w:anchor="idf8dcfb831fd4ff7a700868205e1f44f_223">
              <w:r>
                <w:rPr>
                  <w:rStyle w:val="InternetLink"/>
                  <w:rFonts w:ascii="Times New Roman;serif" w:hAnsi="Times New Roman;serif"/>
                  <w:b w:val="false"/>
                  <w:strike w:val="false"/>
                  <w:dstrike w:val="false"/>
                  <w:color w:val="000080"/>
                  <w:sz w:val="20"/>
                  <w:u w:val="single"/>
                  <w:effect w:val="none"/>
                </w:rPr>
                <w:t>Item 12. Security Ownership of Certain Beneficial Owners and Management and Related Shareholder</w:t>
              </w:r>
            </w:hyperlink>
            <w:hyperlink w:anchor="idf8dcfb831fd4ff7a700868205e1f44f_223">
              <w:r>
                <w:rPr>
                  <w:rStyle w:val="InternetLink"/>
                  <w:rFonts w:ascii="Times New Roman;serif" w:hAnsi="Times New Roman;serif"/>
                  <w:b w:val="false"/>
                  <w:strike w:val="false"/>
                  <w:dstrike w:val="false"/>
                  <w:color w:val="000080"/>
                  <w:sz w:val="20"/>
                  <w:u w:val="single"/>
                  <w:effect w:val="none"/>
                </w:rPr>
                <w:t xml:space="preserve"> </w:t>
              </w:r>
            </w:hyperlink>
            <w:hyperlink w:anchor="idf8dcfb831fd4ff7a700868205e1f44f_223">
              <w:r>
                <w:rPr>
                  <w:rStyle w:val="InternetLink"/>
                  <w:rFonts w:ascii="Times New Roman;serif" w:hAnsi="Times New Roman;serif"/>
                  <w:b w:val="false"/>
                  <w:strike w:val="false"/>
                  <w:dstrike w:val="false"/>
                  <w:color w:val="000080"/>
                  <w:sz w:val="20"/>
                  <w:u w:val="single"/>
                  <w:effect w:val="none"/>
                </w:rPr>
                <w:t xml:space="preserve">Matters </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3">
              <w:r>
                <w:rPr>
                  <w:rStyle w:val="InternetLink"/>
                  <w:rFonts w:ascii="Times New Roman;serif" w:hAnsi="Times New Roman;serif"/>
                  <w:b w:val="false"/>
                  <w:strike w:val="false"/>
                  <w:dstrike w:val="false"/>
                  <w:color w:val="0000FF"/>
                  <w:sz w:val="20"/>
                  <w:u w:val="none"/>
                  <w:effect w:val="none"/>
                </w:rPr>
                <w:t>94</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6">
              <w:r>
                <w:rPr>
                  <w:rStyle w:val="InternetLink"/>
                  <w:rFonts w:ascii="Times New Roman;serif" w:hAnsi="Times New Roman;serif"/>
                  <w:b w:val="false"/>
                  <w:strike w:val="false"/>
                  <w:dstrike w:val="false"/>
                  <w:color w:val="0000FF"/>
                  <w:sz w:val="20"/>
                  <w:u w:val="none"/>
                  <w:effect w:val="none"/>
                </w:rPr>
                <w:t>Item 13. Certain Relationships and Related Transactions, and Director Independence</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6">
              <w:r>
                <w:rPr>
                  <w:rStyle w:val="InternetLink"/>
                  <w:rFonts w:ascii="Times New Roman;serif" w:hAnsi="Times New Roman;serif"/>
                  <w:b w:val="false"/>
                  <w:strike w:val="false"/>
                  <w:dstrike w:val="false"/>
                  <w:color w:val="0000FF"/>
                  <w:sz w:val="20"/>
                  <w:u w:val="none"/>
                  <w:effect w:val="none"/>
                </w:rPr>
                <w:t>94</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9">
              <w:r>
                <w:rPr>
                  <w:rStyle w:val="InternetLink"/>
                  <w:rFonts w:ascii="Times New Roman;serif" w:hAnsi="Times New Roman;serif"/>
                  <w:b w:val="false"/>
                  <w:strike w:val="false"/>
                  <w:dstrike w:val="false"/>
                  <w:color w:val="0000FF"/>
                  <w:sz w:val="20"/>
                  <w:u w:val="none"/>
                  <w:effect w:val="none"/>
                </w:rPr>
                <w:t>Item 14. Principal Accountant Fees and Services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29">
              <w:r>
                <w:rPr>
                  <w:rStyle w:val="InternetLink"/>
                  <w:rFonts w:ascii="Times New Roman;serif" w:hAnsi="Times New Roman;serif"/>
                  <w:b w:val="false"/>
                  <w:strike w:val="false"/>
                  <w:dstrike w:val="false"/>
                  <w:color w:val="0000FF"/>
                  <w:sz w:val="20"/>
                  <w:u w:val="none"/>
                  <w:effect w:val="none"/>
                </w:rPr>
                <w:t>94</w:t>
              </w:r>
            </w:hyperlink>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32">
              <w:r>
                <w:rPr>
                  <w:rStyle w:val="InternetLink"/>
                  <w:rFonts w:ascii="Times New Roman;serif" w:hAnsi="Times New Roman;serif"/>
                  <w:b w:val="false"/>
                  <w:strike w:val="false"/>
                  <w:dstrike w:val="false"/>
                  <w:color w:val="0000FF"/>
                  <w:sz w:val="20"/>
                  <w:u w:val="none"/>
                  <w:effect w:val="none"/>
                </w:rPr>
                <w:t>PART IV</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35">
              <w:r>
                <w:rPr>
                  <w:rStyle w:val="InternetLink"/>
                  <w:rFonts w:ascii="Times New Roman;serif" w:hAnsi="Times New Roman;serif"/>
                  <w:b w:val="false"/>
                  <w:strike w:val="false"/>
                  <w:dstrike w:val="false"/>
                  <w:color w:val="0000FF"/>
                  <w:sz w:val="20"/>
                  <w:u w:val="none"/>
                  <w:effect w:val="none"/>
                </w:rPr>
                <w:t>Item 15. Exhibits and Financial Statement Schedules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35">
              <w:r>
                <w:rPr>
                  <w:rStyle w:val="InternetLink"/>
                  <w:rFonts w:ascii="Times New Roman;serif" w:hAnsi="Times New Roman;serif"/>
                  <w:b w:val="false"/>
                  <w:strike w:val="false"/>
                  <w:dstrike w:val="false"/>
                  <w:color w:val="0000FF"/>
                  <w:sz w:val="20"/>
                  <w:u w:val="none"/>
                  <w:effect w:val="none"/>
                </w:rPr>
                <w:t>95</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38">
              <w:r>
                <w:rPr>
                  <w:rStyle w:val="InternetLink"/>
                  <w:rFonts w:ascii="Times New Roman;serif" w:hAnsi="Times New Roman;serif"/>
                  <w:b w:val="false"/>
                  <w:strike w:val="false"/>
                  <w:dstrike w:val="false"/>
                  <w:color w:val="0000FF"/>
                  <w:sz w:val="20"/>
                  <w:u w:val="none"/>
                  <w:effect w:val="none"/>
                </w:rPr>
                <w:t>Item 16. Form 10-K Summary</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38">
              <w:r>
                <w:rPr>
                  <w:rStyle w:val="InternetLink"/>
                  <w:rFonts w:ascii="Times New Roman;serif" w:hAnsi="Times New Roman;serif"/>
                  <w:b w:val="false"/>
                  <w:strike w:val="false"/>
                  <w:dstrike w:val="false"/>
                  <w:color w:val="0000FF"/>
                  <w:sz w:val="20"/>
                  <w:u w:val="none"/>
                  <w:effect w:val="none"/>
                </w:rPr>
                <w:t>95</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41">
              <w:r>
                <w:rPr>
                  <w:rStyle w:val="InternetLink"/>
                  <w:rFonts w:ascii="Times New Roman;serif" w:hAnsi="Times New Roman;serif"/>
                  <w:b w:val="false"/>
                  <w:strike w:val="false"/>
                  <w:dstrike w:val="false"/>
                  <w:color w:val="0000FF"/>
                  <w:sz w:val="20"/>
                  <w:u w:val="none"/>
                  <w:effect w:val="none"/>
                </w:rPr>
                <w:t>Index to 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41">
              <w:r>
                <w:rPr>
                  <w:rStyle w:val="InternetLink"/>
                  <w:rFonts w:ascii="Times New Roman;serif" w:hAnsi="Times New Roman;serif"/>
                  <w:b w:val="false"/>
                  <w:strike w:val="false"/>
                  <w:dstrike w:val="false"/>
                  <w:color w:val="0000FF"/>
                  <w:sz w:val="20"/>
                  <w:u w:val="none"/>
                  <w:effect w:val="none"/>
                </w:rPr>
                <w:t>96</w:t>
              </w:r>
            </w:hyperlink>
          </w:p>
        </w:tc>
      </w:tr>
      <w:tr>
        <w:trPr/>
        <w:tc>
          <w:tcPr>
            <w:tcW w:w="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44">
              <w:r>
                <w:rPr>
                  <w:rStyle w:val="InternetLink"/>
                  <w:rFonts w:ascii="Times New Roman;serif" w:hAnsi="Times New Roman;serif"/>
                  <w:b w:val="false"/>
                  <w:strike w:val="false"/>
                  <w:dstrike w:val="false"/>
                  <w:color w:val="0000FF"/>
                  <w:sz w:val="20"/>
                  <w:u w:val="none"/>
                  <w:effect w:val="non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244">
              <w:r>
                <w:rPr>
                  <w:rStyle w:val="InternetLink"/>
                  <w:rFonts w:ascii="Times New Roman;serif" w:hAnsi="Times New Roman;serif"/>
                  <w:b w:val="false"/>
                  <w:strike w:val="false"/>
                  <w:dstrike w:val="false"/>
                  <w:color w:val="0000FF"/>
                  <w:sz w:val="20"/>
                  <w:u w:val="none"/>
                  <w:effect w:val="none"/>
                </w:rPr>
                <w:t>99</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"could," "estimate," "expect," "intend," "may," "plan," "pursue," "seek,"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 in this Report. </w:t>
      </w: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stated, the terms "we," "us," "our" and the "company" refer to The Campbell's Company and its consolidated subsidiaries.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tomato-based pasta sauces. The aggregate consideration for the transaction is $286 million to be paid in two tranches. On May 4, 2026, we acquired the 49% interests in La Regina for $146 million in cash. The second tranche payment of $140 million will be payable at our discretion in either cash or unregistered shares of our capital stock (not to exceed 19.9% of our outstanding capital stock and voting power prior to issuance) on May 4, 2027. The remaining 51% of the outstanding equity interests of La Regina are subject to a call option granted to us and a put option granted to La Regina. For additional information on this transaction, see our Form 8-K filed with the U.S. Securities and Exchange Commission (SEC) on December 9, 2025, and Note 3 to the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12, 2024, we completed the acquisition of Sovos Brands, Inc. (Sovos Brands) for total purchase consideration of $2.899 billion. For additional information on this acquisition, see Note 3 to the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24, 2025, we completed the sale of our noosa yoghurt business. On August 26, 2024, we completed the sale of our Pop Secret popcorn business. For additional information on the divestitures, see Note 4 to the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the fourth quarter of 2025, the snacking and meals and beverages retail business in Latin America was managed under our Snacks segment. Beginning in 2026, the business is managed under our Meals &amp; Beverages segment. Segment results have been adjusted retrospectively to reflect this change.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including reportable segments, are described below. Our locations, including manufacturing facilities, within each reporting segment are described in Item 2. Properties. </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reportable segments are:</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Meals &amp; Beverages, which consists of soup, simple meals and beverages products in retail and foodservice in the U.S. and Canada. The segment includes the following products: </w:t>
      </w:r>
      <w:r>
        <w:rPr>
          <w:rFonts w:ascii="Times New Roman;serif" w:hAnsi="Times New Roman;serif"/>
          <w:b w:val="false"/>
          <w:i/>
          <w:color w:val="000000"/>
          <w:sz w:val="20"/>
        </w:rPr>
        <w:t xml:space="preserve">Campbell’s </w:t>
      </w:r>
      <w:r>
        <w:rPr>
          <w:rFonts w:ascii="Times New Roman;serif" w:hAnsi="Times New Roman;serif"/>
          <w:b w:val="false"/>
          <w:color w:val="000000"/>
          <w:sz w:val="20"/>
        </w:rPr>
        <w:t xml:space="preserve">condensed and ready-to-serve soups; </w:t>
      </w:r>
      <w:r>
        <w:rPr>
          <w:rFonts w:ascii="Times New Roman;serif" w:hAnsi="Times New Roman;serif"/>
          <w:b w:val="false"/>
          <w:i/>
          <w:color w:val="000000"/>
          <w:sz w:val="20"/>
        </w:rPr>
        <w:t>Swanson</w:t>
      </w:r>
      <w:r>
        <w:rPr>
          <w:color w:val="000000"/>
        </w:rPr>
        <w:t xml:space="preserve"> </w:t>
      </w:r>
      <w:r>
        <w:rPr>
          <w:rFonts w:ascii="Times New Roman;serif" w:hAnsi="Times New Roman;serif"/>
          <w:b w:val="false"/>
          <w:color w:val="000000"/>
          <w:sz w:val="20"/>
        </w:rPr>
        <w:t xml:space="preserve">broth and stocks; </w:t>
      </w:r>
      <w:r>
        <w:rPr>
          <w:rFonts w:ascii="Times New Roman;serif" w:hAnsi="Times New Roman;serif"/>
          <w:b w:val="false"/>
          <w:i/>
          <w:color w:val="000000"/>
          <w:sz w:val="20"/>
        </w:rPr>
        <w:t>Pacific</w:t>
      </w:r>
      <w:r>
        <w:rPr>
          <w:color w:val="000000"/>
        </w:rPr>
        <w:t xml:space="preserve"> </w:t>
      </w:r>
      <w:r>
        <w:rPr>
          <w:rFonts w:ascii="Times New Roman;serif" w:hAnsi="Times New Roman;serif"/>
          <w:b w:val="false"/>
          <w:i/>
          <w:color w:val="000000"/>
          <w:sz w:val="20"/>
        </w:rPr>
        <w:t>Foods</w:t>
      </w:r>
      <w:r>
        <w:rPr>
          <w:color w:val="000000"/>
        </w:rPr>
        <w:t xml:space="preserve"> </w:t>
      </w:r>
      <w:r>
        <w:rPr>
          <w:rFonts w:ascii="Times New Roman;serif" w:hAnsi="Times New Roman;serif"/>
          <w:b w:val="false"/>
          <w:color w:val="000000"/>
          <w:sz w:val="20"/>
        </w:rPr>
        <w:t xml:space="preserve">broth, soups and non-dairy beverages; </w:t>
      </w:r>
      <w:r>
        <w:rPr>
          <w:rFonts w:ascii="Times New Roman;serif" w:hAnsi="Times New Roman;serif"/>
          <w:b w:val="false"/>
          <w:i/>
          <w:color w:val="000000"/>
          <w:sz w:val="20"/>
        </w:rPr>
        <w:t>Prego</w:t>
      </w:r>
      <w:r>
        <w:rPr>
          <w:color w:val="000000"/>
        </w:rPr>
        <w:t xml:space="preserve"> </w:t>
      </w:r>
      <w:r>
        <w:rPr>
          <w:rFonts w:ascii="Times New Roman;serif" w:hAnsi="Times New Roman;serif"/>
          <w:b w:val="false"/>
          <w:color w:val="000000"/>
          <w:sz w:val="20"/>
        </w:rPr>
        <w:t xml:space="preserve">pasta sauces; </w:t>
      </w:r>
      <w:r>
        <w:rPr>
          <w:rFonts w:ascii="Times New Roman;serif" w:hAnsi="Times New Roman;serif"/>
          <w:b w:val="false"/>
          <w:i/>
          <w:color w:val="000000"/>
          <w:sz w:val="20"/>
        </w:rPr>
        <w:t>Pace</w:t>
      </w:r>
      <w:r>
        <w:rPr>
          <w:color w:val="000000"/>
        </w:rPr>
        <w:t xml:space="preserve"> </w:t>
      </w:r>
      <w:r>
        <w:rPr>
          <w:rFonts w:ascii="Times New Roman;serif" w:hAnsi="Times New Roman;serif"/>
          <w:b w:val="false"/>
          <w:color w:val="000000"/>
          <w:sz w:val="20"/>
        </w:rPr>
        <w:t xml:space="preserve">Mexican sauces; </w:t>
      </w:r>
      <w:r>
        <w:rPr>
          <w:rFonts w:ascii="Times New Roman;serif" w:hAnsi="Times New Roman;serif"/>
          <w:b w:val="false"/>
          <w:i/>
          <w:color w:val="000000"/>
          <w:sz w:val="20"/>
        </w:rPr>
        <w:t>SpaghettiOs</w:t>
      </w:r>
      <w:r>
        <w:rPr>
          <w:color w:val="000000"/>
        </w:rPr>
        <w:t xml:space="preserve"> </w:t>
      </w:r>
      <w:r>
        <w:rPr>
          <w:rFonts w:ascii="Times New Roman;serif" w:hAnsi="Times New Roman;serif"/>
          <w:b w:val="false"/>
          <w:color w:val="000000"/>
          <w:sz w:val="20"/>
        </w:rPr>
        <w:t xml:space="preserve">pasta; </w:t>
      </w:r>
      <w:r>
        <w:rPr>
          <w:rFonts w:ascii="Times New Roman;serif" w:hAnsi="Times New Roman;serif"/>
          <w:b w:val="false"/>
          <w:i/>
          <w:color w:val="000000"/>
          <w:sz w:val="20"/>
        </w:rPr>
        <w:t>Campbell’s</w:t>
      </w:r>
      <w:r>
        <w:rPr>
          <w:color w:val="000000"/>
        </w:rPr>
        <w:t xml:space="preserve"> </w:t>
      </w:r>
      <w:r>
        <w:rPr>
          <w:rFonts w:ascii="Times New Roman;serif" w:hAnsi="Times New Roman;serif"/>
          <w:b w:val="false"/>
          <w:color w:val="000000"/>
          <w:sz w:val="20"/>
        </w:rPr>
        <w:t xml:space="preserve">gravies, beans and dinner sauces; </w:t>
      </w:r>
      <w:r>
        <w:rPr>
          <w:rFonts w:ascii="Times New Roman;serif" w:hAnsi="Times New Roman;serif"/>
          <w:b w:val="false"/>
          <w:i/>
          <w:color w:val="000000"/>
          <w:sz w:val="20"/>
        </w:rPr>
        <w:t>Swanson</w:t>
      </w:r>
      <w:r>
        <w:rPr>
          <w:color w:val="000000"/>
        </w:rPr>
        <w:t xml:space="preserve"> </w:t>
      </w:r>
      <w:r>
        <w:rPr>
          <w:rFonts w:ascii="Times New Roman;serif" w:hAnsi="Times New Roman;serif"/>
          <w:b w:val="false"/>
          <w:color w:val="000000"/>
          <w:sz w:val="20"/>
        </w:rPr>
        <w:t xml:space="preserve">canned poultry; </w:t>
      </w:r>
      <w:r>
        <w:rPr>
          <w:rFonts w:ascii="Times New Roman;serif" w:hAnsi="Times New Roman;serif"/>
          <w:b w:val="false"/>
          <w:i/>
          <w:color w:val="000000"/>
          <w:sz w:val="20"/>
        </w:rPr>
        <w:t>V8</w:t>
      </w:r>
      <w:r>
        <w:rPr>
          <w:color w:val="000000"/>
        </w:rPr>
        <w:t xml:space="preserve"> </w:t>
      </w:r>
      <w:r>
        <w:rPr>
          <w:rFonts w:ascii="Times New Roman;serif" w:hAnsi="Times New Roman;serif"/>
          <w:b w:val="false"/>
          <w:color w:val="000000"/>
          <w:sz w:val="20"/>
        </w:rPr>
        <w:t xml:space="preserve">juices and beverages; </w:t>
      </w:r>
      <w:r>
        <w:rPr>
          <w:rFonts w:ascii="Times New Roman;serif" w:hAnsi="Times New Roman;serif"/>
          <w:b w:val="false"/>
          <w:i/>
          <w:color w:val="000000"/>
          <w:sz w:val="20"/>
        </w:rPr>
        <w:t xml:space="preserve">Campbell's </w:t>
      </w:r>
      <w:r>
        <w:rPr>
          <w:rFonts w:ascii="Times New Roman;serif" w:hAnsi="Times New Roman;serif"/>
          <w:b w:val="false"/>
          <w:color w:val="000000"/>
          <w:sz w:val="20"/>
        </w:rPr>
        <w:t xml:space="preserve">tomato juice; and as of March 12, 2024,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 xml:space="preserve">pasta sauces, dry pasta, frozen entrées, frozen pizza and soups; </w:t>
      </w:r>
      <w:r>
        <w:rPr>
          <w:rFonts w:ascii="Times New Roman;serif" w:hAnsi="Times New Roman;serif"/>
          <w:b w:val="false"/>
          <w:i/>
          <w:color w:val="000000"/>
          <w:sz w:val="20"/>
        </w:rPr>
        <w:t>Michael Angelo’s</w:t>
      </w:r>
      <w:r>
        <w:rPr>
          <w:color w:val="000000"/>
        </w:rPr>
        <w:t xml:space="preserve"> </w:t>
      </w:r>
      <w:r>
        <w:rPr>
          <w:rFonts w:ascii="Times New Roman;serif" w:hAnsi="Times New Roman;serif"/>
          <w:b w:val="false"/>
          <w:color w:val="000000"/>
          <w:sz w:val="20"/>
        </w:rPr>
        <w:t xml:space="preserve">frozen entrées and pasta sauces; and </w:t>
      </w:r>
      <w:r>
        <w:rPr>
          <w:rFonts w:ascii="Times New Roman;serif" w:hAnsi="Times New Roman;serif"/>
          <w:b w:val="false"/>
          <w:i/>
          <w:color w:val="000000"/>
          <w:sz w:val="20"/>
        </w:rPr>
        <w:t>noosa</w:t>
      </w:r>
      <w:r>
        <w:rPr>
          <w:color w:val="000000"/>
        </w:rPr>
        <w:t xml:space="preserve"> </w:t>
      </w:r>
      <w:r>
        <w:rPr>
          <w:rFonts w:ascii="Times New Roman;serif" w:hAnsi="Times New Roman;serif"/>
          <w:b w:val="false"/>
          <w:color w:val="000000"/>
          <w:sz w:val="20"/>
        </w:rPr>
        <w:t xml:space="preserve">yogurts. The noosa yoghurt business was sold on February 24, 2025. The segment also includes snacking products in foodservice and Canada, and beginning in 2026, the snacking and meals and beverages retail business in Latin America; and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Snacks, which consists of Pepperidge Farm cookies, crackers, fresh bakery and frozen products, including </w:t>
      </w:r>
      <w:r>
        <w:rPr>
          <w:rFonts w:ascii="Times New Roman;serif" w:hAnsi="Times New Roman;serif"/>
          <w:b w:val="false"/>
          <w:i/>
          <w:color w:val="000000"/>
          <w:sz w:val="20"/>
        </w:rPr>
        <w:t>Goldfish</w:t>
      </w:r>
      <w:r>
        <w:rPr>
          <w:color w:val="000000"/>
        </w:rPr>
        <w:t xml:space="preserve"> </w:t>
      </w:r>
      <w:r>
        <w:rPr>
          <w:rFonts w:ascii="Times New Roman;serif" w:hAnsi="Times New Roman;serif"/>
          <w:b w:val="false"/>
          <w:color w:val="000000"/>
          <w:sz w:val="20"/>
        </w:rPr>
        <w:t xml:space="preserve">crackers,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 xml:space="preserve">pretzels, </w:t>
      </w:r>
      <w:r>
        <w:rPr>
          <w:rFonts w:ascii="Times New Roman;serif" w:hAnsi="Times New Roman;serif"/>
          <w:b w:val="false"/>
          <w:i/>
          <w:color w:val="000000"/>
          <w:sz w:val="20"/>
        </w:rPr>
        <w:t>Lance</w:t>
      </w:r>
      <w:r>
        <w:rPr>
          <w:color w:val="000000"/>
        </w:rPr>
        <w:t xml:space="preserve"> </w:t>
      </w:r>
      <w:r>
        <w:rPr>
          <w:rFonts w:ascii="Times New Roman;serif" w:hAnsi="Times New Roman;serif"/>
          <w:b w:val="false"/>
          <w:color w:val="000000"/>
          <w:sz w:val="20"/>
        </w:rPr>
        <w:t xml:space="preserve">sandwich crackers,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 xml:space="preserve">potato chips,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potato chips, </w:t>
      </w:r>
      <w:r>
        <w:rPr>
          <w:rFonts w:ascii="Times New Roman;serif" w:hAnsi="Times New Roman;serif"/>
          <w:b w:val="false"/>
          <w:i/>
          <w:color w:val="000000"/>
          <w:sz w:val="20"/>
        </w:rPr>
        <w:t>Late July</w:t>
      </w:r>
      <w:r>
        <w:rPr>
          <w:color w:val="000000"/>
        </w:rPr>
        <w:t xml:space="preserve"> </w:t>
      </w:r>
      <w:r>
        <w:rPr>
          <w:rFonts w:ascii="Times New Roman;serif" w:hAnsi="Times New Roman;serif"/>
          <w:b w:val="false"/>
          <w:color w:val="000000"/>
          <w:sz w:val="20"/>
        </w:rPr>
        <w:t xml:space="preserve">snacks, </w:t>
      </w:r>
      <w:r>
        <w:rPr>
          <w:rFonts w:ascii="Times New Roman;serif" w:hAnsi="Times New Roman;serif"/>
          <w:b w:val="false"/>
          <w:i/>
          <w:color w:val="000000"/>
          <w:sz w:val="20"/>
        </w:rPr>
        <w:t>Snack Factory</w:t>
      </w:r>
      <w:r>
        <w:rPr>
          <w:color w:val="000000"/>
        </w:rPr>
        <w:t xml:space="preserve"> </w:t>
      </w:r>
      <w:r>
        <w:rPr>
          <w:rFonts w:ascii="Times New Roman;serif" w:hAnsi="Times New Roman;serif"/>
          <w:b w:val="false"/>
          <w:color w:val="000000"/>
          <w:sz w:val="20"/>
        </w:rPr>
        <w:t xml:space="preserve">pretzel crisps, and other snacking products in retail in the U.S. The segment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included the results of our Pop Secret popcorn business, which was sold on August 26, 2024.</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2027, the Pepperidge Farm frozen business is managed under our Meals &amp; Beverages segment.</w:t>
      </w:r>
    </w:p>
    <w:p>
      <w:pPr>
        <w:pStyle w:val="TextBody"/>
        <w:bidi w:val="0"/>
        <w:spacing w:lineRule="auto" w:line="288" w:before="10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8 to the Consolidated Financial Statements and "Management's Discussion and Analysis of Financial Condition and Results of Operations" for additional information regarding our reportable segments.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Ingredients, Packaging and Finished Products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ingredients and packaging materials required for the manufacture of our food and beverage products are purchased from various suppliers, substantially all of which are located in North America. We also purchase finished products from domestic and international suppliers. Many of these items are subject to price fluctuations from a number of factors, including but not limited to geopolitical conflicts, shifting global trade policies (including tariffs and retaliatory measures), import and export requirements, product scarcity, demand for raw materials, commodity market speculation, energy costs, currency fluctuations, supplier capacities, government-sponsored agricultural programs and other government policy, climate change, changes in crop size, cattle cycles, herd and flock disease, crop disease, crop pests, drought and excessive rain, temperature extremes and other adverse weather events, water scarcity, scarcity of suitable agricultural land, scarcity of organic ingredients, pandemics or other local or global health issues, environmental and other sustainability regulations and other factors that may be beyond our control. To help reduce some of this price volatility, we use a combination of purchase orders, short- and long-term contracts, inventory management practices, alternative sourcing opportunities, supplier collaboration, various commodity risk management tools for most of our ingredients and packaging and other cost mitigation efforts, as applicable.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2026, we experienced volatility in commodity and supply chain costs, including the costs of raw materials, packaging materials, energy, logistics, finished products and labor, driven in part by impacts from tariffs and ongoing geopolitical conflicts in the Middle East. We are unable to predict the extent to which tariffs and ongoing geopolitical conflicts may impact our ability to source ingredients, packaging materials and finished products in the future, and certain supply pressures may continue throughout 2027. In 2027, we expect inflationary pressures and volatility in various input costs to persist, primarily driven by impacts from tariffs, logistics costs and ongoing geopolitical conflicts. We plan to reduce some of these impacts over time through cost savings initiatives, inventory management practices, supplier collaboration, alternative sourcing opportunities, continued supply chain productivity initiatives, surgical pricing actions where necessary and other mitigation efforts.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dollar stores, e-commerce and other retail, commercial and non-commercial establishments. Our Snacks segment has a direct-store-delivery distribution model that uses independent contractor distributors.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five largest customers accounted for approximately 48% of our consolidated net sales in 2026 and 47% in 2025 and 2024. Our largest customer, Walmart Inc. and its affiliates, accounted for approximately 22% of our consolidated net sales in 2026, 21% in 2025, and 22% in 2024. Both of our reportable segments sold products to Walmart Inc. or its affiliates. No other customer accounted for 10% or more of our consolidated net sales.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Trademarks and Technology</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As of September 16, 2026, we owned over 2,600 trademark registrations and applications in over 130 countries. We believe our trademarks are of material importance to our business. Although the laws vary by jurisdiction, trademarks generally remain valid and can be renewed indefinitely as long as they are in use and/or their registrations are properly maintained, and they have not become generic. We believe that our principal brands, including </w:t>
      </w:r>
      <w:r>
        <w:rPr>
          <w:rFonts w:ascii="Times New Roman;serif" w:hAnsi="Times New Roman;serif"/>
          <w:b w:val="false"/>
          <w:i/>
          <w:color w:val="000000"/>
          <w:sz w:val="20"/>
        </w:rPr>
        <w:t>Campbell's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Cape Cod</w:t>
      </w:r>
      <w:r>
        <w:rPr>
          <w:rFonts w:ascii="Times New Roman;serif" w:hAnsi="Times New Roman;serif"/>
          <w:b w:val="false"/>
          <w:color w:val="000000"/>
          <w:sz w:val="20"/>
        </w:rPr>
        <w:t xml:space="preserve">, </w:t>
      </w:r>
      <w:r>
        <w:rPr>
          <w:rFonts w:ascii="Times New Roman;serif" w:hAnsi="Times New Roman;serif"/>
          <w:b w:val="false"/>
          <w:i/>
          <w:color w:val="000000"/>
          <w:sz w:val="20"/>
        </w:rPr>
        <w:t>Chunky</w:t>
      </w:r>
      <w:r>
        <w:rPr>
          <w:rFonts w:ascii="Times New Roman;serif" w:hAnsi="Times New Roman;serif"/>
          <w:b w:val="false"/>
          <w:color w:val="000000"/>
          <w:sz w:val="20"/>
        </w:rPr>
        <w:t xml:space="preserve">, </w:t>
      </w:r>
      <w:r>
        <w:rPr>
          <w:rFonts w:ascii="Times New Roman;serif" w:hAnsi="Times New Roman;serif"/>
          <w:b w:val="false"/>
          <w:i/>
          <w:color w:val="000000"/>
          <w:sz w:val="20"/>
        </w:rPr>
        <w:t>Goldfish</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Kettle Brand</w:t>
      </w:r>
      <w:r>
        <w:rPr>
          <w:rFonts w:ascii="Times New Roman;serif" w:hAnsi="Times New Roman;serif"/>
          <w:b w:val="false"/>
          <w:color w:val="000000"/>
          <w:sz w:val="20"/>
        </w:rPr>
        <w:t xml:space="preserve">, </w:t>
      </w:r>
      <w:r>
        <w:rPr>
          <w:rFonts w:ascii="Times New Roman;serif" w:hAnsi="Times New Roman;serif"/>
          <w:b w:val="false"/>
          <w:i/>
          <w:color w:val="000000"/>
          <w:sz w:val="20"/>
        </w:rPr>
        <w:t>Lance</w:t>
      </w:r>
      <w:r>
        <w:rPr>
          <w:rFonts w:ascii="Times New Roman;serif" w:hAnsi="Times New Roman;serif"/>
          <w:b w:val="false"/>
          <w:color w:val="000000"/>
          <w:sz w:val="20"/>
        </w:rPr>
        <w:t xml:space="preserve">, </w:t>
      </w:r>
      <w:r>
        <w:rPr>
          <w:rFonts w:ascii="Times New Roman;serif" w:hAnsi="Times New Roman;serif"/>
          <w:b w:val="false"/>
          <w:i/>
          <w:color w:val="000000"/>
          <w:sz w:val="20"/>
        </w:rPr>
        <w:t>Late July</w:t>
      </w:r>
      <w:r>
        <w:rPr>
          <w:rFonts w:ascii="Times New Roman;serif" w:hAnsi="Times New Roman;serif"/>
          <w:b w:val="false"/>
          <w:color w:val="000000"/>
          <w:sz w:val="20"/>
        </w:rPr>
        <w:t xml:space="preserve">, </w:t>
      </w:r>
      <w:r>
        <w:rPr>
          <w:rFonts w:ascii="Times New Roman;serif" w:hAnsi="Times New Roman;serif"/>
          <w:b w:val="false"/>
          <w:i/>
          <w:color w:val="000000"/>
          <w:sz w:val="20"/>
        </w:rPr>
        <w:t>Milano</w:t>
      </w:r>
      <w:r>
        <w:rPr>
          <w:rFonts w:ascii="Times New Roman;serif" w:hAnsi="Times New Roman;serif"/>
          <w:b w:val="false"/>
          <w:color w:val="000000"/>
          <w:sz w:val="20"/>
        </w:rPr>
        <w:t xml:space="preserve">, </w:t>
      </w:r>
      <w:r>
        <w:rPr>
          <w:rFonts w:ascii="Times New Roman;serif" w:hAnsi="Times New Roman;serif"/>
          <w:b w:val="false"/>
          <w:i/>
          <w:color w:val="000000"/>
          <w:sz w:val="20"/>
        </w:rPr>
        <w:t>Pace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Pacific Foods</w:t>
      </w:r>
      <w:r>
        <w:rPr>
          <w:rFonts w:ascii="Times New Roman;serif" w:hAnsi="Times New Roman;serif"/>
          <w:b w:val="false"/>
          <w:color w:val="000000"/>
          <w:sz w:val="20"/>
        </w:rPr>
        <w:t xml:space="preserve">, </w:t>
      </w:r>
      <w:r>
        <w:rPr>
          <w:rFonts w:ascii="Times New Roman;serif" w:hAnsi="Times New Roman;serif"/>
          <w:b w:val="false"/>
          <w:i/>
          <w:color w:val="000000"/>
          <w:sz w:val="20"/>
        </w:rPr>
        <w:t>Pepperidge Farm</w:t>
      </w:r>
      <w:r>
        <w:rPr>
          <w:rFonts w:ascii="Times New Roman;serif" w:hAnsi="Times New Roman;serif"/>
          <w:b w:val="false"/>
          <w:color w:val="000000"/>
          <w:sz w:val="20"/>
        </w:rPr>
        <w:t xml:space="preserve">, </w:t>
      </w:r>
      <w:r>
        <w:rPr>
          <w:rFonts w:ascii="Times New Roman;serif" w:hAnsi="Times New Roman;serif"/>
          <w:b w:val="false"/>
          <w:i/>
          <w:color w:val="000000"/>
          <w:sz w:val="20"/>
        </w:rPr>
        <w:t>Prego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Rao's, </w:t>
      </w:r>
      <w:r>
        <w:rPr>
          <w:rFonts w:ascii="Times New Roman;serif" w:hAnsi="Times New Roman;serif"/>
          <w:b w:val="false"/>
          <w:i/>
          <w:color w:val="000000"/>
          <w:sz w:val="20"/>
          <w:shd w:fill="FFFFFF" w:val="clear"/>
        </w:rPr>
        <w:t>Snack Factory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i/>
          <w:color w:val="000000"/>
          <w:sz w:val="20"/>
        </w:rPr>
        <w:t>Snyder's of Hanover</w:t>
      </w:r>
      <w:r>
        <w:rPr>
          <w:rFonts w:ascii="Times New Roman;serif" w:hAnsi="Times New Roman;serif"/>
          <w:b w:val="false"/>
          <w:color w:val="000000"/>
          <w:sz w:val="20"/>
        </w:rPr>
        <w:t xml:space="preserve">, </w:t>
      </w:r>
      <w:r>
        <w:rPr>
          <w:rFonts w:ascii="Times New Roman;serif" w:hAnsi="Times New Roman;serif"/>
          <w:b w:val="false"/>
          <w:i/>
          <w:color w:val="000000"/>
          <w:sz w:val="20"/>
        </w:rPr>
        <w:t>SpaghettiOs</w:t>
      </w:r>
      <w:r>
        <w:rPr>
          <w:rFonts w:ascii="Times New Roman;serif" w:hAnsi="Times New Roman;serif"/>
          <w:b w:val="false"/>
          <w:color w:val="000000"/>
          <w:sz w:val="20"/>
        </w:rPr>
        <w:t xml:space="preserve">, </w:t>
      </w:r>
      <w:r>
        <w:rPr>
          <w:rFonts w:ascii="Times New Roman;serif" w:hAnsi="Times New Roman;serif"/>
          <w:b w:val="false"/>
          <w:i/>
          <w:color w:val="000000"/>
          <w:sz w:val="20"/>
        </w:rPr>
        <w:t>Swanson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V8</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are protected by trademark law in the major markets where they are used.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2026, our aggregate capital expenditures were $361 million. We expect to spend approximately $300 million for capital projects in 2027. Major capital projects based on planned spend in 2027 include sustaining our infrastructure, including wastewater initiatives, and network optimization projects. We estimate that approximately $50 million of the capital expenditures anticipated during 2027 will be for upgrades to our Napoleon, Ohio wastewater treatment facility, with another approximately $5 million for other network wastewater initiatives.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manufacture and sale of consumer food products is highly regulated. In the U.S., our activities are subject to regulation by various federal government agencies, including the Food and Drug Administration (FDA), the Department of Agriculture, the Federal Trade Commission, the Department of Labor, the Department of Commerce, the Occupational Safety and Health Administration and the Environmental Protection Agency, as well as various state and local agencies. Our business is also regulated by similar agencies outside of the U.S. Additionally, we are subject to food ingredients regulations (including specific ingredients we can and do use, and how they must be declared on our labels), labeling and packaging regulations (including but not limited to extended producer responsibility (EPR) regulations), data privacy and security regulations, tax regulations, securities regulations, import regulations, accounting and reporting standards, and other financial laws and regulations. We believe that we are in compliance with current laws and regulations in all material respects and do not expect that continued compliance with such laws and regulations will have a material effect on capital expenditures, earnings or our competitive position.</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our $361 million in capital expenditures made during 2026, approximately $10 million were for compliance with environmental laws and regulations in the U.S. We further estimate that approximately $50 million of the capital expenditures anticipated during 2027 will be for upgrades to our Napoleon, Ohio wastewater treatment facility, with another approximately $5 million for other network wastewater initiatives. Additionally, we anticipate spending approximately $10 million for compliance with U.S. environmental laws and regulations during 2027. We believe that the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greenhouse gas emissions and reporting, energy and sustainability, including EPR laws and regulations. While the impact of these laws and regulations cannot be predicted with certainty, we do not believe that compliance with these laws and regulations will have a material effect on capital expenditures, earnings or our competitive position. See Note 19 to the Consolidated Financial Statements for additional information regarding certain environmental matters.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00" w:after="100"/>
        <w:ind w:left="0" w:right="0" w:firstLine="360"/>
        <w:jc w:val="both"/>
        <w:rPr/>
      </w:pPr>
      <w:r>
        <w:rPr>
          <w:rFonts w:ascii="Times New Roman;serif" w:hAnsi="Times New Roman;serif"/>
          <w:b w:val="false"/>
          <w:color w:val="000000"/>
          <w:sz w:val="20"/>
        </w:rPr>
        <w:t>Demand for soup products is seasonal, with the fall and winter months usually accounting for the highest sales volume.</w:t>
      </w:r>
      <w:r>
        <w:rPr>
          <w:color w:val="000000"/>
          <w:shd w:fill="FFFFFF" w:val="clear"/>
        </w:rPr>
        <w:t xml:space="preserve"> </w:t>
      </w:r>
      <w:r>
        <w:rPr>
          <w:rFonts w:ascii="Times New Roman;serif" w:hAnsi="Times New Roman;serif"/>
          <w:b w:val="false"/>
          <w:color w:val="000000"/>
          <w:sz w:val="20"/>
        </w:rPr>
        <w:t>Demand for our other products is generally evenly distributed throughout the year.</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One of the four pillars of our transformation framework is to build a performance culture. To do this, we are committed to building a company where everyone is valued and supported to do their best work. We believe that our employees are the driving force behind our success. Prioritizing attracting, developing and retaining world-class talent embodies our purpose, </w:t>
      </w:r>
      <w:r>
        <w:rPr>
          <w:rFonts w:ascii="Times New Roman;serif" w:hAnsi="Times New Roman;serif"/>
          <w:b w:val="false"/>
          <w:i/>
          <w:color w:val="000000"/>
          <w:sz w:val="20"/>
        </w:rPr>
        <w:t>Connecting people through food they love</w:t>
      </w:r>
      <w:r>
        <w:rPr>
          <w:rFonts w:ascii="Times New Roman;serif" w:hAnsi="Times New Roman;serif"/>
          <w:b w:val="false"/>
          <w:color w:val="000000"/>
          <w:sz w:val="20"/>
        </w:rPr>
        <w:t>. On August 2, 2026, we had approximately 13,500 full-time and part-time employees.</w:t>
      </w:r>
    </w:p>
    <w:p>
      <w:pPr>
        <w:pStyle w:val="TextBody"/>
        <w:bidi w:val="0"/>
        <w:spacing w:lineRule="auto" w:line="288" w:before="10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Training, Development and Engagement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invest in our employees through training and development programs to support our culture of continuous learning. Our developmental programs allow employees to focus on timely and topical development areas including leadership excellence, change management and functional capabilities. We communicate frequently and transparently with our employees through regular company-wide and business unit check-ins, and we conduct employee engagement surveys that provide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with an opportunity to share anonymous feedback with management in a variety of areas including confidence in leadership, growth and career opportunities, alignment of work and overall engagement.</w:t>
      </w:r>
    </w:p>
    <w:p>
      <w:pPr>
        <w:pStyle w:val="TextBody"/>
        <w:bidi w:val="0"/>
        <w:spacing w:lineRule="auto" w:line="288" w:before="10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Total Rewards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market-based competitive compensation through our salary, annual incentive and long-term incentive programs, and a robust benefits package that promotes the overall well-being of our employees. We provide a variety of resources and services to help our employees plan for retirement and provide a 401(k) plan with immediate vesting. We benchmark and establish compensation structures based on competitive market data. Individual pay is based on various factors such as an employee's role, experience, job location and contributions. Performance discussions for salaried employees are conducted throughout the year to assess contributions and inform individual development plans. </w:t>
      </w:r>
    </w:p>
    <w:p>
      <w:pPr>
        <w:pStyle w:val="TextBody"/>
        <w:bidi w:val="0"/>
        <w:spacing w:lineRule="auto" w:line="288" w:before="10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Wellness and Safety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health, safety and well-being are our top priorities. We promote a strong culture of safety and prioritize keeping all our employees, contractors and visitors safe. To accomplish this, we employ comprehensive health, safety and environment management policies and standards throughout the organization. In addition, we strive to continuously improve our work processes, tools and metrics to reduce workplace injuries and enhance safety.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workplace that develops, supports and motivates our people. Our Ways to Well-being Strategy provides information, education tools and resources to drive engagement and to help support our employees' physical, financial and professional well-being. We continue to modernize our workspaces and have a hybrid work policy to allow office-based employees to work remotely several days per week. </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Websites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Our primary corporate website can be found at </w:t>
      </w:r>
      <w:r>
        <w:rPr>
          <w:rFonts w:ascii="Times New Roman;serif" w:hAnsi="Times New Roman;serif"/>
          <w:b w:val="false"/>
          <w:color w:val="000000"/>
          <w:sz w:val="20"/>
          <w:u w:val="single"/>
        </w:rPr>
        <w:t>www.thecampbellscompany.com</w:t>
      </w:r>
      <w:r>
        <w:rPr>
          <w:rFonts w:ascii="Times New Roman;serif" w:hAnsi="Times New Roman;serif"/>
          <w:b w:val="false"/>
          <w:color w:val="000000"/>
          <w:sz w:val="20"/>
        </w:rPr>
        <w:t>. We make available free of charge at the Investors portion of this website (under the "Financials—SEC Filings" caption) all of our reports (including amendments) filed or furnished pursuant to Section 13(a) or 15(d) of the Securities Exchange Act of 1934, as amended, including our annual reports on Form 10-K, our quarterly reports on Form 10-Q and our current reports on Form 8-K. These reports are made available on the website as soon as reasonably practicable after their filing with, or furnishing to, the SEC.</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websites appearing in this Annual Report on Form 10-K are inactive textual references only, and the information in, or accessible through, such websites is not incorporated into this Annual Report on Form 10-K, or into any of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factors discussed elsewhere in this Report, the following risks and uncertainties could have a material adverse effect on our business, financial condition and results of operations. Although the risks are organized and described separately, many of the risks are interrelated. Additional risks and uncertainties not presently known to us or that we currently deem immaterial also may impair our business operations and financial condition. </w:t>
      </w:r>
    </w:p>
    <w:p>
      <w:pPr>
        <w:pStyle w:val="TextBody"/>
        <w:bidi w:val="0"/>
        <w:spacing w:lineRule="auto" w:line="288" w:before="100" w:after="100"/>
        <w:jc w:val="both"/>
        <w:rPr>
          <w:rFonts w:ascii="Times New Roman;serif" w:hAnsi="Times New Roman;serif"/>
          <w:b/>
          <w:color w:val="000000"/>
          <w:sz w:val="20"/>
          <w:u w:val="single"/>
        </w:rPr>
      </w:pPr>
      <w:r>
        <w:rPr>
          <w:rFonts w:ascii="Times New Roman;serif" w:hAnsi="Times New Roman;serif"/>
          <w:b/>
          <w:color w:val="000000"/>
          <w:sz w:val="20"/>
          <w:u w:val="single"/>
        </w:rPr>
        <w:t>Business and Operational Risks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Unfavorable global macroeconomic conditions, including economic recession or slow growth or periods of higher inflation in key markets may adversely affect consumer spending and demand for our products.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macroeconomic conditions can be uncertain and volatile. We have in the past been, and may continue to be, adversely affected by changes in global macroeconomic conditions, including geopolitical conflicts, global trade policies, supply chain challenges, inflation, consumer spending patterns, recession, rising interest rates, energy availability and costs, labor shortages, pandemics or other local or global health issues. Volatility in financial markets and deterioration of global macroeconomic conditions could impact our business and results of operations in a number of ways, including but not limited to, the following:</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higher commodity prices and other increased input costs could continue due to geopolitical conflicts, supply chain shortages or supply chain disruptions, which may not be sufficiently mitigated;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scope, timing and duration of tariffs on imports and exports and any retaliatory measures on U.S. goods remain uncertain and could impact our business;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failure of third parties on which we rely, including but not limited to, those that supply our packaging, ingredients, equipment and other necessary operating materials, contract manufacturers and independent contractors, to meet their obligations to us, or significant disruptions in their ability to do so;</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a shift in consumer spending during periods of economic uncertainty or inflation that could result in consumers purchasing private label or other lower price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a change in demand for or availability of our products, as a result of retailers, distributors, or carriers modifying their inventory, fulfillment or shipping practices;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a disruption to our distribution capabilities or our distribution channels, including those of our suppliers, contract manufacturers, logistics service providers or independent distributors;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future volatility or disruption in the financial markets could negatively impact our liquidity or increase costs of borrowing.</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impacts of global macroeconomic conditions could also heighten many of the other risk factors discussed in this Item 1A, or in other reports we periodically file with the SEC. Our sensitivity to global macroeconomic conditions could materially impact our business, results of operations, financial condition, and liquidity.</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Our business, financial condition and results of operations could be adversely affected by disruptions in the global economy caused by ongoing geopolitical conflicts.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economy has been negatively impacted by ongoing geopolitical conflicts. Governments in various regions have imposed, and may continue to impose, blockades, export controls and trade restrictions on certain products and financial and economic sanctions on certain industry sectors and parties. We have experienced shortages in materials and increased costs for transportation, energy and raw materials due in part to the negative impact of these ongoing geopolitical conflicts on the global economy. The scope and duration of such conflicts are uncertain, rapidly changing and hard to predict. Further escalation of these geopolitical conflicts, including increased trade barriers or restrictions on global trade, could result in, among other things, cyberattacks, supply disruptions, heightened inflationary pressures, lower consumer demand, and changes to foreign exchange rates and financial markets, any of which may adversely affect our business and supply chain. In addition, the effects of the ongoing conflicts could also heighten many of the other risk factors discussed in this Item 1A, or in other reports we periodically file with the SEC. </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Changes in global trade policies, including tariff actions taken by the U.S. and reciprocal tariffs by its trading partners, remain uncertain and could impact our financial condition or results of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2026, tariff actions taken by the U.S. and retaliatory measures taken by its trading partners resulted in increased production costs, supply chain costs and distribution costs, primarily for ingredients, packaging (such as tinplate steel used to make cans), and imported finished products. Although uncertainty regarding the extent and duration of these tariffs remains, we are working with our suppliers to mitigate potential impacts on our business. The uncertainty of the tariffs, including a potential increase in input costs and decrease in demand for our products, could heighten the other risk factors and uncertainties discussed in this Item 1A, or in other reports we periodically file with the SEC, and impact our financial condition or results of operations. Furthermore, our competitors may be less exposed to tariff impacts or in a better position to mitigate the increased costs of tariffs.</w:t>
      </w:r>
    </w:p>
    <w:p>
      <w:pPr>
        <w:pStyle w:val="TextBody"/>
        <w:bidi w:val="0"/>
        <w:spacing w:lineRule="auto" w:line="288" w:before="100" w:after="100"/>
        <w:jc w:val="both"/>
        <w:rPr/>
      </w:pPr>
      <w:r>
        <w:rPr>
          <w:rFonts w:ascii="Times New Roman;serif" w:hAnsi="Times New Roman;serif"/>
          <w:b/>
          <w:color w:val="000000"/>
          <w:sz w:val="20"/>
        </w:rPr>
        <w:t>We may not be able to increase prices or sustain price increases to fully offset inflationary pressures on costs, such as raw and</w:t>
      </w:r>
      <w:r>
        <w:rPr>
          <w:color w:val="000000"/>
        </w:rPr>
        <w:t xml:space="preserve"> </w:t>
      </w:r>
      <w:r>
        <w:rPr>
          <w:rFonts w:ascii="Times New Roman;serif" w:hAnsi="Times New Roman;serif"/>
          <w:b/>
          <w:color w:val="000000"/>
          <w:sz w:val="20"/>
        </w:rPr>
        <w:t>packaging materials, finished products, labor and distribution costs.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manufacturer of food and beverage products, we rely on plant labor, distribution resources and raw and packaging materials including tomatoes, tomato paste, grains, beef, poultry, dairy, olive oil, vegetable oil, wheat, potatoes and other vegetables, steel, aluminum, glass, paper and resin. We also purchase finished products from domestic and international suppliers. Many of these items are subject to price fluctuations from a number of factors, including but not limited to geopolitical conflicts, shifting global trade policies (including tariffs and retaliatory measures), import and export requirements, product scarcity, demand for raw materials, commodity market speculation, energy costs, currency fluctuations, supplier capacities, government-sponsored agricultural programs and other government policy, climate change, changes in crop size, cattle cycles, herd and flock disease, crop disease, crop pests, drought and excessive rain, temperature extremes and other adverse weather events, water scarcity, scarcity of suitable agricultural land, scarcity of organic ingredients, pandemics or other local or global health issues, environmental and other sustainability regulations and other factors that may be beyond our control.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try to mitigate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private label or other lower-priced offerings, or may forego some purchases altogether, during an economic downturn or times of increased inflationary pressure. To the extent that price increases or packaging size decreases are not sufficient to offset these increased costs adequately or in a timely manner, and/or if they result in significant decreases in sales volume or a shift in sales mix to private label or other lower-margin offerings, our business results and financial condition may be adversely affected. Furthermore, we may not be able to fully offset cost increases through productivity initiatives or through our commodity hedging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2026, we experienced volatility in commodity and supply chain costs, including the costs of raw materials, packaging materials, energy, logistics, finished products and labor, driven in part by impacts from tariffs and ongoing geopolitical conflicts in the Middle East. In 2027, we expect inflationary pressures and volatility in various input costs to persist, primarily driven by impacts from tariffs, logistics costs and ongoing geopolitical conflicts. We plan to reduce some of these impacts over time through cost savings initiatives, inventory management practices, supplier collaboration, alternative sourcing opportunities, continued supply chain productivity initiatives, surgical pricing actions where necessary and other mitigation efforts. If we cannot effectively mitigate these costs, our results could be adversely impacted.</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Disruption to our supply chain could adversely affect our business.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changing trade policies, geopolitical conflicts, product or raw material scarcity, disruptions in logistics, supplier capacity constraints, increased temperatures due to climate change, water stress, extreme weather events, natural disasters, fire, terrorism, pandemics or other local or global health issues, strikes, labor shortages, cybersecurity breaches, government shutdowns or other events. Commodity prices continue to be volatile.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or produced at a single location. In addition, disputes with significant suppliers, contract manufacturers, logistics service providers or independent distributors, including disputes regarding pricing, performance or production, may also adversely affect our ability to manufacture and/or sell our products, as well as our business or financial results.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 xml:space="preserve">Our results may be adversely affected by our inability to complete or realize the projected benefits of acquisitions, divestitures and other strategic transactions.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We have historically made strategic acquisitions and divestitures of brands and businesses and we may undertake additional acquisitions, divestitures or other strategic transactions in the future. Our ability to meet our objectives with respect to acquisitions, divestitures and other strategic transactions may depend, as applicable, on our ability to identify suitable acquisition targets, buyers or counterparties; negotiate favorable financial and other contractual terms; obtain all necessary regulatory approvals on the terms expected; and complete those transactions. </w:t>
      </w:r>
      <w:r>
        <w:rPr>
          <w:rFonts w:ascii="Times New Roman;serif" w:hAnsi="Times New Roman;serif"/>
          <w:b w:val="false"/>
          <w:color w:val="000000"/>
          <w:sz w:val="20"/>
          <w:shd w:fill="FFFFFF" w:val="clear"/>
        </w:rPr>
        <w:t xml:space="preserve">If we are unable to complete acquisitions, divestitures or other strategic transactions or successfully integrate and develop acquired businesses or divest existing businesses, including, as applicable, the effective management of such activities, we could fail to achieve the anticipated synergies, cost savings, or increases in revenues and </w:t>
      </w:r>
      <w:r>
        <w:rPr>
          <w:rFonts w:ascii="Times New Roman;serif" w:hAnsi="Times New Roman;serif"/>
          <w:b w:val="false"/>
          <w:color w:val="000000"/>
          <w:sz w:val="20"/>
        </w:rPr>
        <w:t>operating</w:t>
      </w:r>
      <w:r>
        <w:rPr>
          <w:color w:val="000000"/>
          <w:shd w:fill="FFFFFF" w:val="clear"/>
        </w:rPr>
        <w:t xml:space="preserve"> </w:t>
      </w:r>
      <w:r>
        <w:rPr>
          <w:rFonts w:ascii="Times New Roman;serif" w:hAnsi="Times New Roman;serif"/>
          <w:b w:val="false"/>
          <w:color w:val="000000"/>
          <w:sz w:val="20"/>
          <w:shd w:fill="FFFFFF" w:val="clear"/>
        </w:rPr>
        <w:t xml:space="preserve">results. Additional risks include the diversion of management attention from our existing business or other business concerns, potential loss of key employees, suppliers, or customers from the acquired or divested businesses, assumption of unknown risks and liabilities, greater than anticipated operating costs of the acquired business, the inability to promptly implement an effective control environment, risks inherent in entering markets or lines of business with which we have limited or no prior experience, </w:t>
      </w:r>
      <w:r>
        <w:rPr>
          <w:rFonts w:ascii="Times New Roman;serif" w:hAnsi="Times New Roman;serif"/>
          <w:b w:val="false"/>
          <w:color w:val="000000"/>
          <w:sz w:val="20"/>
        </w:rPr>
        <w:t xml:space="preserve">the inability to separate divested businesses or business units effectively and efficiently from our existing business operations, and the inability to reduce or eliminate associated overhead costs. </w:t>
      </w:r>
      <w:r>
        <w:rPr>
          <w:rFonts w:ascii="Times New Roman;serif" w:hAnsi="Times New Roman;serif"/>
          <w:b w:val="false"/>
          <w:color w:val="000000"/>
          <w:sz w:val="20"/>
          <w:shd w:fill="FFFFFF" w:val="clear"/>
        </w:rPr>
        <w:t xml:space="preserve">Any of these factors, and </w:t>
      </w:r>
      <w:r>
        <w:rPr>
          <w:rFonts w:ascii="Times New Roman;serif" w:hAnsi="Times New Roman;serif"/>
          <w:b w:val="false"/>
          <w:color w:val="000000"/>
          <w:sz w:val="20"/>
        </w:rPr>
        <w:t xml:space="preserve">our inability to complete or realize the projected benefits of future acquisitions, divestitures or other strategic transactions, </w:t>
      </w:r>
      <w:r>
        <w:rPr>
          <w:rFonts w:ascii="Times New Roman;serif" w:hAnsi="Times New Roman;serif"/>
          <w:b w:val="false"/>
          <w:color w:val="000000"/>
          <w:sz w:val="20"/>
          <w:shd w:fill="FFFFFF" w:val="clear"/>
        </w:rPr>
        <w:t>could have a material adverse effect on our business or financial results</w:t>
      </w:r>
      <w:r>
        <w:rPr>
          <w:rFonts w:ascii="Times New Roman;serif" w:hAnsi="Times New Roman;serif"/>
          <w:b w:val="false"/>
          <w:color w:val="000000"/>
          <w:sz w:val="20"/>
        </w:rPr>
        <w:t>.</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Our intellectual property rights are valuable, and any inability to protect them could reduce the value of our products and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in traditional retail and digital environments. Our failure to obtain or adequately protect our intellectual property, including in response to developing artificial intelligence (AI) technologies, or any change in law that lessens or removes the current legal protections of our intellectual property may diminish our competitiveness and adversely affect our business and financial results.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Our results may be adversely impacted if consumers do not maintain their favorable perception of our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waste management, ingredients, or our environmental, social, human capital or governance practices, our failure to maintain the quality of our products, the failure of our products to deliver consistently positive consumer experiences, consumer trends emphasizing health and wellness, concerns or perceptions regarding ingredients and processed foods, or the products becoming unavailable to consumers (including as a result of changes in funding for benefits programs or restrictions on the inclusion of products in such programs, such as the Supplemental Nutrition Assistance Program (SNAP)). The growing use of social and digital media by consumers increases the speed and extent that information and opinions can be shared. Negative posts or comments about us, our brands, products or packaging on social or digital media, including AI-generated content, could seriously damage our brands and reputation. In addition, an increase in data analytics, automation, AI-generated content across digital platforms, and AI shopping agents is changing how consumers discover and engage with our brands and products. We might fail to appropriately target our marketing efforts, anticipate consumer preferences, or invest sufficiently in maintaining our brand image. If we do not maintain the favorable perception of our brands, our results could be adversely impacted.</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may be adversely impacted by a disruption, failure or security breach of our information technology systems.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supply chain, customer service, accounting and administrative functions and the importance of such networks and systems has increased due to an increase in our employees working remotely. If we do not obtain and effectively manage the resources and materials necessary to build, sustain and protect appropriate information technology systems, our business or financial results could be adversely impacted. Furthermore, our information technology systems, and the third-party information systems on which we rely, are subject to attack or other security breaches (including the access to or acquisition of customer, consumer, employee or other confidential information), service disruptions or other system failures. If we are unable to prevent or adequately respond to and resolve these disruptions, failures or breaches, our operations may be impacted, and we may suffer other adverse consequences such as reputational damage, litigation, remediation costs, ransomware payments and/or penalties under various data protection laws and regulations.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Cyber threats are constantly evolving, are becoming more frequent and more sophisticated and are being made by groups of individuals and state actors with a wide range of expertise and motives. Additionally, continued geopolitical turmoil has heightened the risk of cyberattacks. We have previously experienced threats and breaches to our data and systems and although we have not experienced a breach that had a material impact on our operations or business, there can be no assurance that these measures will prevent or limit the impact of a future incident. 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 and emerging technologies, including AI and future advances in computing capabilities, that could result in greater operational efficiency may further expose our computer systems to the risk of cyberattacks. Our initiatives to continue to modernize our operations, increase data digitalization and improve our production facilities may increase potential exposure to cybersecurity risks and increase the complexity of our cybersecurity program. In addition, the rapid evolution and increased adoption of AI technologies may intensify our cybersecurity risks. We may incur increased costs in protecting against or remediating cyberattacks or other cyber incidents. As cyberattacks increase in frequency and magnitude around the world, we may be unable to obtain cybersecurity insurance in the amounts and on the terms we view as appropriate and favorable for our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address the risks to our information technology systems and the associated costs, we maintain an information security program that includes administrative, physical and technical controls and safeguards. These controls and safeguards include technology and security policies, cybersecurity insurance, employee awareness training and monitoring, a third-party risk management program, and routine testing of our information technology systems. We believe that these preventative and detective actions provide adequate measures of protection against security breaches, generally reduce our cybersecurity risks and enhance our ability to prevent, detect and respond to disruptive events. Our information security program includes capabilities designed to evaluate and mitigate cyber risks arising from third-party service providers. Additionally, we evaluate our major technology suppliers and outsourced service providers against accepted security certifications and standards. We believe that these capabilities provide insights and visibility to the security posture of our third-party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however, cyber threats to those organizations are beyond our control. If these service providers do not perform effectively due to breach or system failure, we may not be able to achieve the expected benefits, and our business may be disrupted.</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may not be able to attract and retain the highly skilled people we need to support our business.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the skills and continued service of key personnel, including our experienced management team. In addition, our ability to achieve our strategic and operating goals depends on our ability to identify, hire, train and retain qualified individuals, including all levels of skilled labor in our manufacturing facilities.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past few years, particularly related to certain segments of manufacturing, we have experienced an increasingly competitive labor market. A sustained labor shortage or increased turnover rates within our employee base,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have unintended negative effects, our business could be adversely affected.</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If we do not fully realize the expected cost savings and/or operating efficiencies associated with our strategic initiatives, our profitability could suffer.</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and earnings growth depend in part on our ability to achieve the appropriate cost structure and operate efficiently in the highly competitive food industry, particularly in an environment of volatile cost inputs. We continuously pursue initiatives to reduce costs and increase effectiveness. See "Management's Discussion and Analysis of Financial Condition and Results of Operations - Restructuring Charges, Cost Savings Initiatives and Other Optimization Initiatives" for additional information on these initiatives. We also regularly pursue cost productivity initiatives in procurement, manufacturing and logistics. Any failure or delay in implementing our initiatives in accordance with our plans could adversely affect our ability to meet our long-term growth and profitability expectations and could adversely affect our business. If we do not continue to effectively manage costs and achieve additional efficiencies, our competitiveness and our profitability could decrease. </w:t>
      </w:r>
    </w:p>
    <w:p>
      <w:pPr>
        <w:pStyle w:val="TextBody"/>
        <w:bidi w:val="0"/>
        <w:spacing w:lineRule="auto" w:line="288" w:before="100" w:after="100"/>
        <w:jc w:val="both"/>
        <w:rPr>
          <w:rFonts w:ascii="Times New Roman;serif" w:hAnsi="Times New Roman;serif"/>
          <w:b/>
          <w:color w:val="000000"/>
          <w:sz w:val="20"/>
          <w:u w:val="single"/>
        </w:rPr>
      </w:pPr>
      <w:r>
        <w:rPr>
          <w:rFonts w:ascii="Times New Roman;serif" w:hAnsi="Times New Roman;serif"/>
          <w:b/>
          <w:color w:val="000000"/>
          <w:sz w:val="20"/>
          <w:u w:val="single"/>
        </w:rPr>
        <w:t>Competitive and Industry Risks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face significant competition in all our product categories, which may result in lower sales and margins.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may be less exposed to tariff impacts, and have substantial financial, marketing and other resources, and some of our competitors may spend more aggressively on advertising and promotional activities than we do. Attractive pricing, product placement and visibility, securing new retailers, and maintaining or increasing shelf space for our products may also affect our ability to remain competitive. Even if we obtain our desired product visibility and shelf space, we may not achieve retailers’ sales expectations, which could cause these retailers to reduce shelf space for our products. In addition, reduced barriers to entry and easier access to funding are creating new competition. A strong competitive response from one or more of these competitors to our marketplace efforts, or a continued shift towards private label offerings, particularly during periods of economic uncertainty or significant inflation, could result in us reducing prices and/or increasing promotions, increasing marketing or other expenditures, each of which may result in lower sales and/or margins. </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must identify changing consumer preferences and develop and offer food products and packaging to meet consumer preferences.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Consumer preferences for food and beverage products are continually evolving. Our ability to compete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It may be difficult to predict which shifts in consumer preferences are short-term or long-term trends. For instance, consumer behaviors may continue to shift over time in response to certain health and wellness trends, including the use of weight-management medications. If we are unable to accurately predict which shifts in consumer preferences will be long-lasting, or are unable to introduce new and improved products to satisfy those preferences, our sales will decline. Weak economic conditions, recessions, significant inflation, government regulation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(including in the health and wellness space) and other factors, such as pandemics, could affect consumer preferences and demand.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We must also be able to respond successfully to technological advances (including AI and machine learning, which may become critical in interpreting or shaping consumer preferences in the future) and intellectual property rights of our competitors, and failure to do so could compromise our competitive position and negatively impact our product sales. Finally, if we fail to rapidly develop products in faster-growing and more profitable categories, we could experience reduced demand for our products, or fail to expand margins. </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may be adversely impacted by a changing customer landscape and the increased significance of some of our customers.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businesses are largely concentrated in the traditional retail grocery trade, which has experienced slower growth than other retail channels, such as dollar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2026, our five largest customers accounted for approximately 48% of our consolidated net sales, with the largest customer, Walmart Inc. and its affiliates, accounting for approximately 22%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pStyle w:val="TextBody"/>
        <w:bidi w:val="0"/>
        <w:spacing w:lineRule="auto" w:line="288" w:before="100" w:after="100"/>
        <w:jc w:val="left"/>
        <w:rPr>
          <w:rFonts w:ascii="Times New Roman;serif" w:hAnsi="Times New Roman;serif"/>
          <w:b/>
          <w:color w:val="000000"/>
          <w:sz w:val="20"/>
          <w:u w:val="single"/>
        </w:rPr>
      </w:pPr>
      <w:r>
        <w:rPr>
          <w:rFonts w:ascii="Times New Roman;serif" w:hAnsi="Times New Roman;serif"/>
          <w:b/>
          <w:color w:val="000000"/>
          <w:sz w:val="20"/>
          <w:u w:val="single"/>
        </w:rPr>
        <w:t>Financial and Economic Risks</w:t>
      </w:r>
    </w:p>
    <w:p>
      <w:pPr>
        <w:pStyle w:val="TextBody"/>
        <w:bidi w:val="0"/>
        <w:spacing w:lineRule="auto" w:line="288" w:before="100" w:after="100"/>
        <w:jc w:val="both"/>
        <w:rPr/>
      </w:pPr>
      <w:r>
        <w:rPr>
          <w:rFonts w:ascii="Times New Roman;serif" w:hAnsi="Times New Roman;serif"/>
          <w:b/>
          <w:color w:val="000000"/>
          <w:sz w:val="20"/>
        </w:rPr>
        <w:t>An impairment of the carrying value of goodwill or other indefinite-lived intangible assets could adversely affect our financial results and net worth.</w:t>
      </w:r>
      <w:r>
        <w:rPr>
          <w:color w:val="000000"/>
        </w:rPr>
        <w:t xml:space="preserve">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 2026, we had goodwill of $5.321 billion and other indefinite-lived intangible assets of $3.561 billion. Goodwill and indefinite-lived intangible assets are initially recorded at fair value and not amortized, but are tested for impairment at least annually in the fourth quarter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discounted cash flow analyses. If the carrying values of the reporting unit or indefinite-lived intangible assets exceed their fair value, the goodwill or indefinite-lived intangible assets are considered impaired. Factors that could result in an impairment include the impact of a change in revenue growth rates, operating margins, weighted average cost of capital, future economic and market conditions, including from the potential impact of tariffs, shifting global trade policies and geopolitical conflicts, or assumed royalty rates. See “Critical Accounting Estimates” and Note 7 to the Consolidated Financial Statements for information on impairment charges recognized in 2024, 2025 and 2026. If current expectations for growth rates for sales and profits are not met, or other market factors and macroeconomic conditions were to change, we may be required in the future to record impairment of the carrying value of goodwill or other indefinite-lived intangible assets, which could adversely affect our financial results and net worth. </w:t>
      </w:r>
    </w:p>
    <w:p>
      <w:pPr>
        <w:pStyle w:val="TextBody"/>
        <w:bidi w:val="0"/>
        <w:spacing w:lineRule="auto" w:line="288" w:before="100" w:after="100"/>
        <w:jc w:val="both"/>
        <w:rPr/>
      </w:pPr>
      <w:r>
        <w:rPr>
          <w:rFonts w:ascii="Times New Roman;serif" w:hAnsi="Times New Roman;serif"/>
          <w:b/>
          <w:color w:val="000000"/>
          <w:sz w:val="20"/>
        </w:rPr>
        <w:t>We face risks related to inflation, recession, financial market disruptions</w:t>
      </w:r>
      <w:r>
        <w:rPr>
          <w:color w:val="000000"/>
        </w:rPr>
        <w:t xml:space="preserve"> </w:t>
      </w:r>
      <w:r>
        <w:rPr>
          <w:rFonts w:ascii="Times New Roman;serif" w:hAnsi="Times New Roman;serif"/>
          <w:b/>
          <w:color w:val="000000"/>
          <w:sz w:val="20"/>
        </w:rPr>
        <w:t>and other economic conditions.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and consumer demand for our products may be impacted by weak economic conditions, recession, equity market volatility or other negative economic factors in the U.S. or other nations. For instance, in 2026, the U.S. experienced elevated inflationary pressures, driven primarily by the impacts from tariffs and ongoing geopolitical conflicts. In 2027, we may continue to experience elevated inflationary pressures and may not be able to fully mitigate the impact of inflation through continued price increases, productivity initiatives and cost savings, which could have a material adverse effect on our financial results. In addition, if the U.S. economy enters a recession in 2027, we may experience sales declines and may have to decrease prices, all of which could have a material adverse impact on our financial results.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Similarly, disruptions in financial markets may impact our ability to manage normal commercial relationships with our customers, suppliers and creditors and</w:t>
      </w:r>
      <w:r>
        <w:rPr>
          <w:color w:val="000000"/>
        </w:rPr>
        <w:t xml:space="preserve"> </w:t>
      </w:r>
      <w:r>
        <w:rPr>
          <w:rFonts w:ascii="Times New Roman;serif" w:hAnsi="Times New Roman;serif"/>
          <w:b w:val="false"/>
          <w:color w:val="000000"/>
          <w:sz w:val="20"/>
        </w:rPr>
        <w:t xml:space="preserve">might cause us to not be able to continue to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access to capital and as counterparties to our derivative contracts. In addition, changes in tax or interest rates in the U.S. or other nations, whether due to recession, economic disruptions or other reasons, may adversely impact us.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may be adversely impacted by our substantial indebtedness.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had approximately $7.137 billion of indebtedness, and this level of indebtedness may have important consequences to our business, including but not limited to:</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increasing the possibility of a downgrade in our credit rating;</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increasing our exposure to fluctuations in interest rates;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subjecting us to new financial and other covenants;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increasing our vulnerability to, and reducing our flexibility to respond to, general adverse economic and industry conditions;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limiting our ability to meet our capital priorities;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placing us at a competitive disadvantage as compared to our competitors, to the extent that they are not as highly leveraged;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restricting us from pursuing certain business opportunities, including other acquisitions.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regularly access the commercial paper markets for working capital needs and other general corporate purposes. Disruptions in the commercial paper market or other effects of volatile economic conditions on the financial markets may also reduce the amount of commercial paper that we can issue and raise our borrowing costs for both short- and long-term debt offerings. There can be no assurance that we will have access to the financial markets on terms we find acceptable. Limitations on our ability to access the financial markets, a reduction in our liquidity or an increase in our borrowing costs may adversely affect our business and financial results. See “Management's Discussion and Analysis of Financial Condition and Results of Operations - Liquidity and Capital Resources” for additional information regarding our indebtedness.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Our borrowing costs, ability to refinance debt, debt issuances and access to commercial paper markets could be adversely affected by a downgrade or potential downgrade of our credit ratings.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credit ratings are an important factor in our ability to borrow, issue unsecured debt, access the commercial paper markets, and maintain financial flexibility. A downgrade or potential downgrade of our credit ratings could increase our borrowing costs and impair our ability to issue unsecured debt or access the commercial paper markets, which could adversely affect our liquidity. If our credit ratings are lowered or placed on negative outlook or review, we could be required to rely on more expensive sources of financing.</w:t>
      </w:r>
    </w:p>
    <w:p>
      <w:pPr>
        <w:pStyle w:val="TextBody"/>
        <w:bidi w:val="0"/>
        <w:spacing w:lineRule="auto" w:line="288" w:before="100" w:after="100"/>
        <w:jc w:val="both"/>
        <w:rPr>
          <w:rFonts w:ascii="Times New Roman;serif" w:hAnsi="Times New Roman;serif"/>
          <w:b/>
          <w:color w:val="000000"/>
          <w:sz w:val="20"/>
          <w:u w:val="single"/>
        </w:rPr>
      </w:pPr>
      <w:r>
        <w:rPr>
          <w:rFonts w:ascii="Times New Roman;serif" w:hAnsi="Times New Roman;serif"/>
          <w:b/>
          <w:color w:val="000000"/>
          <w:sz w:val="20"/>
          <w:u w:val="single"/>
        </w:rPr>
        <w:t>Legal, Regulatory and Sustainability Risks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We may be adversely impacted by legal and regulatory proceedings or claims.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party to a variety of legal and regulatory proceedings and claims arising out of the normal course of business. See Note 19 to the Consolidated Financial Statements for information regarding certain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The manufacture and marketing of food products has come under increased scrutiny in recent years, and the food industry has been subject to changes in laws and regulations at the state and federal levels and an increasing number of proceedings and claims relating to alleged false or deceptive marketing under federal, state and foreign laws or regulations. In light of recent actions by the United States Department of Health and Human Services, FDA and states, we anticipate continued legislative, regulatory and policy developments with respect to food ingredients (including but not limited to whether products contain ingredients such as Food, Drug, and Cosmetic Act (FD&amp;C) colors, bioengineered ingredients, or ingredients Generally Recognized as Safe (GRAS)), labeling (including but not limited to potential front of pack labeling) and packaging at the state and federal levels, along with related changes in consumer expectations and behavior. Heightened scrutiny of "ultra-processed" foods, including policy proposals outlined in reports by the Make America Healthy Again (MAHA) Commission as well as state legislative activity, could result in new definitions, labeling requirements, marketing restrictions, or reformulation mandates that increase our compliance costs or adversely affect consumer demand for certain of our products. We are continuing to monitor changes to laws and regulations that affect the food industry and evaluate their impact on our business, financial condition and results of operations.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independent contractor distribution model, which is used in our Snacks segment,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may be adversely affected. In addition, our reputation could be damaged by allegations made in proceedings or claims (even if untrue).</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If we fail to comply with the many laws applicable to our business, we may face lawsuits or incur significant fines and penalties. In addition, changes in such laws, regulations or other policies may lead to increased costs.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manufacture and marketing of food products is extensively regulated. Various laws and regulations govern the processing, ingredients (including but not limited to FD&amp;C colors), packaging (including but not limited to potential impacts of EPR regulations and laws), waste management, storage, distribution, marketing, advertising, labeling, import/export requirements, quality and safety of our food products, privacy, data security, machine learning and AI as well as the health and safety of our employees and the protection of the environment. In the U.S., we are subject to regulation by various federal government agencies, including but not limited to the FDA, the Department of Agriculture, the Federal Trade Commission, the Department of Labor, the Department of Commerce, the Occupational Safety and Health Administration and the Environmental Protection Agency, as well as various state and local agencies. We are also regulated by similar agencies outside the U.S. See Note 19 to the Consolidated Financial Statements for additional information regarding regulatory matters.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Governmental and administrative bodies within the U.S. have made a variety of tax, trade and other regulatory reforms. Trade reforms include tariffs on certain materials used in the manufacture of our products and tariffs on certain finished products. For a discussion of certain risks and uncertainties of tariff impacts on our financial condition or results of operations, see Item 1A. Business and Operational Risks - Changes in global trade policies, including tariff actions taken by the U.S. and reciprocal tariffs by its trading partners, remain uncertain and could impact our financial condition or results of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regularly move data across national and state borders to conduct our operations and, consequently, are subject to a variety of laws and regulations in the U.S. and other jurisdictions regarding privacy, data protection and data 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legal or regulatory requirements (such as but not limited to new food safety requirements and revised regulatory requirements for the labeling of nutrition facts, serving sizes and genetically modified ingredients or new EPR regulations and laws), evolving interpretations of existing legal or regulatory requirements, or a rapidly changing landscape regarding environmental policies relating to climate change, climate reporting, regulating greenhouse gas emissions, energy policies and sustainability, may result in increased compliance cost, capital expenditures and other financial obligations that could adversely affect our business and financial results.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We may suffer losses if changes to regulations require us to change the ingredients we use or how we process, package, transport, store, distribute, advertise, or label our products. Moreover, depending on the implementation of such regulatory changes, we could have increased risk for a product recall or have existing inventory become unsellable, which could materially and adversely impact our product sales, financial condition and operating res</w:t>
      </w:r>
      <w:r>
        <w:rPr>
          <w:rFonts w:ascii="Times New Roman;serif" w:hAnsi="Times New Roman;serif"/>
          <w:b w:val="false"/>
          <w:color w:val="000000"/>
          <w:sz w:val="20"/>
          <w:shd w:fill="FFFFFF" w:val="clear"/>
        </w:rPr>
        <w:t>ults.</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If our food products become adulterated or are mislabeled, we might need to recall those items, and we may experience product liability claims and damage to our reputation.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Climate change, or legal, regulatory or market measures to address climate change, may negatively affect our business and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scientists believe that carbon dioxide and other greenhouse gases in the atmosphere are having an adverse impact on global temperatures, weather patterns, and the frequency and severity of extreme weather and natural disasters. In the event that such climate change has a negative effect on agricultural productivity, we may be subject to decreased availability or less favorable pricing for certain commodities that are necessary for our products, such as wheat, tomatoes, potatoes, beef, cocoa and olive oil. Adverse weather conditions and natural disasters can reduce crop size and crop quality, which in turn could reduce our supplies of raw materials, lower recoveries of usable raw materials, increase the prices of our raw materials, increase our cost of storing and transporting our raw materials, or disrupt production schedules. We may also be subjected to decreased availability or less favorable pricing for water as a result of such change, which could impact our manufacturing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 operations. In addition, natural disasters and extreme weather conditions may disrupt the productivity of our facilities or the operation of our supply chain.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regulatory and legislative bodies may continue to focus on environmental policies relating to climate change, climate reporting, regulating greenhouse gas emissions (including carbon pricing regulations, cap and trade systems or a carbon tax), energy policies and sustainability, while the landscape regarding such policies continues to rapidly change. Increased compliance costs and expenses due to the impacts of climate change and additional legal or regulatory requirements regarding climate change that are designed to reduce or mitigate the effects of carbon dioxide and other greenhouse gas emissions on the environment may cause disruptions in, or an increase in the costs associated with, the running of our manufacturing facilities and our business, as well as increase distribution and supply chain costs.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physical effects and transitional costs of climate change and legal, regulatory or market initiatives to address climate change could have a long-term adverse impact on our business, financial condition and results of operations. </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Our business is subject to an increasing focus on sustainability matters.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From time to time we establish and publicly announce sustainability goals and commitments, including reducing our impact on the environment, strengthening local communities, and relating to animal welfare. For example, we established science-based targets for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technology and its market availability, the availability of requisite financing, the availability of suppliers and products that can meet our sustainability and other standards, and changing business dynamics including acquisitions. </w:t>
      </w:r>
      <w:r>
        <w:rPr>
          <w:rFonts w:ascii="Times New Roman;serif" w:hAnsi="Times New Roman;serif"/>
          <w:b w:val="false"/>
          <w:color w:val="000000"/>
          <w:sz w:val="20"/>
          <w:shd w:fill="FFFFFF" w:val="clear"/>
        </w:rPr>
        <w:t>Furthermore, standards for tracking and reporting such matters continue to evolve. Our selection of voluntary disclosure frameworks and standards, and the interpretation or application of those frameworks and standards, may change from time to time or differ from those of others. Methodologies for reporting these data may be updated and previously reported data may be adjusted to reflect improvement in availability and quality of third-party data, changing assumptions, changes in the nature and scope of our operations (including from acquisitions and divestitures), and other changes in circumstances, which could result in significant revisions to our current goals, reported progress in achieving such goals, or ability to achieve such goals in the future.</w:t>
      </w:r>
      <w:r>
        <w:rPr>
          <w:color w:val="000000"/>
        </w:rPr>
        <w:t xml:space="preserve"> </w:t>
      </w:r>
      <w:r>
        <w:rPr>
          <w:rFonts w:ascii="Times New Roman;serif" w:hAnsi="Times New Roman;serif"/>
          <w:b w:val="false"/>
          <w:color w:val="000000"/>
          <w:sz w:val="20"/>
        </w:rPr>
        <w:t>If we fail to achieve, or are perceived to have failed to achieve or have been delayed in achieving, or improperly report our progress toward achieving these goals and commitments, it could negatively affect consumer or customer preference for our products or investor confidence in our stock, as well as expose us to enforcement actions and litigation.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might fail to effectively address increased attention from the media, stockholders, activists and other stakeholders on climate change and other environmental sustainability matters or animal welfare goals, including attention from stakeholders with opposing views on such matters. Such failure, or the perception that we have failed to act responsibly regarding climate change or animal welfare, whether or not valid, could result in adverse publicity and negatively affect our business and reputation.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Enterprise risk management (ERM) is an integral part of our business processes and our ERM framework considers cybersecurity risk, alongside other company risks, as part of our overall risk assessment process. We follow an industry-leading National Institute of Standards and Technology cybersecurity framework (NIST CSF) and have developed a comprehensive information security program for assessing, identifying and managing cybersecurity risks that is designed to protect our systems and data from unauthorized access, use or other security impact.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information security program, we continuously monitor and update our information technology networks and infrastructure. We have dedicated internal legal, compliance and information security teams, and leverage consultants and third-party service providers to inform our understanding of the threat landscape and to identify, prevent, detect, address and mitigate risks associated with unauthorized access, misuse, computer viruses and other events that could have a security impact. Additionally, we engage third-party professional security firms to perform periodic network and application penetration testing and cybersecurity maturity assessments. We maintain a cyber risk assessment strategy to identify and mitigate risk, including risks arising from third-party providers. We also evaluate the security of our third-party platforms against industry standards (including, for example, ISO 27001 certification and System and Organization Controls 2). Our information security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focuses on complying with applicable data privacy and protection laws, maintaining the availability of our manufacturing operations, protecting data, detecting and responding to threats, building resiliency and providing a secure foundation for growth and innovation. We invest in industry standard security technology to protect the company’s data and business processes against risk of cybersecurity incidents. Our data security management program includes identity, trust, vulnerability and threat management business processes, as well as adoption of standard data protection policies.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our data security effectiveness by benchmarking against industry-accepted methods, presenting the results to our Board and Audit Committee for evaluation, and making improvements based on such evaluation. We maintain and routinely test backup systems and disaster recovery and also have processes in place to prevent disruptions resulting from our implementation of new software and systems. We maintain a third-party cyber risk management process to review and monitor critical suppliers regularly for cybersecurity risk and prescribe remediation activities when necessary.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train our employees through annual security training (including separate trainings related to cybersecurity, AI, data privacy, records and information management), phishing simulations and regular communications about timely security topics to enhance their understanding of cybersecurity threats and their ability to identify and escalate potential cybersecurity events. We have specific executive-level information security training to inform leadership across the organization about the information security strategy and preparedness in the event of a security incident. We also engage third-party cybersecurity experts to perform periodic operational table-top exercises with management to review, prepare for, and improve, the company’s incident response procedures. Key takeaways from these exercises are reviewed with the Audit Committee. We have a cross-functional crisis management team comprised of business unit and functional leaders and a crisis management plan that includes procedures for identifying, containing and responding to cybersecurity incidents.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strategy includes the use of cybersecurity insurance that provides protection against certain potential losses arising from certain cybersecurity incidents; however, such insurance may not insure us against all claims related to security breaches, cyberattacks and other related breaches. In the last three years, the company has not experienced an information security incident that has had a material impact on its business strategy, results of operations or financial condition. However, as discussed in “Item 1A. Risk Factors,” specifically the risks under the heading, “We may be adversely impacted by a disruption, failure or security breach of our information technology systems,” cyber threats are constantly evolving and becoming more frequent and sophisticated. Accordingly, no matter how well designed or implemented the company’s information security policies and procedures are, there can be no assurance that these policies and procedures will prevent or limit the impact of a cybersecurity incident.</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oversight mechanisms intended to provide effective cybersecurity governance, risk management, and timely incident response. Our Board, in coordination with the Audit Committee, oversees the company’s ERM process, including the management of risks arising from cybersecurity threats.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annually reviews assessments of our information security program under the NIST CSF. It receives benchmarking results of our data security effectiveness and reports from our Chief Digital &amp; Technology Officer (CDTO) and Chief Information Security Officer (CISO) on our information security program and recent developments. Our Board has delegated the primary responsibility to oversee cybersecurity matters to the Audit Committee. To fulfill its oversight responsibilities, the Audit Committee reviews the measures implemented by the company to identify and mitigate cybersecurity risks and receives quarterly updates from our CDTO and CISO on the information security program, including the status of significant cybersecurity incidents, the emerging threat landscape, and the status of projects to strengthen the company’s information security posture. The Audit Committee regularly reports to the Board on cybersecurity matters. In addition, we have a crisis management plan and protocols by which certain cybersecurity incidents that meet established reporting thresholds are escalated within the company and, where appropriate, reported promptly to the Audit Committee or Board, with ongoing updates regarding any such incident until it has been addressed. Our risk oversight processes and disclosure controls and procedures are designed to escalate key risks for the Board to analyze for disclosure purposes.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CDTO, a member of our corporate leadership team, oversees the team responsible for leading the enterprise-wide information technology strategy, policy, standards, architecture, and processes. Our CISO, who reports to the CDTO, oversees the dedicated information security team, which works in partnership with the company’s ERM team and corporate audit department as well as consultants as part of an overall internal controls process to monitor cybersecurity threats and prevent, detect, mitigate and remediate cybersecurity incidents. The CDTO has over 30 years of information technology experience, including serving in strategic planning, oversight and global operation of information systems and technology functions for companies in the consumer packaged goods industry. The CISO has over 20 years of information technology and cybersecurity experience, including strategy, execution, architecture, and operations of enterprise-wide technology programs, including cybersecurity and global information technology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pPr>
      <w:r>
        <w:rPr>
          <w:rFonts w:ascii="Times New Roman;serif" w:hAnsi="Times New Roman;serif"/>
          <w:b/>
          <w:color w:val="000000"/>
          <w:sz w:val="20"/>
        </w:rPr>
        <w:t xml:space="preserve">Item 2. </w:t>
      </w:r>
      <w:r>
        <w:rPr>
          <w:rFonts w:ascii="Times New Roman;serif" w:hAnsi="Times New Roman;serif"/>
          <w:b/>
          <w:i/>
          <w:color w:val="000000"/>
          <w:sz w:val="20"/>
        </w:rPr>
        <w:t>Properties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company-owned and located in Camden, New Jersey. The following table sets forth our principal manufacturing facilities and the reportable segment that primarily uses each of the facilities: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Inside the U.S.</w:t>
      </w:r>
    </w:p>
    <w:tbl>
      <w:tblPr>
        <w:tblW w:w="5364" w:type="dxa"/>
        <w:jc w:val="left"/>
        <w:tblInd w:w="0" w:type="dxa"/>
        <w:tblLayout w:type="fixed"/>
        <w:tblCellMar>
          <w:top w:w="28" w:type="dxa"/>
          <w:left w:w="28" w:type="dxa"/>
          <w:bottom w:w="28" w:type="dxa"/>
          <w:right w:w="28" w:type="dxa"/>
        </w:tblCellMar>
      </w:tblPr>
      <w:tblGrid>
        <w:gridCol w:w="591"/>
        <w:gridCol w:w="518"/>
        <w:gridCol w:w="526"/>
        <w:gridCol w:w="109"/>
        <w:gridCol w:w="109"/>
        <w:gridCol w:w="109"/>
        <w:gridCol w:w="508"/>
        <w:gridCol w:w="508"/>
        <w:gridCol w:w="514"/>
        <w:gridCol w:w="109"/>
        <w:gridCol w:w="109"/>
        <w:gridCol w:w="109"/>
        <w:gridCol w:w="450"/>
        <w:gridCol w:w="450"/>
        <w:gridCol w:w="645"/>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Utah</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Goodyear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Ashland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(S)</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Napoleon (MB)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Wisconsin</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Dixon (MB)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Willard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Beloit (S)</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Stockton (MB)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Oregon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Franklin (S)</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Salem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Milwaukee (MB)</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Bloomfield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Denver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Lakeland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Downingtown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Hanover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Downers Grove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Austin (MB)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Charlotte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Paris (MB)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Maxton (MB)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______________________________</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MB - Meals &amp; Beverages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 Snacks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foregoing manufacturing facilities is company-owned, except the Austin, Texas facility, which is leased. We also maintain principal business unit offices in Doral, Florida; Hanover, Pennsylvania; and Mississauga, Canada.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 xml:space="preserve">3. </w:t>
      </w:r>
      <w:r>
        <w:rPr>
          <w:rFonts w:ascii="Times New Roman;serif" w:hAnsi="Times New Roman;serif"/>
          <w:b/>
          <w:i/>
          <w:color w:val="000000"/>
          <w:sz w:val="20"/>
        </w:rPr>
        <w:t>Legal Proceedings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regarding reportable legal proceedings is contained in Note 19 to the Consolidated Financial Statements and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Information about our Executive Officers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section below provides information regarding our executive officers as of September 16, 2026:</w:t>
      </w:r>
    </w:p>
    <w:tbl>
      <w:tblPr>
        <w:tblW w:w="10205" w:type="dxa"/>
        <w:jc w:val="left"/>
        <w:tblInd w:w="0" w:type="dxa"/>
        <w:tblLayout w:type="fixed"/>
        <w:tblCellMar>
          <w:top w:w="28" w:type="dxa"/>
          <w:left w:w="28" w:type="dxa"/>
          <w:bottom w:w="28" w:type="dxa"/>
          <w:right w:w="28" w:type="dxa"/>
        </w:tblCellMar>
      </w:tblPr>
      <w:tblGrid>
        <w:gridCol w:w="3300"/>
        <w:gridCol w:w="2716"/>
        <w:gridCol w:w="2731"/>
        <w:gridCol w:w="145"/>
        <w:gridCol w:w="145"/>
        <w:gridCol w:w="146"/>
        <w:gridCol w:w="299"/>
        <w:gridCol w:w="299"/>
        <w:gridCol w:w="424"/>
      </w:tblGrid>
      <w:tr>
        <w:trPr/>
        <w:tc>
          <w:tcPr>
            <w:tcW w:w="3300"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8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Present Title &amp; Business Experience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Age</w:t>
            </w:r>
          </w:p>
        </w:tc>
        <w:tc>
          <w:tcPr>
            <w:tcW w:w="10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 First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Appointed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w:t>
            </w:r>
          </w:p>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Officer</w:t>
            </w:r>
          </w:p>
        </w:tc>
      </w:tr>
      <w:tr>
        <w:trPr/>
        <w:tc>
          <w:tcPr>
            <w:tcW w:w="87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Mohit Anand, Executive Vice President and President, Snacks. Senior Vice President, Global Accelerator, Mars, Incorporated (2026). Vice President, Frozen Foods, Kellanova North America (2024-2025). Director, Snacks, Kellanova Asia Middle East Africa (2021-2024). </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87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Mick J. Beekhuizen, President and Chief Executive Officer. We have employed Mr. Beekhuizen in an executive or managerial capacity for at least five years.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r>
      <w:tr>
        <w:trPr/>
        <w:tc>
          <w:tcPr>
            <w:tcW w:w="87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Charles A. Brawley, III, Executive Vice President, General Counsel and Corporate Secretary. We have employed Mr. Brawley in an executive or managerial capacity for at least five years.</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874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Todd E. Cunfer, Executive Vice President and Chief Financial Officer. Chief Financial Officer, Freshpet, Inc. (2022-2025). Chief Financial Officer, The Simply Good Foods Company (2017-2022).</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874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Risa Cretella, Executive Vice President and President, Meals &amp; Beverages. Executive Vice President, General Manager of Rao’s, Sovos Brands, Inc. (2018-2024).</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Cassandra Green, Executive Vice President, Chief Supply Chain Officer. We have employed Ms. Green in an executive or managerial capacity for at least five years. </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8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Diane Johnson May, Executive Vice President and Chief People and Culture Officer. Senior Vice President, People and Culture, Manpower Group (2020-2021). Executive Vice President, Chief Human Resources Officer, Brookdale Senior Living (2019-2020).</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r>
      <w:tr>
        <w:trPr/>
        <w:tc>
          <w:tcPr>
            <w:tcW w:w="8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Janda K. Lukin, Executive Vice President and Chief Growth Officer. We have employed Ms. Lukin in an executive or managerial capacity for at least five years.</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Melissa Nippert, Senior Vice President and Chief Transformation Officer. Vice President, Business Transformation, Oldcastle Infrastructure, Inc. (2019-2022).</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erif" w:hAnsi="Times New Roman;serif"/>
          <w:b/>
          <w:color w:val="000000"/>
          <w:sz w:val="20"/>
        </w:rPr>
        <w:t>Item 5</w:t>
      </w:r>
      <w:r>
        <w:rPr>
          <w:rFonts w:ascii="Times New Roman;serif" w:hAnsi="Times New Roman;serif"/>
          <w:b/>
          <w:i/>
          <w:color w:val="000000"/>
          <w:sz w:val="20"/>
        </w:rPr>
        <w:t xml:space="preserve">. Market for Registrant’s Capital Stock, Related Shareholder Matters and Issuer Purchases of Equity Securities </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 xml:space="preserve">Market for Registrant’s Capital Stock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stock is traded on The Nasdaq Stock Market LLC under the symbol "CPB." On September 16, 2026, there were 13,376 holders of record of our capital stock. </w:t>
      </w:r>
    </w:p>
    <w:p>
      <w:pPr>
        <w:pStyle w:val="TextBody"/>
        <w:bidi w:val="0"/>
        <w:spacing w:lineRule="auto" w:line="288" w:before="100" w:after="100"/>
        <w:jc w:val="both"/>
        <w:rPr/>
      </w:pPr>
      <w:r>
        <w:rPr>
          <w:rFonts w:ascii="Times New Roman;serif" w:hAnsi="Times New Roman;serif"/>
          <w:b/>
          <w:color w:val="000000"/>
          <w:sz w:val="20"/>
        </w:rPr>
        <w:t>Return to Shareholders</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 xml:space="preserve">Performance Graph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Return to Shareholders Performance Graph section shall not be deemed to be "soliciting material" or "filed" or incorporated by reference in future filings with the Securities and Exchange Commission (SEC), or subject to the liabilities of Section 18 of the Securities Exchange Act of 1934, as amended (the Exchange Act), except to the extent we specifically incorporate it by reference into a document filed under the Securities Exchange Act of 1933, as amended (the Securities Act), or the Exchange Act.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30, 2021, in each of our stock, the S&amp;P 500 and the S&amp;P Packaged Foods Group, and that all dividends were reinvested. The total cumulative dollar returns shown on the graph represent the value that such investments would have had on August 2, 2026. </w:t>
      </w:r>
    </w:p>
    <w:p>
      <w:pPr>
        <w:pStyle w:val="TextBody"/>
        <w:bidi w:val="0"/>
        <w:spacing w:before="100" w:after="100"/>
        <w:ind w:left="0" w:right="0" w:firstLine="360"/>
        <w:jc w:val="both"/>
        <w:rPr/>
      </w:pPr>
      <w:r>
        <w:rPr/>
      </w:r>
    </w:p>
    <w:p>
      <w:pPr>
        <w:pStyle w:val="TextBody"/>
        <w:bidi w:val="0"/>
        <w:spacing w:before="100" w:after="100"/>
        <w:ind w:left="0" w:right="0" w:firstLine="360"/>
        <w:jc w:val="center"/>
        <w:rPr/>
      </w:pPr>
      <w:r>
        <w:rPr/>
        <w:drawing>
          <wp:inline distT="0" distB="0" distL="0" distR="0">
            <wp:extent cx="5838825" cy="38100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5838825" cy="3810000"/>
                    </a:xfrm>
                    <a:prstGeom prst="rect">
                      <a:avLst/>
                    </a:prstGeom>
                  </pic:spPr>
                </pic:pic>
              </a:graphicData>
            </a:graphic>
          </wp:inline>
        </w:drawing>
      </w:r>
      <w:bookmarkStart w:id="1" w:name="i-2"/>
      <w:bookmarkEnd w:id="1"/>
    </w:p>
    <w:p>
      <w:pPr>
        <w:pStyle w:val="TextBody"/>
        <w:bidi w:val="0"/>
        <w:spacing w:lineRule="auto" w:line="288" w:before="0" w:after="0"/>
        <w:ind w:left="0" w:right="0" w:hanging="360"/>
        <w:jc w:val="both"/>
        <w:rPr/>
      </w:pP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Stock appreciation plus dividend reinvestment. </w:t>
      </w:r>
    </w:p>
    <w:tbl>
      <w:tblPr>
        <w:tblW w:w="7203"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49"/>
        <w:gridCol w:w="149"/>
        <w:gridCol w:w="213"/>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Campbell's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183</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Packaged Foods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left"/>
        <w:rPr/>
      </w:pPr>
      <w:r>
        <w:rPr>
          <w:rFonts w:ascii="Times New Roman;serif" w:hAnsi="Times New Roman;serif"/>
          <w:b/>
          <w:color w:val="000000"/>
          <w:sz w:val="20"/>
        </w:rPr>
        <w:t>Issuer Purchases of Equity Securities</w:t>
      </w:r>
      <w:r>
        <w:rPr>
          <w:color w:val="000000"/>
        </w:rPr>
        <w:t xml:space="preserve"> </w:t>
      </w:r>
    </w:p>
    <w:tbl>
      <w:tblPr>
        <w:tblW w:w="7732" w:type="dxa"/>
        <w:jc w:val="left"/>
        <w:tblInd w:w="0" w:type="dxa"/>
        <w:tblLayout w:type="fixed"/>
        <w:tblCellMar>
          <w:top w:w="28" w:type="dxa"/>
          <w:left w:w="28" w:type="dxa"/>
          <w:bottom w:w="28" w:type="dxa"/>
          <w:right w:w="28" w:type="dxa"/>
        </w:tblCellMar>
      </w:tblPr>
      <w:tblGrid>
        <w:gridCol w:w="525"/>
        <w:gridCol w:w="462"/>
        <w:gridCol w:w="467"/>
        <w:gridCol w:w="375"/>
        <w:gridCol w:w="375"/>
        <w:gridCol w:w="376"/>
        <w:gridCol w:w="109"/>
        <w:gridCol w:w="109"/>
        <w:gridCol w:w="109"/>
        <w:gridCol w:w="291"/>
        <w:gridCol w:w="561"/>
        <w:gridCol w:w="152"/>
        <w:gridCol w:w="109"/>
        <w:gridCol w:w="109"/>
        <w:gridCol w:w="109"/>
        <w:gridCol w:w="520"/>
        <w:gridCol w:w="520"/>
        <w:gridCol w:w="521"/>
        <w:gridCol w:w="109"/>
        <w:gridCol w:w="109"/>
        <w:gridCol w:w="109"/>
        <w:gridCol w:w="407"/>
        <w:gridCol w:w="900"/>
        <w:gridCol w:w="29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pPr>
            <w:r>
              <w:rPr>
                <w:rFonts w:ascii="Times New Roman;serif" w:hAnsi="Times New Roman;serif"/>
                <w:b/>
                <w:color w:val="000000"/>
                <w:sz w:val="16"/>
              </w:rPr>
              <w:t>Purchased</w:t>
            </w:r>
            <w:r>
              <w:rPr>
                <w:rFonts w:ascii="Times New Roman;serif" w:hAnsi="Times New Roman;serif"/>
                <w:b/>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Paid</w:t>
            </w:r>
          </w:p>
          <w:p>
            <w:pPr>
              <w:pStyle w:val="TableContents"/>
              <w:bidi w:val="0"/>
              <w:spacing w:lineRule="auto" w:line="240" w:before="0" w:after="0"/>
              <w:jc w:val="center"/>
              <w:rPr/>
            </w:pPr>
            <w:r>
              <w:rPr>
                <w:rFonts w:ascii="Times New Roman;serif" w:hAnsi="Times New Roman;serif"/>
                <w:b/>
                <w:color w:val="000000"/>
                <w:sz w:val="16"/>
              </w:rPr>
              <w:t>Per Share</w:t>
            </w:r>
            <w:r>
              <w:rPr>
                <w:rFonts w:ascii="Times New Roman;serif" w:hAnsi="Times New Roman;serif"/>
                <w:b/>
                <w:color w:val="000000"/>
                <w:sz w:val="10"/>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 Plans or</w:t>
            </w:r>
          </w:p>
          <w:p>
            <w:pPr>
              <w:pStyle w:val="TableContents"/>
              <w:bidi w:val="0"/>
              <w:spacing w:lineRule="auto" w:line="240" w:before="0" w:after="0"/>
              <w:jc w:val="center"/>
              <w:rPr/>
            </w:pPr>
            <w:r>
              <w:rPr>
                <w:rFonts w:ascii="Times New Roman;serif" w:hAnsi="Times New Roman;serif"/>
                <w:b/>
                <w:color w:val="000000"/>
                <w:sz w:val="16"/>
              </w:rPr>
              <w:t>Programs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that may yet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 Plans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Programs</w:t>
            </w:r>
          </w:p>
          <w:p>
            <w:pPr>
              <w:pStyle w:val="TableContents"/>
              <w:bidi w:val="0"/>
              <w:spacing w:lineRule="auto" w:line="240" w:before="0" w:after="0"/>
              <w:jc w:val="center"/>
              <w:rPr/>
            </w:pPr>
            <w:r>
              <w:rPr>
                <w:rFonts w:ascii="Times New Roman;serif" w:hAnsi="Times New Roman;serif"/>
                <w:b/>
                <w:color w:val="000000"/>
                <w:sz w:val="16"/>
              </w:rPr>
              <w:t>($ in Millions)</w:t>
            </w:r>
            <w:r>
              <w:rPr>
                <w:rFonts w:ascii="Times New Roman;serif" w:hAnsi="Times New Roman;serif"/>
                <w:b/>
                <w:color w:val="000000"/>
                <w:sz w:val="10"/>
              </w:rPr>
              <w:t>(3)</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5/4/26 - 5/29/26</w:t>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6/1/26 - 6/30/26</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7/1/26 - 7/31/26</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____________________________________</w:t>
      </w:r>
      <w:r>
        <w:rPr>
          <w:color w:val="000000"/>
        </w:rPr>
        <w:t> </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Shares purchased are as of the trade date.</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t>
      </w:r>
      <w:r>
        <w:rPr>
          <w:rFonts w:ascii="Times New Roman;serif" w:hAnsi="Times New Roman;serif"/>
          <w:b w:val="false"/>
          <w:color w:val="000000"/>
          <w:sz w:val="20"/>
          <w:shd w:fill="FFFFFF" w:val="clear"/>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pPr>
      <w:r>
        <w:rPr>
          <w:rFonts w:ascii="Times New Roman;serif" w:hAnsi="Times New Roman;serif"/>
          <w:b/>
          <w:color w:val="000000"/>
          <w:sz w:val="20"/>
        </w:rPr>
        <w:t xml:space="preserve">Item 7.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stated, the terms "we," "us," "our" and the "company" refer to The Campbell's Company and its consolidated subsidiaries.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manufacturer and marketer of high-quality, branded food and beverage products. We operate in a highly competitive industry and experience competition in all of our categories.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2026, we continued to advance our key strategic initiatives in a dynamic operating environment marked by shifting global trade policies, commodity cost fluctuations, increased regulatory activity, consumer behavior shifts and other global macroeconomic challenges. During 2026, we experienced increased volatility in commodity and supply chain costs, which were partially offset by improvements in our supply chain productivity and benefits from our cost savings initiatives. In 2027, we expect inflationary pressures and volatility in various input costs to persist, primarily driven by impacts from tariffs, logistics costs and ongoing geopolitical conflicts. We plan to continue to reduce some of these impacts over time through cost savings initiatives, inventory management practices, supplier collaboration, alternative sourcing opportunities, continued supply chain productivity initiatives, surgical pricing actions where necessary and other mitigation efforts. We will continue to evaluate the dynamic macroeconomic environment and take actions to mitigate the impact on our business, financial condition and results of operations.</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Strategy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strategy is focused on strengthening our position in U.S. everyday cooking and snacking, rapidly turning consumer insights into relevant food and brands, and advancing enterprise-wide transformation initiatives that support our long-term growth. We plan to direct our efforts on priority areas within everyday cooking and everyday snacking by identifying clear brand roles and growth channels, while continuing to execute across our broader brand portfolio and retail landscape. We believe this strategy is designed to strengthen our connection with consumers, improve execution across the enterprise and position the company to deliver sustainable profitable growth and long-term value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plan to leverage consumer insights, elevate food and packaging innovation, improve product availability, advance revenue growth management capabilities and enhance the consumer experience. We also intend to support our growth through transformation pillars focused on performance culture, commercial capabilities, digital advancement and fuel for growth, which are designed to improve decision-making, build key capabilities, deploy technology to enable our teams and drive cost savings and efficiencies across the enterprise.</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Business Trends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industry continues to navigate a challenging operating environment driven by evolving consumer purchasing and spending patterns and shifting retail dynamics with non-traditional commercial channels increasing in importance against a backdrop of commodity cost volatility, supply chain pressures, shifting global trade policies and tariffs, competitive pressures and other economic uncertainties.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strategy is designed, in part, to capture growing consumer preferences for value and convenience. We expect consumers to continue to seek at-home cooking solutions and stretchable meals. We also believe that consumers are making more intentional decisions in snacking, in terms of health and wellness, flavor exploration and seeking premium products.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retail dynamics to continue to evolve, as consumers turn to non-traditional grocery channels, including club stores, instant delivery and e-commerce channels to purchase our products. Retailers continue to use their buying power and negotiating strength to seek increased promotional programs funded by their suppliers and more favorable terms, including supplier-funded customized products. Any consolidations among retailers would continue to create large and sophisticated customers that may further this trend. Retailers also continue to grow and promote private label brands that compete with branded products, especially on price.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Shifting global trade policies and tariffs have resulted in increased production costs, supply chain costs and distribution costs, primarily for ingredients, packaging (such as tinplate steel used to make cans), and imported finished products. Although uncertainty regarding the extent and duration of these tariffs remains, we are continuing to monitor the rapidly evolving operating landscape and are working with our suppliers to mitigate potential impacts on our business.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light of recent actions by the United States Department of Health and Human Services, Food and Drug Administration (FDA) and states, we anticipate continued legislative, regulatory and policy developments with respect to food ingredients, labeling and packaging at the state and federal levels, along with related changes in consumer expectations and behavior. Heightened scrutiny of “ultra-processed” foods, including policy proposals outlined in reports by the Make America Healthy Again (MAHA) Commission as well as state legislative activity, could result in new definitions, labeling requirements, marketing restrictions, or reformulation mandates that increase our compliance costs or adversely affect consumer demand for certain of our products. While the effects of these developments remain uncertain, we are continuing to monitor changes to laws and regulations that affect the food industry and evaluate their impact on our business, financial condition and results of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2027, we expect inflationary pressures and volatility in various input costs to persist, primarily driven by impacts from tariffs, logistics costs and ongoing geopolitical conflicts, which could negatively impact our business, financial condition and results of operations. We will continue to evaluate the dynamic macroeconomic environment and take actions to mitigate such impacts.</w:t>
      </w:r>
    </w:p>
    <w:p>
      <w:pPr>
        <w:pStyle w:val="TextBody"/>
        <w:bidi w:val="0"/>
        <w:spacing w:lineRule="auto" w:line="288" w:before="100" w:after="10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Business Acquisition &amp; Divestitures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4, 2026, we acquired 49% of the issued and outstanding equity interests of La Regina di San Marzano di Antonio Romano S.p.A. (La Regina SPA) and La Regina Atlantica, LLC (La Regina Atlantica, and together with La Regina SPA, La Regina) and paid $146 million in cash, representing the first of two tranches of the aggregate $286 million consideration for the transaction. The second tranche payment of $140 million will be payable at our discretion in either cash or unregistered shares of our capital stock (not to exceed 19.9% of our outstanding capital stock and voting power prior to issuance) on May 4, 2027. For additional information on this transaction, see our Form 8-K filed with the U.S. Securities and Exchange Commission (SEC) on December 9, 2025, and Note 3 to the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12, 2024, we completed the acquisition of Sovos Brands, Inc. (Sovos Brands) for total purchase consideration of $2.899 billion. For additional information on the Sovos Brands acquisition, see Note 3 to the Consolidated Financial Statements. All references to the acquisition below refer to the Sovos Brands acquisition.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24, 2025, we completed the sale of our noosa yoghurt business. On August 26, 2024, we completed the sale of our Pop Secret popcorn business. For additional information on the divestitures, see Note 4 to the Consolidated Financial Statements.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 xml:space="preserve">Summary of Results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Summary of Results provides significant highlights from the discussion and analysis that follows.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52 weeks in 2026 and 2024 and 53 weeks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Net sales decreased 5% in 2026 to $9.744 billion primarily due to unfavorable volume/mix, a 2-point impact from the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week in 2025 and the impact of the divestitures, partially offset by favorable net price realization.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Gross profit, as a percent of sales, decreased to 28.1% in 2026 from 30.4% a year ago. The decrease was primarily due to the impact of cost inflation and other supply chain costs and the gross impact of tariffs, partially offset by the benefits from supply chain productivity improvements.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Net earnings per share attributable to The Campbell's Company common shareholders - Diluted were $1.31 in 2026, compared to $2.01 a year ago. The current year included expenses of $.86 per share and the prior year included expenses of $.97 per share from items impacting comparability as discussed below.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Net Earnings attributable to The Campbell's Company common shareholders - Diluted - 2026 Compared with 2025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items impacted the comparability of net earnings and net earnings per share attributable to The Campbell's Company common shareholders - Diluted: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We implemented several cost savings initiatives in recent years. In 2026, we recorded Restructuring charges of $67 million and implementation costs and other related costs of $39 million in Cost of products sold, $38 million in Other expenses / (income), $29 million in Administrative expenses, $4 million in Marketing and selling expenses and $4 million in Research and development expenses related to these initiatives. In 2025, we recorded Restructuring charges of $24 million and implementation costs and other related costs of $41 million in Administrative expenses, $32 million in Cost of products sold, $4 million in Marketing and selling expenses and $3 million in Research and development expenses related to these initiatives.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2024, we began implementation of an optimization initiative to improve the effectiveness of our Snacks direct-store-delivery route-to-market network. In 2026, we recognized $21 million in Marketing and selling expenses related to this initiative. In 2025, we recognized $20 million in Marketing and selling expenses and $1 million in Administrative expenses related to this initiative.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2026, the total aggregate impact related to the cost savings and optimization initiatives was $202 million ($154 million after tax, or $.51 per share). In 2025, the total aggregate impact related to the cost savings and optimization initiatives was $125 million ($96 million after tax, or $.32 per share). See Note 9 to the Consolidated Financial Statements and "Restructuring Charges, Cost Savings Initiatives and Other Optimization Initiatives" for additional information;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2026, we recognized gains in Cost of products sold of $6 million ($5 million after tax, or $.02 per share) associated with unrealized mark-to-market adjustments on outstanding undesignated commodity hedges. In 2025, we recognized gains in Cost of products sold of $11 million ($8 million after tax, or $.03 per share) associated with unrealized mark-to-market adjustments on outstanding undesignated commodity hedges;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2026, we recognized actuarial and curtailment gains on our pension and postretirement plans in Other expenses / (income) of $23 million ($18 million after tax, or $.06 per share). In 2025, we recognized actuarial losses in Other expenses / (income) of $24 million ($18 million after tax, or $.06 per share);</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2026, we recorded litigation expenses in Administrative expenses of $14 million ($11 million after tax, or $.04 per share) related to the Plum baby food and snacks business (Plum), which was divested on May 3, 2021, and certain other litigation matters. In 2025, we recorded litigation expenses in Administrative expenses of $5 million ($5 million after tax, or $.02 per share) related to Plum and certain other litigation matters;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2026 and 2025, we recorded insurance recoveries in Administrative expenses of $1 million ($1 million after tax) related to a cybersecurity incident that was identified in the fourth quarter of 2023;</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the fourth quarter of 2026, we recognized impairment charges of $60 million on the</w:t>
      </w:r>
      <w:r>
        <w:rPr>
          <w:color w:val="000000"/>
        </w:rPr>
        <w:t xml:space="preserve"> </w:t>
      </w:r>
      <w:r>
        <w:rPr>
          <w:rFonts w:ascii="Times New Roman;serif" w:hAnsi="Times New Roman;serif"/>
          <w:b w:val="false"/>
          <w:i/>
          <w:color w:val="000000"/>
          <w:sz w:val="20"/>
        </w:rPr>
        <w:t xml:space="preserve">Kettle Brand </w:t>
      </w:r>
      <w:r>
        <w:rPr>
          <w:rFonts w:ascii="Times New Roman;serif" w:hAnsi="Times New Roman;serif"/>
          <w:b w:val="false"/>
          <w:color w:val="000000"/>
          <w:sz w:val="20"/>
        </w:rPr>
        <w:t xml:space="preserve">trademark and $57 million on the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 xml:space="preserve">trademark within the Snacks segment for a total aggregate impact of $117 million ($88 million after tax, or $.29 per share). </w:t>
      </w:r>
    </w:p>
    <w:p>
      <w:pPr>
        <w:pStyle w:val="TextBody"/>
        <w:bidi w:val="0"/>
        <w:spacing w:lineRule="auto" w:line="288" w:before="100" w:after="100"/>
        <w:jc w:val="both"/>
        <w:rPr/>
      </w:pPr>
      <w:r>
        <w:rPr>
          <w:rFonts w:ascii="Times New Roman;serif" w:hAnsi="Times New Roman;serif"/>
          <w:b w:val="false"/>
          <w:color w:val="000000"/>
          <w:sz w:val="20"/>
        </w:rPr>
        <w:t xml:space="preserve">In the third quarter of 2025, we performed an interim impairment assessment on the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 xml:space="preserve">trademark within the Snacks segment and recognized an impairment charge of $150 million on the trademark. </w:t>
      </w:r>
    </w:p>
    <w:p>
      <w:pPr>
        <w:pStyle w:val="TextBody"/>
        <w:bidi w:val="0"/>
        <w:spacing w:lineRule="auto" w:line="288" w:before="100" w:after="100"/>
        <w:jc w:val="both"/>
        <w:rPr/>
      </w:pPr>
      <w:r>
        <w:rPr>
          <w:rFonts w:ascii="Times New Roman;serif" w:hAnsi="Times New Roman;serif"/>
          <w:b w:val="false"/>
          <w:color w:val="000000"/>
          <w:sz w:val="20"/>
        </w:rPr>
        <w:t xml:space="preserve">In the second quarter of 2025, we performed an interim impairment assessment on certain salty snacks and cookie trademarks within our Snacks segment, including </w:t>
      </w:r>
      <w:r>
        <w:rPr>
          <w:rFonts w:ascii="Times New Roman;serif" w:hAnsi="Times New Roman;serif"/>
          <w:b w:val="false"/>
          <w:i/>
          <w:color w:val="000000"/>
          <w:sz w:val="20"/>
        </w:rPr>
        <w:t>Tom's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Jays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Kruncher's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O-Ke-Doke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Stella D'oro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Archway</w:t>
      </w:r>
      <w:r>
        <w:rPr>
          <w:rFonts w:ascii="Times New Roman;serif" w:hAnsi="Times New Roman;serif"/>
          <w:b w:val="false"/>
          <w:color w:val="000000"/>
          <w:sz w:val="20"/>
        </w:rPr>
        <w:t xml:space="preserve">, collectively referred to as our "Allied brands," and recognized an impairment charge of $15 million on the trademarks. </w:t>
      </w:r>
    </w:p>
    <w:p>
      <w:pPr>
        <w:pStyle w:val="TextBody"/>
        <w:bidi w:val="0"/>
        <w:spacing w:lineRule="auto" w:line="288" w:before="100" w:after="100"/>
        <w:jc w:val="both"/>
        <w:rPr/>
      </w:pPr>
      <w:r>
        <w:rPr>
          <w:rFonts w:ascii="Times New Roman;serif" w:hAnsi="Times New Roman;serif"/>
          <w:b w:val="false"/>
          <w:color w:val="000000"/>
          <w:sz w:val="20"/>
        </w:rPr>
        <w:t xml:space="preserve">In the second quarter of 2025, we performed an interim impairment assessment on the </w:t>
      </w:r>
      <w:r>
        <w:rPr>
          <w:rFonts w:ascii="Times New Roman;serif" w:hAnsi="Times New Roman;serif"/>
          <w:b w:val="false"/>
          <w:i/>
          <w:color w:val="000000"/>
          <w:sz w:val="20"/>
        </w:rPr>
        <w:t>Late July</w:t>
      </w:r>
      <w:r>
        <w:rPr>
          <w:color w:val="000000"/>
        </w:rPr>
        <w:t xml:space="preserve"> </w:t>
      </w:r>
      <w:r>
        <w:rPr>
          <w:rFonts w:ascii="Times New Roman;serif" w:hAnsi="Times New Roman;serif"/>
          <w:b w:val="false"/>
          <w:color w:val="000000"/>
          <w:sz w:val="20"/>
        </w:rPr>
        <w:t>trademark within our Snacks segment and recognized an impairment charge of $11 million on the trademark.</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2025, the total aggregate impact of the impairment charges was $176 million ($131 million after tax, or $.44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charges were included in Other expenses / (income). See "Critical Accounting Estimates" for additional information;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the second quarter of 2026, we entered into purchase agreements to acquire 49% of the issued and outstanding equity interests of La Regina. The acquisition was completed on May 4, 2026. The aggregate consideration for the transaction is $286 million to be paid in two tranches: (i) $146 million was paid in cash at the closing, and (ii) $140 million will be payable at our discretion in either cash or shares of our capital stock on May 4, 2027. In 2026, we incurred $26 million of costs associated with the acquisition, of which $23 million was recorded in Other expenses / (income) and $3 million in Cost of products sold associated with the acquisition date fair value adjustment for inventory. The aggregate impact was $19 million after tax and the amount attributable to noncontrolling interests, or $.06 per share. The amount attributable to noncontrolling interests was $1 million after tax;</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2026, we recorded a liability at fair value on the La Regina acquisition for the deferred consideration of $140 million that will be paid on May 4, 2027. In 2026, we recognized changes in the fair value of the deferred consideration in Interest expense of $2 million ($1 million after tax) and had unrecognized accretion of $4 million after tax, or $.01 per share. See Notes 3 and 10 for additional information;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2026, we recognized accretion of redeemable noncontrolling interests of $5 million, or $.02 per share. See Notes 5 and 10 for additional information;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the third quarter of 2025, we completed the sale of our noosa yoghurt business. In the second quarter of 2025, we recorded $15 million of tax expense related to the sale. In 2025, we recorded an after-tax loss of $15 million, or $.05 per share, on the sale of the business. In the first quarter of 2025, we recorded a loss in Other expenses / (income) of $25 million ($19 million after tax, or $.06 per share) on the sale of our Pop Secret popcorn business. In 2025, the total aggregate impact of charges associated with divestitures was $25 million ($34 million after tax, or $.11 per share);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2025, we recorded accelerated amortization expense in Other expenses / (income) of $20 million ($15 million after tax, or $.05 per share) related to customer relationship intangible assets due to the loss of certain contract manufacturing customers, which began in the fourth quarter of 2023.</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items impacting comparability are summarized below:</w:t>
      </w:r>
    </w:p>
    <w:tbl>
      <w:tblPr>
        <w:tblW w:w="10205" w:type="dxa"/>
        <w:jc w:val="left"/>
        <w:tblInd w:w="0" w:type="dxa"/>
        <w:tblLayout w:type="fixed"/>
        <w:tblCellMar>
          <w:top w:w="28" w:type="dxa"/>
          <w:left w:w="28" w:type="dxa"/>
          <w:bottom w:w="28" w:type="dxa"/>
          <w:right w:w="28" w:type="dxa"/>
        </w:tblCellMar>
      </w:tblPr>
      <w:tblGrid>
        <w:gridCol w:w="2253"/>
        <w:gridCol w:w="1780"/>
        <w:gridCol w:w="1794"/>
        <w:gridCol w:w="211"/>
        <w:gridCol w:w="517"/>
        <w:gridCol w:w="109"/>
        <w:gridCol w:w="109"/>
        <w:gridCol w:w="109"/>
        <w:gridCol w:w="109"/>
        <w:gridCol w:w="211"/>
        <w:gridCol w:w="526"/>
        <w:gridCol w:w="109"/>
        <w:gridCol w:w="109"/>
        <w:gridCol w:w="109"/>
        <w:gridCol w:w="109"/>
        <w:gridCol w:w="211"/>
        <w:gridCol w:w="517"/>
        <w:gridCol w:w="109"/>
        <w:gridCol w:w="109"/>
        <w:gridCol w:w="109"/>
        <w:gridCol w:w="109"/>
        <w:gridCol w:w="211"/>
        <w:gridCol w:w="511"/>
        <w:gridCol w:w="155"/>
      </w:tblGrid>
      <w:tr>
        <w:trPr/>
        <w:tc>
          <w:tcPr>
            <w:tcW w:w="2253"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541" w:type="dxa"/>
            <w:gridSpan w:val="18"/>
            <w:tcBorders/>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368" w:type="dxa"/>
            <w:gridSpan w:val="12"/>
            <w:tcBorders/>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541" w:type="dxa"/>
            <w:gridSpan w:val="18"/>
            <w:tcBorders/>
          </w:tcPr>
          <w:p>
            <w:pPr>
              <w:pStyle w:val="TableContents"/>
              <w:bidi w:val="0"/>
              <w:spacing w:before="0" w:after="283"/>
              <w:jc w:val="left"/>
              <w:rPr>
                <w:sz w:val="4"/>
                <w:szCs w:val="4"/>
              </w:rPr>
            </w:pPr>
            <w:r>
              <w:rPr>
                <w:sz w:val="4"/>
                <w:szCs w:val="4"/>
              </w:rPr>
            </w:r>
          </w:p>
        </w:tc>
      </w:tr>
      <w:tr>
        <w:trPr/>
        <w:tc>
          <w:tcPr>
            <w:tcW w:w="5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EPS</w:t>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of redeemable noncontrolling interests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Unrecognized accretion on deferred consideration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 common shareholders -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Impact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EPS</w:t>
              <w:br/>
              <w:t>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Impact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EPS</w:t>
              <w:br/>
              <w:t>Impact</w:t>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cost savings and optimization initiatives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mark-to-market gains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actuarial and curtailment gains (losses)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litigation expenses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incident recoveries </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accretion on deferred consideration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accretion on deferred consideration</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noncontrolling interests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associated with divestitures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amortization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items on Net earnings attributable to The Campbell's Company common shareholders - Diluted</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8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Sum of the individual amounts may not add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earnings attributable to The Campbell's Company common shareholders - Diluted were $394 million ($1.31 per share) in 2026, compared to $602 million ($2.01 per share) in 2025. After adjusting for items impacting comparability, earnings decreased primarily due to lower gross profit, partially offset by lower administrative expenses and lower marketing and selling expenses. The estimated net impact of tariffs was approximately $.21 per share in 2026. The additional week contributed approximately $.06 per share to earnings in 2025.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 xml:space="preserve">Net Earnings attributable to The Campbell's Company common shareholders - Diluted - 2025 Compared with 2024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2025 items that impacted comparability of Net earnings discussed above, the following items impacted the comparability of net earnings and net earnings per share attributable to The Campbell's Company common shareholders - Diluted: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In 2024, we recorded Restructuring charges of $17 million and implementation costs and other related costs of $54 million in Administrative expenses, $26 million in Cost of products sold, $4 million in Marketing and selling expenses and $3 million in Research and development expenses related to the cost savings initiatives discussed above.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2024, we recognized $5 million in Marketing and selling expenses related to the optimization initiative discussed above.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2024, the total aggregate impact to the cost savings and optimization initiatives was $109 million ($83 million after tax, or $.28 per share). See Note 9 to the Consolidated Financial Statements and "Restructuring Charges, Cost Savings Initiatives and Other Optimization Initiatives" for additional information;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In 2024, we recognized losses in Cost of products sold of $22 million ($16 million after tax, or $.05 per share) associated with unrealized mark-to-market adjustments on outstanding undesignated commodity hedges;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In 2024, we recognized actuarial losses on our pension and postretirement plans in Other expenses / (income) of $33 million ($25 million after tax, or $.08 per share);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2024, we recorded litigation expenses in Administrative expenses of $5 million ($5 million after tax, or $.02 per share) related to Plum and certain other litigation matters;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2024, we recorded costs of $2 million in Cost of products sold and $1 million in Administrative expenses (aggregate impact of $2 million after tax, or $.01 per share) related to the cybersecurity incident;</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the fourth quarter of 2024, we recognized an impairment charge of $53 million on our Allied brands trademarks.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The sale of the business was completed on August 26, 2024.</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2024, the total aggregate impact of the impairment charges was $129 million ($98 million after tax, or $.33 per share).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charges were included in Other expenses / (income). See "Critical Accounting Estimates" for additional information;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2024, we recorded accelerated amortization expense in Other expenses / (income) of $27 million ($20 million after tax, or $.07 per share) related to customer relationship intangible assets due to the loss of certain contracting manufacturing customers, which began in the fourth quarter of 2023;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In the first quarter of 2024, we announced our intent to acquire Sovos Brands and on March 12, 2024 the acquisition closed. In 2024, we incurred $126 million of costs associated with the acquisition, of which $21 million was recorded in Restructuring charges, $47 million in Administrative expenses, $35 million in Other expenses / (income), $3 million in Marketing and selling expenses, $2 million in Research and development expenses and $18 million in Cost of products sold, of which $17 million was associated with the acquisition date fair value adjustment for inventory. We also recorded costs of $2 million in Interest expense related to costs associated with the Delayed Draw Term Loan Credit Agreement (the 2024 DDTL Credit Agreement) used to fund the acquisition. The aggregate impact was $128 million, $109 million after tax, or $.36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items impacting comparability are summarized below:</w:t>
      </w:r>
    </w:p>
    <w:tbl>
      <w:tblPr>
        <w:tblW w:w="10205" w:type="dxa"/>
        <w:jc w:val="left"/>
        <w:tblInd w:w="0" w:type="dxa"/>
        <w:tblLayout w:type="fixed"/>
        <w:tblCellMar>
          <w:top w:w="28" w:type="dxa"/>
          <w:left w:w="28" w:type="dxa"/>
          <w:bottom w:w="28" w:type="dxa"/>
          <w:right w:w="28" w:type="dxa"/>
        </w:tblCellMar>
      </w:tblPr>
      <w:tblGrid>
        <w:gridCol w:w="2242"/>
        <w:gridCol w:w="1767"/>
        <w:gridCol w:w="1782"/>
        <w:gridCol w:w="211"/>
        <w:gridCol w:w="516"/>
        <w:gridCol w:w="109"/>
        <w:gridCol w:w="109"/>
        <w:gridCol w:w="109"/>
        <w:gridCol w:w="109"/>
        <w:gridCol w:w="211"/>
        <w:gridCol w:w="511"/>
        <w:gridCol w:w="109"/>
        <w:gridCol w:w="109"/>
        <w:gridCol w:w="109"/>
        <w:gridCol w:w="109"/>
        <w:gridCol w:w="211"/>
        <w:gridCol w:w="516"/>
        <w:gridCol w:w="109"/>
        <w:gridCol w:w="109"/>
        <w:gridCol w:w="109"/>
        <w:gridCol w:w="109"/>
        <w:gridCol w:w="211"/>
        <w:gridCol w:w="561"/>
        <w:gridCol w:w="158"/>
      </w:tblGrid>
      <w:tr>
        <w:trPr/>
        <w:tc>
          <w:tcPr>
            <w:tcW w:w="224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578" w:type="dxa"/>
            <w:gridSpan w:val="18"/>
            <w:tcBorders/>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420" w:type="dxa"/>
            <w:gridSpan w:val="12"/>
            <w:tcBorders/>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578" w:type="dxa"/>
            <w:gridSpan w:val="18"/>
            <w:tcBorders/>
          </w:tcPr>
          <w:p>
            <w:pPr>
              <w:pStyle w:val="TableContents"/>
              <w:bidi w:val="0"/>
              <w:spacing w:before="0" w:after="283"/>
              <w:jc w:val="left"/>
              <w:rPr>
                <w:sz w:val="4"/>
                <w:szCs w:val="4"/>
              </w:rPr>
            </w:pPr>
            <w:r>
              <w:rPr>
                <w:sz w:val="4"/>
                <w:szCs w:val="4"/>
              </w:rPr>
            </w:r>
          </w:p>
        </w:tc>
      </w:tr>
      <w:tr>
        <w:trPr/>
        <w:tc>
          <w:tcPr>
            <w:tcW w:w="5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EPS</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br/>
              <w:t>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EPS</w:t>
              <w:br/>
              <w:t>Impact</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 common shareholders - 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cost savings and optimization initiatives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mark-to-market gains (losses)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actuarial losses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litigation expenses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 incident recoveries (costs)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associated with divestiture</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amortization</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acquisition</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items on Net earnings attributable to The Campbell's Company common shareholders - Diluted</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5791"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Sum of the individual amounts may not add due to rounding.</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 common shareholders - Diluted were $602 million ($2.01 per share) in 2025, compared to $567 million ($1.89 per share) in 2024. After adjusting for items impacting comparability, earnings decreased primarily due to higher interest expense and higher marketing and selling expenses, partially offset by an increase in gross profit and a lower effective tax rate. The additional week contributed approximately $.06 per share to earnings in 2025. The estimated impact of tariffs was approximately $.02 per share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DISCUSSION AND ANALYSIS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analysis of net sales by reportable segment follows:</w:t>
      </w:r>
    </w:p>
    <w:tbl>
      <w:tblPr>
        <w:tblW w:w="7932" w:type="dxa"/>
        <w:jc w:val="left"/>
        <w:tblInd w:w="0" w:type="dxa"/>
        <w:tblLayout w:type="fixed"/>
        <w:tblCellMar>
          <w:top w:w="28" w:type="dxa"/>
          <w:left w:w="28" w:type="dxa"/>
          <w:bottom w:w="28" w:type="dxa"/>
          <w:right w:w="28" w:type="dxa"/>
        </w:tblCellMar>
      </w:tblPr>
      <w:tblGrid>
        <w:gridCol w:w="613"/>
        <w:gridCol w:w="538"/>
        <w:gridCol w:w="544"/>
        <w:gridCol w:w="211"/>
        <w:gridCol w:w="631"/>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89"/>
        <w:gridCol w:w="289"/>
        <w:gridCol w:w="291"/>
        <w:gridCol w:w="109"/>
        <w:gridCol w:w="109"/>
        <w:gridCol w:w="109"/>
        <w:gridCol w:w="266"/>
        <w:gridCol w:w="266"/>
        <w:gridCol w:w="382"/>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2025/2024</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analysis of percent change of net sales by reportable segment follows:</w:t>
      </w:r>
    </w:p>
    <w:tbl>
      <w:tblPr>
        <w:tblW w:w="6093" w:type="dxa"/>
        <w:jc w:val="left"/>
        <w:tblInd w:w="0" w:type="dxa"/>
        <w:tblLayout w:type="fixed"/>
        <w:tblCellMar>
          <w:top w:w="28" w:type="dxa"/>
          <w:left w:w="28" w:type="dxa"/>
          <w:bottom w:w="28" w:type="dxa"/>
          <w:right w:w="28" w:type="dxa"/>
        </w:tblCellMar>
      </w:tblPr>
      <w:tblGrid>
        <w:gridCol w:w="939"/>
        <w:gridCol w:w="824"/>
        <w:gridCol w:w="832"/>
        <w:gridCol w:w="494"/>
        <w:gridCol w:w="494"/>
        <w:gridCol w:w="496"/>
        <w:gridCol w:w="109"/>
        <w:gridCol w:w="109"/>
        <w:gridCol w:w="109"/>
        <w:gridCol w:w="200"/>
        <w:gridCol w:w="200"/>
        <w:gridCol w:w="201"/>
        <w:gridCol w:w="109"/>
        <w:gridCol w:w="109"/>
        <w:gridCol w:w="109"/>
        <w:gridCol w:w="109"/>
        <w:gridCol w:w="109"/>
        <w:gridCol w:w="158"/>
        <w:gridCol w:w="158"/>
        <w:gridCol w:w="225"/>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2026 versus 2025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Meals &amp; Beverages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Volume/mix</w:t>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price realization</w:t>
            </w:r>
            <w:r>
              <w:rPr>
                <w:rFonts w:ascii="Times New Roman;serif" w:hAnsi="Times New Roman;serif"/>
                <w:b w:val="false"/>
                <w:color w:val="000000"/>
                <w:sz w:val="13"/>
              </w:rPr>
              <w:t>(1)</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impact of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week</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tbl>
      <w:tblPr>
        <w:tblW w:w="6093" w:type="dxa"/>
        <w:jc w:val="left"/>
        <w:tblInd w:w="0" w:type="dxa"/>
        <w:tblLayout w:type="fixed"/>
        <w:tblCellMar>
          <w:top w:w="28" w:type="dxa"/>
          <w:left w:w="28" w:type="dxa"/>
          <w:bottom w:w="28" w:type="dxa"/>
          <w:right w:w="28" w:type="dxa"/>
        </w:tblCellMar>
      </w:tblPr>
      <w:tblGrid>
        <w:gridCol w:w="939"/>
        <w:gridCol w:w="824"/>
        <w:gridCol w:w="832"/>
        <w:gridCol w:w="494"/>
        <w:gridCol w:w="494"/>
        <w:gridCol w:w="496"/>
        <w:gridCol w:w="109"/>
        <w:gridCol w:w="109"/>
        <w:gridCol w:w="109"/>
        <w:gridCol w:w="200"/>
        <w:gridCol w:w="200"/>
        <w:gridCol w:w="201"/>
        <w:gridCol w:w="109"/>
        <w:gridCol w:w="109"/>
        <w:gridCol w:w="109"/>
        <w:gridCol w:w="109"/>
        <w:gridCol w:w="109"/>
        <w:gridCol w:w="158"/>
        <w:gridCol w:w="158"/>
        <w:gridCol w:w="225"/>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2025 versus 2024</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Meals &amp; Beverages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Volume/mix</w:t>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price realization</w:t>
            </w:r>
            <w:r>
              <w:rPr>
                <w:rFonts w:ascii="Times New Roman;serif" w:hAnsi="Times New Roman;serif"/>
                <w:b w:val="false"/>
                <w:color w:val="000000"/>
                <w:sz w:val="13"/>
              </w:rPr>
              <w:t>(1)</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impact of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week</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revenue reductions from trade promotion and consumer coupon redemption programs.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2026, Meals &amp; Beverages sales decreased 4%. Excluding the impacts from the additional week and the divestiture of the noosa yoghurt business, sales decreased primarily due to declines in U.S. soup, </w:t>
      </w:r>
      <w:r>
        <w:rPr>
          <w:rFonts w:ascii="Times New Roman;serif" w:hAnsi="Times New Roman;serif"/>
          <w:b w:val="false"/>
          <w:i/>
          <w:color w:val="000000"/>
          <w:sz w:val="20"/>
        </w:rPr>
        <w:t>V8</w:t>
      </w:r>
      <w:r>
        <w:rPr>
          <w:color w:val="000000"/>
        </w:rPr>
        <w:t xml:space="preserve"> </w:t>
      </w:r>
      <w:r>
        <w:rPr>
          <w:rFonts w:ascii="Times New Roman;serif" w:hAnsi="Times New Roman;serif"/>
          <w:b w:val="false"/>
          <w:color w:val="000000"/>
          <w:sz w:val="20"/>
        </w:rPr>
        <w:t xml:space="preserve">beverages, Canada, </w:t>
      </w:r>
      <w:r>
        <w:rPr>
          <w:rFonts w:ascii="Times New Roman;serif" w:hAnsi="Times New Roman;serif"/>
          <w:b w:val="false"/>
          <w:i/>
          <w:color w:val="000000"/>
          <w:sz w:val="20"/>
        </w:rPr>
        <w:t xml:space="preserve">Pace </w:t>
      </w:r>
      <w:r>
        <w:rPr>
          <w:rFonts w:ascii="Times New Roman;serif" w:hAnsi="Times New Roman;serif"/>
          <w:b w:val="false"/>
          <w:color w:val="000000"/>
          <w:sz w:val="20"/>
        </w:rPr>
        <w:t xml:space="preserve">Mexican sauces and </w:t>
      </w:r>
      <w:r>
        <w:rPr>
          <w:rFonts w:ascii="Times New Roman;serif" w:hAnsi="Times New Roman;serif"/>
          <w:b w:val="false"/>
          <w:i/>
          <w:color w:val="000000"/>
          <w:sz w:val="20"/>
        </w:rPr>
        <w:t>Prego</w:t>
      </w:r>
      <w:r>
        <w:rPr>
          <w:color w:val="000000"/>
        </w:rPr>
        <w:t xml:space="preserve"> </w:t>
      </w:r>
      <w:r>
        <w:rPr>
          <w:rFonts w:ascii="Times New Roman;serif" w:hAnsi="Times New Roman;serif"/>
          <w:b w:val="false"/>
          <w:color w:val="000000"/>
          <w:sz w:val="20"/>
        </w:rPr>
        <w:t xml:space="preserve">pasta sauces, partially offset by gains in </w:t>
      </w:r>
      <w:r>
        <w:rPr>
          <w:rFonts w:ascii="Times New Roman;serif" w:hAnsi="Times New Roman;serif"/>
          <w:b w:val="false"/>
          <w:i/>
          <w:color w:val="000000"/>
          <w:sz w:val="20"/>
        </w:rPr>
        <w:t>Rao's</w:t>
      </w:r>
      <w:r>
        <w:rPr>
          <w:rFonts w:ascii="Times New Roman;serif" w:hAnsi="Times New Roman;serif"/>
          <w:b w:val="false"/>
          <w:color w:val="000000"/>
          <w:sz w:val="20"/>
        </w:rPr>
        <w:t>. Unfavorable volume/mix was partially offset by favorable net price realization. Including a 1-point impact from the additional week, sales of U.S. soup decreased 5% primarily due to decreases in condensed soups and ready-to-serve soups, partially offset by increases in broth.</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2025, Meals &amp; Beverages sales increased 15% primarily due to a 14-point benefit from the acquisition of Sovos Brands. Excluding the benefit from the Sovos Brands acquisition, the benefit of the additional week and the impact from the divestiture of the noosa yoghurt business, sales were comparable primarily due to gains in foodservice, Canada and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 xml:space="preserve">pasta sauces, partially offset by declines in U.S. soup and </w:t>
      </w:r>
      <w:r>
        <w:rPr>
          <w:rFonts w:ascii="Times New Roman;serif" w:hAnsi="Times New Roman;serif"/>
          <w:b w:val="false"/>
          <w:i/>
          <w:color w:val="000000"/>
          <w:sz w:val="20"/>
        </w:rPr>
        <w:t>SpaghettiOs</w:t>
      </w:r>
      <w:r>
        <w:rPr>
          <w:rFonts w:ascii="Times New Roman;serif" w:hAnsi="Times New Roman;serif"/>
          <w:b w:val="false"/>
          <w:color w:val="000000"/>
          <w:sz w:val="20"/>
        </w:rPr>
        <w:t>. Favorable volume/mix was offset by unfavorable net price realization. Including a 1-point benefit from the additional week, sales of U.S. soup were comparable with prior year as increases in broth and condensed soups were offset by decreases in ready-to-serve soups.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2026, Snacks sales decreased 6%. Excluding the impacts from the additional week and the divestiture of the Pop Secret popcorn business, sales decreased primarily due to declines in chips, third-party partner brands and contract manufacturing, crackers, fresh bakery related to supply constraints and declines in pretzels, partially offset by gains in Pepperidge Farm cookies. Sales were impacted by volume/mix declines, partially offset by favorable net price realization.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2025, Snacks sales decreased 4%. Excluding the impact from the divestiture of the Pop Secret popcorn business and the benefit of the additional week, sales decreased due to declines in third-party partner brands and contract manufacturing, </w:t>
      </w:r>
      <w:r>
        <w:rPr>
          <w:rFonts w:ascii="Times New Roman;serif" w:hAnsi="Times New Roman;serif"/>
          <w:b w:val="false"/>
          <w:i/>
          <w:color w:val="000000"/>
          <w:sz w:val="20"/>
        </w:rPr>
        <w:t>Goldfish</w:t>
      </w:r>
      <w:r>
        <w:rPr>
          <w:color w:val="000000"/>
        </w:rPr>
        <w:t xml:space="preserve"> </w:t>
      </w:r>
      <w:r>
        <w:rPr>
          <w:rFonts w:ascii="Times New Roman;serif" w:hAnsi="Times New Roman;serif"/>
          <w:b w:val="false"/>
          <w:color w:val="000000"/>
          <w:sz w:val="20"/>
        </w:rPr>
        <w:t xml:space="preserve">crackers,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 xml:space="preserve">pretzels, </w:t>
      </w:r>
      <w:r>
        <w:rPr>
          <w:rFonts w:ascii="Times New Roman;serif" w:hAnsi="Times New Roman;serif"/>
          <w:b w:val="false"/>
          <w:i/>
          <w:color w:val="000000"/>
          <w:sz w:val="20"/>
        </w:rPr>
        <w:t>Lance</w:t>
      </w:r>
      <w:r>
        <w:rPr>
          <w:color w:val="000000"/>
        </w:rPr>
        <w:t xml:space="preserve"> </w:t>
      </w:r>
      <w:r>
        <w:rPr>
          <w:rFonts w:ascii="Times New Roman;serif" w:hAnsi="Times New Roman;serif"/>
          <w:b w:val="false"/>
          <w:color w:val="000000"/>
          <w:sz w:val="20"/>
        </w:rPr>
        <w:t xml:space="preserve">sandwich crackers, fresh bakery and Pepperidge Farm cookies. Sales were impacted by volume/mix declines with neutral net price realization.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defined as Net sales less Cost of products sold, decreased by $377 million in 2026 from 2025 and increased by $148 million in 2025 from 2024. As a percent of sales, gross profit was 28.1% in 2026, 30.4% in 2025 and 30.8%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230 basis-point decrease and the 40 basis-point decrease in gross profit margin in 2026 and 2025, respectively, were due to the following factors:</w:t>
      </w:r>
    </w:p>
    <w:tbl>
      <w:tblPr>
        <w:tblW w:w="5915" w:type="dxa"/>
        <w:jc w:val="left"/>
        <w:tblInd w:w="0" w:type="dxa"/>
        <w:tblLayout w:type="fixed"/>
        <w:tblCellMar>
          <w:top w:w="28" w:type="dxa"/>
          <w:left w:w="28" w:type="dxa"/>
          <w:bottom w:w="28" w:type="dxa"/>
          <w:right w:w="28" w:type="dxa"/>
        </w:tblCellMar>
      </w:tblPr>
      <w:tblGrid>
        <w:gridCol w:w="1589"/>
        <w:gridCol w:w="1398"/>
        <w:gridCol w:w="1408"/>
        <w:gridCol w:w="178"/>
        <w:gridCol w:w="178"/>
        <w:gridCol w:w="183"/>
        <w:gridCol w:w="132"/>
        <w:gridCol w:w="132"/>
        <w:gridCol w:w="132"/>
        <w:gridCol w:w="170"/>
        <w:gridCol w:w="170"/>
        <w:gridCol w:w="245"/>
      </w:tblGrid>
      <w:tr>
        <w:trPr/>
        <w:tc>
          <w:tcPr>
            <w:tcW w:w="15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Margin Impact</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inflation, supply chain costs and other factors</w:t>
            </w:r>
            <w:r>
              <w:rPr>
                <w:rFonts w:ascii="Times New Roman;serif" w:hAnsi="Times New Roman;serif"/>
                <w:b w:val="false"/>
                <w:color w:val="000000"/>
                <w:sz w:val="13"/>
              </w:rPr>
              <w:t>(1)</w:t>
            </w:r>
          </w:p>
        </w:tc>
        <w:tc>
          <w:tcPr>
            <w:tcW w:w="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Volume/mix</w:t>
            </w:r>
            <w:r>
              <w:rPr>
                <w:rFonts w:ascii="Times New Roman;serif" w:hAnsi="Times New Roman;serif"/>
                <w:b w:val="false"/>
                <w:color w:val="000000"/>
                <w:sz w:val="13"/>
              </w:rPr>
              <w:t>(2)</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Higher costs associated with cost savings initiatives</w:t>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 improvements</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price realization</w:t>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acquisition</w:t>
            </w:r>
            <w:r>
              <w:rPr>
                <w:rFonts w:ascii="Times New Roman;serif" w:hAnsi="Times New Roman;serif"/>
                <w:b w:val="false"/>
                <w:color w:val="000000"/>
                <w:sz w:val="13"/>
              </w:rPr>
              <w:t>(3)</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2026 includes an estimated negative margin impact of 230 basis points from the gross impact of tariffs and a negative margin impact of 10 basis points from the change in unrealized mark-to-market adjustments on outstanding undesignated commodity hedges, partially offset by an estimated positive margin impact of 40 basis points from the benefit of cost savings initiatives. 2025 includes an estimated positive margin impact of 50 basis points from the benefit of cost savings initiatives and a 30 basis-point positive impact from the change in unrealized mark-to-market adjustments on outstanding undesignated commodity hedges. </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Includes the impact of operating leverage. </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2025 includes a positive margin impact of 20 basis points from lapping the 20 basis-point negative margin impact in 2024 from a Sovos Brands acquisition date fair value adjustment for inventory. </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Marketing and Selling Expenses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Marketing and selling expenses as a percent of sales were 9.3% in 2026, 9.0% in 2025 and 8.6% in 2024. Marketing and selling expenses decreased 2% in 2026 from 2025. The decrease was primarily due to lower advertising and consumer promotion expense (approximately 1 point); lower selling expenses (approximately 1 point) and increased benefits from cost savings initiatives (approximately 1 point), partially offset by higher marketing expenses (approximately 1 point). The decrease in advertising and consumer promotion expense was primarily driven by Snacks.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Marketing and selling expenses increased 11% in 2025 from 2024. The increase was primarily due to the impact of the acquisition (approximately 7 points); higher advertising and consumer promotion expense (approximately 2 points) and higher costs related to cost savings and optimization initiatives (approximately 2 points). The increase in advertising and consumer promotion expense was driven by Meals &amp; Beverages and Snacks.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Administrative Expenses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Administrative expenses as a percent of sales were 6.6% in 2026 and 2025 and 7.6% in 2024. Administrative expenses decreased 4% in 2026 from 2025. The decrease was primarily due to increased benefits from cost savings initiatives (approximately 5 points) and lower costs associated with cost savings initiatives (approximately 2 points), partially offset by inflation and higher general administrative costs (approximately 2 points) and an increase in certain litigation expenses (approximately 1 point).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Administrative expenses decreased 9% in 2025 from 2024. The decrease was primarily due to increased benefits from cost savings initiatives (approximately 8 points); costs associated with the acquisition in the prior year (approximately 6 points); lower incentive compensation (approximately 2 points); lower costs related to cost savings initiatives (approximately 2 points); and lower benefit-related costs (approximately 1 point), partially offset by higher general administrative costs and inflation (approximately 7 points) and the impact of the acquisition (approximately 3 points).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Other Expenses / (Income)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expenses in 2026 included the following: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$117 million of impairment charges related to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trademarks;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$41 million of amortization of intangible assets;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$23 million of costs associated with the acquisition of La Regina; and</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$4 million of net periodic benefit income, including net pension and postretirement actuarial and curtailment gains of $23 million and special termination benefits associated with cost savings initiatives of $38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in 2025 included the following:</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$176 million of impairment charges related to the </w:t>
      </w:r>
      <w:r>
        <w:rPr>
          <w:rFonts w:ascii="Times New Roman;serif" w:hAnsi="Times New Roman;serif"/>
          <w:b w:val="false"/>
          <w:i/>
          <w:color w:val="000000"/>
          <w:sz w:val="20"/>
        </w:rPr>
        <w:t>Snyder's of Hanover</w:t>
      </w:r>
      <w:r>
        <w:rPr>
          <w:rFonts w:ascii="Times New Roman;serif" w:hAnsi="Times New Roman;serif"/>
          <w:b w:val="false"/>
          <w:color w:val="000000"/>
          <w:sz w:val="20"/>
        </w:rPr>
        <w:t>, Allied brands and</w:t>
      </w:r>
      <w:r>
        <w:rPr>
          <w:color w:val="000000"/>
        </w:rPr>
        <w:t xml:space="preserve"> </w:t>
      </w:r>
      <w:r>
        <w:rPr>
          <w:rFonts w:ascii="Times New Roman;serif" w:hAnsi="Times New Roman;serif"/>
          <w:b w:val="false"/>
          <w:i/>
          <w:color w:val="000000"/>
          <w:sz w:val="20"/>
        </w:rPr>
        <w:t>Late July</w:t>
      </w:r>
      <w:r>
        <w:rPr>
          <w:color w:val="000000"/>
        </w:rPr>
        <w:t xml:space="preserve"> </w:t>
      </w:r>
      <w:r>
        <w:rPr>
          <w:rFonts w:ascii="Times New Roman;serif" w:hAnsi="Times New Roman;serif"/>
          <w:b w:val="false"/>
          <w:color w:val="000000"/>
          <w:sz w:val="20"/>
        </w:rPr>
        <w:t>trademarks;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$68 million of amortization of intangible assets, including accelerated amortization of $20 million;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$25 million loss on the sale of the Pop Secret popcorn business; and</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$11 million of net periodic benefit expense, including pension and postretirement actuarial losses of $24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expenses in 2024 included the following: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$129 million of impairment charges related to the </w:t>
      </w:r>
      <w:r>
        <w:rPr>
          <w:rFonts w:ascii="Times New Roman;serif" w:hAnsi="Times New Roman;serif"/>
          <w:b w:val="false"/>
          <w:i/>
          <w:color w:val="000000"/>
          <w:sz w:val="20"/>
        </w:rPr>
        <w:t>Pop Secret</w:t>
      </w:r>
      <w:r>
        <w:rPr>
          <w:color w:val="000000"/>
        </w:rPr>
        <w:t xml:space="preserve"> </w:t>
      </w:r>
      <w:r>
        <w:rPr>
          <w:rFonts w:ascii="Times New Roman;serif" w:hAnsi="Times New Roman;serif"/>
          <w:b w:val="false"/>
          <w:color w:val="000000"/>
          <w:sz w:val="20"/>
        </w:rPr>
        <w:t>and Allied brands trademarks;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$73 million of amortization of intangible assets, including accelerated amortization of $27 million;</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$35 million of costs associated with the acquisition of Sovos Brands; and</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$26 million of net periodic benefit expense, including pension and postretirement actuarial losses of $33 million.</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Operating Earnings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earnings decreased 19% in 2026 from 2025 and increased 1% in 2025 from 2024.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analysis of operating earnings by segment follows:</w:t>
      </w:r>
    </w:p>
    <w:tbl>
      <w:tblPr>
        <w:tblW w:w="8941" w:type="dxa"/>
        <w:jc w:val="left"/>
        <w:tblInd w:w="0" w:type="dxa"/>
        <w:tblLayout w:type="fixed"/>
        <w:tblCellMar>
          <w:top w:w="28" w:type="dxa"/>
          <w:left w:w="28" w:type="dxa"/>
          <w:bottom w:w="28" w:type="dxa"/>
          <w:right w:w="28" w:type="dxa"/>
        </w:tblCellMar>
      </w:tblPr>
      <w:tblGrid>
        <w:gridCol w:w="1031"/>
        <w:gridCol w:w="905"/>
        <w:gridCol w:w="914"/>
        <w:gridCol w:w="109"/>
        <w:gridCol w:w="109"/>
        <w:gridCol w:w="109"/>
        <w:gridCol w:w="211"/>
        <w:gridCol w:w="481"/>
        <w:gridCol w:w="109"/>
        <w:gridCol w:w="109"/>
        <w:gridCol w:w="109"/>
        <w:gridCol w:w="109"/>
        <w:gridCol w:w="211"/>
        <w:gridCol w:w="616"/>
        <w:gridCol w:w="109"/>
        <w:gridCol w:w="109"/>
        <w:gridCol w:w="109"/>
        <w:gridCol w:w="109"/>
        <w:gridCol w:w="211"/>
        <w:gridCol w:w="616"/>
        <w:gridCol w:w="109"/>
        <w:gridCol w:w="109"/>
        <w:gridCol w:w="109"/>
        <w:gridCol w:w="109"/>
        <w:gridCol w:w="289"/>
        <w:gridCol w:w="289"/>
        <w:gridCol w:w="291"/>
        <w:gridCol w:w="109"/>
        <w:gridCol w:w="109"/>
        <w:gridCol w:w="109"/>
        <w:gridCol w:w="266"/>
        <w:gridCol w:w="266"/>
        <w:gridCol w:w="382"/>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241" w:type="dxa"/>
            <w:gridSpan w:val="6"/>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and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Note 9 to the Consolidated Financial Statements for additional information on restructuring charges.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earnings from Meals &amp; Beverages decreased 14% in 2026 versus 2025. The decrease was primarily due to lower gross profit, the impact of the divestiture and the impact of the additional week. Gross profit margin decreased primarily due to the gross impact of tariffs, cost inflation and other supply chain costs and unfavorable volume/mix, partially offset by supply chain productivity improvements, favorable net price realization and benefits from cost savings initiatives.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earnings from Meals &amp; Beverages increased 10% in 2025 versus 2024. The increase was primarily due to the benefit of the acquisition of Sovos Brands and the benefit of the additional week, partially offset by lower gross profit. Gross profit margin decreased due to cost inflation and other supply chain costs, unfavorable net price realization and the dilutive impact of the acquisition, partially offset by supply chain productivity improvements, benefits from cost savings initiatives and favorable volume/mix.</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earnings from Snacks decreased 28% in 2026 versus 2025. The decrease was primarily due to lower gross profit. Gross profit margin decreased primarily due to cost inflation and other supply chain costs, unfavorable volume/mix and the gross impact of tariffs, partially offset by supply chain productivity improvements, favorable net price realization and benefits from cost savings initiatives.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earnings from Snacks decreased 14% in 2025 versus 2024. The decrease was primarily due to lower gross profit and higher marketing and selling expenses, partially offset by lower administrative expenses. Gross profit decreased primarily due to the impact of cost inflation and other supply chain costs and unfavorable volume/mix, partially offset by supply chain productivity improvements, the benefit of the additional week and benefits from cost savings initiatives.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Corporate expense in 2026 included the following:</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costs of $135 million related to cost savings and optimization initiatives;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$117 million of impairment charges related to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trademarks;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$26 million of costs associated with the acquisition of La Regina;</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$14 million of certain litigation expenses, including expenses related to Plum;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$23 million of net pension and postretirement actuarial and curtailment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$6 million of unrealized mark-to-market gains on outstanding undesignated commodity hedges; and</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$1 million of insurance recoveries related to a cybersecurity incident.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Corporate expense in 2025 included the following:</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$176 million of impairment charges related to the </w:t>
      </w:r>
      <w:r>
        <w:rPr>
          <w:rFonts w:ascii="Times New Roman;serif" w:hAnsi="Times New Roman;serif"/>
          <w:b w:val="false"/>
          <w:i/>
          <w:color w:val="000000"/>
          <w:sz w:val="20"/>
        </w:rPr>
        <w:t>Snyder's of Hanover</w:t>
      </w:r>
      <w:r>
        <w:rPr>
          <w:rFonts w:ascii="Times New Roman;serif" w:hAnsi="Times New Roman;serif"/>
          <w:b w:val="false"/>
          <w:color w:val="000000"/>
          <w:sz w:val="20"/>
        </w:rPr>
        <w:t>, Allied brands and</w:t>
      </w:r>
      <w:r>
        <w:rPr>
          <w:color w:val="000000"/>
        </w:rPr>
        <w:t xml:space="preserve"> </w:t>
      </w:r>
      <w:r>
        <w:rPr>
          <w:rFonts w:ascii="Times New Roman;serif" w:hAnsi="Times New Roman;serif"/>
          <w:b w:val="false"/>
          <w:i/>
          <w:color w:val="000000"/>
          <w:sz w:val="20"/>
        </w:rPr>
        <w:t>Late July</w:t>
      </w:r>
      <w:r>
        <w:rPr>
          <w:color w:val="000000"/>
        </w:rPr>
        <w:t xml:space="preserve"> </w:t>
      </w:r>
      <w:r>
        <w:rPr>
          <w:rFonts w:ascii="Times New Roman;serif" w:hAnsi="Times New Roman;serif"/>
          <w:b w:val="false"/>
          <w:color w:val="000000"/>
          <w:sz w:val="20"/>
        </w:rPr>
        <w:t>trademarks;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costs of $101 million related to cost savings and optimization initiatives;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$25 million loss on the sale of the Pop Secret popcorn business;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$24 million of pension and postretirement actuarial losses;</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$20 million of accelerated amortization expense;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$5 million of certain litigation expenses, including expenses related to Plum;</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$11 million of unrealized mark-to-market gains on outstanding undesignated commodity hedges; and</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$1 million of costs associated with a cybersecurity incident.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Corporate expense in 2024 included the following:</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 xml:space="preserve">$129 million of impairment charges related to the </w:t>
      </w:r>
      <w:r>
        <w:rPr>
          <w:rFonts w:ascii="Times New Roman;serif" w:hAnsi="Times New Roman;serif"/>
          <w:b w:val="false"/>
          <w:i/>
          <w:color w:val="000000"/>
          <w:sz w:val="20"/>
        </w:rPr>
        <w:t>Pop Secret</w:t>
      </w:r>
      <w:r>
        <w:rPr>
          <w:color w:val="000000"/>
        </w:rPr>
        <w:t xml:space="preserve"> </w:t>
      </w:r>
      <w:r>
        <w:rPr>
          <w:rFonts w:ascii="Times New Roman;serif" w:hAnsi="Times New Roman;serif"/>
          <w:b w:val="false"/>
          <w:color w:val="000000"/>
          <w:sz w:val="20"/>
        </w:rPr>
        <w:t>and Allied brands trademarks;</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 xml:space="preserve">$105 million of costs associated with the acquisition of Sovos Brands; </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 xml:space="preserve">costs of $92 million related to the cost savings initiatives; </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$33 million of pension and postretirement actuarial losses;</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$27 million of accelerated amortization expense;</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$22 million of unrealized mark-to-market losses on outstanding undesignated commodity hedges;</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$5 million of certain litigation expenses, including expenses related to Plum; and</w:t>
      </w:r>
    </w:p>
    <w:p>
      <w:pPr>
        <w:pStyle w:val="TextBody"/>
        <w:bidi w:val="0"/>
        <w:spacing w:lineRule="auto" w:line="288" w:before="100" w:after="100"/>
        <w:ind w:left="0" w:right="0" w:hanging="180"/>
        <w:jc w:val="left"/>
        <w:rPr/>
      </w:pPr>
      <w:r>
        <w:rPr>
          <w:color w:val="000000"/>
        </w:rPr>
        <w:t>•</w:t>
      </w:r>
      <w:r>
        <w:rPr>
          <w:rFonts w:ascii="Times New Roman;serif" w:hAnsi="Times New Roman;serif"/>
          <w:b w:val="false"/>
          <w:color w:val="000000"/>
          <w:sz w:val="20"/>
        </w:rPr>
        <w:t xml:space="preserve">$3 million of costs associated with a cybersecurity incident.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was $331 million in 2026, $345 million in 2025 and $249 million in 2024. The decrease in 2026 was primarily due to lower levels of debt and the increase in 2025 was primarily due to higher levels of debt to fund the acquisition in 2024 and higher average interest rates on the debt portfolio.</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Taxes on Earnings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was 23.4% in 2026, 24.4% in 2025 and 25.1% in 2024.</w:t>
      </w:r>
    </w:p>
    <w:p>
      <w:pPr>
        <w:pStyle w:val="TextBody"/>
        <w:bidi w:val="0"/>
        <w:spacing w:lineRule="auto" w:line="288" w:before="100" w:after="100"/>
        <w:ind w:left="0" w:right="0" w:firstLine="360"/>
        <w:jc w:val="both"/>
        <w:rPr/>
      </w:pPr>
      <w:r>
        <w:rPr>
          <w:rFonts w:ascii="Times New Roman;serif" w:hAnsi="Times New Roman;serif"/>
          <w:b w:val="false"/>
          <w:color w:val="000000"/>
          <w:sz w:val="20"/>
        </w:rPr>
        <w:t>The decrease in the effective tax rate in 2026 from 2025 was primarily due to $15 million of tax expense related to the sale of the noosa yoghurt business in the prior year,</w:t>
      </w:r>
      <w:r>
        <w:rPr>
          <w:color w:val="000000"/>
          <w:shd w:fill="FFFFFF" w:val="clear"/>
        </w:rPr>
        <w:t xml:space="preserve"> </w:t>
      </w:r>
      <w:r>
        <w:rPr>
          <w:rFonts w:ascii="Times New Roman;serif" w:hAnsi="Times New Roman;serif"/>
          <w:b w:val="false"/>
          <w:color w:val="000000"/>
          <w:sz w:val="20"/>
        </w:rPr>
        <w:t>partially offset by excess tax benefits in 2025 and shortfalls in 2026 associated with the vesting of stock-based compensation awards.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The decrease in the effective rate in 2025 from 2024 was primarily due to </w:t>
      </w:r>
      <w:r>
        <w:rPr>
          <w:rFonts w:ascii="Times New Roman;serif" w:hAnsi="Times New Roman;serif"/>
          <w:b w:val="false"/>
          <w:color w:val="000000"/>
          <w:sz w:val="20"/>
          <w:shd w:fill="FFFFFF" w:val="clear"/>
        </w:rPr>
        <w:t>nondeductible costs associated with the acquisition of Sovos Brands in 2024, excess tax benefits associated with the vesting of stock-based compensation awards in 2025 and state tax law changes, partially offset by the $15 million of tax expense related to the sale of the noosa yoghurt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Restructuring Charges, Cost Savings Initiatives and Other Optimization Initiatives</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Multi-year Cost Savings Initiatives and Snyder's-Lance, Inc. (Snyder's-Lance) Cost Transformation Program and Integration</w:t>
      </w:r>
    </w:p>
    <w:p>
      <w:pPr>
        <w:pStyle w:val="TextBody"/>
        <w:bidi w:val="0"/>
        <w:spacing w:lineRule="auto" w:line="288" w:before="100" w:after="10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Continuing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2015, we implemented initiatives to reduce costs and to streamline our organizational structure.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years, we expanded these initiatives by continuing to optimize our supply chain and manufacturing networks, as well as our information technology infrastructure.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charges recorded in the Consolidated Statements of Earnings related to these initiatives is as follows:</w:t>
      </w:r>
    </w:p>
    <w:tbl>
      <w:tblPr>
        <w:tblW w:w="5883"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109"/>
        <w:gridCol w:w="211"/>
        <w:gridCol w:w="466"/>
        <w:gridCol w:w="109"/>
        <w:gridCol w:w="109"/>
        <w:gridCol w:w="109"/>
        <w:gridCol w:w="109"/>
        <w:gridCol w:w="316"/>
        <w:gridCol w:w="698"/>
        <w:gridCol w:w="230"/>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Program</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after-tax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pre-tax costs associated with these initiatives is as follows:</w:t>
      </w:r>
    </w:p>
    <w:tbl>
      <w:tblPr>
        <w:tblW w:w="4964" w:type="dxa"/>
        <w:jc w:val="left"/>
        <w:tblInd w:w="0" w:type="dxa"/>
        <w:tblLayout w:type="fixed"/>
        <w:tblCellMar>
          <w:top w:w="28" w:type="dxa"/>
          <w:left w:w="28" w:type="dxa"/>
          <w:bottom w:w="28" w:type="dxa"/>
          <w:right w:w="28" w:type="dxa"/>
        </w:tblCellMar>
      </w:tblPr>
      <w:tblGrid>
        <w:gridCol w:w="1344"/>
        <w:gridCol w:w="1184"/>
        <w:gridCol w:w="1192"/>
        <w:gridCol w:w="316"/>
        <w:gridCol w:w="698"/>
        <w:gridCol w:w="230"/>
      </w:tblGrid>
      <w:tr>
        <w:trPr/>
        <w:tc>
          <w:tcPr>
            <w:tcW w:w="134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Program</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and benefits</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impairment/accelerated depreciation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Implementation costs and other related costs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aggregate $895 million pre-tax costs incurred, approximately $720 million were cash expenditures.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operating results do not include restructuring charges, implementation costs and other related costs because we evaluate segment performance excluding such charges. A summary of the pre-tax costs associated with segments is as follows:</w:t>
      </w:r>
    </w:p>
    <w:tbl>
      <w:tblPr>
        <w:tblW w:w="3375" w:type="dxa"/>
        <w:jc w:val="left"/>
        <w:tblInd w:w="0" w:type="dxa"/>
        <w:tblLayout w:type="fixed"/>
        <w:tblCellMar>
          <w:top w:w="28" w:type="dxa"/>
          <w:left w:w="28" w:type="dxa"/>
          <w:bottom w:w="28" w:type="dxa"/>
          <w:right w:w="28" w:type="dxa"/>
        </w:tblCellMar>
      </w:tblPr>
      <w:tblGrid>
        <w:gridCol w:w="613"/>
        <w:gridCol w:w="538"/>
        <w:gridCol w:w="544"/>
        <w:gridCol w:w="109"/>
        <w:gridCol w:w="109"/>
        <w:gridCol w:w="109"/>
        <w:gridCol w:w="109"/>
        <w:gridCol w:w="316"/>
        <w:gridCol w:w="698"/>
        <w:gridCol w:w="230"/>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Program</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28, 2024, we substantially completed the multi-year cost savings initiatives and Snyder's-Lance cost transformation program and integration, and we generated total pre-tax savings of approximately $950 million. Certain phases that had not been fully implemented were incorporated into the 2025 cost savings initiatives described below. </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Sovos Brands Integration Initiatives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12, 2024, we completed the acquisition of Sovos Brands. See Note 3 to the Consolidated Financial Statements for additional information. We identified opportunities for cost synergies as we integrated Sovos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recorded Restructuring charges of $21 million for severance pay and benefits related to initiatives to achieve the synergies and generated pre-tax savings of $10 million. The charges incurred in 2024 were associated with the Meals &amp; Beverages segment.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initiatives to achieve synergies were incorporated into the cost savings initiatives described below.</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2025 Cost Savings Initiatives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As mentioned above, we substantially completed our previous multi-year cost savings initiatives and Snyder's-Lance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transformation program and integration and had identified initial opportunities for cost synergies as we integrated Sovos Brands. Certain initiatives from those programs were incorporated into our 2025 cost savings initiatives. In the third quarter of 2026, we commenced a voluntary early retirement program as part of our cost savings initiatives. The program was available to certain salaried employees who met age and length-of-service criteria. The eligible employees were entitled to receive severance pay and benefits, including enhanced pension benefits for certain employees. Substantially all electing employees will depart the company by December 2026.</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charges recorded in the Consolidated Statement of Earnings related to these initiatives is as follows:</w:t>
      </w:r>
    </w:p>
    <w:tbl>
      <w:tblPr>
        <w:tblW w:w="8708" w:type="dxa"/>
        <w:jc w:val="left"/>
        <w:tblInd w:w="0" w:type="dxa"/>
        <w:tblLayout w:type="fixed"/>
        <w:tblCellMar>
          <w:top w:w="28" w:type="dxa"/>
          <w:left w:w="28" w:type="dxa"/>
          <w:bottom w:w="28" w:type="dxa"/>
          <w:right w:w="28" w:type="dxa"/>
        </w:tblCellMar>
      </w:tblPr>
      <w:tblGrid>
        <w:gridCol w:w="1118"/>
        <w:gridCol w:w="982"/>
        <w:gridCol w:w="990"/>
        <w:gridCol w:w="211"/>
        <w:gridCol w:w="481"/>
        <w:gridCol w:w="109"/>
        <w:gridCol w:w="109"/>
        <w:gridCol w:w="109"/>
        <w:gridCol w:w="109"/>
        <w:gridCol w:w="211"/>
        <w:gridCol w:w="466"/>
        <w:gridCol w:w="109"/>
        <w:gridCol w:w="109"/>
        <w:gridCol w:w="109"/>
        <w:gridCol w:w="109"/>
        <w:gridCol w:w="658"/>
        <w:gridCol w:w="1456"/>
        <w:gridCol w:w="346"/>
        <w:gridCol w:w="109"/>
        <w:gridCol w:w="109"/>
        <w:gridCol w:w="109"/>
        <w:gridCol w:w="109"/>
        <w:gridCol w:w="109"/>
        <w:gridCol w:w="109"/>
        <w:gridCol w:w="109"/>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04" w:type="dxa"/>
            <w:gridSpan w:val="14"/>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Recognized as of August 2,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charges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after-tax impact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impact</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cumulative pre-tax costs associated with the initiatives is as follows:</w:t>
      </w:r>
    </w:p>
    <w:tbl>
      <w:tblPr>
        <w:tblW w:w="6225" w:type="dxa"/>
        <w:jc w:val="left"/>
        <w:tblInd w:w="0" w:type="dxa"/>
        <w:tblLayout w:type="fixed"/>
        <w:tblCellMar>
          <w:top w:w="28" w:type="dxa"/>
          <w:left w:w="28" w:type="dxa"/>
          <w:bottom w:w="28" w:type="dxa"/>
          <w:right w:w="28" w:type="dxa"/>
        </w:tblCellMar>
      </w:tblPr>
      <w:tblGrid>
        <w:gridCol w:w="1344"/>
        <w:gridCol w:w="1184"/>
        <w:gridCol w:w="1192"/>
        <w:gridCol w:w="634"/>
        <w:gridCol w:w="1404"/>
        <w:gridCol w:w="467"/>
      </w:tblGrid>
      <w:tr>
        <w:trPr/>
        <w:tc>
          <w:tcPr>
            <w:tcW w:w="134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Recognized as of August 2, 2026</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and benefits</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impairment/accelerated depreciation</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Implementation costs and other related costs</w:t>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aggregate $285 million pre-tax costs incurred to date, $158 million were cash expenditures. In addition, we invested $216 million in capital expenditures as of August 2, 2026. The capital expenditures primarily related to optimization of production within our manufacturing network, optimization of information technology infrastructure and applications and implementation of our existing SAP enterprise-resource planning system for Sovos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results do not include restructuring charges, implementation costs and other related costs because we evaluate segment performance excluding such charges. A summary of the pre-tax costs associated with segments is as follows: </w:t>
      </w:r>
    </w:p>
    <w:tbl>
      <w:tblPr>
        <w:tblW w:w="5044" w:type="dxa"/>
        <w:jc w:val="left"/>
        <w:tblInd w:w="0" w:type="dxa"/>
        <w:tblLayout w:type="fixed"/>
        <w:tblCellMar>
          <w:top w:w="28" w:type="dxa"/>
          <w:left w:w="28" w:type="dxa"/>
          <w:bottom w:w="28" w:type="dxa"/>
          <w:right w:w="28" w:type="dxa"/>
        </w:tblCellMar>
      </w:tblPr>
      <w:tblGrid>
        <w:gridCol w:w="613"/>
        <w:gridCol w:w="538"/>
        <w:gridCol w:w="544"/>
        <w:gridCol w:w="211"/>
        <w:gridCol w:w="466"/>
        <w:gridCol w:w="109"/>
        <w:gridCol w:w="109"/>
        <w:gridCol w:w="109"/>
        <w:gridCol w:w="109"/>
        <w:gridCol w:w="471"/>
        <w:gridCol w:w="1041"/>
        <w:gridCol w:w="243"/>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63" w:type="dxa"/>
            <w:gridSpan w:val="10"/>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Costs Incurred to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have generated total program-to-date pre-tax savings of approximately $225 million. Beginning in 2027, certain phases of these initiatives that have not been fully implemented will be incorporated into our 2027 cost savings initiatives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 xml:space="preserve">2027 Cost Savings Initiatives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2026, we announced plans to implement cost savings initiatives beginning in 2027, including those remaining under our 2025 cost savings initiatives, targeted overhead savings actions and an enterprise spend optimization project to improve how we manage and deploy direct and indirect spending. Cost estimates for these new initiatives, as well as timing for certain activities, are continuing to be developed.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estimated pre-tax costs for actions that have been identified to date are approximately $90 million, and we expect to incur substantially all of the costs through 2030. These estimates will be updated as the detailed plans are developed. We expect the costs for the actions that have been identified to date to consist of the following: approximately $5 million in severance pay and benefits and approximately $85 million in implementation costs and other related costs. We expect these pre-tax costs to be associated with our segments as follows: Meals &amp; Beverages - approximately 36%; Snacks - approximately 35% and Corporate - approximately 29%. Of the aggregate $90 million of pre-tax costs identified to date, we expect substantially all will be cash expenditures. In addition, we expect to invest approximately $10 million in capital expenditures. We expect these initiatives, once all phases are implemented, to generate annual ongoing savings of approximately $500 million by the end of 2030. </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Other Optimization Initiatives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2026, we incurred $21 million in Marketing and selling expenses related to this initiative. In 2025, we incurred $20 million in Marketing and selling expenses and $1 million in Administrative expenses related to this initiative. In 2024, we incurred $5 million in Marketing and selling expenses related to this initiative. As of August 2, 2026, we have incurred $46 million in Marketing and selling expenses and $1 million in Administrative expenses related to this initiative.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generated cash flows from operations of $1.039 billion in 2026, compared to $1.131 billion in 2025. The decline in 2026 was primarily due to lower cash earnings, partially offset by changes in working capital.</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generated cash flows from operations of $1.131 billion in 2025, compared to $1.185 billion in 2024. The decline in 2025 was primarily due to changes in working capital.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negative working capital of $616 million as of August 2, 2026, and $674 million as of August 3, 2025. Current assets were less than current liabilities, which included debt maturing in one year, due to a focus on lowering core working capital requirements. Total debt maturing within one year was $977 million as of August 2, 2026, and $762 million as of August 3, 2025. We have $500 million aggregate principal amount of senior notes maturing in March 2027 that we expect to repay and/or refinance using available resources, which may include accessing the capital markets, using cash on hand, commercial paper and/or our revolving credit facility.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$241 million at August 2, 2026, and $240 million at August 3, 2025.</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Capital expenditures were $361 million in 2026, $426 million in 2025 and $517 million in 2024. Capital expenditures are expected to total approximately $300 million in 2027. Capital expenditures in 2026 included network optimization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Meals &amp; Beverages business, information technology projects and wastewater initiatives. Capital expenditures in 2025 included network optimization for our Meals &amp; Beverages business, chip and cracker capacity expansion for our Snacks business and enhancements to our headquarters in Camden, New Jersey. Capital expenditures in 2024 included chip and cracker capacity expansion for our Snacks business, upgrades of assets across both segments of the business, enhancements to our headquarters in Camden, New Jersey and network optimization for our Meals &amp; Beverages business.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we acquired the 49% interests in La Regina and paid cash of $146 million and acquired cash of $147 million at closing.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12, 2024, we completed the acquisition of Sovos Brands. Cash consideration was $2.857 billion. The acquisition was funded through the 2024 DDTL Credit Agreement of $2 billion and cash on hand.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2025, we sold the noosa yoghurt business for $188 million, subject to certain customary purchase price adjustments, which resulted in $5 million of additional proceeds in the first quarter of 2026. On August 26, 2024, we sold our Pop Secret popcorn business for $70 million.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Dividend payments were $470 million in 2026, $459 million in 2025 and $445 million in 2024. Annual dividends declared were $1.56 per share in 2026, $1.54 per share in 2025, and $1.48 per share in 2024. The 2026 fourth quarter dividend was $.39 per share. The declaration of dividends is subject to the discretion of our Board and depends on various factors, including our net earnings, financial condition, cash requirements, future prospects and other factors that our Board deems relevant to its analysis and decision making. Effective September 3, 2026, the Board of Directors reset the quarterly dividend and declared a regular quarterly dividend of $.25 per share payable on November 2, 2026 to shareholders of record at the close of business on October 1, 2026.</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 new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In 2026, 2025, and 2024, we repurchased 805 thousand shares at a cost of $26 million, 1.303 million shares at a cost of $62 million and 1.56 million shares at a cost of $67 million, respectively, pursuant to our anti-dilutive share repurchase program. As of August 2, 2026, approximately $172 million remained available under the September 2024 program and approximately $301 million remained under the September 2021 program. We have not repurchased shares under either program since January 2026 and do not anticipate repurchasing shares under either program in 2027. See Note 17 to the Consolidated Financial Statements and "Market for Registrant's Capital Stock, Related Shareholder Matters and Issuer Purchases of Equity Securities" for additional information.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15, 2022, we entered into a delayed draw term loan credit agreement (the 2022 DDTL Credit Agreement) totaling up to $500 million scheduled to mature on November 15, 2025. We borrowed $500 million under the 2022 DDTL Credit Agreement in March 2023. The $500 million was repaid as described below.</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10, 2023, we entered into the 2024 DDTL Credit Agreement totaling up to $2 billion scheduled to mature on October 8, 2024. On March 12, 2024, we borrowed $2 billion under the 2024 DDTL Credit Agreement and used the proceeds in order to fund the acquisition of Sovos Brands, along with the fees and expenses incurred in connection therewith. The $2 billion was repaid in full as described below.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2023, we filed a registration statement (the 2023 Registration Statement) with the SEC that registered an indeterminate amount of debt securities. In August 2026, we filed a registration statement (the 2026 Registration Statement) with the SEC that registered an indeterminate amount of debt securities, capital stock, preferred stock, warrants, purchase contracts and units. Under the 2026 Registration Statement, we may issue these securities from time to time, depending on market conditions.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19, 2024, pursuant to the 2023 Registration Statement, we issued senior unsecured notes of $2.5 billion, consisting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$400 million aggregate principal amount of notes bearing interest at a fixed rate of 5.30% per annum, due March 20, 2026, with interest payable semi-annually on each of March 20 and September 20 commencing September 20, 2024;</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$500 million aggregate principal amount of notes bearing interest at a fixed rate of 5.20% per annum, due March 19, 2027, with interest payable semi-annually on each of March 19 and September 19 commencing September 19, 2024;</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$600 million aggregate principal amount of notes bearing interest at a fixed rate of 5.20% per annum, due March 21, 2029, with interest payable semi-annually on each of March 21 and September 21 commencing September 21, 2024; and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$1 billion aggregate principal amount of notes bearing interest at a fixed rate of 5.40% per annum, due March 21, 2034, with interest payable semi-annually on each of March 21 and September 21 commencing September 21, 2024.</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The notes contain customary covenants and events of default. If a change of control triggering event occurs, we will be required to offer to purchase the notes at a purchase price equal to 101% of the principal amount plus accrued and unpaid interest, if any, to the purchase date. </w:t>
      </w:r>
      <w:r>
        <w:rPr>
          <w:rFonts w:ascii="Times New Roman;serif" w:hAnsi="Times New Roman;serif"/>
          <w:b w:val="false"/>
          <w:color w:val="000000"/>
          <w:sz w:val="20"/>
          <w:shd w:fill="FFFFFF" w:val="clear"/>
        </w:rPr>
        <w:t xml:space="preserve">We used the net proceeds from the sale of the notes to repay the </w:t>
      </w:r>
      <w:r>
        <w:rPr>
          <w:rFonts w:ascii="Times New Roman;serif" w:hAnsi="Times New Roman;serif"/>
          <w:b w:val="false"/>
          <w:color w:val="000000"/>
          <w:sz w:val="20"/>
        </w:rPr>
        <w:t>$2 billion of outstanding</w:t>
      </w:r>
      <w:r>
        <w:rPr>
          <w:color w:val="000000"/>
          <w:shd w:fill="FFFFFF" w:val="clear"/>
        </w:rPr>
        <w:t xml:space="preserve"> </w:t>
      </w:r>
      <w:r>
        <w:rPr>
          <w:rFonts w:ascii="Times New Roman;serif" w:hAnsi="Times New Roman;serif"/>
          <w:b w:val="false"/>
          <w:color w:val="000000"/>
          <w:sz w:val="20"/>
          <w:shd w:fill="FFFFFF" w:val="clear"/>
        </w:rPr>
        <w:t xml:space="preserve">borrowings under the 2024 DDTL Credit Agreement used to fund the Sovos Brands acquisition, including fees and expenses in connection therewith, and the remainder of the net proceeds to repay commercial </w:t>
      </w:r>
      <w:r>
        <w:rPr>
          <w:rFonts w:ascii="Times New Roman;serif" w:hAnsi="Times New Roman;serif"/>
          <w:b w:val="false"/>
          <w:color w:val="000000"/>
          <w:sz w:val="20"/>
        </w:rPr>
        <w:t>paper.</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5, 2024, we repaid $100 million of the $500 million outstanding under the 2022 DDTL Credit Agreement due November 15, 2025. The remaining $400 million was repaid in October 2024 and November 2024 as described below.</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 2024, pursuant to the 2023 Registration Statement, we completed the issuance of senior unsecured notes of $1.15 billion, consisting of:</w:t>
      </w:r>
    </w:p>
    <w:p>
      <w:pPr>
        <w:pStyle w:val="TextBody"/>
        <w:bidi w:val="0"/>
        <w:spacing w:lineRule="auto" w:line="288" w:before="100" w:after="100"/>
        <w:ind w:left="0" w:right="0" w:hanging="360"/>
        <w:jc w:val="both"/>
        <w:rPr>
          <w:color w:val="000000"/>
        </w:rPr>
      </w:pPr>
      <w:r>
        <w:rPr>
          <w:color w:val="000000"/>
        </w:rPr>
        <w:t>•    </w:t>
      </w:r>
      <w:r>
        <w:rPr>
          <w:rFonts w:ascii="Times New Roman;serif" w:hAnsi="Times New Roman;serif"/>
          <w:b w:val="false"/>
          <w:color w:val="000000"/>
          <w:sz w:val="20"/>
        </w:rPr>
        <w:t>$800 million aggregate principal amount of notes bearing interest at a fixed rate of 4.75% per annum, due March 23, 2035, with interest payable semi-annually on each of March 23 and September 23 commencing March 23, 2025; and</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$350 million aggregate principal amount of notes bearing interest at a fixed rate of 5.25% per annum, due October 13, 2054, with interest payable semi-annually on each of April 13 and October 13 commencing April 13, 2025.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pStyle w:val="TextBody"/>
        <w:bidi w:val="0"/>
        <w:spacing w:lineRule="auto" w:line="288" w:before="100" w:after="100"/>
        <w:ind w:left="0" w:right="0" w:firstLine="360"/>
        <w:jc w:val="both"/>
        <w:rPr/>
      </w:pPr>
      <w:r>
        <w:rPr>
          <w:rFonts w:ascii="Times New Roman;serif" w:hAnsi="Times New Roman;serif"/>
          <w:b w:val="false"/>
          <w:color w:val="000000"/>
          <w:sz w:val="20"/>
        </w:rPr>
        <w:t>On December 15, 2025, pursuant to the 2023 Registration Statement, we completed the issuance of senior unsecured notes, consisting of $550 million aggregate principal amount of notes bearing interest at a fixed rate of 4.55% per annum, due March 21, 2031, with interest payable semi-annually on each of March 21 and September 21 commencing March 21, 2026. The notes contain customary covenants and events of default. If a change of control triggering event occurs, we will be required to offer to purchase the notes at a purchase price equal to 101% of the principal amount plus accrued and unpaid interest, if any, to the purchase date. W</w:t>
      </w:r>
      <w:r>
        <w:rPr>
          <w:rFonts w:ascii="Times New Roman;serif" w:hAnsi="Times New Roman;serif"/>
          <w:b w:val="false"/>
          <w:color w:val="000000"/>
          <w:sz w:val="20"/>
          <w:shd w:fill="FFFFFF" w:val="clear"/>
        </w:rPr>
        <w:t xml:space="preserve">e used a portion of the net proceeds from the issuance of the notes to repay a portion of our outstanding commercial paper and used the remaining proceeds to repay existing indebtedness and for general corporate purposes. </w:t>
      </w:r>
      <w:r>
        <w:rPr>
          <w:rFonts w:ascii="Times New Roman;serif" w:hAnsi="Times New Roman;serif"/>
          <w:b w:val="false"/>
          <w:color w:val="000000"/>
          <w:sz w:val="20"/>
        </w:rPr>
        <w:t>In March 2026, we used a portion of the net proceeds from the issuance of the notes along with cash on hand and the issuance of commercial paper to repay $400 million aggregate principal amount of senior notes that matured in March 2026.</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On September 16, 2026, we entered into an Extension Agreement to further extend the maturity date of the 2024 Revolving Credit Facility Agreement by one year from April 16, 2030 to April 16, 2031. The 2024 Revolving Credit Facility Agreement remained unused at August 2, 2026,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facility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had $977 million of short-term borrowings due within one year, of which $373 million was comprised of commercial paper borrowings. As of August 2, 2026, we issued $45 million of standby letters of credit. We have $500 million aggregate principal amount of senior notes maturing in March 2027 that we expect to repay and/or refinance using available resources, which may include accessing the capital markets, using cash on hand, commercial paper and/or our revolving credit facility.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 compliance with the covenants contained in our credit facilities and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short- and long-term material cash requirements related to our contractual obligations that arise in the normal course of business. In addition to principal and interest payments on our outstanding debt obligations, our contractual obligations primarily consist of purchase commitments, lease payments and pension and postretirement benefits.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14 to the Consolidated Financial Statements for a summary of our principal payments for short-term borrowings and long-term debt obligations as of August 2, 2026. Interest payments primarily for short-term borrowings and long-term debt as of August 2, 2026 are approximately as follows: $310 million in 2027; $513 million in 2028 through 2029; $395 million in 2030 through 2031; and $1.68 billion from 2032 through maturity. Interest payments are based on principal amounts and coupons or contractual rates at fiscal year end.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Purchase commitments represent purchase orders and long-term purchase arrangements related to the procurement of ingredients, supplies, machinery, equipment, contract manufacturing and services. As of August 2, 2026, purchase commitments totaled approximately $2.014 billion. Approximately $1.408 billion of these purchase commitments will be settled in the ordinary course of business in the next 12 months and the balance of $606 million from 2028 through 2034.</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to the Consolidated Financial Statements for a summary of our lease obligations as of August 2, 2026.</w:t>
      </w:r>
    </w:p>
    <w:p>
      <w:pPr>
        <w:pStyle w:val="TextBody"/>
        <w:bidi w:val="0"/>
        <w:spacing w:lineRule="auto" w:line="288" w:before="100" w:after="100"/>
        <w:ind w:left="0" w:right="0" w:firstLine="360"/>
        <w:jc w:val="both"/>
        <w:rPr/>
      </w:pPr>
      <w:r>
        <w:rPr>
          <w:rFonts w:ascii="Times New Roman;serif" w:hAnsi="Times New Roman;serif"/>
          <w:b w:val="false"/>
          <w:color w:val="000000"/>
          <w:sz w:val="20"/>
        </w:rPr>
        <w:t>As of August 2, 2026, we have a pension liability of $94 million and a postretirement benefit obligation of $115 million. As of August 2, 2026, we also have a pension asset of $125 million based on the funded status of certain plans. See Note 11 to the Consolidated Financial Statements and "Critical Accounting Estimates"</w:t>
      </w:r>
      <w:r>
        <w:rPr>
          <w:color w:val="000000"/>
        </w:rPr>
        <w:t xml:space="preserve"> </w:t>
      </w:r>
      <w:r>
        <w:rPr>
          <w:rFonts w:ascii="Times New Roman;serif" w:hAnsi="Times New Roman;serif"/>
          <w:b w:val="false"/>
          <w:color w:val="000000"/>
          <w:sz w:val="20"/>
        </w:rPr>
        <w:t>for further discussion of our pension and postretirement benefit obligations.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Off-Balance Sheet Arrangements and Other Commitments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guarantee approximately 4,600 bank loans made to independent contractor distributors by third-party financial institutions for the purchase of distribution routes. The maximum potential amount of the future payments under existing guarantees we could be required to make is $598 million as of August 2, 2026. Our guarantees are indirectly secured by the distribution routes. We do not expect that we will be required to make material guarantee payments as a result of defaults on the bank loans guaranteed.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obligations and commitments impact our liquidity and capital resource needs. 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MARKET RISK SENSITIVITY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market risks to which we are exposed are changes in foreign currency exchange rates, interest rates and commodity prices. In addition, we are exposed to price changes related to certain deferred compensation obligations. We manage our foreign currency exposures by utilizing foreign exchange forward and option contracts. We enter into foreign exchange forward and option contracts for periods consistent with related underlying exposures, and the contracts do not constitute positions independent of those exposures. We manage our exposure to changes in interest rates by optimizing the use of variable-rate and fixed-rate debt and we may utilize interest rate swaps in order to maintain our variable-to-total debt ratio within targeted guidelines. 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natural gas, aluminum, cocoa, diesel fuel, corn, soybean oil, and soybean meal. We do not enter into derivative contracts for speculative purposes and do not use leveraged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below summarizes our market risks associated with significant financial instruments as of August 2, 2026. Fair values included herein have been determined based on quoted market prices or pricing models using current market rates. The information presented below should be read in conjunction with Notes 14, 15 and 16 to the Consolidated Financial Statements.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risk, primarily the Canadian dollar related to intercompany transactions and the Euro related to transactions with La Regina. We acquired our 49% ownership interests in La Regina on May 4, 2026. We utilize foreign exchange forward and option contracts to hedge these exposures. The notional amounts of the contracts as of August 2, 2026, and August 3, 2025, were $325 million and $596 million, respectively. The aggregate fair value of all contracts was a gain of $6 million as of August 2, 2026, and a loss of $1 million as of August 3, 2025. A hypothetical 10% fluctuation in exchange rates would impact the fair value of our outstanding foreign exchange contracts by approximately $12 million as of August 2, 2026, and $32 million as of August 3, 2025, which would generally be offset by inverse changes on the underlying hedged items.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had outstanding variable-rate debt of $472 million with an average interest rate of 3.94%. As of August 3, 2025, we had outstanding variable-rate debt of $332 million with an average interest rate of 4.69%. A hypothetical 100-basis-point increase in average interest rates applied to our variable-rate debt balances throughout 2026 and 2025 would have increased annual interest expense in both years by approximately $3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had outstanding fixed-rate debt of $6.747 billion with a weighted average interest rate of 4.52%. As of August 3, 2025, we had outstanding fixed-rate debt of $6.583 billion with a weighted average interest rate of 4.57%. The fair value of fixed-rate debt was $6.094 billion as of August 2, 2026 and $6.213 billion as of August 3, 2025. As of August 2, 2026, and August 3, 2025, a hypothetical 100-basis-point increase in interest rates would decrease the fair value of our fixed-rate debt by approximately $291 million and $367 million, respectively, while a hypothetical 100-basis-point decrease in interest rates would increase the fair value of our fixed-rate debt by approximately $391 million and $417 million, respectively. The impact of market interest rate fluctuations on our long-term debt does not affect our results of operations or financial position.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We manage our exposure to changes in interest rates by </w:t>
      </w:r>
      <w:r>
        <w:rPr>
          <w:rFonts w:ascii="Times New Roman;serif" w:hAnsi="Times New Roman;serif"/>
          <w:b w:val="false"/>
          <w:color w:val="000000"/>
          <w:sz w:val="20"/>
          <w:shd w:fill="FFFFFF" w:val="clear"/>
        </w:rPr>
        <w:t>optimizin</w:t>
      </w:r>
      <w:r>
        <w:rPr>
          <w:rFonts w:ascii="Times New Roman;serif" w:hAnsi="Times New Roman;serif"/>
          <w:b w:val="false"/>
          <w:color w:val="000000"/>
          <w:sz w:val="20"/>
        </w:rPr>
        <w:t>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There were no forward starting interest rate swaps or treasury lock contracts outstanding as of August 2, 2026 and August 3, 2025. In conjunction with the issuance of senior unsecured notes on October 2, 2024, due on March 23, 2035, we settled forward starting interest rate swaps with a notional amount of $700 million at a gain of less than $1 million. We settled forward starting interest rate swaps with a notional amount of $1.1 billion in March 2024 at a loss of $11 million. The gains and losses on these instruments were recorded in other comprehensive income (loss) and will be recognized in Interest expense over the respective lives of the debt.</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entered into fixed-to-floating interest rate swaps accounted for as fair-value hedges. These instruments have a notional amount of $600 million and effectively convert a portion of our $800 million 4.75% Notes due March 23, 2035 from fixed-rate to variable-rate debt. The fair value of the instruments was a loss of $26 million as of August 2, 2026. There were no fixed-to-floating interest rate swaps outstanding as of August 3, 2025. Based on a hypothetical 100-basis-point increase in interest rates, the estimated fair value of the instruments would decrease by approximately $42 million with an offsetting change in the fair value of the hedged portion of long-term debt.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commodity futures, options and swap contracts, and a supply contract under which prices for certain raw materials are established based on anticipated volume requirements to reduce the volatility of price fluctuations for commodities. As of August 2, 2026, the total notional amount of the contracts was $189 million, and the aggregate fair value of the contracts was a gain of $6 million. As of August 3, 2025, the total notional amount of the contracts was $233 million, and the aggregate fair value of the contracts was a gain of $1 million. A hypothetical 10% fluctuation in commodity prices would impact the fair value of our outstanding commodity contracts by approximately $20 million as of August 2, 2026, and $23 million as of August 3, 2025, which would generally be offset by inverse changes on the underlying hedged items.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swap contracts which hedge a portion of exposures relating to the total return of certain deferred compensation obligations. The notional amount of the contracts was $83 million as of August 2, 2026, and $76 million as of August 3, 2025. The fair value of the contracts was a gain of $1 million as of August 2, 2026 and August 3, 2025. A hypothetical 10% fluctuation in equity price changes would impact the fair value of our outstanding swap contracts by approximately $8 million as of August 2, 2026 and August 3, 2025, which would generally be offset by inverse changes on the underlying hedged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Trade and consumer promotion programs — </w:t>
      </w:r>
      <w:r>
        <w:rPr>
          <w:rFonts w:ascii="Times New Roman;serif" w:hAnsi="Times New Roman;serif"/>
          <w:b w:val="false"/>
          <w:color w:val="000000"/>
          <w:sz w:val="20"/>
        </w:rPr>
        <w:t>We offer various sales incentive programs to customers and consumers, such as feature price discounts, 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Accrued trade and consumer promotion liabilities as of August 2, 2026 and August 3, 2025 were $159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Valuation of long-lived assets — </w:t>
      </w:r>
      <w:r>
        <w:rPr>
          <w:rFonts w:ascii="Times New Roman;serif" w:hAnsi="Times New Roman;serif"/>
          <w:b w:val="false"/>
          <w:color w:val="000000"/>
          <w:sz w:val="20"/>
        </w:rPr>
        <w:t>Fixed assets and amortizable intangible assets are reviewed for impairment as events or changes in circumstances occur indicating that the carrying value of the asset may not be recoverable. Undiscounted cash flow analyses are used to determine if the carrying amount of the asset is recoverable. If impairment is determined to exist, the charge is calculated based on estimated fair value.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pStyle w:val="TextBody"/>
        <w:bidi w:val="0"/>
        <w:spacing w:lineRule="auto" w:line="288" w:before="10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2024 Assessments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the fourth quarter of 2024, we recognized an impairment charge of $53 million on certain salty snacks and cookie trademarks within our Snacks segment, including </w:t>
      </w:r>
      <w:r>
        <w:rPr>
          <w:rFonts w:ascii="Times New Roman;serif" w:hAnsi="Times New Roman;serif"/>
          <w:b w:val="false"/>
          <w:i/>
          <w:color w:val="000000"/>
          <w:sz w:val="20"/>
        </w:rPr>
        <w:t>Tom’s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Jays, Kruncher’s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O-Ke-Doke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Stella D’oro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Archway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collectively referred to as our "Allied brands." In 2024, sales and operating performance were below expectations due in part to competitive pressure and reduced margins. In the fourth quarter of 2024, based on recent performance and the reevaluation of the position of the Allied brands within our portfolio, we lowered our near-term and long-term outlook for future sales and operating performance, reducing the carrying value of the trademarks to $43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reducing the carrying value of the trademark to $28 million. The sale of the business was completed on August 26, 2024.</w:t>
      </w:r>
    </w:p>
    <w:p>
      <w:pPr>
        <w:pStyle w:val="TextBody"/>
        <w:bidi w:val="0"/>
        <w:spacing w:lineRule="auto" w:line="26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2025 Assessments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we performed an interim impairment assessment on our Allied brands trademarks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our sales performance was below expectations. In the second quarter of 2025, based on recent performance, we lowered our long-term outlook and recognized an impairment charge of $15 million on the trademarks, reducing the carrying value to $28 million.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During the second quarter of 2025, we performed an interim impairment assessment on the </w:t>
      </w:r>
      <w:r>
        <w:rPr>
          <w:rFonts w:ascii="Times New Roman;serif" w:hAnsi="Times New Roman;serif"/>
          <w:b w:val="false"/>
          <w:i/>
          <w:color w:val="000000"/>
          <w:sz w:val="20"/>
        </w:rPr>
        <w:t xml:space="preserve">Late July </w:t>
      </w:r>
      <w:r>
        <w:rPr>
          <w:rFonts w:ascii="Times New Roman;serif" w:hAnsi="Times New Roman;serif"/>
          <w:b w:val="false"/>
          <w:color w:val="000000"/>
          <w:sz w:val="20"/>
        </w:rPr>
        <w:t>trademark within our Snacks segment as our sales performance was below expectations. In the second quarter of 2025, based on recent performance, we lowered our long-term outlook and recognized an impairment charge of $11 million on the trademark, reducing the carrying value to $47 million.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During the third quarter of 2025, we performed an interim impairment assessment on the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trademark within our Snacks segment as our sales and operating performance were below expectations. In the third quarter of 2025, based on recent performance, we lowered our long-term outlook and recognized an impairment charge of $150 million on the trademark, reducing the carrying value to $470 million.</w:t>
      </w:r>
    </w:p>
    <w:p>
      <w:pPr>
        <w:pStyle w:val="TextBody"/>
        <w:bidi w:val="0"/>
        <w:spacing w:lineRule="auto" w:line="268" w:before="100" w:after="1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2026 Assessments</w:t>
      </w:r>
    </w:p>
    <w:p>
      <w:pPr>
        <w:pStyle w:val="TextBody"/>
        <w:bidi w:val="0"/>
        <w:spacing w:lineRule="auto" w:line="26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 2026, the carrying value of goodwill was $5.321 billion. Based on our assessments, all of our reporting units had fair values that significantly exceeded carrying values.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the fourth quarter of 2026, based on recent performance, we recognized impairment charges on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 xml:space="preserve">trademarks. In 2026, sales and operating performance were below expectations due in part to competitive pressures and reduced margins. As a result, we lowered our near-term and long-term outlook for future sales and operating performance. We recognized an impairment charge of $60 million on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trademark, reducing the carrying value to $258 million, and an impairment charge of $57 million on the </w:t>
      </w:r>
      <w:r>
        <w:rPr>
          <w:rFonts w:ascii="Times New Roman;serif" w:hAnsi="Times New Roman;serif"/>
          <w:b w:val="false"/>
          <w:i/>
          <w:color w:val="000000"/>
          <w:sz w:val="20"/>
        </w:rPr>
        <w:t xml:space="preserve">Cape Cod </w:t>
      </w:r>
      <w:r>
        <w:rPr>
          <w:rFonts w:ascii="Times New Roman;serif" w:hAnsi="Times New Roman;serif"/>
          <w:b w:val="false"/>
          <w:color w:val="000000"/>
          <w:sz w:val="20"/>
        </w:rPr>
        <w:t>trademark, reducing the carrying value to $130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the carrying value of indefinite-lived trademarks was $3.561 billion as detailed below:</w:t>
      </w:r>
    </w:p>
    <w:tbl>
      <w:tblPr>
        <w:tblW w:w="3193" w:type="dxa"/>
        <w:jc w:val="left"/>
        <w:tblInd w:w="0" w:type="dxa"/>
        <w:tblLayout w:type="fixed"/>
        <w:tblCellMar>
          <w:top w:w="28" w:type="dxa"/>
          <w:left w:w="28" w:type="dxa"/>
          <w:bottom w:w="28" w:type="dxa"/>
          <w:right w:w="28" w:type="dxa"/>
        </w:tblCellMar>
      </w:tblPr>
      <w:tblGrid>
        <w:gridCol w:w="722"/>
        <w:gridCol w:w="632"/>
        <w:gridCol w:w="640"/>
        <w:gridCol w:w="211"/>
        <w:gridCol w:w="616"/>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Rao's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Snyder's of Hanover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Pacific Foods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Kettle Brand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Cape Cod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Various other Snacks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00" w:after="10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the </w:t>
      </w:r>
      <w:r>
        <w:rPr>
          <w:rFonts w:ascii="Times New Roman;serif" w:hAnsi="Times New Roman;serif"/>
          <w:b w:val="false"/>
          <w:i/>
          <w:color w:val="000000"/>
          <w:sz w:val="20"/>
        </w:rPr>
        <w:t xml:space="preserve">Late July </w:t>
      </w:r>
      <w:r>
        <w:rPr>
          <w:rFonts w:ascii="Times New Roman;serif" w:hAnsi="Times New Roman;serif"/>
          <w:b w:val="false"/>
          <w:color w:val="000000"/>
          <w:sz w:val="20"/>
        </w:rPr>
        <w:t>and Allied brands trademarks.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As of the 2026 annual impairment testing, indefinite-lived trademarks with approximately 10% or less of excess coverage of fair value over carrying value had an aggregate carrying value of $1.225 billion and included</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i/>
          <w:color w:val="000000"/>
          <w:sz w:val="20"/>
        </w:rPr>
        <w:t>Snyder's of Hanover</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Pace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Kettle Brand, Cape Cod</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Late July </w:t>
      </w:r>
      <w:r>
        <w:rPr>
          <w:rFonts w:ascii="Times New Roman;serif" w:hAnsi="Times New Roman;serif"/>
          <w:b w:val="false"/>
          <w:color w:val="000000"/>
          <w:sz w:val="20"/>
        </w:rPr>
        <w:t>and Allied brands trademarks. Although assumptions are generally interdependent and do not change in isolation, sensitivities to changes are provided below. Holding all other assumptions in our 2026 impairment testing constant, changes in the assumptions below would reduce fair value of trademarks and result in impairment charges of approximately:</w:t>
      </w:r>
    </w:p>
    <w:tbl>
      <w:tblPr>
        <w:tblW w:w="10205" w:type="dxa"/>
        <w:jc w:val="left"/>
        <w:tblInd w:w="0" w:type="dxa"/>
        <w:tblLayout w:type="fixed"/>
        <w:tblCellMar>
          <w:top w:w="28" w:type="dxa"/>
          <w:left w:w="28" w:type="dxa"/>
          <w:bottom w:w="28" w:type="dxa"/>
          <w:right w:w="28" w:type="dxa"/>
        </w:tblCellMar>
      </w:tblPr>
      <w:tblGrid>
        <w:gridCol w:w="593"/>
        <w:gridCol w:w="520"/>
        <w:gridCol w:w="524"/>
        <w:gridCol w:w="109"/>
        <w:gridCol w:w="109"/>
        <w:gridCol w:w="109"/>
        <w:gridCol w:w="109"/>
        <w:gridCol w:w="109"/>
        <w:gridCol w:w="230"/>
        <w:gridCol w:w="394"/>
        <w:gridCol w:w="119"/>
        <w:gridCol w:w="109"/>
        <w:gridCol w:w="109"/>
        <w:gridCol w:w="109"/>
        <w:gridCol w:w="211"/>
        <w:gridCol w:w="406"/>
        <w:gridCol w:w="109"/>
        <w:gridCol w:w="109"/>
        <w:gridCol w:w="109"/>
        <w:gridCol w:w="109"/>
        <w:gridCol w:w="109"/>
        <w:gridCol w:w="109"/>
        <w:gridCol w:w="109"/>
        <w:gridCol w:w="109"/>
        <w:gridCol w:w="211"/>
        <w:gridCol w:w="406"/>
        <w:gridCol w:w="109"/>
        <w:gridCol w:w="109"/>
        <w:gridCol w:w="109"/>
        <w:gridCol w:w="109"/>
        <w:gridCol w:w="109"/>
        <w:gridCol w:w="213"/>
        <w:gridCol w:w="365"/>
        <w:gridCol w:w="110"/>
        <w:gridCol w:w="109"/>
        <w:gridCol w:w="109"/>
        <w:gridCol w:w="109"/>
        <w:gridCol w:w="109"/>
        <w:gridCol w:w="109"/>
        <w:gridCol w:w="212"/>
        <w:gridCol w:w="362"/>
        <w:gridCol w:w="109"/>
        <w:gridCol w:w="109"/>
        <w:gridCol w:w="109"/>
        <w:gridCol w:w="109"/>
        <w:gridCol w:w="211"/>
        <w:gridCol w:w="406"/>
        <w:gridCol w:w="109"/>
        <w:gridCol w:w="109"/>
        <w:gridCol w:w="109"/>
        <w:gridCol w:w="109"/>
        <w:gridCol w:w="213"/>
        <w:gridCol w:w="411"/>
        <w:gridCol w:w="110"/>
        <w:gridCol w:w="109"/>
        <w:gridCol w:w="163"/>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Snyder's of Hanover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Kettle Brand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Cape Cod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Late July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Allied brands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increase in the weighted-average cost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reduction in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decrease in royalty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While the 1% changes in assumptions would not result in impairment charges on our other trademarks, some changes would result in a fair value exceeding carrying value by less than 10% for the </w:t>
      </w:r>
      <w:r>
        <w:rPr>
          <w:rFonts w:ascii="Times New Roman;serif" w:hAnsi="Times New Roman;serif"/>
          <w:b w:val="false"/>
          <w:i/>
          <w:color w:val="000000"/>
          <w:sz w:val="20"/>
        </w:rPr>
        <w:t xml:space="preserve">Rao's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Pacific Foods </w:t>
      </w:r>
      <w:r>
        <w:rPr>
          <w:rFonts w:ascii="Times New Roman;serif" w:hAnsi="Times New Roman;serif"/>
          <w:b w:val="false"/>
          <w:color w:val="000000"/>
          <w:sz w:val="20"/>
        </w:rPr>
        <w:t>trademarks.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estimates of future cash flows used in impairment testing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performance and economic conditions, including from the potential impact of tariffs, shifting global trade policies and geopolitical conflicts. If our assumptions change or market conditions decline, potential impairment charges could result.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also Note 7 to the Consolidated Financial Statements for additional information on goodwill and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Pension and postretirement benefits — </w:t>
      </w:r>
      <w:r>
        <w:rPr>
          <w:rFonts w:ascii="Times New Roman;serif" w:hAnsi="Times New Roman;serif"/>
          <w:b w:val="false"/>
          <w:color w:val="000000"/>
          <w:sz w:val="20"/>
        </w:rPr>
        <w:t>We provide certain pension and postretirement benefits to employees and retirees. Determining the cost associated 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establishing the discount rate, we review published market indices of high-quality debt securities, adjusted as appropriate for duration. In addition, independent actuaries apply high-quality bond yield curves to the expected benefit payments of the plans. We use a full yield curve approach to estimate service cost and interest cost by applying the specific spot rates along the yield curve used to determine the benefit obligation of the relevant projected cash flows.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have a pension liability of $94 million and a postretirement benefit obligation of $115 million. As of August 2, 2026, we also have a pension asset of $125 million based on the funded status of certain plans.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periodic pension and postretirement benefit expense (income) and actuarial losses (gains) included within net periodic pension and benefit expense (income) were as follows:</w:t>
      </w:r>
    </w:p>
    <w:tbl>
      <w:tblPr>
        <w:tblW w:w="8727" w:type="dxa"/>
        <w:jc w:val="left"/>
        <w:tblInd w:w="0" w:type="dxa"/>
        <w:tblLayout w:type="fixed"/>
        <w:tblCellMar>
          <w:top w:w="28" w:type="dxa"/>
          <w:left w:w="28" w:type="dxa"/>
          <w:bottom w:w="28" w:type="dxa"/>
          <w:right w:w="28" w:type="dxa"/>
        </w:tblCellMar>
      </w:tblPr>
      <w:tblGrid>
        <w:gridCol w:w="2138"/>
        <w:gridCol w:w="1877"/>
        <w:gridCol w:w="1895"/>
        <w:gridCol w:w="211"/>
        <w:gridCol w:w="436"/>
        <w:gridCol w:w="109"/>
        <w:gridCol w:w="109"/>
        <w:gridCol w:w="109"/>
        <w:gridCol w:w="109"/>
        <w:gridCol w:w="211"/>
        <w:gridCol w:w="361"/>
        <w:gridCol w:w="109"/>
        <w:gridCol w:w="109"/>
        <w:gridCol w:w="109"/>
        <w:gridCol w:w="109"/>
        <w:gridCol w:w="211"/>
        <w:gridCol w:w="361"/>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Total net periodic pension and postretirement benefit expense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Actuarial losses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actuarial gains recognized in 2026 were primarily due to increases in the discount rates used to determine the benefit obligation and the gain from an annuity settlement, partially offset by plan experience and gains on plan assets that were less than the expected return. The actuarial losses recognized in 2025 were primarily due to gains on plan assets that were less than the expected return, partially offset by increases in the discount rates used to determine the benefit obligation and plan experience. The actuarial losses recognized in 2024 were primarily due to decreases in discount rates used to determine the benefit obligation and plan experience, partially offset by gains on plan assets.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weighted-average assumptions as of the end of the year were as follows:</w:t>
      </w:r>
    </w:p>
    <w:tbl>
      <w:tblPr>
        <w:tblW w:w="5676" w:type="dxa"/>
        <w:jc w:val="left"/>
        <w:tblInd w:w="0" w:type="dxa"/>
        <w:tblLayout w:type="fixed"/>
        <w:tblCellMar>
          <w:top w:w="28" w:type="dxa"/>
          <w:left w:w="28" w:type="dxa"/>
          <w:bottom w:w="28" w:type="dxa"/>
          <w:right w:w="28" w:type="dxa"/>
        </w:tblCellMar>
      </w:tblPr>
      <w:tblGrid>
        <w:gridCol w:w="1106"/>
        <w:gridCol w:w="972"/>
        <w:gridCol w:w="981"/>
        <w:gridCol w:w="219"/>
        <w:gridCol w:w="219"/>
        <w:gridCol w:w="221"/>
        <w:gridCol w:w="109"/>
        <w:gridCol w:w="109"/>
        <w:gridCol w:w="109"/>
        <w:gridCol w:w="209"/>
        <w:gridCol w:w="209"/>
        <w:gridCol w:w="211"/>
        <w:gridCol w:w="109"/>
        <w:gridCol w:w="109"/>
        <w:gridCol w:w="109"/>
        <w:gridCol w:w="197"/>
        <w:gridCol w:w="197"/>
        <w:gridCol w:w="281"/>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Pension</w:t>
            </w:r>
          </w:p>
        </w:tc>
        <w:tc>
          <w:tcPr>
            <w:tcW w:w="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for benefit obligations</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5.28%</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Postretirement</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 for obligations</w:t>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benefit obligations and plan assets as of August 2, 2026, estimated sensitivities to 2027 annual net periodic pension and postretirement cost are as follows: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a 50-basis-point increase in the discount rate would result in expense of approximately $4 million and would result in an immediate actuarial gain recognition of approximately $33 million;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 xml:space="preserve">a 50-basis-point decline in the discount rate would result in income of approximately $4 million and would result in an immediate actuarial loss recognition of approximately $35 million; and </w:t>
      </w:r>
    </w:p>
    <w:p>
      <w:pPr>
        <w:pStyle w:val="TextBody"/>
        <w:bidi w:val="0"/>
        <w:spacing w:lineRule="auto" w:line="288" w:before="100" w:after="100"/>
        <w:ind w:left="0" w:right="0" w:hanging="180"/>
        <w:jc w:val="both"/>
        <w:rPr/>
      </w:pPr>
      <w:r>
        <w:rPr>
          <w:color w:val="000000"/>
        </w:rPr>
        <w:t>•</w:t>
      </w:r>
      <w:r>
        <w:rPr>
          <w:rFonts w:ascii="Times New Roman;serif" w:hAnsi="Times New Roman;serif"/>
          <w:b w:val="false"/>
          <w:color w:val="000000"/>
          <w:sz w:val="20"/>
        </w:rPr>
        <w:t>a 50-basis-point reduction in the estimated return on assets assumption would result in expense of approximately $5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Contributions to pension plans were not material in 2026, 2025 and 2024 and are not expected to be material in 2027.</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also Note 11 to the Consolidated Financial Statements for additional information on pension and postretirement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Income taxes — </w:t>
      </w:r>
      <w:r>
        <w:rPr>
          <w:rFonts w:ascii="Times New Roman;serif" w:hAnsi="Times New Roman;serif"/>
          <w:b w:val="false"/>
          <w:color w:val="000000"/>
          <w:sz w:val="20"/>
        </w:rPr>
        <w:t>The effective tax rate reflects statutory tax rates, tax planning opportunities available in the various jurisdictions in which we operate and 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also Notes 1 and 13 to the Consolidated Financial Statements for further discussion on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to the Consolidated Financial Statements for information on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CAUTIONARY FACTORS THAT MAY AFFECT FUTURE RESULTS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"could," "estimate," "expect," "intend," "may," "plan," "pursue," "seek,"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wish to caution the reader that the following important factors and those important factors described in Part 1, Item 1A and elsewhere in this Report, or in our other SEC filings, could affect our actual results and could cause such results to vary materially from those expressed in any forward-looking statements made by, or on behalf of, us: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declines or volatility in financial markets, deteriorating economic conditions and other external factors, including the impact of geopolitical conflicts and the impact and application of new or changes to existing governmental laws, regulations, and policies;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risks associated with tariff actions taken by the U.S. and reciprocal tariffs by its trading partners;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risks related to the availability of, and cost inflation in, supply chain inputs, including raw materials, packaging materials, energy, logistics, finished products and labor, including those related to ongoing geopolitical conflicts and tariffs;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disruptions in or inefficiencies to our supply chain and/or operations, including reliance on key contract manufacturer and supplier relationships;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execute on and realize the expected benefits from our strategy, including sales growth in and/or maintenance of our market share position in snacks, soups, sauces and beverages;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impact of strong competitive responses to our efforts to leverage brand power with product innovation, promotional programs and new advertising;</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risks associated with trade and consumer acceptance of product improvements, shelving initiatives, new products and pricing and promotional strategies;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changes in consumer demand for our products, evolving consumer preferences and favorable perception of our brands;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risks related to the La Regina transaction, including that the benefits from the transaction may not be fully realized or may take longer or cost more to be realized than expected;</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realize projected cost savings and benefits from cost savings initiatives and integration efforts in light of recent acquisitions and strategic investments;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risks related to the effectiveness of our hedging activities and our ability to respond to volatility in commodity prices;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manage changes to our organizational structure and/or business processes, including selling, distribution, manufacturing and information management systems or processes;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changing inventory management practices by certain of our key customers;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a changing customer landscape, with value and e-commerce retailers expanding their market presence, while certain of our key customers maintain significance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product quality and safety issues, including recalls and product liabilities;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possible disruption to the independent contractor distribution models used by certain of our businesses, including as a result of litigation or regulatory actions affecting their independent contractor classification;</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uncertainties of litigation and regulatory actions against us;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a disruption, failure or security breach of our or our vendors' information technology systems, including ransomware attacks;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shd w:fill="FFFFFF" w:val="clear"/>
        </w:rPr>
        <w:t>our indebtedness and ability to pay such indebtedness;</w:t>
      </w:r>
    </w:p>
    <w:p>
      <w:pPr>
        <w:pStyle w:val="TextBody"/>
        <w:bidi w:val="0"/>
        <w:spacing w:lineRule="auto" w:line="288" w:before="100" w:after="100"/>
        <w:ind w:left="0" w:right="0" w:hanging="360"/>
        <w:jc w:val="left"/>
        <w:rPr/>
      </w:pPr>
      <w:r>
        <w:rPr>
          <w:color w:val="000000"/>
          <w:shd w:fill="FFFFFF" w:val="clear"/>
        </w:rPr>
        <w:t>•</w:t>
      </w:r>
      <w:r>
        <w:rPr>
          <w:rFonts w:ascii="Times New Roman;serif" w:hAnsi="Times New Roman;serif"/>
          <w:b w:val="false"/>
          <w:color w:val="000000"/>
          <w:sz w:val="20"/>
          <w:shd w:fill="FFFFFF" w:val="clear"/>
        </w:rPr>
        <w:t>a ch</w:t>
      </w:r>
      <w:r>
        <w:rPr>
          <w:rFonts w:ascii="Times New Roman;serif" w:hAnsi="Times New Roman;serif"/>
          <w:b w:val="false"/>
          <w:color w:val="000000"/>
          <w:sz w:val="20"/>
        </w:rPr>
        <w:t>ange in outlook or downgrade in our public credit ratings;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impairment to goodwill or other intangible assets;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our ability to attract and retain key talent;</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goals and initiatives related to, and the impacts of, climate change, including from weather-related events;</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the costs, disruption and diversion of management's attention associated with activist investors; and</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unforeseen business disruptions or other impacts due to political instability, civil disobedience, terrorism, geopolitical conflicts, extreme weather conditions, natural disasters, pandemics or other outbreaks of disease or other calamities.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hanging="360"/>
        <w:jc w:val="left"/>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 About Market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section entitled "Management’s Discussion and Analysis of Financial Condition and Results of Operations — Market Risk Sensitivity"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left"/>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Supplementary Data</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u w:val="single"/>
        </w:rPr>
      </w:pPr>
      <w:r>
        <w:rPr>
          <w:rFonts w:ascii="Times New Roman;serif" w:hAnsi="Times New Roman;serif"/>
          <w:b/>
          <w:color w:val="000000"/>
          <w:sz w:val="20"/>
          <w:u w:val="single"/>
        </w:rPr>
        <w:t>INDEX TO CONSOLIDATED FINANCIAL STATEMENTS</w:t>
      </w:r>
    </w:p>
    <w:tbl>
      <w:tblPr>
        <w:tblW w:w="9986" w:type="dxa"/>
        <w:jc w:val="center"/>
        <w:tblInd w:w="0" w:type="dxa"/>
        <w:tblLayout w:type="fixed"/>
        <w:tblCellMar>
          <w:top w:w="28" w:type="dxa"/>
          <w:left w:w="28" w:type="dxa"/>
          <w:bottom w:w="28" w:type="dxa"/>
          <w:right w:w="28" w:type="dxa"/>
        </w:tblCellMar>
      </w:tblPr>
      <w:tblGrid>
        <w:gridCol w:w="799"/>
        <w:gridCol w:w="703"/>
        <w:gridCol w:w="703"/>
        <w:gridCol w:w="2466"/>
        <w:gridCol w:w="2466"/>
        <w:gridCol w:w="2477"/>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94">
              <w:r>
                <w:rPr>
                  <w:rStyle w:val="InternetLink"/>
                  <w:rFonts w:ascii="Times New Roman;serif" w:hAnsi="Times New Roman;serif"/>
                  <w:b w:val="false"/>
                  <w:strike w:val="false"/>
                  <w:dstrike w:val="false"/>
                  <w:color w:val="0000FF"/>
                  <w:sz w:val="20"/>
                  <w:u w:val="none"/>
                  <w:effect w:val="none"/>
                </w:rPr>
                <w:t>Consolidated Statements of Earnings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94">
              <w:r>
                <w:rPr>
                  <w:rStyle w:val="InternetLink"/>
                  <w:rFonts w:ascii="Times New Roman;serif" w:hAnsi="Times New Roman;serif"/>
                  <w:b w:val="false"/>
                  <w:strike w:val="false"/>
                  <w:dstrike w:val="false"/>
                  <w:color w:val="0000FF"/>
                  <w:sz w:val="20"/>
                  <w:u w:val="none"/>
                  <w:effect w:val="none"/>
                </w:rPr>
                <w:t>42</w:t>
              </w:r>
            </w:hyperlink>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97">
              <w:r>
                <w:rPr>
                  <w:rStyle w:val="InternetLink"/>
                  <w:rFonts w:ascii="Times New Roman;serif" w:hAnsi="Times New Roman;serif"/>
                  <w:b w:val="false"/>
                  <w:strike w:val="false"/>
                  <w:dstrike w:val="false"/>
                  <w:color w:val="0000FF"/>
                  <w:sz w:val="20"/>
                  <w:u w:val="none"/>
                  <w:effect w:val="non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97">
              <w:r>
                <w:rPr>
                  <w:rStyle w:val="InternetLink"/>
                  <w:rFonts w:ascii="Times New Roman;serif" w:hAnsi="Times New Roman;serif"/>
                  <w:b w:val="false"/>
                  <w:strike w:val="false"/>
                  <w:dstrike w:val="false"/>
                  <w:color w:val="0000FF"/>
                  <w:sz w:val="20"/>
                  <w:u w:val="none"/>
                  <w:effect w:val="none"/>
                </w:rPr>
                <w:t>43</w:t>
              </w:r>
            </w:hyperlink>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0">
              <w:r>
                <w:rPr>
                  <w:rStyle w:val="InternetLink"/>
                  <w:rFonts w:ascii="Times New Roman;serif" w:hAnsi="Times New Roman;serif"/>
                  <w:b w:val="false"/>
                  <w:strike w:val="false"/>
                  <w:dstrike w:val="false"/>
                  <w:color w:val="0000FF"/>
                  <w:sz w:val="20"/>
                  <w:u w:val="none"/>
                  <w:effect w:val="non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0">
              <w:r>
                <w:rPr>
                  <w:rStyle w:val="InternetLink"/>
                  <w:rFonts w:ascii="Times New Roman;serif" w:hAnsi="Times New Roman;serif"/>
                  <w:b w:val="false"/>
                  <w:strike w:val="false"/>
                  <w:dstrike w:val="false"/>
                  <w:color w:val="0000FF"/>
                  <w:sz w:val="20"/>
                  <w:u w:val="none"/>
                  <w:effect w:val="none"/>
                </w:rPr>
                <w:t>44</w:t>
              </w:r>
            </w:hyperlink>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3">
              <w:r>
                <w:rPr>
                  <w:rStyle w:val="InternetLink"/>
                  <w:rFonts w:ascii="Times New Roman;serif" w:hAnsi="Times New Roman;serif"/>
                  <w:b w:val="false"/>
                  <w:strike w:val="false"/>
                  <w:dstrike w:val="false"/>
                  <w:color w:val="0000FF"/>
                  <w:sz w:val="20"/>
                  <w:u w:val="none"/>
                  <w:effect w:val="non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3">
              <w:r>
                <w:rPr>
                  <w:rStyle w:val="InternetLink"/>
                  <w:rFonts w:ascii="Times New Roman;serif" w:hAnsi="Times New Roman;serif"/>
                  <w:b w:val="false"/>
                  <w:strike w:val="false"/>
                  <w:dstrike w:val="false"/>
                  <w:color w:val="0000FF"/>
                  <w:sz w:val="20"/>
                  <w:u w:val="none"/>
                  <w:effect w:val="none"/>
                </w:rPr>
                <w:t>45</w:t>
              </w:r>
            </w:hyperlink>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6">
              <w:r>
                <w:rPr>
                  <w:rStyle w:val="InternetLink"/>
                  <w:rFonts w:ascii="Times New Roman;serif" w:hAnsi="Times New Roman;serif"/>
                  <w:b w:val="false"/>
                  <w:strike w:val="false"/>
                  <w:dstrike w:val="false"/>
                  <w:color w:val="0000FF"/>
                  <w:sz w:val="20"/>
                  <w:u w:val="none"/>
                  <w:effect w:val="none"/>
                </w:rPr>
                <w:t>Consolidated Statements of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6">
              <w:r>
                <w:rPr>
                  <w:rStyle w:val="InternetLink"/>
                  <w:rFonts w:ascii="Times New Roman;serif" w:hAnsi="Times New Roman;serif"/>
                  <w:b w:val="false"/>
                  <w:strike w:val="false"/>
                  <w:dstrike w:val="false"/>
                  <w:color w:val="0000FF"/>
                  <w:sz w:val="20"/>
                  <w:u w:val="none"/>
                  <w:effect w:val="none"/>
                </w:rPr>
                <w:t>46</w:t>
              </w:r>
            </w:hyperlink>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09">
              <w:r>
                <w:rPr>
                  <w:rStyle w:val="InternetLink"/>
                  <w:rFonts w:ascii="Times New Roman;serif" w:hAnsi="Times New Roman;serif"/>
                  <w:b w:val="false"/>
                  <w:strike w:val="false"/>
                  <w:dstrike w:val="false"/>
                  <w:color w:val="0000FF"/>
                  <w:sz w:val="20"/>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12">
              <w:r>
                <w:rPr>
                  <w:rStyle w:val="InternetLink"/>
                  <w:rFonts w:ascii="Times New Roman;serif" w:hAnsi="Times New Roman;serif"/>
                  <w:b w:val="false"/>
                  <w:strike w:val="false"/>
                  <w:dstrike w:val="false"/>
                  <w:color w:val="0000FF"/>
                  <w:sz w:val="20"/>
                  <w:u w:val="none"/>
                  <w:effect w:val="none"/>
                </w:rPr>
                <w:t>Note 1.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12">
              <w:r>
                <w:rPr>
                  <w:rStyle w:val="InternetLink"/>
                  <w:rFonts w:ascii="Times New Roman;serif" w:hAnsi="Times New Roman;serif"/>
                  <w:b w:val="false"/>
                  <w:strike w:val="false"/>
                  <w:dstrike w:val="false"/>
                  <w:color w:val="0000FF"/>
                  <w:sz w:val="20"/>
                  <w:u w:val="none"/>
                  <w:effect w:val="none"/>
                </w:rPr>
                <w:t>47</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15">
              <w:r>
                <w:rPr>
                  <w:rStyle w:val="InternetLink"/>
                  <w:rFonts w:ascii="Times New Roman;serif" w:hAnsi="Times New Roman;serif"/>
                  <w:b w:val="false"/>
                  <w:strike w:val="false"/>
                  <w:dstrike w:val="false"/>
                  <w:color w:val="0000FF"/>
                  <w:sz w:val="20"/>
                  <w:u w:val="none"/>
                  <w:effect w:val="none"/>
                </w:rPr>
                <w:t>Note 2. Recent Accounting Pronouncements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15">
              <w:r>
                <w:rPr>
                  <w:rStyle w:val="InternetLink"/>
                  <w:rFonts w:ascii="Times New Roman;serif" w:hAnsi="Times New Roman;serif"/>
                  <w:b w:val="false"/>
                  <w:strike w:val="false"/>
                  <w:dstrike w:val="false"/>
                  <w:color w:val="0000FF"/>
                  <w:sz w:val="20"/>
                  <w:u w:val="none"/>
                  <w:effect w:val="none"/>
                </w:rPr>
                <w:t>49</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18">
              <w:r>
                <w:rPr>
                  <w:rStyle w:val="InternetLink"/>
                  <w:rFonts w:ascii="Times New Roman;serif" w:hAnsi="Times New Roman;serif"/>
                  <w:b w:val="false"/>
                  <w:strike w:val="false"/>
                  <w:dstrike w:val="false"/>
                  <w:color w:val="0000FF"/>
                  <w:sz w:val="20"/>
                  <w:u w:val="none"/>
                  <w:effect w:val="none"/>
                </w:rPr>
                <w:t>Note 3. Acquisition</w:t>
              </w:r>
            </w:hyperlink>
            <w:r>
              <w:rPr>
                <w:rFonts w:ascii="Times New Roman;serif" w:hAnsi="Times New Roman;serif"/>
                <w:b w:val="false"/>
                <w:color w:val="000000"/>
                <w:sz w:val="20"/>
              </w:rPr>
              <w: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18">
              <w:r>
                <w:rPr>
                  <w:rStyle w:val="InternetLink"/>
                  <w:rFonts w:ascii="Times New Roman;serif" w:hAnsi="Times New Roman;serif"/>
                  <w:b w:val="false"/>
                  <w:strike w:val="false"/>
                  <w:dstrike w:val="false"/>
                  <w:color w:val="0000FF"/>
                  <w:sz w:val="20"/>
                  <w:u w:val="none"/>
                  <w:effect w:val="none"/>
                </w:rPr>
                <w:t>50</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21">
              <w:r>
                <w:rPr>
                  <w:rStyle w:val="InternetLink"/>
                  <w:rFonts w:ascii="Times New Roman;serif" w:hAnsi="Times New Roman;serif"/>
                  <w:b w:val="false"/>
                  <w:strike w:val="false"/>
                  <w:dstrike w:val="false"/>
                  <w:color w:val="0000FF"/>
                  <w:sz w:val="20"/>
                  <w:u w:val="none"/>
                  <w:effect w:val="none"/>
                </w:rPr>
                <w:t>Note 4. Divestitures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21">
              <w:r>
                <w:rPr>
                  <w:rStyle w:val="InternetLink"/>
                  <w:rFonts w:ascii="Times New Roman;serif" w:hAnsi="Times New Roman;serif"/>
                  <w:b w:val="false"/>
                  <w:strike w:val="false"/>
                  <w:dstrike w:val="false"/>
                  <w:color w:val="0000FF"/>
                  <w:sz w:val="20"/>
                  <w:u w:val="none"/>
                  <w:effect w:val="none"/>
                </w:rPr>
                <w:t>53</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100" w:after="60"/>
              <w:jc w:val="left"/>
              <w:rPr/>
            </w:pPr>
            <w:hyperlink w:anchor="idf8dcfb831fd4ff7a700868205e1f44f_1965">
              <w:r>
                <w:rPr>
                  <w:rStyle w:val="InternetLink"/>
                  <w:rFonts w:ascii="Times New Roman;serif" w:hAnsi="Times New Roman;serif"/>
                  <w:b w:val="false"/>
                  <w:strike w:val="false"/>
                  <w:dstrike w:val="false"/>
                  <w:color w:val="000080"/>
                  <w:sz w:val="20"/>
                  <w:u w:val="single"/>
                  <w:effect w:val="none"/>
                </w:rPr>
                <w:t>Note 5</w:t>
              </w:r>
            </w:hyperlink>
            <w:hyperlink w:anchor="idf8dcfb831fd4ff7a700868205e1f44f_1965">
              <w:r>
                <w:rPr>
                  <w:rStyle w:val="InternetLink"/>
                  <w:rFonts w:ascii="Times New Roman;serif" w:hAnsi="Times New Roman;serif"/>
                  <w:b w:val="false"/>
                  <w:strike w:val="false"/>
                  <w:dstrike w:val="false"/>
                  <w:color w:val="000080"/>
                  <w:sz w:val="20"/>
                  <w:u w:val="single"/>
                  <w:effect w:val="none"/>
                </w:rPr>
                <w:t>.</w:t>
              </w:r>
            </w:hyperlink>
            <w:hyperlink w:anchor="idf8dcfb831fd4ff7a700868205e1f44f_1965">
              <w:r>
                <w:rPr>
                  <w:rStyle w:val="InternetLink"/>
                  <w:rFonts w:ascii="Times New Roman;serif" w:hAnsi="Times New Roman;serif"/>
                  <w:b w:val="false"/>
                  <w:strike w:val="false"/>
                  <w:dstrike w:val="false"/>
                  <w:color w:val="000080"/>
                  <w:sz w:val="20"/>
                  <w:u w:val="single"/>
                  <w:effect w:val="none"/>
                </w:rPr>
                <w:t xml:space="preserve"> </w:t>
              </w:r>
            </w:hyperlink>
            <w:hyperlink w:anchor="idf8dcfb831fd4ff7a700868205e1f44f_1965">
              <w:r>
                <w:rPr>
                  <w:rStyle w:val="InternetLink"/>
                  <w:rFonts w:ascii="Times New Roman;serif" w:hAnsi="Times New Roman;serif"/>
                  <w:b w:val="false"/>
                  <w:strike w:val="false"/>
                  <w:dstrike w:val="false"/>
                  <w:color w:val="000080"/>
                  <w:sz w:val="20"/>
                  <w:u w:val="single"/>
                  <w:effect w:val="none"/>
                </w:rPr>
                <w:t>Variable Interest Entities and Redeemable Noncontrolling Interests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65">
              <w:r>
                <w:rPr>
                  <w:rStyle w:val="InternetLink"/>
                  <w:rFonts w:ascii="Times New Roman;serif" w:hAnsi="Times New Roman;serif"/>
                  <w:b w:val="false"/>
                  <w:strike w:val="false"/>
                  <w:dstrike w:val="false"/>
                  <w:color w:val="0000FF"/>
                  <w:sz w:val="20"/>
                  <w:u w:val="none"/>
                  <w:effect w:val="none"/>
                </w:rPr>
                <w:t>53</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24">
              <w:r>
                <w:rPr>
                  <w:rStyle w:val="InternetLink"/>
                  <w:rFonts w:ascii="Times New Roman;serif" w:hAnsi="Times New Roman;serif"/>
                  <w:b w:val="false"/>
                  <w:strike w:val="false"/>
                  <w:dstrike w:val="false"/>
                  <w:color w:val="000080"/>
                  <w:sz w:val="20"/>
                  <w:u w:val="single"/>
                  <w:effect w:val="none"/>
                </w:rPr>
                <w:t xml:space="preserve">Note </w:t>
              </w:r>
            </w:hyperlink>
            <w:hyperlink w:anchor="idf8dcfb831fd4ff7a700868205e1f44f_124">
              <w:r>
                <w:rPr>
                  <w:rStyle w:val="InternetLink"/>
                  <w:rFonts w:ascii="Times New Roman;serif" w:hAnsi="Times New Roman;serif"/>
                  <w:b w:val="false"/>
                  <w:strike w:val="false"/>
                  <w:dstrike w:val="false"/>
                  <w:color w:val="000080"/>
                  <w:sz w:val="20"/>
                  <w:u w:val="single"/>
                  <w:effect w:val="none"/>
                </w:rPr>
                <w:t>6</w:t>
              </w:r>
            </w:hyperlink>
            <w:hyperlink w:anchor="idf8dcfb831fd4ff7a700868205e1f44f_124">
              <w:r>
                <w:rPr>
                  <w:rStyle w:val="InternetLink"/>
                  <w:rFonts w:ascii="Times New Roman;serif" w:hAnsi="Times New Roman;serif"/>
                  <w:b w:val="false"/>
                  <w:strike w:val="false"/>
                  <w:dstrike w:val="false"/>
                  <w:color w:val="000080"/>
                  <w:sz w:val="20"/>
                  <w:u w:val="single"/>
                  <w:effect w:val="none"/>
                </w:rPr>
                <w:t>. Accumulated Other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24">
              <w:r>
                <w:rPr>
                  <w:rStyle w:val="InternetLink"/>
                  <w:rFonts w:ascii="Times New Roman;serif" w:hAnsi="Times New Roman;serif"/>
                  <w:b w:val="false"/>
                  <w:strike w:val="false"/>
                  <w:dstrike w:val="false"/>
                  <w:color w:val="0000FF"/>
                  <w:sz w:val="20"/>
                  <w:u w:val="none"/>
                  <w:effect w:val="none"/>
                </w:rPr>
                <w:t>55</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27">
              <w:r>
                <w:rPr>
                  <w:rStyle w:val="InternetLink"/>
                  <w:rFonts w:ascii="Times New Roman;serif" w:hAnsi="Times New Roman;serif"/>
                  <w:b w:val="false"/>
                  <w:strike w:val="false"/>
                  <w:dstrike w:val="false"/>
                  <w:color w:val="0000FF"/>
                  <w:sz w:val="20"/>
                  <w:u w:val="none"/>
                  <w:effect w:val="none"/>
                </w:rPr>
                <w:t>Note 7. Goodwill and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27">
              <w:r>
                <w:rPr>
                  <w:rStyle w:val="InternetLink"/>
                  <w:rFonts w:ascii="Times New Roman;serif" w:hAnsi="Times New Roman;serif"/>
                  <w:b w:val="false"/>
                  <w:strike w:val="false"/>
                  <w:dstrike w:val="false"/>
                  <w:color w:val="0000FF"/>
                  <w:sz w:val="20"/>
                  <w:u w:val="none"/>
                  <w:effect w:val="none"/>
                </w:rPr>
                <w:t>56</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48">
              <w:r>
                <w:rPr>
                  <w:rStyle w:val="InternetLink"/>
                  <w:rFonts w:ascii="Times New Roman;serif" w:hAnsi="Times New Roman;serif"/>
                  <w:b w:val="false"/>
                  <w:strike w:val="false"/>
                  <w:dstrike w:val="false"/>
                  <w:color w:val="000080"/>
                  <w:sz w:val="20"/>
                  <w:u w:val="single"/>
                  <w:effect w:val="none"/>
                </w:rPr>
                <w:t xml:space="preserve">Note </w:t>
              </w:r>
            </w:hyperlink>
            <w:hyperlink w:anchor="idf8dcfb831fd4ff7a700868205e1f44f_148">
              <w:r>
                <w:rPr>
                  <w:rStyle w:val="InternetLink"/>
                  <w:rFonts w:ascii="Times New Roman;serif" w:hAnsi="Times New Roman;serif"/>
                  <w:b w:val="false"/>
                  <w:strike w:val="false"/>
                  <w:dstrike w:val="false"/>
                  <w:color w:val="000080"/>
                  <w:sz w:val="20"/>
                  <w:u w:val="single"/>
                  <w:effect w:val="none"/>
                </w:rPr>
                <w:t>8</w:t>
              </w:r>
            </w:hyperlink>
            <w:hyperlink w:anchor="idf8dcfb831fd4ff7a700868205e1f44f_148">
              <w:r>
                <w:rPr>
                  <w:rStyle w:val="InternetLink"/>
                  <w:rFonts w:ascii="Times New Roman;serif" w:hAnsi="Times New Roman;serif"/>
                  <w:b w:val="false"/>
                  <w:strike w:val="false"/>
                  <w:dstrike w:val="false"/>
                  <w:color w:val="000080"/>
                  <w:sz w:val="20"/>
                  <w:u w:val="single"/>
                  <w:effect w:val="none"/>
                </w:rPr>
                <w:t>.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48">
              <w:r>
                <w:rPr>
                  <w:rStyle w:val="InternetLink"/>
                  <w:rFonts w:ascii="Times New Roman;serif" w:hAnsi="Times New Roman;serif"/>
                  <w:b w:val="false"/>
                  <w:strike w:val="false"/>
                  <w:dstrike w:val="false"/>
                  <w:color w:val="0000FF"/>
                  <w:sz w:val="20"/>
                  <w:u w:val="none"/>
                  <w:effect w:val="none"/>
                </w:rPr>
                <w:t>57</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51">
              <w:r>
                <w:rPr>
                  <w:rStyle w:val="InternetLink"/>
                  <w:rFonts w:ascii="Times New Roman;serif" w:hAnsi="Times New Roman;serif"/>
                  <w:b w:val="false"/>
                  <w:strike w:val="false"/>
                  <w:dstrike w:val="false"/>
                  <w:color w:val="000080"/>
                  <w:sz w:val="20"/>
                  <w:u w:val="single"/>
                  <w:effect w:val="none"/>
                </w:rPr>
                <w:t xml:space="preserve">Note </w:t>
              </w:r>
            </w:hyperlink>
            <w:hyperlink w:anchor="idf8dcfb831fd4ff7a700868205e1f44f_151">
              <w:r>
                <w:rPr>
                  <w:rStyle w:val="InternetLink"/>
                  <w:rFonts w:ascii="Times New Roman;serif" w:hAnsi="Times New Roman;serif"/>
                  <w:b w:val="false"/>
                  <w:strike w:val="false"/>
                  <w:dstrike w:val="false"/>
                  <w:color w:val="000080"/>
                  <w:sz w:val="20"/>
                  <w:u w:val="single"/>
                  <w:effect w:val="none"/>
                </w:rPr>
                <w:t>9</w:t>
              </w:r>
            </w:hyperlink>
            <w:hyperlink w:anchor="idf8dcfb831fd4ff7a700868205e1f44f_151">
              <w:r>
                <w:rPr>
                  <w:rStyle w:val="InternetLink"/>
                  <w:rFonts w:ascii="Times New Roman;serif" w:hAnsi="Times New Roman;serif"/>
                  <w:b w:val="false"/>
                  <w:strike w:val="false"/>
                  <w:dstrike w:val="false"/>
                  <w:color w:val="000080"/>
                  <w:sz w:val="20"/>
                  <w:u w:val="single"/>
                  <w:effect w:val="none"/>
                </w:rPr>
                <w:t>. Restructuring Charges, Cost Savings Initiatives and Other Optimization Initiatives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51">
              <w:r>
                <w:rPr>
                  <w:rStyle w:val="InternetLink"/>
                  <w:rFonts w:ascii="Times New Roman;serif" w:hAnsi="Times New Roman;serif"/>
                  <w:b w:val="false"/>
                  <w:strike w:val="false"/>
                  <w:dstrike w:val="false"/>
                  <w:color w:val="0000FF"/>
                  <w:sz w:val="20"/>
                  <w:u w:val="none"/>
                  <w:effect w:val="none"/>
                </w:rPr>
                <w:t>59</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54">
              <w:r>
                <w:rPr>
                  <w:rStyle w:val="InternetLink"/>
                  <w:rFonts w:ascii="Times New Roman;serif" w:hAnsi="Times New Roman;serif"/>
                  <w:b w:val="false"/>
                  <w:strike w:val="false"/>
                  <w:dstrike w:val="false"/>
                  <w:color w:val="000080"/>
                  <w:sz w:val="20"/>
                  <w:u w:val="single"/>
                  <w:effect w:val="none"/>
                </w:rPr>
                <w:t xml:space="preserve">Note </w:t>
              </w:r>
            </w:hyperlink>
            <w:hyperlink w:anchor="idf8dcfb831fd4ff7a700868205e1f44f_154">
              <w:r>
                <w:rPr>
                  <w:rStyle w:val="InternetLink"/>
                  <w:rFonts w:ascii="Times New Roman;serif" w:hAnsi="Times New Roman;serif"/>
                  <w:b w:val="false"/>
                  <w:strike w:val="false"/>
                  <w:dstrike w:val="false"/>
                  <w:color w:val="000080"/>
                  <w:sz w:val="20"/>
                  <w:u w:val="single"/>
                  <w:effect w:val="none"/>
                </w:rPr>
                <w:t>1</w:t>
              </w:r>
            </w:hyperlink>
            <w:hyperlink w:anchor="idf8dcfb831fd4ff7a700868205e1f44f_154">
              <w:r>
                <w:rPr>
                  <w:rStyle w:val="InternetLink"/>
                  <w:rFonts w:ascii="Times New Roman;serif" w:hAnsi="Times New Roman;serif"/>
                  <w:b w:val="false"/>
                  <w:strike w:val="false"/>
                  <w:dstrike w:val="false"/>
                  <w:color w:val="000080"/>
                  <w:sz w:val="20"/>
                  <w:u w:val="single"/>
                  <w:effect w:val="none"/>
                </w:rPr>
                <w:t>0.</w:t>
              </w:r>
            </w:hyperlink>
            <w:hyperlink w:anchor="idf8dcfb831fd4ff7a700868205e1f44f_154">
              <w:r>
                <w:rPr>
                  <w:rStyle w:val="InternetLink"/>
                  <w:rFonts w:ascii="Times New Roman;serif" w:hAnsi="Times New Roman;serif"/>
                  <w:b w:val="false"/>
                  <w:strike w:val="false"/>
                  <w:dstrike w:val="false"/>
                  <w:color w:val="000080"/>
                  <w:sz w:val="20"/>
                  <w:u w:val="single"/>
                  <w:effect w:val="none"/>
                </w:rPr>
                <w:t xml:space="preserve">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54">
              <w:r>
                <w:rPr>
                  <w:rStyle w:val="InternetLink"/>
                  <w:rFonts w:ascii="Times New Roman;serif" w:hAnsi="Times New Roman;serif"/>
                  <w:b w:val="false"/>
                  <w:strike w:val="false"/>
                  <w:dstrike w:val="false"/>
                  <w:color w:val="0000FF"/>
                  <w:sz w:val="20"/>
                  <w:u w:val="none"/>
                  <w:effect w:val="none"/>
                </w:rPr>
                <w:t>62</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57">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57">
              <w:r>
                <w:rPr>
                  <w:rStyle w:val="InternetLink"/>
                  <w:rFonts w:ascii="Times New Roman;serif" w:hAnsi="Times New Roman;serif"/>
                  <w:b w:val="false"/>
                  <w:strike w:val="false"/>
                  <w:dstrike w:val="false"/>
                  <w:color w:val="000080"/>
                  <w:sz w:val="20"/>
                  <w:u w:val="single"/>
                  <w:effect w:val="none"/>
                </w:rPr>
                <w:t>1</w:t>
              </w:r>
            </w:hyperlink>
            <w:hyperlink w:anchor="idf8dcfb831fd4ff7a700868205e1f44f_157">
              <w:r>
                <w:rPr>
                  <w:rStyle w:val="InternetLink"/>
                  <w:rFonts w:ascii="Times New Roman;serif" w:hAnsi="Times New Roman;serif"/>
                  <w:b w:val="false"/>
                  <w:strike w:val="false"/>
                  <w:dstrike w:val="false"/>
                  <w:color w:val="000080"/>
                  <w:sz w:val="20"/>
                  <w:u w:val="single"/>
                  <w:effect w:val="none"/>
                </w:rPr>
                <w:t>. Pension and Postretirement Benefits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57">
              <w:r>
                <w:rPr>
                  <w:rStyle w:val="InternetLink"/>
                  <w:rFonts w:ascii="Times New Roman;serif" w:hAnsi="Times New Roman;serif"/>
                  <w:b w:val="false"/>
                  <w:strike w:val="false"/>
                  <w:dstrike w:val="false"/>
                  <w:color w:val="0000FF"/>
                  <w:sz w:val="20"/>
                  <w:u w:val="none"/>
                  <w:effect w:val="none"/>
                </w:rPr>
                <w:t>63</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0">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60">
              <w:r>
                <w:rPr>
                  <w:rStyle w:val="InternetLink"/>
                  <w:rFonts w:ascii="Times New Roman;serif" w:hAnsi="Times New Roman;serif"/>
                  <w:b w:val="false"/>
                  <w:strike w:val="false"/>
                  <w:dstrike w:val="false"/>
                  <w:color w:val="000080"/>
                  <w:sz w:val="20"/>
                  <w:u w:val="single"/>
                  <w:effect w:val="none"/>
                </w:rPr>
                <w:t>2</w:t>
              </w:r>
            </w:hyperlink>
            <w:hyperlink w:anchor="idf8dcfb831fd4ff7a700868205e1f44f_160">
              <w:r>
                <w:rPr>
                  <w:rStyle w:val="InternetLink"/>
                  <w:rFonts w:ascii="Times New Roman;serif" w:hAnsi="Times New Roman;serif"/>
                  <w:b w:val="false"/>
                  <w:strike w:val="false"/>
                  <w:dstrike w:val="false"/>
                  <w:color w:val="000080"/>
                  <w:sz w:val="20"/>
                  <w:u w:val="single"/>
                  <w:effect w:val="none"/>
                </w:rPr>
                <w:t>.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0">
              <w:r>
                <w:rPr>
                  <w:rStyle w:val="InternetLink"/>
                  <w:rFonts w:ascii="Times New Roman;serif" w:hAnsi="Times New Roman;serif"/>
                  <w:b w:val="false"/>
                  <w:strike w:val="false"/>
                  <w:dstrike w:val="false"/>
                  <w:color w:val="0000FF"/>
                  <w:sz w:val="20"/>
                  <w:u w:val="none"/>
                  <w:effect w:val="none"/>
                </w:rPr>
                <w:t>68</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3">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63">
              <w:r>
                <w:rPr>
                  <w:rStyle w:val="InternetLink"/>
                  <w:rFonts w:ascii="Times New Roman;serif" w:hAnsi="Times New Roman;serif"/>
                  <w:b w:val="false"/>
                  <w:strike w:val="false"/>
                  <w:dstrike w:val="false"/>
                  <w:color w:val="000080"/>
                  <w:sz w:val="20"/>
                  <w:u w:val="single"/>
                  <w:effect w:val="none"/>
                </w:rPr>
                <w:t>3</w:t>
              </w:r>
            </w:hyperlink>
            <w:hyperlink w:anchor="idf8dcfb831fd4ff7a700868205e1f44f_163">
              <w:r>
                <w:rPr>
                  <w:rStyle w:val="InternetLink"/>
                  <w:rFonts w:ascii="Times New Roman;serif" w:hAnsi="Times New Roman;serif"/>
                  <w:b w:val="false"/>
                  <w:strike w:val="false"/>
                  <w:dstrike w:val="false"/>
                  <w:color w:val="000080"/>
                  <w:sz w:val="20"/>
                  <w:u w:val="single"/>
                  <w:effect w:val="none"/>
                </w:rPr>
                <w:t>. Taxes on Earnings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3">
              <w:r>
                <w:rPr>
                  <w:rStyle w:val="InternetLink"/>
                  <w:rFonts w:ascii="Times New Roman;serif" w:hAnsi="Times New Roman;serif"/>
                  <w:b w:val="false"/>
                  <w:strike w:val="false"/>
                  <w:dstrike w:val="false"/>
                  <w:color w:val="0000FF"/>
                  <w:sz w:val="20"/>
                  <w:u w:val="none"/>
                  <w:effect w:val="none"/>
                </w:rPr>
                <w:t>70</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9">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69">
              <w:r>
                <w:rPr>
                  <w:rStyle w:val="InternetLink"/>
                  <w:rFonts w:ascii="Times New Roman;serif" w:hAnsi="Times New Roman;serif"/>
                  <w:b w:val="false"/>
                  <w:strike w:val="false"/>
                  <w:dstrike w:val="false"/>
                  <w:color w:val="000080"/>
                  <w:sz w:val="20"/>
                  <w:u w:val="single"/>
                  <w:effect w:val="none"/>
                </w:rPr>
                <w:t>4</w:t>
              </w:r>
            </w:hyperlink>
            <w:hyperlink w:anchor="idf8dcfb831fd4ff7a700868205e1f44f_169">
              <w:r>
                <w:rPr>
                  <w:rStyle w:val="InternetLink"/>
                  <w:rFonts w:ascii="Times New Roman;serif" w:hAnsi="Times New Roman;serif"/>
                  <w:b w:val="false"/>
                  <w:strike w:val="false"/>
                  <w:dstrike w:val="false"/>
                  <w:color w:val="000080"/>
                  <w:sz w:val="20"/>
                  <w:u w:val="single"/>
                  <w:effect w:val="none"/>
                </w:rPr>
                <w:t>. Short-term Borrowings and Long-term 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69">
              <w:r>
                <w:rPr>
                  <w:rStyle w:val="InternetLink"/>
                  <w:rFonts w:ascii="Times New Roman;serif" w:hAnsi="Times New Roman;serif"/>
                  <w:b w:val="false"/>
                  <w:strike w:val="false"/>
                  <w:dstrike w:val="false"/>
                  <w:color w:val="0000FF"/>
                  <w:sz w:val="20"/>
                  <w:u w:val="none"/>
                  <w:effect w:val="none"/>
                </w:rPr>
                <w:t>73</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72">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72">
              <w:r>
                <w:rPr>
                  <w:rStyle w:val="InternetLink"/>
                  <w:rFonts w:ascii="Times New Roman;serif" w:hAnsi="Times New Roman;serif"/>
                  <w:b w:val="false"/>
                  <w:strike w:val="false"/>
                  <w:dstrike w:val="false"/>
                  <w:color w:val="000080"/>
                  <w:sz w:val="20"/>
                  <w:u w:val="single"/>
                  <w:effect w:val="none"/>
                </w:rPr>
                <w:t>5</w:t>
              </w:r>
            </w:hyperlink>
            <w:hyperlink w:anchor="idf8dcfb831fd4ff7a700868205e1f44f_172">
              <w:r>
                <w:rPr>
                  <w:rStyle w:val="InternetLink"/>
                  <w:rFonts w:ascii="Times New Roman;serif" w:hAnsi="Times New Roman;serif"/>
                  <w:b w:val="false"/>
                  <w:strike w:val="false"/>
                  <w:dstrike w:val="false"/>
                  <w:color w:val="000080"/>
                  <w:sz w:val="20"/>
                  <w:u w:val="single"/>
                  <w:effect w:val="none"/>
                </w:rPr>
                <w:t>. Financial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72">
              <w:r>
                <w:rPr>
                  <w:rStyle w:val="InternetLink"/>
                  <w:rFonts w:ascii="Times New Roman;serif" w:hAnsi="Times New Roman;serif"/>
                  <w:b w:val="false"/>
                  <w:strike w:val="false"/>
                  <w:dstrike w:val="false"/>
                  <w:color w:val="0000FF"/>
                  <w:sz w:val="20"/>
                  <w:u w:val="none"/>
                  <w:effect w:val="none"/>
                </w:rPr>
                <w:t>76</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75">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75">
              <w:r>
                <w:rPr>
                  <w:rStyle w:val="InternetLink"/>
                  <w:rFonts w:ascii="Times New Roman;serif" w:hAnsi="Times New Roman;serif"/>
                  <w:b w:val="false"/>
                  <w:strike w:val="false"/>
                  <w:dstrike w:val="false"/>
                  <w:color w:val="000080"/>
                  <w:sz w:val="20"/>
                  <w:u w:val="single"/>
                  <w:effect w:val="none"/>
                </w:rPr>
                <w:t>6</w:t>
              </w:r>
            </w:hyperlink>
            <w:hyperlink w:anchor="idf8dcfb831fd4ff7a700868205e1f44f_175">
              <w:r>
                <w:rPr>
                  <w:rStyle w:val="InternetLink"/>
                  <w:rFonts w:ascii="Times New Roman;serif" w:hAnsi="Times New Roman;serif"/>
                  <w:b w:val="false"/>
                  <w:strike w:val="false"/>
                  <w:dstrike w:val="false"/>
                  <w:color w:val="000080"/>
                  <w:sz w:val="20"/>
                  <w:u w:val="single"/>
                  <w:effect w:val="none"/>
                </w:rPr>
                <w:t>.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75">
              <w:r>
                <w:rPr>
                  <w:rStyle w:val="InternetLink"/>
                  <w:rFonts w:ascii="Times New Roman;serif" w:hAnsi="Times New Roman;serif"/>
                  <w:b w:val="false"/>
                  <w:strike w:val="false"/>
                  <w:dstrike w:val="false"/>
                  <w:color w:val="0000FF"/>
                  <w:sz w:val="20"/>
                  <w:u w:val="none"/>
                  <w:effect w:val="none"/>
                </w:rPr>
                <w:t>79</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78">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78">
              <w:r>
                <w:rPr>
                  <w:rStyle w:val="InternetLink"/>
                  <w:rFonts w:ascii="Times New Roman;serif" w:hAnsi="Times New Roman;serif"/>
                  <w:b w:val="false"/>
                  <w:strike w:val="false"/>
                  <w:dstrike w:val="false"/>
                  <w:color w:val="000080"/>
                  <w:sz w:val="20"/>
                  <w:u w:val="single"/>
                  <w:effect w:val="none"/>
                </w:rPr>
                <w:t>7</w:t>
              </w:r>
            </w:hyperlink>
            <w:hyperlink w:anchor="idf8dcfb831fd4ff7a700868205e1f44f_178">
              <w:r>
                <w:rPr>
                  <w:rStyle w:val="InternetLink"/>
                  <w:rFonts w:ascii="Times New Roman;serif" w:hAnsi="Times New Roman;serif"/>
                  <w:b w:val="false"/>
                  <w:strike w:val="false"/>
                  <w:dstrike w:val="false"/>
                  <w:color w:val="000080"/>
                  <w:sz w:val="20"/>
                  <w:u w:val="single"/>
                  <w:effect w:val="none"/>
                </w:rPr>
                <w:t>.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78">
              <w:r>
                <w:rPr>
                  <w:rStyle w:val="InternetLink"/>
                  <w:rFonts w:ascii="Times New Roman;serif" w:hAnsi="Times New Roman;serif"/>
                  <w:b w:val="false"/>
                  <w:strike w:val="false"/>
                  <w:dstrike w:val="false"/>
                  <w:color w:val="0000FF"/>
                  <w:sz w:val="20"/>
                  <w:u w:val="none"/>
                  <w:effect w:val="none"/>
                </w:rPr>
                <w:t>81</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81">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81">
              <w:r>
                <w:rPr>
                  <w:rStyle w:val="InternetLink"/>
                  <w:rFonts w:ascii="Times New Roman;serif" w:hAnsi="Times New Roman;serif"/>
                  <w:b w:val="false"/>
                  <w:strike w:val="false"/>
                  <w:dstrike w:val="false"/>
                  <w:color w:val="000080"/>
                  <w:sz w:val="20"/>
                  <w:u w:val="single"/>
                  <w:effect w:val="none"/>
                </w:rPr>
                <w:t>8</w:t>
              </w:r>
            </w:hyperlink>
            <w:hyperlink w:anchor="idf8dcfb831fd4ff7a700868205e1f44f_181">
              <w:r>
                <w:rPr>
                  <w:rStyle w:val="InternetLink"/>
                  <w:rFonts w:ascii="Times New Roman;serif" w:hAnsi="Times New Roman;serif"/>
                  <w:b w:val="false"/>
                  <w:strike w:val="false"/>
                  <w:dstrike w:val="false"/>
                  <w:color w:val="000080"/>
                  <w:sz w:val="20"/>
                  <w:u w:val="single"/>
                  <w:effect w:val="none"/>
                </w:rPr>
                <w:t>. Stock-based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81">
              <w:r>
                <w:rPr>
                  <w:rStyle w:val="InternetLink"/>
                  <w:rFonts w:ascii="Times New Roman;serif" w:hAnsi="Times New Roman;serif"/>
                  <w:b w:val="false"/>
                  <w:strike w:val="false"/>
                  <w:dstrike w:val="false"/>
                  <w:color w:val="0000FF"/>
                  <w:sz w:val="20"/>
                  <w:u w:val="none"/>
                  <w:effect w:val="none"/>
                </w:rPr>
                <w:t>82</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84">
              <w:r>
                <w:rPr>
                  <w:rStyle w:val="InternetLink"/>
                  <w:rFonts w:ascii="Times New Roman;serif" w:hAnsi="Times New Roman;serif"/>
                  <w:b w:val="false"/>
                  <w:strike w:val="false"/>
                  <w:dstrike w:val="false"/>
                  <w:color w:val="000080"/>
                  <w:sz w:val="20"/>
                  <w:u w:val="single"/>
                  <w:effect w:val="none"/>
                </w:rPr>
                <w:t>Note 1</w:t>
              </w:r>
            </w:hyperlink>
            <w:hyperlink w:anchor="idf8dcfb831fd4ff7a700868205e1f44f_184">
              <w:r>
                <w:rPr>
                  <w:rStyle w:val="InternetLink"/>
                  <w:rFonts w:ascii="Times New Roman;serif" w:hAnsi="Times New Roman;serif"/>
                  <w:b w:val="false"/>
                  <w:strike w:val="false"/>
                  <w:dstrike w:val="false"/>
                  <w:color w:val="000080"/>
                  <w:sz w:val="20"/>
                  <w:u w:val="single"/>
                  <w:effect w:val="none"/>
                </w:rPr>
                <w:t>9</w:t>
              </w:r>
            </w:hyperlink>
            <w:hyperlink w:anchor="idf8dcfb831fd4ff7a700868205e1f44f_184">
              <w:r>
                <w:rPr>
                  <w:rStyle w:val="InternetLink"/>
                  <w:rFonts w:ascii="Times New Roman;serif" w:hAnsi="Times New Roman;serif"/>
                  <w:b w:val="false"/>
                  <w:strike w:val="false"/>
                  <w:dstrike w:val="false"/>
                  <w:color w:val="000080"/>
                  <w:sz w:val="20"/>
                  <w:u w:val="single"/>
                  <w:effect w:val="none"/>
                </w:rPr>
                <w:t>.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84">
              <w:r>
                <w:rPr>
                  <w:rStyle w:val="InternetLink"/>
                  <w:rFonts w:ascii="Times New Roman;serif" w:hAnsi="Times New Roman;serif"/>
                  <w:b w:val="false"/>
                  <w:strike w:val="false"/>
                  <w:dstrike w:val="false"/>
                  <w:color w:val="0000FF"/>
                  <w:sz w:val="20"/>
                  <w:u w:val="none"/>
                  <w:effect w:val="none"/>
                </w:rPr>
                <w:t>85</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87">
              <w:r>
                <w:rPr>
                  <w:rStyle w:val="InternetLink"/>
                  <w:rFonts w:ascii="Times New Roman;serif" w:hAnsi="Times New Roman;serif"/>
                  <w:b w:val="false"/>
                  <w:strike w:val="false"/>
                  <w:dstrike w:val="false"/>
                  <w:color w:val="000080"/>
                  <w:sz w:val="20"/>
                  <w:u w:val="single"/>
                  <w:effect w:val="none"/>
                </w:rPr>
                <w:t xml:space="preserve">Note </w:t>
              </w:r>
            </w:hyperlink>
            <w:hyperlink w:anchor="idf8dcfb831fd4ff7a700868205e1f44f_187">
              <w:r>
                <w:rPr>
                  <w:rStyle w:val="InternetLink"/>
                  <w:rFonts w:ascii="Times New Roman;serif" w:hAnsi="Times New Roman;serif"/>
                  <w:b w:val="false"/>
                  <w:strike w:val="false"/>
                  <w:dstrike w:val="false"/>
                  <w:color w:val="000080"/>
                  <w:sz w:val="20"/>
                  <w:u w:val="single"/>
                  <w:effect w:val="none"/>
                </w:rPr>
                <w:t>20</w:t>
              </w:r>
            </w:hyperlink>
            <w:hyperlink w:anchor="idf8dcfb831fd4ff7a700868205e1f44f_187">
              <w:r>
                <w:rPr>
                  <w:rStyle w:val="InternetLink"/>
                  <w:rFonts w:ascii="Times New Roman;serif" w:hAnsi="Times New Roman;serif"/>
                  <w:b w:val="false"/>
                  <w:strike w:val="false"/>
                  <w:dstrike w:val="false"/>
                  <w:color w:val="000080"/>
                  <w:sz w:val="20"/>
                  <w:u w:val="single"/>
                  <w:effect w:val="none"/>
                </w:rPr>
                <w:t>. Supplier Finance Program Obligations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87">
              <w:r>
                <w:rPr>
                  <w:rStyle w:val="InternetLink"/>
                  <w:rFonts w:ascii="Times New Roman;serif" w:hAnsi="Times New Roman;serif"/>
                  <w:b w:val="false"/>
                  <w:strike w:val="false"/>
                  <w:dstrike w:val="false"/>
                  <w:color w:val="0000FF"/>
                  <w:sz w:val="20"/>
                  <w:u w:val="none"/>
                  <w:effect w:val="none"/>
                </w:rPr>
                <w:t>86</w:t>
              </w:r>
            </w:hyperlink>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0">
              <w:r>
                <w:rPr>
                  <w:rStyle w:val="InternetLink"/>
                  <w:rFonts w:ascii="Times New Roman;serif" w:hAnsi="Times New Roman;serif"/>
                  <w:b w:val="false"/>
                  <w:strike w:val="false"/>
                  <w:dstrike w:val="false"/>
                  <w:color w:val="000080"/>
                  <w:sz w:val="20"/>
                  <w:u w:val="single"/>
                  <w:effect w:val="none"/>
                </w:rPr>
                <w:t>Note 2</w:t>
              </w:r>
            </w:hyperlink>
            <w:hyperlink w:anchor="idf8dcfb831fd4ff7a700868205e1f44f_190">
              <w:r>
                <w:rPr>
                  <w:rStyle w:val="InternetLink"/>
                  <w:rFonts w:ascii="Times New Roman;serif" w:hAnsi="Times New Roman;serif"/>
                  <w:b w:val="false"/>
                  <w:strike w:val="false"/>
                  <w:dstrike w:val="false"/>
                  <w:color w:val="000080"/>
                  <w:sz w:val="20"/>
                  <w:u w:val="single"/>
                  <w:effect w:val="none"/>
                </w:rPr>
                <w:t>1</w:t>
              </w:r>
            </w:hyperlink>
            <w:hyperlink w:anchor="idf8dcfb831fd4ff7a700868205e1f44f_190">
              <w:r>
                <w:rPr>
                  <w:rStyle w:val="InternetLink"/>
                  <w:rFonts w:ascii="Times New Roman;serif" w:hAnsi="Times New Roman;serif"/>
                  <w:b w:val="false"/>
                  <w:strike w:val="false"/>
                  <w:dstrike w:val="false"/>
                  <w:color w:val="000080"/>
                  <w:sz w:val="20"/>
                  <w:u w:val="single"/>
                  <w:effect w:val="none"/>
                </w:rPr>
                <w:t>. Supplemental Financial Statement Data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0">
              <w:r>
                <w:rPr>
                  <w:rStyle w:val="InternetLink"/>
                  <w:rFonts w:ascii="Times New Roman;serif" w:hAnsi="Times New Roman;serif"/>
                  <w:b w:val="false"/>
                  <w:strike w:val="false"/>
                  <w:dstrike w:val="false"/>
                  <w:color w:val="0000FF"/>
                  <w:sz w:val="20"/>
                  <w:u w:val="none"/>
                  <w:effect w:val="none"/>
                </w:rPr>
                <w:t>86</w:t>
              </w:r>
            </w:hyperlink>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74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6">
              <w:r>
                <w:rPr>
                  <w:rStyle w:val="InternetLink"/>
                  <w:rFonts w:ascii="Times New Roman;serif" w:hAnsi="Times New Roman;serif"/>
                  <w:b w:val="false"/>
                  <w:strike w:val="false"/>
                  <w:dstrike w:val="false"/>
                  <w:color w:val="0000FF"/>
                  <w:sz w:val="20"/>
                  <w:u w:val="none"/>
                  <w:effect w:val="none"/>
                </w:rPr>
                <w:t>Management’s Report on Internal Control Over Financial Reporting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6">
              <w:r>
                <w:rPr>
                  <w:rStyle w:val="InternetLink"/>
                  <w:rFonts w:ascii="Times New Roman;serif" w:hAnsi="Times New Roman;serif"/>
                  <w:b w:val="false"/>
                  <w:strike w:val="false"/>
                  <w:dstrike w:val="false"/>
                  <w:color w:val="0000FF"/>
                  <w:sz w:val="20"/>
                  <w:u w:val="none"/>
                  <w:effect w:val="none"/>
                </w:rPr>
                <w:t>90</w:t>
              </w:r>
            </w:hyperlink>
          </w:p>
        </w:tc>
      </w:tr>
      <w:tr>
        <w:trPr/>
        <w:tc>
          <w:tcPr>
            <w:tcW w:w="96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9">
              <w:r>
                <w:rPr>
                  <w:rStyle w:val="InternetLink"/>
                  <w:rFonts w:ascii="Times New Roman;serif" w:hAnsi="Times New Roman;serif"/>
                  <w:b w:val="false"/>
                  <w:strike w:val="false"/>
                  <w:dstrike w:val="false"/>
                  <w:color w:val="0000FF"/>
                  <w:sz w:val="20"/>
                  <w:u w:val="none"/>
                  <w:effect w:val="non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8dcfb831fd4ff7a700868205e1f44f_199">
              <w:r>
                <w:rPr>
                  <w:rStyle w:val="InternetLink"/>
                  <w:rFonts w:ascii="Times New Roman;serif" w:hAnsi="Times New Roman;serif"/>
                  <w:b w:val="false"/>
                  <w:strike w:val="false"/>
                  <w:dstrike w:val="false"/>
                  <w:color w:val="0000FF"/>
                  <w:sz w:val="20"/>
                  <w:u w:val="none"/>
                  <w:effect w:val="none"/>
                </w:rPr>
                <w:t>91</w:t>
              </w:r>
            </w:hyperlink>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CAMPBELL'S COMPANY</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Earnings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(millions, except per share amounts)</w:t>
      </w:r>
    </w:p>
    <w:p>
      <w:pPr>
        <w:pStyle w:val="TextBody"/>
        <w:bidi w:val="0"/>
        <w:spacing w:lineRule="auto" w:line="288"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26"/>
        <w:gridCol w:w="1945"/>
        <w:gridCol w:w="1979"/>
        <w:gridCol w:w="109"/>
        <w:gridCol w:w="109"/>
        <w:gridCol w:w="109"/>
        <w:gridCol w:w="211"/>
        <w:gridCol w:w="631"/>
        <w:gridCol w:w="109"/>
        <w:gridCol w:w="109"/>
        <w:gridCol w:w="109"/>
        <w:gridCol w:w="109"/>
        <w:gridCol w:w="211"/>
        <w:gridCol w:w="721"/>
        <w:gridCol w:w="109"/>
        <w:gridCol w:w="109"/>
        <w:gridCol w:w="109"/>
        <w:gridCol w:w="109"/>
        <w:gridCol w:w="211"/>
        <w:gridCol w:w="616"/>
        <w:gridCol w:w="155"/>
      </w:tblGrid>
      <w:tr>
        <w:trPr/>
        <w:tc>
          <w:tcPr>
            <w:tcW w:w="232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52 weeks</w:t>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interest and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earnings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attributable to The Campbell's Company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earnings per share attributable to The Campbell's Company common shareholders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Diluted</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50"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Note 10 for additional information.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CAMPBELL'S COMPANY</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(millions)</w:t>
      </w:r>
    </w:p>
    <w:tbl>
      <w:tblPr>
        <w:tblW w:w="10456" w:type="dxa"/>
        <w:jc w:val="center"/>
        <w:tblInd w:w="0" w:type="dxa"/>
        <w:tblLayout w:type="fixed"/>
        <w:tblCellMar>
          <w:top w:w="28" w:type="dxa"/>
          <w:left w:w="28" w:type="dxa"/>
          <w:bottom w:w="28" w:type="dxa"/>
          <w:right w:w="28" w:type="dxa"/>
        </w:tblCellMar>
      </w:tblPr>
      <w:tblGrid>
        <w:gridCol w:w="456"/>
        <w:gridCol w:w="400"/>
        <w:gridCol w:w="405"/>
        <w:gridCol w:w="230"/>
        <w:gridCol w:w="301"/>
        <w:gridCol w:w="130"/>
        <w:gridCol w:w="109"/>
        <w:gridCol w:w="109"/>
        <w:gridCol w:w="109"/>
        <w:gridCol w:w="198"/>
        <w:gridCol w:w="411"/>
        <w:gridCol w:w="112"/>
        <w:gridCol w:w="109"/>
        <w:gridCol w:w="109"/>
        <w:gridCol w:w="109"/>
        <w:gridCol w:w="210"/>
        <w:gridCol w:w="468"/>
        <w:gridCol w:w="118"/>
        <w:gridCol w:w="109"/>
        <w:gridCol w:w="109"/>
        <w:gridCol w:w="109"/>
        <w:gridCol w:w="230"/>
        <w:gridCol w:w="301"/>
        <w:gridCol w:w="130"/>
        <w:gridCol w:w="109"/>
        <w:gridCol w:w="109"/>
        <w:gridCol w:w="109"/>
        <w:gridCol w:w="198"/>
        <w:gridCol w:w="411"/>
        <w:gridCol w:w="112"/>
        <w:gridCol w:w="109"/>
        <w:gridCol w:w="109"/>
        <w:gridCol w:w="109"/>
        <w:gridCol w:w="214"/>
        <w:gridCol w:w="461"/>
        <w:gridCol w:w="121"/>
        <w:gridCol w:w="109"/>
        <w:gridCol w:w="109"/>
        <w:gridCol w:w="109"/>
        <w:gridCol w:w="196"/>
        <w:gridCol w:w="356"/>
        <w:gridCol w:w="109"/>
        <w:gridCol w:w="109"/>
        <w:gridCol w:w="109"/>
        <w:gridCol w:w="109"/>
        <w:gridCol w:w="198"/>
        <w:gridCol w:w="411"/>
        <w:gridCol w:w="112"/>
        <w:gridCol w:w="109"/>
        <w:gridCol w:w="109"/>
        <w:gridCol w:w="109"/>
        <w:gridCol w:w="213"/>
        <w:gridCol w:w="459"/>
        <w:gridCol w:w="169"/>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52 weeks</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w:t>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translation:</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Cash-flow hedges:</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arising during the period</w:t>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losses (gains) included in net earnings</w:t>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Pension and other postretirement benefits:</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credit arising during the period</w:t>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prior service credit included in net earnings</w:t>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Other comprehensive income (loss)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attributable to noncontrolling interests</w:t>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attributable to noncontrolling interests</w:t>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noncontrolling interests</w:t>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comprehensive income (loss) attributable to The Campbell's Company</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43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CAMPBELL'S COMPANY</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(millions, except per share amounts)</w:t>
      </w:r>
    </w:p>
    <w:tbl>
      <w:tblPr>
        <w:tblW w:w="8816" w:type="dxa"/>
        <w:jc w:val="center"/>
        <w:tblInd w:w="0" w:type="dxa"/>
        <w:tblLayout w:type="fixed"/>
        <w:tblCellMar>
          <w:top w:w="28" w:type="dxa"/>
          <w:left w:w="28" w:type="dxa"/>
          <w:bottom w:w="28" w:type="dxa"/>
          <w:right w:w="28" w:type="dxa"/>
        </w:tblCellMar>
      </w:tblPr>
      <w:tblGrid>
        <w:gridCol w:w="2188"/>
        <w:gridCol w:w="1919"/>
        <w:gridCol w:w="1938"/>
        <w:gridCol w:w="239"/>
        <w:gridCol w:w="837"/>
        <w:gridCol w:w="123"/>
        <w:gridCol w:w="109"/>
        <w:gridCol w:w="109"/>
        <w:gridCol w:w="109"/>
        <w:gridCol w:w="242"/>
        <w:gridCol w:w="827"/>
        <w:gridCol w:w="176"/>
      </w:tblGrid>
      <w:tr>
        <w:trPr/>
        <w:tc>
          <w:tcPr>
            <w:tcW w:w="2188"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 2025</w:t>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2,720</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assets, net of depreciation</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2,868</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amortization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rFonts w:ascii="Times New Roman;serif" w:hAnsi="Times New Roman;serif"/>
                <w:b/>
                <w:color w:val="000000"/>
                <w:sz w:val="13"/>
              </w:rPr>
              <w:t>(1)</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15,648</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3,336</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6,160</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w:t>
            </w:r>
            <w:r>
              <w:rPr>
                <w:rFonts w:ascii="Times New Roman;serif" w:hAnsi="Times New Roman;serif"/>
                <w:b/>
                <w:color w:val="000000"/>
                <w:sz w:val="13"/>
              </w:rPr>
              <w:t>(1)</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11,492</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Commitments and contingencies </w:t>
            </w:r>
            <w:r>
              <w:rPr>
                <w:rFonts w:ascii="Times New Roman;serif" w:hAnsi="Times New Roman;serif"/>
                <w:b w:val="false"/>
                <w:color w:val="000000"/>
                <w:sz w:val="20"/>
              </w:rPr>
              <w:t>(Note 19)</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interests</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Campbell's Company shareholders' equity</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authorized 40 shares; none issued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$.0375 par value; authorized 560 shares; issued 323 shares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retained in the business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stock in treasury, at cost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The Campbell's Company shareholders' equity</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3,850</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0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3,852</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interests and equity</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15,648</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14,896 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Total assets at August 2, 2026 include the following balances associated with consolidated variable interest entities (VIEs) that can only be used to settle obligations of the VIEs: Cash and cash equivalents, $92; Accounts receivable, net, $26; Inventories, $93; Other current assets, $30; Plant assets, net of depreciation, $149; Other assets, $37; and Total assets, $427. Total liabilities at August 2, 2026 include the following balances associated with consolidated VIEs for which creditors only have recourse to the VIEs: Short-term borrowings, $77; Accounts payable, $77; Accrued liabilities, $10; Long-term debt, $28; Other liabilities, $10; and Total Liabilities, $202. See Note 5 for additional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CAMPBELL'S COMPANY</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(millions)</w:t>
      </w:r>
    </w:p>
    <w:tbl>
      <w:tblPr>
        <w:tblW w:w="8871" w:type="dxa"/>
        <w:jc w:val="center"/>
        <w:tblInd w:w="0" w:type="dxa"/>
        <w:tblLayout w:type="fixed"/>
        <w:tblCellMar>
          <w:top w:w="28" w:type="dxa"/>
          <w:left w:w="28" w:type="dxa"/>
          <w:bottom w:w="28" w:type="dxa"/>
          <w:right w:w="28" w:type="dxa"/>
        </w:tblCellMar>
      </w:tblPr>
      <w:tblGrid>
        <w:gridCol w:w="2097"/>
        <w:gridCol w:w="1839"/>
        <w:gridCol w:w="1853"/>
        <w:gridCol w:w="210"/>
        <w:gridCol w:w="468"/>
        <w:gridCol w:w="117"/>
        <w:gridCol w:w="109"/>
        <w:gridCol w:w="109"/>
        <w:gridCol w:w="109"/>
        <w:gridCol w:w="214"/>
        <w:gridCol w:w="461"/>
        <w:gridCol w:w="119"/>
        <w:gridCol w:w="109"/>
        <w:gridCol w:w="109"/>
        <w:gridCol w:w="109"/>
        <w:gridCol w:w="213"/>
        <w:gridCol w:w="459"/>
        <w:gridCol w:w="167"/>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 weeks</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operating cash flow</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inventory fair value adjustments from acquisitions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benefit expense</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sales of businesses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net of acquisitions and divestitures</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1,039</w:t>
            </w: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plant assets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routes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routes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businesses, net of cash divested</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including commercial paper and delayed draw term loan</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repayments, including commercial paper and delayed draw term loan</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repayments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issuances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6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(419)</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w:t>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6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w:t>
            </w: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and cash equivalents — beginning of period </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 end of period</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394</w:t>
            </w: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45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CAMPBELL'S COMPANY</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(millions, except per share amounts)</w:t>
      </w:r>
    </w:p>
    <w:tbl>
      <w:tblPr>
        <w:tblW w:w="11672" w:type="dxa"/>
        <w:jc w:val="center"/>
        <w:tblInd w:w="0" w:type="dxa"/>
        <w:tblLayout w:type="fixed"/>
        <w:tblCellMar>
          <w:top w:w="28" w:type="dxa"/>
          <w:left w:w="28" w:type="dxa"/>
          <w:bottom w:w="28" w:type="dxa"/>
          <w:right w:w="28" w:type="dxa"/>
        </w:tblCellMar>
      </w:tblPr>
      <w:tblGrid>
        <w:gridCol w:w="678"/>
        <w:gridCol w:w="292"/>
        <w:gridCol w:w="216"/>
        <w:gridCol w:w="217"/>
        <w:gridCol w:w="219"/>
        <w:gridCol w:w="196"/>
        <w:gridCol w:w="109"/>
        <w:gridCol w:w="109"/>
        <w:gridCol w:w="109"/>
        <w:gridCol w:w="208"/>
        <w:gridCol w:w="367"/>
        <w:gridCol w:w="116"/>
        <w:gridCol w:w="109"/>
        <w:gridCol w:w="109"/>
        <w:gridCol w:w="109"/>
        <w:gridCol w:w="195"/>
        <w:gridCol w:w="195"/>
        <w:gridCol w:w="196"/>
        <w:gridCol w:w="109"/>
        <w:gridCol w:w="109"/>
        <w:gridCol w:w="109"/>
        <w:gridCol w:w="196"/>
        <w:gridCol w:w="571"/>
        <w:gridCol w:w="109"/>
        <w:gridCol w:w="109"/>
        <w:gridCol w:w="109"/>
        <w:gridCol w:w="109"/>
        <w:gridCol w:w="230"/>
        <w:gridCol w:w="512"/>
        <w:gridCol w:w="129"/>
        <w:gridCol w:w="109"/>
        <w:gridCol w:w="109"/>
        <w:gridCol w:w="109"/>
        <w:gridCol w:w="196"/>
        <w:gridCol w:w="571"/>
        <w:gridCol w:w="109"/>
        <w:gridCol w:w="109"/>
        <w:gridCol w:w="109"/>
        <w:gridCol w:w="109"/>
        <w:gridCol w:w="366"/>
        <w:gridCol w:w="646"/>
        <w:gridCol w:w="204"/>
        <w:gridCol w:w="109"/>
        <w:gridCol w:w="109"/>
        <w:gridCol w:w="109"/>
        <w:gridCol w:w="419"/>
        <w:gridCol w:w="548"/>
        <w:gridCol w:w="234"/>
        <w:gridCol w:w="109"/>
        <w:gridCol w:w="109"/>
        <w:gridCol w:w="109"/>
        <w:gridCol w:w="196"/>
        <w:gridCol w:w="57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Campbell's Company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 Retained in the</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240" w:before="0" w:after="0"/>
              <w:jc w:val="center"/>
              <w:rPr/>
            </w:pPr>
            <w:r>
              <w:rPr>
                <w:rFonts w:ascii="Times New Roman;serif" w:hAnsi="Times New Roman;serif"/>
                <w:b/>
                <w:color w:val="000000"/>
                <w:sz w:val="16"/>
              </w:rPr>
              <w:t>Interests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July 30, 2023</w:t>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($1.48 per share)</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Replacement share-based awards issued in connection with Sovos Brands, Inc. acquisition</w:t>
            </w:r>
            <w:r>
              <w:rPr>
                <w:rFonts w:ascii="Times New Roman;serif" w:hAnsi="Times New Roman;serif"/>
                <w:b w:val="false"/>
                <w:color w:val="000000"/>
                <w:sz w:val="10"/>
              </w:rPr>
              <w:t>(2)</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purchased</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issued under stock-based compensation plans</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July 28, 2024</w:t>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($1.54 per share)</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purchased</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issued under stock-based compensation plans</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August 3, 2025</w:t>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earnings (loss)</w:t>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w:t>
            </w: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(loss)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Dividends ($1.56 per share)</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Accretion of redeemable noncontrolling interests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Treasury stock purchased</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Treasury stock issued under stock-based compensation plans</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August 2, 2026</w:t>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323</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412</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3,852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redeemable noncontrolling interests.</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See Note 3 for additional information.</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46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hanging="360"/>
        <w:jc w:val="left"/>
        <w:rPr/>
      </w:pPr>
      <w:r>
        <w:rPr>
          <w:rFonts w:ascii="Times New Roman;serif" w:hAnsi="Times New Roman;serif"/>
          <w:b/>
          <w:color w:val="000000"/>
          <w:sz w:val="20"/>
        </w:rPr>
        <w:t>1.</w:t>
      </w:r>
      <w:r>
        <w:rPr>
          <w:rFonts w:ascii="Times New Roman;serif" w:hAnsi="Times New Roman;serif"/>
          <w:b/>
          <w:color w:val="000000"/>
          <w:sz w:val="20"/>
        </w:rPr>
        <w:t xml:space="preserve">Summary of Significant Accounting Policies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this Report, unless otherwise stated, the terms "we," "us," "our" and the "company" refer to The Campbell's Company and its consolidated subsidiaries.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manufacturer and marketer of high-quality, branded food and beverage products.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Basis of Presentation</w:t>
      </w:r>
      <w:r>
        <w:rPr>
          <w:color w:val="000000"/>
        </w:rPr>
        <w:t xml:space="preserve"> — </w:t>
      </w:r>
      <w:r>
        <w:rPr>
          <w:rFonts w:ascii="Times New Roman;serif" w:hAnsi="Times New Roman;serif"/>
          <w:b w:val="false"/>
          <w:color w:val="000000"/>
          <w:sz w:val="20"/>
        </w:rPr>
        <w:t>The consolidated financial statements include our accounts and entities in which we maintain a controlling financial interest and variable interest entities (VIEs) for which we are the primary beneficiary. Intercompany transactions are eliminated in consolidation. Ownership interests of other parties in our consolidated subsidiaries and VIEs are presented in the consolidated financial statements as activities and balances attributable to noncontrolling interests. See Note 5 for additional information on VIEs and redeemable noncontrolling interests. Our fiscal year ends on the Sunday nearest July 31. There were 52 weeks in 2026, 53 weeks in 2025, and 52 weeks in 2024. There will be 52 weeks in 2027.</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Use of Estimates</w:t>
      </w:r>
      <w:r>
        <w:rPr>
          <w:color w:val="000000"/>
        </w:rPr>
        <w:t xml:space="preserve"> — </w:t>
      </w:r>
      <w:r>
        <w:rPr>
          <w:rFonts w:ascii="Times New Roman;serif" w:hAnsi="Times New Roman;serif"/>
          <w:b w:val="false"/>
          <w:color w:val="000000"/>
          <w:sz w:val="20"/>
        </w:rPr>
        <w:t>Generally accepted accounting principles require management to make estimates and assumptions that affect assets, liabilities, revenues and expenses. Actual results could differ from those estimates.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Revenue Recognition</w:t>
      </w:r>
      <w:r>
        <w:rPr>
          <w:color w:val="000000"/>
        </w:rPr>
        <w:t xml:space="preserve"> — </w:t>
      </w:r>
      <w:r>
        <w:rPr>
          <w:rFonts w:ascii="Times New Roman;serif" w:hAnsi="Times New Roman;serif"/>
          <w:b w:val="false"/>
          <w:color w:val="000000"/>
          <w:sz w:val="20"/>
        </w:rPr>
        <w:t>Our revenues primarily consist of the sale of food and beverage products through our own sales force and/or third-party brokers and distribution partners. Revenues are recognized when our performance obligation has been satisfied and control of the product passes to our customers, which typically occurs when products are delivered.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8 for additional information on disaggregation of revenue.</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Cash and Cash Equivalents</w:t>
      </w:r>
      <w:r>
        <w:rPr>
          <w:color w:val="000000"/>
        </w:rPr>
        <w:t xml:space="preserve"> — </w:t>
      </w:r>
      <w:r>
        <w:rPr>
          <w:rFonts w:ascii="Times New Roman;serif" w:hAnsi="Times New Roman;serif"/>
          <w:b w:val="false"/>
          <w:color w:val="000000"/>
          <w:sz w:val="20"/>
        </w:rPr>
        <w:t>All highly liquid debt instruments purchased with an original maturity of three months or less are classified as cash equivalents.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Inventories</w:t>
      </w:r>
      <w:r>
        <w:rPr>
          <w:color w:val="000000"/>
        </w:rPr>
        <w:t xml:space="preserve"> — </w:t>
      </w:r>
      <w:r>
        <w:rPr>
          <w:rFonts w:ascii="Times New Roman;serif" w:hAnsi="Times New Roman;serif"/>
          <w:b w:val="false"/>
          <w:color w:val="000000"/>
          <w:sz w:val="20"/>
        </w:rPr>
        <w:t>All inventories are valued at the lower of average cost or net realizable value.</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Property, Plant and Equipment</w:t>
      </w:r>
      <w:r>
        <w:rPr>
          <w:color w:val="000000"/>
        </w:rPr>
        <w:t xml:space="preserve"> — </w:t>
      </w:r>
      <w:r>
        <w:rPr>
          <w:rFonts w:ascii="Times New Roman;serif" w:hAnsi="Times New Roman;serif"/>
          <w:b w:val="false"/>
          <w:color w:val="000000"/>
          <w:sz w:val="20"/>
        </w:rPr>
        <w:t>Property, plant and equipment are recorded at historical cost and are depreciated over estimated useful lives using the 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Goodwill and Intangible Assets</w:t>
      </w:r>
      <w:r>
        <w:rPr>
          <w:color w:val="000000"/>
        </w:rPr>
        <w:t xml:space="preserve"> — </w:t>
      </w:r>
      <w:r>
        <w:rPr>
          <w:rFonts w:ascii="Times New Roman;serif" w:hAnsi="Times New Roman;serif"/>
          <w:b w:val="false"/>
          <w:color w:val="000000"/>
          <w:sz w:val="20"/>
        </w:rPr>
        <w:t>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47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with definite lives are amortized over their estimated useful lives and are reviewed for impairment as events or changes in circumstances occur indicating that the carrying value of the asset may not be recoverable. Undiscounted cash flow analyses are used to determine if the carrying amount of the asset is recoverable. If impairment is determined to exist, the charge is calculated based on estimated fair value.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7 for additional information.</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Leases — </w:t>
      </w:r>
      <w:r>
        <w:rPr>
          <w:rFonts w:ascii="Times New Roman;serif" w:hAnsi="Times New Roman;serif"/>
          <w:b w:val="false"/>
          <w:color w:val="000000"/>
          <w:sz w:val="20"/>
        </w:rPr>
        <w:t>We determine if an agreement is or contains a lease at inception by evaluating if an identified asset exists that we control for a period of time. When a lease exists, we record a right-of-use (ROU) asset and a corresponding lease liability on our Consolidated Balance Sheets. ROU assets represent our right to use an underlying asset for the lease term and the corresponding liabilities represent an obligation to make lease payments during the term. We have elected not to record leases with a term of 12 months or less on our Consolidated Balance Sheets.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ROU assets are recorded on our Consolidated Balance Sheets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leases generally include options to extend or terminate use of the underlying assets. These options are included in the lease term used to determine ROU assets and corresponding liabilities when we are reasonably certain we will exercise.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leases expense is recognized on a straight-line basis over the lease term with the expense recorded in Cost of products sold, Marketing and selling expenses, or Administrative expenses depending on the nature of the leased item.</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using the effective interest method over the lease term and is recorded in Interest expense.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for additional information.</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Derivative Financial Instruments</w:t>
      </w:r>
      <w:r>
        <w:rPr>
          <w:color w:val="000000"/>
        </w:rPr>
        <w:t xml:space="preserve"> — </w:t>
      </w:r>
      <w:r>
        <w:rPr>
          <w:rFonts w:ascii="Times New Roman;serif" w:hAnsi="Times New Roman;serif"/>
          <w:b w:val="false"/>
          <w:color w:val="000000"/>
          <w:sz w:val="20"/>
        </w:rPr>
        <w:t>We use derivative financial instruments primarily for purposes of hedging exposures to fluctuations in foreign currency 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48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effectiveness and the amounts recognized in earnings is recorded as a component of other comprehensive income (loss). Changes in the fair value of derivatives that are not designated for hedge accounting are recognized in current-period earnings.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from derivative contracts are included in Net cash provided by operating activities.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Advertising Production Costs </w:t>
      </w:r>
      <w:r>
        <w:rPr>
          <w:color w:val="000000"/>
        </w:rPr>
        <w:t xml:space="preserve">— </w:t>
      </w:r>
      <w:r>
        <w:rPr>
          <w:rFonts w:ascii="Times New Roman;serif" w:hAnsi="Times New Roman;serif"/>
          <w:b w:val="false"/>
          <w:color w:val="000000"/>
          <w:sz w:val="20"/>
        </w:rPr>
        <w:t xml:space="preserve">Advertising production costs are expensed in the period that the advertisement first takes place or when a decision is made not to use an advertisement.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Research and Development Costs</w:t>
      </w:r>
      <w:r>
        <w:rPr>
          <w:color w:val="000000"/>
        </w:rPr>
        <w:t xml:space="preserve"> — </w:t>
      </w:r>
      <w:r>
        <w:rPr>
          <w:rFonts w:ascii="Times New Roman;serif" w:hAnsi="Times New Roman;serif"/>
          <w:b w:val="false"/>
          <w:color w:val="000000"/>
          <w:sz w:val="20"/>
        </w:rPr>
        <w:t>The costs of research and development are expensed as incurred. Costs include expenditures for new product and manufacturing process innovation, and improvements to existing products and processes. Costs primarily consist of salaries, wages, consulting, and depreciation and maintenance of research facilities and equipment.</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Income Taxes</w:t>
      </w:r>
      <w:r>
        <w:rPr>
          <w:color w:val="000000"/>
        </w:rPr>
        <w:t xml:space="preserve"> — </w:t>
      </w:r>
      <w:r>
        <w:rPr>
          <w:rFonts w:ascii="Times New Roman;serif" w:hAnsi="Times New Roman;serif"/>
          <w:b w:val="false"/>
          <w:color w:val="000000"/>
          <w:sz w:val="20"/>
        </w:rPr>
        <w:t xml:space="preserve">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00" w:after="10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Adopted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We adopted the guidance in the fourth quarter of 2023, with the exception of the rollforward information which was adopted in the fourth quarter of 2025. The adoption did not have a material impact on our consolidated financial statements. See Note 20 for additional information.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We adopted the guidance in the fourth quarter of 2025. The adoption did not have a material impact on our consolidated financial statements. See Note 8 for additional information.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We adopted the guidance on a prospective basis in the fourth quarter of 2026. The adoption did not have a material impact on our consolidated financial statements. See Note 13 for additional information.</w:t>
      </w:r>
    </w:p>
    <w:p>
      <w:pPr>
        <w:pStyle w:val="TextBody"/>
        <w:bidi w:val="0"/>
        <w:spacing w:lineRule="auto" w:line="288" w:before="100" w:after="10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Accounting Pronouncements Not Yet Adopted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may be applied on a prospective basis or retrospectively. We are currently evaluating the impact that the new guidance will have on our consolidated financial statements.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w:t>
      </w:r>
      <w:r>
        <w:rPr>
          <w:color w:val="000000"/>
        </w:rPr>
        <w:t> </w:t>
      </w:r>
      <w:r>
        <w:rPr>
          <w:rFonts w:ascii="Times New Roman;serif" w:hAnsi="Times New Roman;serif"/>
          <w:b w:val="false"/>
          <w:color w:val="000000"/>
          <w:sz w:val="20"/>
        </w:rPr>
        <w:t>15, 2027, and interim periods within those fiscal years. Early adoption is permitted. The guidance may be applied on a prospective, retrospective or modified transition approach. We are currently evaluating the impact that the new guidance will have on our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FASB issued guidance to clarify and improve hedge accounting guidance. The guidance, which is intended to more closely align hedge accounting with the economics of an entity’s risk management activities, is effective for fiscal years beginning after December 15, 2026, and interim periods within those fiscal years. Early adoption is permitted.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49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guidance is to be applied on a prospective basis. We are currently evaluating the impact that the new guidance will have on our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guidance on the accounting for government grants received by business entities. The guidance defines government grants and establishes recognition, presentation and disclosure requirements. The guidance is effective for fiscal years beginning after December 15, 2028, and interim periods within those fiscal years. Early adoption is permitted. The guidance may be applied on a modified transition approach or retrospectively. We are currently evaluating the impact that the new guidance will have on our consolidated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guidance on the accounting and disclosure requirements related to environmental credits and environmental credit programs. The guidance is effective for fiscal years beginning after December 15, 2027, and interim periods within those fiscal years. Early adoption is permitted. The guidance should be applied on a retrospective basis. We are currently evaluating the impact that the new guidance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3. Acquisitions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 xml:space="preserve">La Regina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tomato-based pasta sauces. We acquired the 49% interests in La Regina on May 4, 2026. The aggregate consideration for the transaction is $286 million to be paid in two tranches: (i) $146 million was paid in cash at the closing of the acquisition, and (ii) $140 million of deferred consideration will be payable at our discretion in either cash or unregistered shares of our capital stock (not to exceed 19.9% of our outstanding capital stock and voting power prior to issuance) on May 4, 2027. The remaining 51% of the outstanding equity interests of La Regina are subject to a call option granted to us and a put option granted to La Regina. The call option may be exercised from the first anniversary of the closing until the later of the tenth anniversary of the closing and the date of cessation of the material commercial agreements between the parties. Under the call option, we may, during specified exercise periods, acquire additional equity interests in increments of not less than 2% from La Regina equity holders at a price based on an implied total equity value of approximately $584 million, subject to the payment of a control premium of up to 20% and to a 20% reduction for specified material adverse changes. The put option may be exercised from three years after the first anniversary of the closing until the tenth anniversary of the closing. Under the put option, La Regina equity holders may require us to purchase all or a portion of their remaining equity interests during a defined exercise period, subject to certain conditions and similar pricing mechanics as the call option. To the extent the deferred consideration is not fully settled in shares of our capital stock, we may use shares to settle the options in an amount not to exceed $140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La Regina SPA shareholders are entitled to additional contingent consideration for potential grants received related to investments in production capacity expansion, not to exceed €25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purchase consideration for the 49% interests in La Regina was $299 million, which was determined as follows:</w:t>
      </w:r>
    </w:p>
    <w:tbl>
      <w:tblPr>
        <w:tblW w:w="8571" w:type="dxa"/>
        <w:jc w:val="left"/>
        <w:tblInd w:w="0" w:type="dxa"/>
        <w:tblLayout w:type="fixed"/>
        <w:tblCellMar>
          <w:top w:w="28" w:type="dxa"/>
          <w:left w:w="28" w:type="dxa"/>
          <w:bottom w:w="28" w:type="dxa"/>
          <w:right w:w="28" w:type="dxa"/>
        </w:tblCellMar>
      </w:tblPr>
      <w:tblGrid>
        <w:gridCol w:w="2799"/>
        <w:gridCol w:w="2458"/>
        <w:gridCol w:w="2483"/>
        <w:gridCol w:w="211"/>
        <w:gridCol w:w="466"/>
        <w:gridCol w:w="154"/>
      </w:tblGrid>
      <w:tr>
        <w:trPr/>
        <w:tc>
          <w:tcPr>
            <w:tcW w:w="279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consideration paid to La Regina shareholders at closing</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consideration payable to La Regina shareholders on the first anniversary of closing</w:t>
            </w:r>
            <w:r>
              <w:rPr>
                <w:rFonts w:ascii="Times New Roman;serif" w:hAnsi="Times New Roman;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 payable to La Regina SPA shareholders upon receipt of grants</w:t>
            </w:r>
            <w:r>
              <w:rPr>
                <w:rFonts w:ascii="Times New Roman;serif" w:hAnsi="Times New Roman;serif"/>
                <w:b w:val="false"/>
                <w:color w:val="000000"/>
                <w:sz w:val="13"/>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299</w:t>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40" w:before="60" w:after="283"/>
        <w:ind w:left="0" w:right="0" w:hanging="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Represents the first tranche of consideration paid to La Regina shareholders at the closing date.</w:t>
      </w:r>
    </w:p>
    <w:p>
      <w:pPr>
        <w:pStyle w:val="TextBody"/>
        <w:bidi w:val="0"/>
        <w:spacing w:lineRule="auto" w:line="240" w:before="60" w:after="283"/>
        <w:ind w:left="0" w:right="0" w:hanging="36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Represents the estimated closing date fair value of the second tranche of consideration payable to La Regina shareholders on May 4, 2027, which is reflected as a liability measured at fair value in the Consolidated Balance Sheet. Fair value was determined based on the present value of the obligation using an appropriate discount rate. The obligation will be accreted to the amount payable with changes recognized in Interest expense. </w:t>
      </w:r>
    </w:p>
    <w:p>
      <w:pPr>
        <w:pStyle w:val="TextBody"/>
        <w:bidi w:val="0"/>
        <w:spacing w:lineRule="auto" w:line="240" w:before="60" w:after="283"/>
        <w:ind w:left="0" w:right="0" w:hanging="36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Represents the estimated closing date fair value of the payment to the La Regina SPA shareholders contingent upon the amount received by La Regina for grants, which is reflected as a contingent consideration liability at fair value in the Consolidated Balance Sheet. Fair value of the obligation and grant receivable was determined using a probability-weighted discounted cash flow analysis, based on the estimated timing of cash flows, probability of the amount of the grants received and using an appropriate discount rate. Changes in fair value will be recognized in earnings.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La Regina SPA and La Regina Atlantica were determined to be VIEs. Based on the nature of our arrangements, we are deemed to be the primary beneficiary and therefore consolidate the VIEs, reflecting the remaining 51% of the outstanding equity interests as noncontrolling interests in our consolidated financial statements. See Note 5 for additional information.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acquired assets, the assumed liabilities and the 51% noncontrolling interests were recorded at estimated fair values at closing.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 that was allocated to the acquired assets and assumed liabilities:</w:t>
      </w:r>
    </w:p>
    <w:tbl>
      <w:tblPr>
        <w:tblW w:w="4424" w:type="dxa"/>
        <w:jc w:val="left"/>
        <w:tblInd w:w="0" w:type="dxa"/>
        <w:tblLayout w:type="fixed"/>
        <w:tblCellMar>
          <w:top w:w="28" w:type="dxa"/>
          <w:left w:w="28" w:type="dxa"/>
          <w:bottom w:w="28" w:type="dxa"/>
          <w:right w:w="28" w:type="dxa"/>
        </w:tblCellMar>
      </w:tblPr>
      <w:tblGrid>
        <w:gridCol w:w="989"/>
        <w:gridCol w:w="868"/>
        <w:gridCol w:w="873"/>
        <w:gridCol w:w="422"/>
        <w:gridCol w:w="963"/>
        <w:gridCol w:w="309"/>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assets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488</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Noncontrolling interests</w:t>
            </w:r>
            <w:r>
              <w:rPr>
                <w:rFonts w:ascii="Times New Roman;serif" w:hAnsi="Times New Roman;serif"/>
                <w:b w:val="false"/>
                <w:color w:val="000000"/>
                <w:sz w:val="13"/>
              </w:rPr>
              <w:t>(1)</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w:t>
            </w:r>
            <w:r>
              <w:rPr>
                <w:color w:val="000000"/>
              </w:rPr>
              <w:t> </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76" w:before="0" w:after="0"/>
        <w:ind w:left="0" w:right="0" w:hanging="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fair value of the noncontrolling interests was determined based on the implied total equity value of the transaction, adjusted for the value of the put and call options. The value of the options was estimated using an option pricing approach, incorporating assumptions about expected volatility, time to exercise and risk-free interest rates. The redeemable noncontrolling interests are recorded as temporary equity in the Consolidated Balance Sheet.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estimated fair values of identifiable net assets was recorded as $335 million of goodwill. Goodwill of $54 million, which is attributed to the acquisition of La Regina Atlantica, is deductible for tax purposes. The remaining amount of goodwill is not deductible for tax purposes. The goodwill is primarily attributable to intangible assets that did not qualify for separate recognition. The goodwill is included in the Meals &amp; Beverages segment.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of La Regina is preliminary and is subject to the finalization of certain items, including valuations and tax balances, which will be completed within the allowable measurement period.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incurred costs of $26 million associated with the acquisition in 2026, including transaction costs, of which $23 million were recorded in Other expenses / (income), and $3 million in Cost of products sold related to the amortization of the acquisition date fair value adjustment to inventories.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La Regina for the period May 4, 2026 through August 2, 2026 were not material. Unaudited pro forma financial results as if the acquisition had occurred as of July 29, 2024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Sovos Brands</w:t>
      </w:r>
    </w:p>
    <w:p>
      <w:pPr>
        <w:pStyle w:val="TextBody"/>
        <w:bidi w:val="0"/>
        <w:spacing w:lineRule="auto" w:line="268" w:before="100" w:after="100"/>
        <w:ind w:left="0" w:right="0" w:firstLine="360"/>
        <w:jc w:val="both"/>
        <w:rPr/>
      </w:pPr>
      <w:r>
        <w:rPr>
          <w:rFonts w:ascii="Times New Roman;serif" w:hAnsi="Times New Roman;serif"/>
          <w:b w:val="false"/>
          <w:color w:val="000000"/>
          <w:sz w:val="20"/>
        </w:rPr>
        <w:t xml:space="preserve">On August 7, 2023, we entered into a merger agreement to acquire Sovos Brands, Inc. (Sovos Brands) for $23.00 per share. On March 12, 2024, we completed the acquisition. Sovos Brands' portfolio included a variety of pasta sauces, dry pasta, soups, frozen entrées, frozen pizza and yogurts sold in North America under the brand names </w:t>
      </w:r>
      <w:r>
        <w:rPr>
          <w:rFonts w:ascii="Times New Roman;serif" w:hAnsi="Times New Roman;serif"/>
          <w:b w:val="false"/>
          <w:i/>
          <w:color w:val="000000"/>
          <w:sz w:val="20"/>
        </w:rPr>
        <w:t>Rao’s, Michael Angelo’s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noosa</w:t>
      </w:r>
      <w:r>
        <w:rPr>
          <w:rFonts w:ascii="Times New Roman;serif" w:hAnsi="Times New Roman;serif"/>
          <w:b w:val="false"/>
          <w:color w:val="000000"/>
          <w:sz w:val="20"/>
        </w:rPr>
        <w:t>. See Note 4 for additional information on the noosa yoghurt business, which was sold on February</w:t>
      </w:r>
      <w:r>
        <w:rPr>
          <w:color w:val="000000"/>
        </w:rPr>
        <w:t> </w:t>
      </w:r>
      <w:r>
        <w:rPr>
          <w:rFonts w:ascii="Times New Roman;serif" w:hAnsi="Times New Roman;serif"/>
          <w:b w:val="false"/>
          <w:color w:val="000000"/>
          <w:sz w:val="20"/>
        </w:rPr>
        <w:t>24,</w:t>
      </w:r>
      <w:r>
        <w:rPr>
          <w:color w:val="000000"/>
        </w:rPr>
        <w:t> </w:t>
      </w:r>
      <w:r>
        <w:rPr>
          <w:rFonts w:ascii="Times New Roman;serif" w:hAnsi="Times New Roman;serif"/>
          <w:b w:val="false"/>
          <w:color w:val="000000"/>
          <w:sz w:val="20"/>
        </w:rPr>
        <w:t>2025. Total purchase consideration was $2.899 billion, which was determined as follows:</w:t>
      </w:r>
    </w:p>
    <w:tbl>
      <w:tblPr>
        <w:tblW w:w="7376" w:type="dxa"/>
        <w:jc w:val="left"/>
        <w:tblInd w:w="0" w:type="dxa"/>
        <w:tblLayout w:type="fixed"/>
        <w:tblCellMar>
          <w:top w:w="28" w:type="dxa"/>
          <w:left w:w="28" w:type="dxa"/>
          <w:bottom w:w="28" w:type="dxa"/>
          <w:right w:w="28" w:type="dxa"/>
        </w:tblCellMar>
      </w:tblPr>
      <w:tblGrid>
        <w:gridCol w:w="2131"/>
        <w:gridCol w:w="1872"/>
        <w:gridCol w:w="1892"/>
        <w:gridCol w:w="109"/>
        <w:gridCol w:w="109"/>
        <w:gridCol w:w="109"/>
        <w:gridCol w:w="109"/>
        <w:gridCol w:w="109"/>
        <w:gridCol w:w="109"/>
        <w:gridCol w:w="211"/>
        <w:gridCol w:w="255"/>
        <w:gridCol w:w="361"/>
      </w:tblGrid>
      <w:tr>
        <w:trPr/>
        <w:tc>
          <w:tcPr>
            <w:tcW w:w="213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consideration paid to Sovos Brands shareholders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paid for share-based awards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consideration paid directly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2,339</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transaction costs of Sovos Brands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Sovos Brands existing indebtedness and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2,857</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replacement share-based awards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2,899</w:t>
            </w:r>
          </w:p>
        </w:tc>
      </w:tr>
    </w:tbl>
    <w:p>
      <w:pPr>
        <w:pStyle w:val="TextBody"/>
        <w:bidi w:val="0"/>
        <w:spacing w:lineRule="auto" w:line="268" w:before="100" w:after="1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68" w:before="0" w:after="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Consideration paid to Sovos Brands shareholders which reflects $23.00 per share.</w:t>
      </w:r>
    </w:p>
    <w:p>
      <w:pPr>
        <w:pStyle w:val="TextBody"/>
        <w:bidi w:val="0"/>
        <w:spacing w:lineRule="auto" w:line="268" w:before="0" w:after="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Represents cash paid to equity award holders of Sovos Brands restricted stock and restricted stock unit awards attributable to pre-combination service. This excludes $3 million of cash paid that was recognized as expense.</w:t>
      </w:r>
    </w:p>
    <w:p>
      <w:pPr>
        <w:pStyle w:val="TextBody"/>
        <w:bidi w:val="0"/>
        <w:spacing w:lineRule="auto" w:line="268" w:before="0" w:after="0"/>
        <w:ind w:left="0" w:right="0" w:hanging="360"/>
        <w:jc w:val="both"/>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w:t>
      </w:r>
    </w:p>
    <w:p>
      <w:pPr>
        <w:pStyle w:val="TextBody"/>
        <w:bidi w:val="0"/>
        <w:spacing w:lineRule="auto" w:line="26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cash portion of the acquisition was funded through a Delayed Draw Term Loan Credit Agreement (the 2024 DDTL Credit Agreement) of $2 billion and cash on hand. See Note 14 for additional information.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estimated fair values of identifiable net assets was recorded as $1.116 billion of goodwill. The goodwill is not deductible for tax purposes. The goodwill was primarily attributable to future growth opportunities, anticipated synergies, and intangible assets that did not qualify for separate recognition. The goodwill is included in the Meals &amp; Beverages segment.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incurred transaction costs and integration costs, including costs to achieve synergies, of $128 million associated with the Sovos Brands acquisition in 2024. Approximately $35 million represented transaction costs, including outside advisory costs, recorded in Other expenses / (income). In addition, we recognized $2 million in Interest expense related to financing fees associated with the 2024 DDTL Credit Agreement. Integration costs included expenses associated with accelerated vesting of replacement awards, severance and retention bonuses, amortization of the acquisition date fair value adjustment to inventories and other costs. Integration costs recognized in 2024 included the following:</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$18 million in Cost of products sold, $17 million of which related to the amortization of the acquisition date fair value adjustment to inventories;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$3 million of Marketing and selling expenses;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$47 million of Administrative expenses;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$2 million of Research and development expenses;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$21 million of Restructuring charges to achieve synergies. See Note 9 for additional information.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period March 12, 2024 through July 28, 2024, the Sovos Brands acquisition contributed $423 million to Net sales and a loss of $84 million to Net earnings, including the effect of transaction and integration costs and interest expense on the debt to finance the acquisition.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unaudited summary information is presented on a consolidated pro forma basis as if the Sovos Brands acquisition had occurred on August 1, 2022:</w:t>
      </w:r>
    </w:p>
    <w:tbl>
      <w:tblPr>
        <w:tblW w:w="6334" w:type="dxa"/>
        <w:jc w:val="left"/>
        <w:tblInd w:w="0" w:type="dxa"/>
        <w:tblLayout w:type="fixed"/>
        <w:tblCellMar>
          <w:top w:w="28" w:type="dxa"/>
          <w:left w:w="28" w:type="dxa"/>
          <w:bottom w:w="28" w:type="dxa"/>
          <w:right w:w="28" w:type="dxa"/>
        </w:tblCellMar>
      </w:tblPr>
      <w:tblGrid>
        <w:gridCol w:w="1624"/>
        <w:gridCol w:w="1426"/>
        <w:gridCol w:w="1435"/>
        <w:gridCol w:w="109"/>
        <w:gridCol w:w="109"/>
        <w:gridCol w:w="109"/>
        <w:gridCol w:w="109"/>
        <w:gridCol w:w="109"/>
        <w:gridCol w:w="109"/>
        <w:gridCol w:w="109"/>
        <w:gridCol w:w="211"/>
        <w:gridCol w:w="721"/>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52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4. Divestitures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26, 2024, we completed the sale of our Pop Secret popcorn business for $70 million. We recognized a pre-tax loss on the sale of $25 million, or $19 million after tax. In connection with the sale, we provided certain transition services to support the business. The business had net sales of $9 million in 2025 and $119 million in 2024. Earnings were not material in the periods. The results of the business were reflected within the Snacks reportable segment.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entered into an agreement to sell our noosa yoghurt business in November 2024. The noosa yoghurt business was purchased as part of the Sovos Brands acquisition. In the second quarter of 2025, we recorded $15 million of tax expense related to the sale of the business. We completed the sale on February 24, 2025, for $188 million, subject to certain customary purchase price adjustments, which resulted in $5 million of additional proceeds in the first quarter of 2026. The after-tax loss recorded on the sale in 2025 was $15 million. In connection with the sale, we provided certain transition services to support the business. The business had net sales of $99 million in 2025 and $68 million in 2024 after it was purchased as part of the Sovos Brands acquisition on March 12, 2024. Earnings were not material in the periods. The results of the business were reflected within the Meals &amp; Beverages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5. Variable Interest Entities and Redeemable Noncontrolling Interests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ownership interests, contractual arrangements and other relationships to determine if we have a variable interest in an entity. These evaluations involve judgment and assumptions based on available historical and prospective information, among other qualitative factors. If we determine that an entity is a VIE and that we are the primary beneficiary, we consolidate the entity in our consolidated financial statements. We are considered the primary beneficiary of the VIE when we have both the power to direct the activities that most significantly impact the VIE’s economic performance, and the obligation to absorb losses or the right to receive benefits from the VIE that could potentially be significant to the VIE. The determination of the primary beneficiary is reassessed on an ongoing basis.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On May 4, 2026, we acquired 49% of the issued and outstanding shares of the La Regina entities, which were determined to be VIEs. See Note 3 for additional information on the acquisition of La Regina. La Regina currently produces all of our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 xml:space="preserve">tomato-based pasta sauces pursuant to a long-term manufacturing and supply agreement. The remaining 51% of the outstanding equity interests of La Regina are subject to a call option granted to us and a put option granted to La Regina. The call option may be exercised from the first anniversary of the closing until the later of the tenth anniversary of the closing and the date of cessation of the material commercial agreements between the parties. Under the call option, we may, during specified exercise periods, acquire additional equity interests in increments of not less than 2% from La Regina equity holders at a price based on an implied total equity value of approximately $584 million, subject to the payment of a control premium of up to 20% and to a 20% reduction for specified material adverse changes. The put option may be exercised from three years after the first anniversary of the closing until the tenth anniversary of the closing. Under the put option, La Regina equity holders may require us to purchase all or a portion of their remaining equity interests during a defined exercise period, subject to certain conditions and similar pricing mechanics as the call option.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determined that we are the primary beneficiary and therefore consolidate the La Regina entities based on the totality of our arrangements, including the fixed price put and call options and our greater exposure to the economic risks and benefits of the VIEs as well as our integrated business relationship with La Regina. The remaining 51% of the outstanding equity interests of La Regina are accounted for as noncontrolling interests. Refer to the section below on Redeemable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53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amounts of La Regina’s assets and liabilities included in our Consolidated Balance Sheets are summarized below. The assets can only be used to settle obligations of La Regina and creditors only have recourse to La Regina for the liabilities.</w:t>
      </w:r>
    </w:p>
    <w:tbl>
      <w:tblPr>
        <w:tblW w:w="3516" w:type="dxa"/>
        <w:jc w:val="left"/>
        <w:tblInd w:w="0" w:type="dxa"/>
        <w:tblLayout w:type="fixed"/>
        <w:tblCellMar>
          <w:top w:w="28" w:type="dxa"/>
          <w:left w:w="28" w:type="dxa"/>
          <w:bottom w:w="28" w:type="dxa"/>
          <w:right w:w="28" w:type="dxa"/>
        </w:tblCellMar>
      </w:tblPr>
      <w:tblGrid>
        <w:gridCol w:w="967"/>
        <w:gridCol w:w="849"/>
        <w:gridCol w:w="854"/>
        <w:gridCol w:w="211"/>
        <w:gridCol w:w="48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assets, net of depreciation</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assets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liabilities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Noncontrolling interests with redemption features that are outside of our control at fixed or determinable prices and dates are presented in temporary equity on the Consolidated Balance Sheets. The remaining 51% noncontrolling equity interests in La Regina are considered redeemable and classified as temporary equity due to the fixed price put option under the purchase agreements, which may require us to purchase all or a portion of the remaining equity interests from the La Regina equity holders during a defined exercise period. The put option is exercisable upon the passage of time at the option of the holders based on a fixed price other than fair value as described above.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redeemable noncontrolling interests are measured at the greater of the redemption fair value or the carrying value, adjusted for net earnings (loss) and other comprehensive income (loss). The acquisition date fair value of the redeemable noncontrolling interests was approximately $300 million, which will be accreted using the effective interest method to the redemption value of $357 million over four years when the put option becomes exercisable. The fair value of the noncontrolling interests was determined by the fixed price of the put and call options embedded within the noncontrolling interest, discounted to present value. Adjustments related to the accretion of the redemption value will be recognized in retained earnings. The redemption value was determined based on 51% of the implied total equity value of approximately $584 million, plus a 20% premium. </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redeemable noncontrolling interests are as follows:</w:t>
      </w:r>
    </w:p>
    <w:tbl>
      <w:tblPr>
        <w:tblW w:w="6636" w:type="dxa"/>
        <w:jc w:val="left"/>
        <w:tblInd w:w="0" w:type="dxa"/>
        <w:tblLayout w:type="fixed"/>
        <w:tblCellMar>
          <w:top w:w="28" w:type="dxa"/>
          <w:left w:w="28" w:type="dxa"/>
          <w:bottom w:w="28" w:type="dxa"/>
          <w:right w:w="28" w:type="dxa"/>
        </w:tblCellMar>
      </w:tblPr>
      <w:tblGrid>
        <w:gridCol w:w="2097"/>
        <w:gridCol w:w="1838"/>
        <w:gridCol w:w="1855"/>
        <w:gridCol w:w="211"/>
        <w:gridCol w:w="481"/>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w:t>
            </w:r>
            <w:r>
              <w:rPr>
                <w:rFonts w:ascii="Times New Roman;serif" w:hAnsi="Times New Roman;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redeemable noncontrolling interests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noncontrolling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40" w:before="60" w:after="60"/>
        <w:ind w:left="0" w:right="0" w:hanging="36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See Note 3 for additional information on the acquisition of La Regina.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54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6. Accumulated Other Comprehensive Income (Loss)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consisted of the following:</w:t>
      </w:r>
    </w:p>
    <w:tbl>
      <w:tblPr>
        <w:tblW w:w="10205" w:type="dxa"/>
        <w:jc w:val="left"/>
        <w:tblInd w:w="0" w:type="dxa"/>
        <w:tblLayout w:type="fixed"/>
        <w:tblCellMar>
          <w:top w:w="28" w:type="dxa"/>
          <w:left w:w="28" w:type="dxa"/>
          <w:bottom w:w="28" w:type="dxa"/>
          <w:right w:w="28" w:type="dxa"/>
        </w:tblCellMar>
      </w:tblPr>
      <w:tblGrid>
        <w:gridCol w:w="1190"/>
        <w:gridCol w:w="799"/>
        <w:gridCol w:w="662"/>
        <w:gridCol w:w="109"/>
        <w:gridCol w:w="109"/>
        <w:gridCol w:w="109"/>
        <w:gridCol w:w="462"/>
        <w:gridCol w:w="822"/>
        <w:gridCol w:w="239"/>
        <w:gridCol w:w="109"/>
        <w:gridCol w:w="109"/>
        <w:gridCol w:w="109"/>
        <w:gridCol w:w="311"/>
        <w:gridCol w:w="556"/>
        <w:gridCol w:w="162"/>
        <w:gridCol w:w="109"/>
        <w:gridCol w:w="109"/>
        <w:gridCol w:w="109"/>
        <w:gridCol w:w="641"/>
        <w:gridCol w:w="823"/>
        <w:gridCol w:w="333"/>
        <w:gridCol w:w="109"/>
        <w:gridCol w:w="109"/>
        <w:gridCol w:w="109"/>
        <w:gridCol w:w="525"/>
        <w:gridCol w:w="936"/>
        <w:gridCol w:w="274"/>
        <w:gridCol w:w="162"/>
      </w:tblGrid>
      <w:tr>
        <w:trPr/>
        <w:tc>
          <w:tcPr>
            <w:tcW w:w="11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Foreign Currency Translation Adjustments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Cash-Flow Hedges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Pension and Postretirement Benefit Plan Adjustments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Accumulated Comprehensive Income (Loss)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July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reclassified from 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July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reclassified from 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August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Losses (gains) reclassified from 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 Other comprehensive income (loss) attributable to noncontrolling interests</w:t>
            </w:r>
            <w:r>
              <w:rPr>
                <w:rFonts w:ascii="Times New Roman;serif" w:hAnsi="Times New Roman;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August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40" w:before="20" w:after="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no tax as of August 2, 2026, August 3, 2025, July 28, 2024, and July 30, 2023.</w:t>
      </w:r>
    </w:p>
    <w:p>
      <w:pPr>
        <w:pStyle w:val="TextBody"/>
        <w:bidi w:val="0"/>
        <w:spacing w:lineRule="auto" w:line="240" w:before="20" w:after="2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a tax benefit of $1 million as of August 2, 2026, $3 million as of August 3, 2025, $2 million as of July 28, 2024, and $1 million as of July 30, 2023.</w:t>
      </w:r>
    </w:p>
    <w:p>
      <w:pPr>
        <w:pStyle w:val="TextBody"/>
        <w:bidi w:val="0"/>
        <w:spacing w:lineRule="auto" w:line="240" w:before="20" w:after="4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tax expense of $2 million as of August 2, 2026 and August 3, 2025, and $1 million as of July 28, 2024 and July 30, 2023.</w:t>
      </w:r>
    </w:p>
    <w:p>
      <w:pPr>
        <w:pStyle w:val="TextBody"/>
        <w:bidi w:val="0"/>
        <w:spacing w:lineRule="auto" w:line="240" w:before="20" w:after="4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See Note 5 for additional information.</w:t>
      </w:r>
    </w:p>
    <w:p>
      <w:pPr>
        <w:pStyle w:val="TextBody"/>
        <w:bidi w:val="0"/>
        <w:spacing w:lineRule="auto" w:line="288" w:before="10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reclassified from Accumulated other comprehensive income (loss) consisted of the following:</w:t>
      </w:r>
    </w:p>
    <w:tbl>
      <w:tblPr>
        <w:tblW w:w="10205" w:type="dxa"/>
        <w:jc w:val="left"/>
        <w:tblInd w:w="0" w:type="dxa"/>
        <w:tblLayout w:type="fixed"/>
        <w:tblCellMar>
          <w:top w:w="28" w:type="dxa"/>
          <w:left w:w="28" w:type="dxa"/>
          <w:bottom w:w="28" w:type="dxa"/>
          <w:right w:w="28" w:type="dxa"/>
        </w:tblCellMar>
      </w:tblPr>
      <w:tblGrid>
        <w:gridCol w:w="1341"/>
        <w:gridCol w:w="1124"/>
        <w:gridCol w:w="1135"/>
        <w:gridCol w:w="109"/>
        <w:gridCol w:w="109"/>
        <w:gridCol w:w="109"/>
        <w:gridCol w:w="211"/>
        <w:gridCol w:w="321"/>
        <w:gridCol w:w="109"/>
        <w:gridCol w:w="109"/>
        <w:gridCol w:w="109"/>
        <w:gridCol w:w="109"/>
        <w:gridCol w:w="211"/>
        <w:gridCol w:w="406"/>
        <w:gridCol w:w="109"/>
        <w:gridCol w:w="109"/>
        <w:gridCol w:w="109"/>
        <w:gridCol w:w="109"/>
        <w:gridCol w:w="211"/>
        <w:gridCol w:w="406"/>
        <w:gridCol w:w="109"/>
        <w:gridCol w:w="109"/>
        <w:gridCol w:w="109"/>
        <w:gridCol w:w="109"/>
        <w:gridCol w:w="949"/>
        <w:gridCol w:w="931"/>
        <w:gridCol w:w="1324"/>
      </w:tblGrid>
      <w:tr>
        <w:trPr/>
        <w:tc>
          <w:tcPr>
            <w:tcW w:w="134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531"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Loss (Gain) Recognized in Earnings</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cash-flow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starting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Loss (gain),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 (income)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Loss (gain),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55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the carrying amount of goodwill:</w:t>
      </w:r>
    </w:p>
    <w:tbl>
      <w:tblPr>
        <w:tblW w:w="7639" w:type="dxa"/>
        <w:jc w:val="left"/>
        <w:tblInd w:w="0" w:type="dxa"/>
        <w:tblLayout w:type="fixed"/>
        <w:tblCellMar>
          <w:top w:w="28" w:type="dxa"/>
          <w:left w:w="28" w:type="dxa"/>
          <w:bottom w:w="28" w:type="dxa"/>
          <w:right w:w="28" w:type="dxa"/>
        </w:tblCellMar>
      </w:tblPr>
      <w:tblGrid>
        <w:gridCol w:w="1286"/>
        <w:gridCol w:w="1132"/>
        <w:gridCol w:w="1136"/>
        <w:gridCol w:w="328"/>
        <w:gridCol w:w="985"/>
        <w:gridCol w:w="171"/>
        <w:gridCol w:w="109"/>
        <w:gridCol w:w="109"/>
        <w:gridCol w:w="109"/>
        <w:gridCol w:w="211"/>
        <w:gridCol w:w="631"/>
        <w:gridCol w:w="109"/>
        <w:gridCol w:w="109"/>
        <w:gridCol w:w="109"/>
        <w:gridCol w:w="109"/>
        <w:gridCol w:w="211"/>
        <w:gridCol w:w="63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Meals &amp; Beverages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balance at July 28, 2024</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Divestitures</w:t>
            </w:r>
            <w:r>
              <w:rPr>
                <w:rFonts w:ascii="Times New Roman;serif" w:hAnsi="Times New Roman;serif"/>
                <w:b w:val="false"/>
                <w:color w:val="000000"/>
                <w:sz w:val="13"/>
              </w:rPr>
              <w:t>(1)</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balance at August 3, 2025</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Acquisition</w:t>
            </w:r>
            <w:r>
              <w:rPr>
                <w:rFonts w:ascii="Times New Roman;serif" w:hAnsi="Times New Roman;serif"/>
                <w:b/>
                <w:color w:val="000000"/>
                <w:sz w:val="13"/>
              </w:rPr>
              <w:t>(2)</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 adjustment</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balance at August 2, 2026</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2,367</w:t>
            </w: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40"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Note 4 for additional information on divestitures.</w:t>
      </w:r>
    </w:p>
    <w:p>
      <w:pPr>
        <w:pStyle w:val="TextBody"/>
        <w:bidi w:val="0"/>
        <w:spacing w:lineRule="auto" w:line="240"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See Note 3 for additional information on the acquisition of La Regina.</w:t>
      </w:r>
    </w:p>
    <w:p>
      <w:pPr>
        <w:pStyle w:val="TextBody"/>
        <w:bidi w:val="0"/>
        <w:spacing w:lineRule="auto" w:line="288" w:before="100" w:after="100"/>
        <w:ind w:left="0" w:right="0" w:hanging="36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balance sheet information for intangible assets, excluding goodwill: </w:t>
      </w:r>
    </w:p>
    <w:tbl>
      <w:tblPr>
        <w:tblW w:w="10205" w:type="dxa"/>
        <w:jc w:val="left"/>
        <w:tblInd w:w="0" w:type="dxa"/>
        <w:tblLayout w:type="fixed"/>
        <w:tblCellMar>
          <w:top w:w="28" w:type="dxa"/>
          <w:left w:w="28" w:type="dxa"/>
          <w:bottom w:w="28" w:type="dxa"/>
          <w:right w:w="28" w:type="dxa"/>
        </w:tblCellMar>
      </w:tblPr>
      <w:tblGrid>
        <w:gridCol w:w="748"/>
        <w:gridCol w:w="464"/>
        <w:gridCol w:w="468"/>
        <w:gridCol w:w="109"/>
        <w:gridCol w:w="109"/>
        <w:gridCol w:w="109"/>
        <w:gridCol w:w="211"/>
        <w:gridCol w:w="631"/>
        <w:gridCol w:w="109"/>
        <w:gridCol w:w="109"/>
        <w:gridCol w:w="109"/>
        <w:gridCol w:w="109"/>
        <w:gridCol w:w="331"/>
        <w:gridCol w:w="757"/>
        <w:gridCol w:w="172"/>
        <w:gridCol w:w="109"/>
        <w:gridCol w:w="109"/>
        <w:gridCol w:w="109"/>
        <w:gridCol w:w="109"/>
        <w:gridCol w:w="109"/>
        <w:gridCol w:w="211"/>
        <w:gridCol w:w="631"/>
        <w:gridCol w:w="109"/>
        <w:gridCol w:w="109"/>
        <w:gridCol w:w="109"/>
        <w:gridCol w:w="109"/>
        <w:gridCol w:w="211"/>
        <w:gridCol w:w="616"/>
        <w:gridCol w:w="109"/>
        <w:gridCol w:w="109"/>
        <w:gridCol w:w="109"/>
        <w:gridCol w:w="109"/>
        <w:gridCol w:w="331"/>
        <w:gridCol w:w="757"/>
        <w:gridCol w:w="172"/>
        <w:gridCol w:w="109"/>
        <w:gridCol w:w="109"/>
        <w:gridCol w:w="109"/>
        <w:gridCol w:w="211"/>
        <w:gridCol w:w="616"/>
        <w:gridCol w:w="160"/>
      </w:tblGrid>
      <w:tr>
        <w:trPr/>
        <w:tc>
          <w:tcPr>
            <w:tcW w:w="7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(407)</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Rao's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Snyder's of Hanover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Pacific Foods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Kettle Brand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Cape Cod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Various other Snacks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100" w:after="10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the </w:t>
      </w:r>
      <w:r>
        <w:rPr>
          <w:rFonts w:ascii="Times New Roman;serif" w:hAnsi="Times New Roman;serif"/>
          <w:b w:val="false"/>
          <w:i/>
          <w:color w:val="000000"/>
          <w:sz w:val="20"/>
        </w:rPr>
        <w:t xml:space="preserve">Late July </w:t>
      </w:r>
      <w:r>
        <w:rPr>
          <w:rFonts w:ascii="Times New Roman;serif" w:hAnsi="Times New Roman;serif"/>
          <w:b w:val="false"/>
          <w:color w:val="000000"/>
          <w:sz w:val="20"/>
        </w:rPr>
        <w:t xml:space="preserve">trademark and certain salty snacks and cookie trademarks within our Snacks segment, including </w:t>
      </w:r>
      <w:r>
        <w:rPr>
          <w:rFonts w:ascii="Times New Roman;serif" w:hAnsi="Times New Roman;serif"/>
          <w:b w:val="false"/>
          <w:i/>
          <w:color w:val="000000"/>
          <w:sz w:val="20"/>
        </w:rPr>
        <w:t>Tom's</w:t>
      </w:r>
      <w:r>
        <w:rPr>
          <w:rFonts w:ascii="Times New Roman;serif" w:hAnsi="Times New Roman;serif"/>
          <w:b w:val="false"/>
          <w:color w:val="000000"/>
          <w:sz w:val="20"/>
        </w:rPr>
        <w:t xml:space="preserve">, </w:t>
      </w:r>
      <w:r>
        <w:rPr>
          <w:rFonts w:ascii="Times New Roman;serif" w:hAnsi="Times New Roman;serif"/>
          <w:b w:val="false"/>
          <w:i/>
          <w:color w:val="000000"/>
          <w:sz w:val="20"/>
        </w:rPr>
        <w:t>Jays</w:t>
      </w:r>
      <w:r>
        <w:rPr>
          <w:rFonts w:ascii="Times New Roman;serif" w:hAnsi="Times New Roman;serif"/>
          <w:b w:val="false"/>
          <w:color w:val="000000"/>
          <w:sz w:val="20"/>
        </w:rPr>
        <w:t xml:space="preserve">, </w:t>
      </w:r>
      <w:r>
        <w:rPr>
          <w:rFonts w:ascii="Times New Roman;serif" w:hAnsi="Times New Roman;serif"/>
          <w:b w:val="false"/>
          <w:i/>
          <w:color w:val="000000"/>
          <w:sz w:val="20"/>
        </w:rPr>
        <w:t>Kruncher's</w:t>
      </w:r>
      <w:r>
        <w:rPr>
          <w:rFonts w:ascii="Times New Roman;serif" w:hAnsi="Times New Roman;serif"/>
          <w:b w:val="false"/>
          <w:color w:val="000000"/>
          <w:sz w:val="20"/>
        </w:rPr>
        <w:t xml:space="preserve">, </w:t>
      </w:r>
      <w:r>
        <w:rPr>
          <w:rFonts w:ascii="Times New Roman;serif" w:hAnsi="Times New Roman;serif"/>
          <w:b w:val="false"/>
          <w:i/>
          <w:color w:val="000000"/>
          <w:sz w:val="20"/>
        </w:rPr>
        <w:t>O-Ke-Doke</w:t>
      </w:r>
      <w:r>
        <w:rPr>
          <w:rFonts w:ascii="Times New Roman;serif" w:hAnsi="Times New Roman;serif"/>
          <w:b w:val="false"/>
          <w:color w:val="000000"/>
          <w:sz w:val="20"/>
        </w:rPr>
        <w:t xml:space="preserve">, </w:t>
      </w:r>
      <w:r>
        <w:rPr>
          <w:rFonts w:ascii="Times New Roman;serif" w:hAnsi="Times New Roman;serif"/>
          <w:b w:val="false"/>
          <w:i/>
          <w:color w:val="000000"/>
          <w:sz w:val="20"/>
        </w:rPr>
        <w:t>Stella D'oro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Archway</w:t>
      </w:r>
      <w:r>
        <w:rPr>
          <w:rFonts w:ascii="Times New Roman;serif" w:hAnsi="Times New Roman;serif"/>
          <w:b w:val="false"/>
          <w:color w:val="000000"/>
          <w:sz w:val="20"/>
        </w:rPr>
        <w:t>, collectively referred to as our "Allied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$41 million for 2026, $68 million for 2025 and $73 million for 2024. Amortization expense in 2025 and 2024 included accelerated amortization expense of $20 million and $27 million, respectively, on customer relationships which began in the fourth quarter of 2023 due to the loss of certain contract manufacturing customers. As of August 2, 2026, amortizable intangible assets had a weighted-average remaining useful life of 17 years. Amortization expense is estimated to be approximately $40 million per year for each of the next five fiscal years.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2024, we recognized an impairment charge of $53 million on our Allied brands trademarks. In 2024, sales and operating performance were below expectations due in part to competitive pressure and reduced margins. In the fourth quarter of 2024, based on recent performance and the reevaluation of the position of the Allied brands within our portfolio, we lowered our near-term and long-term outlook for future sales and operating performance, reducing the carrying value of the trademarks to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56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reducing the carrying value of the trademark to $28 million. The sale of the business was completed on August 26, 2024.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we performed an interim impairment assessment on our Allied brands trademarks as our sales performance was below expectations. In the second quarter of 2025, based on recent performance, we lowered our long-term outlook and recognized an impairment charge of $15 million on the trademarks, reducing the carrying value to $28 million.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During the second quarter of 2025, we performed an interim impairment assessment on the </w:t>
      </w:r>
      <w:r>
        <w:rPr>
          <w:rFonts w:ascii="Times New Roman;serif" w:hAnsi="Times New Roman;serif"/>
          <w:b w:val="false"/>
          <w:i/>
          <w:color w:val="000000"/>
          <w:sz w:val="20"/>
        </w:rPr>
        <w:t>Late July</w:t>
      </w:r>
      <w:r>
        <w:rPr>
          <w:color w:val="000000"/>
        </w:rPr>
        <w:t xml:space="preserve"> </w:t>
      </w:r>
      <w:r>
        <w:rPr>
          <w:rFonts w:ascii="Times New Roman;serif" w:hAnsi="Times New Roman;serif"/>
          <w:b w:val="false"/>
          <w:color w:val="000000"/>
          <w:sz w:val="20"/>
        </w:rPr>
        <w:t>trademark within our Snacks segment as our sales performance was below expectations. In the second quarter of 2025, based on recent performance, we lowered our long-term outlook and recognized an impairment charge of $11 million on the trademark, reducing the carrying value to $47 million.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During the third quarter of 2025, we performed an interim impairment assessment on the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trademark within our Snacks segment as our sales and operating performance were below expectations. In the third quarter of 2025, based on recent performance, we lowered our long-term outlook and recognized an impairment charge of $150 million on the trademark, reducing the carrying value to $470 million.</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the fourth quarter of 2026, based on recent performance, we recognized impairment charges on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 xml:space="preserve">trademarks. In 2026, sales and operating performance were below expectations due in part to competitive pressures and reduced margins. As a result, we lowered our near-term and long-term outlook for future sales and operating performance. We recognized an impairment charge of $60 million on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trademark, reducing the carrying value to $258 million, and an impairment charge of $57 million on the </w:t>
      </w:r>
      <w:r>
        <w:rPr>
          <w:rFonts w:ascii="Times New Roman;serif" w:hAnsi="Times New Roman;serif"/>
          <w:b w:val="false"/>
          <w:i/>
          <w:color w:val="000000"/>
          <w:sz w:val="20"/>
        </w:rPr>
        <w:t xml:space="preserve">Cape Cod </w:t>
      </w:r>
      <w:r>
        <w:rPr>
          <w:rFonts w:ascii="Times New Roman;serif" w:hAnsi="Times New Roman;serif"/>
          <w:b w:val="false"/>
          <w:color w:val="000000"/>
          <w:sz w:val="20"/>
        </w:rPr>
        <w:t>trademark, reducing the carrying value to $130 million.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impairment charges were recorded in Other expenses / (income) in the Consolidated Statement of Earnings.</w:t>
      </w:r>
    </w:p>
    <w:p>
      <w:pPr>
        <w:pStyle w:val="TextBody"/>
        <w:bidi w:val="0"/>
        <w:spacing w:lineRule="auto" w:line="288" w:before="100" w:after="100"/>
        <w:ind w:left="0" w:right="0" w:firstLine="360"/>
        <w:jc w:val="both"/>
        <w:rPr/>
      </w:pPr>
      <w:r>
        <w:rPr>
          <w:rFonts w:ascii="Times New Roman;serif" w:hAnsi="Times New Roman;serif"/>
          <w:b w:val="false"/>
          <w:color w:val="000000"/>
          <w:sz w:val="20"/>
        </w:rPr>
        <w:t>As of the 2026 annual impairment testing, indefinite-lived trademarks with approximately 10% or less of excess coverage of fair value over carrying value had an aggregate carrying value of $1.225 billion and included</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i/>
          <w:color w:val="000000"/>
          <w:sz w:val="20"/>
        </w:rPr>
        <w:t>Snyder's of Hanover</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Pace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Kettle Brand, Cape Cod</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Late July </w:t>
      </w:r>
      <w:r>
        <w:rPr>
          <w:rFonts w:ascii="Times New Roman;serif" w:hAnsi="Times New Roman;serif"/>
          <w:b w:val="false"/>
          <w:color w:val="000000"/>
          <w:sz w:val="20"/>
        </w:rPr>
        <w:t>and Allied brands trademarks.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estimates of future cash flows used in impairment testing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from the potential impact of tariffs, shifting global trade policies and geopolitical conflicts.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8. Segment Information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two operating segments, which are also our reportable segments, are as follows: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Meals &amp; Beverages, which consists of soup, simple meals and beverage</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 xml:space="preserve">products in retail and foodservice in the U.S. and Canada. The segment includes the following products: </w:t>
      </w:r>
      <w:r>
        <w:rPr>
          <w:rFonts w:ascii="Times New Roman;serif" w:hAnsi="Times New Roman;serif"/>
          <w:b w:val="false"/>
          <w:i/>
          <w:color w:val="000000"/>
          <w:sz w:val="20"/>
        </w:rPr>
        <w:t xml:space="preserve">Campbell’s </w:t>
      </w:r>
      <w:r>
        <w:rPr>
          <w:rFonts w:ascii="Times New Roman;serif" w:hAnsi="Times New Roman;serif"/>
          <w:b w:val="false"/>
          <w:color w:val="000000"/>
          <w:sz w:val="20"/>
        </w:rPr>
        <w:t xml:space="preserve">condensed and ready-to-serve soups; </w:t>
      </w:r>
      <w:r>
        <w:rPr>
          <w:rFonts w:ascii="Times New Roman;serif" w:hAnsi="Times New Roman;serif"/>
          <w:b w:val="false"/>
          <w:i/>
          <w:color w:val="000000"/>
          <w:sz w:val="20"/>
        </w:rPr>
        <w:t>Swanson</w:t>
      </w:r>
      <w:r>
        <w:rPr>
          <w:color w:val="000000"/>
        </w:rPr>
        <w:t xml:space="preserve"> </w:t>
      </w:r>
      <w:r>
        <w:rPr>
          <w:rFonts w:ascii="Times New Roman;serif" w:hAnsi="Times New Roman;serif"/>
          <w:b w:val="false"/>
          <w:color w:val="000000"/>
          <w:sz w:val="20"/>
        </w:rPr>
        <w:t xml:space="preserve">broth and stocks; </w:t>
      </w:r>
      <w:r>
        <w:rPr>
          <w:rFonts w:ascii="Times New Roman;serif" w:hAnsi="Times New Roman;serif"/>
          <w:b w:val="false"/>
          <w:i/>
          <w:color w:val="000000"/>
          <w:sz w:val="20"/>
        </w:rPr>
        <w:t>Pacific</w:t>
      </w:r>
      <w:r>
        <w:rPr>
          <w:color w:val="000000"/>
        </w:rPr>
        <w:t xml:space="preserve"> </w:t>
      </w:r>
      <w:r>
        <w:rPr>
          <w:rFonts w:ascii="Times New Roman;serif" w:hAnsi="Times New Roman;serif"/>
          <w:b w:val="false"/>
          <w:i/>
          <w:color w:val="000000"/>
          <w:sz w:val="20"/>
        </w:rPr>
        <w:t>Foods</w:t>
      </w:r>
      <w:r>
        <w:rPr>
          <w:color w:val="000000"/>
        </w:rPr>
        <w:t xml:space="preserve"> </w:t>
      </w:r>
      <w:r>
        <w:rPr>
          <w:rFonts w:ascii="Times New Roman;serif" w:hAnsi="Times New Roman;serif"/>
          <w:b w:val="false"/>
          <w:color w:val="000000"/>
          <w:sz w:val="20"/>
        </w:rPr>
        <w:t xml:space="preserve">broth, soups and non-dairy beverages; </w:t>
      </w:r>
      <w:r>
        <w:rPr>
          <w:rFonts w:ascii="Times New Roman;serif" w:hAnsi="Times New Roman;serif"/>
          <w:b w:val="false"/>
          <w:i/>
          <w:color w:val="000000"/>
          <w:sz w:val="20"/>
        </w:rPr>
        <w:t>Prego</w:t>
      </w:r>
      <w:r>
        <w:rPr>
          <w:color w:val="000000"/>
        </w:rPr>
        <w:t xml:space="preserve"> </w:t>
      </w:r>
      <w:r>
        <w:rPr>
          <w:rFonts w:ascii="Times New Roman;serif" w:hAnsi="Times New Roman;serif"/>
          <w:b w:val="false"/>
          <w:color w:val="000000"/>
          <w:sz w:val="20"/>
        </w:rPr>
        <w:t xml:space="preserve">pasta sauces; </w:t>
      </w:r>
      <w:r>
        <w:rPr>
          <w:rFonts w:ascii="Times New Roman;serif" w:hAnsi="Times New Roman;serif"/>
          <w:b w:val="false"/>
          <w:i/>
          <w:color w:val="000000"/>
          <w:sz w:val="20"/>
        </w:rPr>
        <w:t>Pace</w:t>
      </w:r>
      <w:r>
        <w:rPr>
          <w:color w:val="000000"/>
        </w:rPr>
        <w:t xml:space="preserve"> </w:t>
      </w:r>
      <w:r>
        <w:rPr>
          <w:rFonts w:ascii="Times New Roman;serif" w:hAnsi="Times New Roman;serif"/>
          <w:b w:val="false"/>
          <w:color w:val="000000"/>
          <w:sz w:val="20"/>
        </w:rPr>
        <w:t xml:space="preserve">Mexican sauces; </w:t>
      </w:r>
      <w:r>
        <w:rPr>
          <w:rFonts w:ascii="Times New Roman;serif" w:hAnsi="Times New Roman;serif"/>
          <w:b w:val="false"/>
          <w:i/>
          <w:color w:val="000000"/>
          <w:sz w:val="20"/>
        </w:rPr>
        <w:t>SpaghettiOs</w:t>
      </w:r>
      <w:r>
        <w:rPr>
          <w:color w:val="000000"/>
        </w:rPr>
        <w:t xml:space="preserve"> </w:t>
      </w:r>
      <w:r>
        <w:rPr>
          <w:rFonts w:ascii="Times New Roman;serif" w:hAnsi="Times New Roman;serif"/>
          <w:b w:val="false"/>
          <w:color w:val="000000"/>
          <w:sz w:val="20"/>
        </w:rPr>
        <w:t xml:space="preserve">pasta; </w:t>
      </w:r>
      <w:r>
        <w:rPr>
          <w:rFonts w:ascii="Times New Roman;serif" w:hAnsi="Times New Roman;serif"/>
          <w:b w:val="false"/>
          <w:i/>
          <w:color w:val="000000"/>
          <w:sz w:val="20"/>
        </w:rPr>
        <w:t>Campbell’s</w:t>
      </w:r>
      <w:r>
        <w:rPr>
          <w:color w:val="000000"/>
        </w:rPr>
        <w:t xml:space="preserve"> </w:t>
      </w:r>
      <w:r>
        <w:rPr>
          <w:rFonts w:ascii="Times New Roman;serif" w:hAnsi="Times New Roman;serif"/>
          <w:b w:val="false"/>
          <w:color w:val="000000"/>
          <w:sz w:val="20"/>
        </w:rPr>
        <w:t xml:space="preserve">gravies, beans and dinner sauces; </w:t>
      </w:r>
      <w:r>
        <w:rPr>
          <w:rFonts w:ascii="Times New Roman;serif" w:hAnsi="Times New Roman;serif"/>
          <w:b w:val="false"/>
          <w:i/>
          <w:color w:val="000000"/>
          <w:sz w:val="20"/>
        </w:rPr>
        <w:t>Swanson</w:t>
      </w:r>
      <w:r>
        <w:rPr>
          <w:color w:val="000000"/>
        </w:rPr>
        <w:t xml:space="preserve"> </w:t>
      </w:r>
      <w:r>
        <w:rPr>
          <w:rFonts w:ascii="Times New Roman;serif" w:hAnsi="Times New Roman;serif"/>
          <w:b w:val="false"/>
          <w:color w:val="000000"/>
          <w:sz w:val="20"/>
        </w:rPr>
        <w:t xml:space="preserve">canned poultry; </w:t>
      </w:r>
      <w:r>
        <w:rPr>
          <w:rFonts w:ascii="Times New Roman;serif" w:hAnsi="Times New Roman;serif"/>
          <w:b w:val="false"/>
          <w:i/>
          <w:color w:val="000000"/>
          <w:sz w:val="20"/>
        </w:rPr>
        <w:t>V8</w:t>
      </w:r>
      <w:r>
        <w:rPr>
          <w:color w:val="000000"/>
        </w:rPr>
        <w:t xml:space="preserve"> </w:t>
      </w:r>
      <w:r>
        <w:rPr>
          <w:rFonts w:ascii="Times New Roman;serif" w:hAnsi="Times New Roman;serif"/>
          <w:b w:val="false"/>
          <w:color w:val="000000"/>
          <w:sz w:val="20"/>
        </w:rPr>
        <w:t xml:space="preserve">juices and beverages; </w:t>
      </w:r>
      <w:r>
        <w:rPr>
          <w:rFonts w:ascii="Times New Roman;serif" w:hAnsi="Times New Roman;serif"/>
          <w:b w:val="false"/>
          <w:i/>
          <w:color w:val="000000"/>
          <w:sz w:val="20"/>
        </w:rPr>
        <w:t xml:space="preserve">Campbell's </w:t>
      </w:r>
      <w:r>
        <w:rPr>
          <w:rFonts w:ascii="Times New Roman;serif" w:hAnsi="Times New Roman;serif"/>
          <w:b w:val="false"/>
          <w:color w:val="000000"/>
          <w:sz w:val="20"/>
        </w:rPr>
        <w:t xml:space="preserve">tomato juice; and as of March 12, 2024,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pasta sauces, dry pasta, frozen entrées, frozen pizza and soup</w:t>
      </w:r>
      <w:r>
        <w:rPr>
          <w:rFonts w:ascii="Times New Roman;serif" w:hAnsi="Times New Roman;serif"/>
          <w:b w:val="false"/>
          <w:color w:val="000000"/>
          <w:sz w:val="20"/>
          <w:shd w:fill="FFFFFF" w:val="clear"/>
        </w:rPr>
        <w:t xml:space="preserve">s; </w:t>
      </w:r>
      <w:r>
        <w:rPr>
          <w:rFonts w:ascii="Times New Roman;serif" w:hAnsi="Times New Roman;serif"/>
          <w:b w:val="false"/>
          <w:i/>
          <w:color w:val="000000"/>
          <w:sz w:val="20"/>
        </w:rPr>
        <w:t>Michael Angelo’s</w:t>
      </w:r>
      <w:r>
        <w:rPr>
          <w:color w:val="000000"/>
        </w:rPr>
        <w:t xml:space="preserve"> </w:t>
      </w:r>
      <w:r>
        <w:rPr>
          <w:rFonts w:ascii="Times New Roman;serif" w:hAnsi="Times New Roman;serif"/>
          <w:b w:val="false"/>
          <w:color w:val="000000"/>
          <w:sz w:val="20"/>
        </w:rPr>
        <w:t xml:space="preserve">frozen entrées and pasta sauces; and </w:t>
      </w:r>
      <w:r>
        <w:rPr>
          <w:rFonts w:ascii="Times New Roman;serif" w:hAnsi="Times New Roman;serif"/>
          <w:b w:val="false"/>
          <w:i/>
          <w:color w:val="000000"/>
          <w:sz w:val="20"/>
        </w:rPr>
        <w:t>noosa</w:t>
      </w:r>
      <w:r>
        <w:rPr>
          <w:color w:val="000000"/>
        </w:rPr>
        <w:t xml:space="preserve"> </w:t>
      </w:r>
      <w:r>
        <w:rPr>
          <w:rFonts w:ascii="Times New Roman;serif" w:hAnsi="Times New Roman;serif"/>
          <w:b w:val="false"/>
          <w:color w:val="000000"/>
          <w:sz w:val="20"/>
        </w:rPr>
        <w:t>yogurts. The noosa yoghurt business was sold on February 24, 2025. The segment also includes snacking products in foodservice and Canada, and beginning in 2026, the snacking and meals and beverages retail business in Latin America. Segment results have been adjusted retrospectively to reflect this change;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Snacks, which consists of Pepperidge Farm cookies, crackers, fresh bakery and frozen products, including </w:t>
      </w:r>
      <w:r>
        <w:rPr>
          <w:rFonts w:ascii="Times New Roman;serif" w:hAnsi="Times New Roman;serif"/>
          <w:b w:val="false"/>
          <w:i/>
          <w:color w:val="000000"/>
          <w:sz w:val="20"/>
        </w:rPr>
        <w:t>Goldfish</w:t>
      </w:r>
      <w:r>
        <w:rPr>
          <w:color w:val="000000"/>
        </w:rPr>
        <w:t xml:space="preserve"> </w:t>
      </w:r>
      <w:r>
        <w:rPr>
          <w:rFonts w:ascii="Times New Roman;serif" w:hAnsi="Times New Roman;serif"/>
          <w:b w:val="false"/>
          <w:color w:val="000000"/>
          <w:sz w:val="20"/>
        </w:rPr>
        <w:t xml:space="preserve">crackers,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 xml:space="preserve">pretzels, </w:t>
      </w:r>
      <w:r>
        <w:rPr>
          <w:rFonts w:ascii="Times New Roman;serif" w:hAnsi="Times New Roman;serif"/>
          <w:b w:val="false"/>
          <w:i/>
          <w:color w:val="000000"/>
          <w:sz w:val="20"/>
        </w:rPr>
        <w:t>Lance</w:t>
      </w:r>
      <w:r>
        <w:rPr>
          <w:color w:val="000000"/>
        </w:rPr>
        <w:t xml:space="preserve"> </w:t>
      </w:r>
      <w:r>
        <w:rPr>
          <w:rFonts w:ascii="Times New Roman;serif" w:hAnsi="Times New Roman;serif"/>
          <w:b w:val="false"/>
          <w:color w:val="000000"/>
          <w:sz w:val="20"/>
        </w:rPr>
        <w:t xml:space="preserve">sandwich crackers,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 xml:space="preserve">potato chips,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potato chips, </w:t>
      </w:r>
      <w:r>
        <w:rPr>
          <w:rFonts w:ascii="Times New Roman;serif" w:hAnsi="Times New Roman;serif"/>
          <w:b w:val="false"/>
          <w:i/>
          <w:color w:val="000000"/>
          <w:sz w:val="20"/>
        </w:rPr>
        <w:t>Late July</w:t>
      </w:r>
      <w:r>
        <w:rPr>
          <w:color w:val="000000"/>
        </w:rPr>
        <w:t xml:space="preserve"> </w:t>
      </w:r>
      <w:r>
        <w:rPr>
          <w:rFonts w:ascii="Times New Roman;serif" w:hAnsi="Times New Roman;serif"/>
          <w:b w:val="false"/>
          <w:color w:val="000000"/>
          <w:sz w:val="20"/>
        </w:rPr>
        <w:t xml:space="preserve">snacks, </w:t>
      </w:r>
      <w:r>
        <w:rPr>
          <w:rFonts w:ascii="Times New Roman;serif" w:hAnsi="Times New Roman;serif"/>
          <w:b w:val="false"/>
          <w:i/>
          <w:color w:val="000000"/>
          <w:sz w:val="20"/>
        </w:rPr>
        <w:t>Snack Factory</w:t>
      </w:r>
      <w:r>
        <w:rPr>
          <w:color w:val="000000"/>
        </w:rPr>
        <w:t xml:space="preserve"> </w:t>
      </w:r>
      <w:r>
        <w:rPr>
          <w:rFonts w:ascii="Times New Roman;serif" w:hAnsi="Times New Roman;serif"/>
          <w:b w:val="false"/>
          <w:color w:val="000000"/>
          <w:sz w:val="20"/>
        </w:rPr>
        <w:t>pretzel crisps, and other snacking products in retail in the U.S. The segment also included the results of our Pop Secret popcorn business, which was sold on August 26, 2024.</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2027, the Pepperidge Farm frozen business is managed under our Meals &amp; Beverages segment.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President and Chief Executive Officer. Our CODM uses segment operating earnings as the profit measure in evaluating segment performance during the annual plan and forecasting process and in monitoring actual performance versus plan. Segment operating earnings are comprised of earnings before interest, taxes and costs associated with restructuring activities, cost savings and optimization initiatives, impairment charges, accelerated amortization and corporate expenses. Unrealized gains and losses on outstanding undesignated commodity hedging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57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and curtailment gains and losses are reflected in Corporate and not included in segment operating results. Asset information by segment is not discretely maintained for internal reporting or used in evaluating performance by the CODM.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customer, Walmart Inc. and its affiliates, accounted for approximately 22% of consolidated net sales in 2026, 21% in 2025 and 22% in 2024. Both of our reportable segments sold products to Walmart Inc. or its affiliates. </w:t>
      </w:r>
    </w:p>
    <w:p>
      <w:pPr>
        <w:pStyle w:val="TextBody"/>
        <w:bidi w:val="0"/>
        <w:spacing w:before="0" w:after="0"/>
        <w:jc w:val="left"/>
        <w:rPr/>
      </w:pPr>
      <w:r>
        <w:rPr/>
      </w:r>
    </w:p>
    <w:tbl>
      <w:tblPr>
        <w:tblW w:w="13033" w:type="dxa"/>
        <w:jc w:val="left"/>
        <w:tblInd w:w="0" w:type="dxa"/>
        <w:tblLayout w:type="fixed"/>
        <w:tblCellMar>
          <w:top w:w="28" w:type="dxa"/>
          <w:left w:w="28" w:type="dxa"/>
          <w:bottom w:w="28" w:type="dxa"/>
          <w:right w:w="28" w:type="dxa"/>
        </w:tblCellMar>
      </w:tblPr>
      <w:tblGrid>
        <w:gridCol w:w="709"/>
        <w:gridCol w:w="267"/>
        <w:gridCol w:w="255"/>
        <w:gridCol w:w="109"/>
        <w:gridCol w:w="109"/>
        <w:gridCol w:w="109"/>
        <w:gridCol w:w="226"/>
        <w:gridCol w:w="677"/>
        <w:gridCol w:w="118"/>
        <w:gridCol w:w="109"/>
        <w:gridCol w:w="109"/>
        <w:gridCol w:w="109"/>
        <w:gridCol w:w="211"/>
        <w:gridCol w:w="631"/>
        <w:gridCol w:w="109"/>
        <w:gridCol w:w="109"/>
        <w:gridCol w:w="109"/>
        <w:gridCol w:w="109"/>
        <w:gridCol w:w="211"/>
        <w:gridCol w:w="631"/>
        <w:gridCol w:w="109"/>
        <w:gridCol w:w="109"/>
        <w:gridCol w:w="109"/>
        <w:gridCol w:w="109"/>
        <w:gridCol w:w="230"/>
        <w:gridCol w:w="671"/>
        <w:gridCol w:w="120"/>
        <w:gridCol w:w="109"/>
        <w:gridCol w:w="109"/>
        <w:gridCol w:w="109"/>
        <w:gridCol w:w="211"/>
        <w:gridCol w:w="616"/>
        <w:gridCol w:w="109"/>
        <w:gridCol w:w="109"/>
        <w:gridCol w:w="109"/>
        <w:gridCol w:w="109"/>
        <w:gridCol w:w="211"/>
        <w:gridCol w:w="721"/>
        <w:gridCol w:w="109"/>
        <w:gridCol w:w="109"/>
        <w:gridCol w:w="109"/>
        <w:gridCol w:w="109"/>
        <w:gridCol w:w="230"/>
        <w:gridCol w:w="671"/>
        <w:gridCol w:w="120"/>
        <w:gridCol w:w="109"/>
        <w:gridCol w:w="109"/>
        <w:gridCol w:w="109"/>
        <w:gridCol w:w="211"/>
        <w:gridCol w:w="616"/>
        <w:gridCol w:w="109"/>
        <w:gridCol w:w="109"/>
        <w:gridCol w:w="109"/>
        <w:gridCol w:w="109"/>
        <w:gridCol w:w="211"/>
        <w:gridCol w:w="61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Meals &amp;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Snacks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Meals &amp;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Snacks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Meals &amp; Beverages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Snacks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5,928</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 (income)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993" w:type="dxa"/>
        <w:jc w:val="center"/>
        <w:tblInd w:w="0" w:type="dxa"/>
        <w:tblLayout w:type="fixed"/>
        <w:tblCellMar>
          <w:top w:w="28" w:type="dxa"/>
          <w:left w:w="28" w:type="dxa"/>
          <w:bottom w:w="28" w:type="dxa"/>
          <w:right w:w="28" w:type="dxa"/>
        </w:tblCellMar>
      </w:tblPr>
      <w:tblGrid>
        <w:gridCol w:w="939"/>
        <w:gridCol w:w="824"/>
        <w:gridCol w:w="831"/>
        <w:gridCol w:w="109"/>
        <w:gridCol w:w="109"/>
        <w:gridCol w:w="109"/>
        <w:gridCol w:w="211"/>
        <w:gridCol w:w="481"/>
        <w:gridCol w:w="109"/>
        <w:gridCol w:w="109"/>
        <w:gridCol w:w="109"/>
        <w:gridCol w:w="109"/>
        <w:gridCol w:w="211"/>
        <w:gridCol w:w="466"/>
        <w:gridCol w:w="109"/>
        <w:gridCol w:w="109"/>
        <w:gridCol w:w="109"/>
        <w:gridCol w:w="109"/>
        <w:gridCol w:w="211"/>
        <w:gridCol w:w="46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13" w:type="dxa"/>
        <w:jc w:val="center"/>
        <w:tblInd w:w="0" w:type="dxa"/>
        <w:tblLayout w:type="fixed"/>
        <w:tblCellMar>
          <w:top w:w="28" w:type="dxa"/>
          <w:left w:w="28" w:type="dxa"/>
          <w:bottom w:w="28" w:type="dxa"/>
          <w:right w:w="28" w:type="dxa"/>
        </w:tblCellMar>
      </w:tblPr>
      <w:tblGrid>
        <w:gridCol w:w="657"/>
        <w:gridCol w:w="576"/>
        <w:gridCol w:w="581"/>
        <w:gridCol w:w="109"/>
        <w:gridCol w:w="109"/>
        <w:gridCol w:w="109"/>
        <w:gridCol w:w="211"/>
        <w:gridCol w:w="481"/>
        <w:gridCol w:w="109"/>
        <w:gridCol w:w="109"/>
        <w:gridCol w:w="109"/>
        <w:gridCol w:w="109"/>
        <w:gridCol w:w="211"/>
        <w:gridCol w:w="466"/>
        <w:gridCol w:w="109"/>
        <w:gridCol w:w="109"/>
        <w:gridCol w:w="109"/>
        <w:gridCol w:w="109"/>
        <w:gridCol w:w="21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Other segment items for each of the reportable segments includes marketing and selling expenses, administrative expenses, research and development expenses and expense for amortization of intangible assets.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Represents unallocated items. Pension and postretirement actuarial and curtailment gains and losses are included in Corporate. There were actuarial and curtailment gains of $23 million in 2026, actuarial losses of $24 million in 2025 and actuarial losses of $33 million in 2024. Costs related to the cost savings and optimization initiatives were $135 million, $101 million and $92 million in 2026, 2025 and 2024, respectively. Unrealized mark-to-market adjustments on outstanding undesignated commodity hedges were gains of $6 million in 2026, gains of $11 million in 2025 and losses of $22 million in 2024. Intangible asset impairment charges were $117 million, $176 million and $129 million in 2026, 2025 and 2024, respectively. Insurance recoveries of $1 million were included in 2026 and 2025 and costs of $3 million were included in 2024 related to a cybersecurity incident. Litigation expenses related to the Plum baby food and snacks business, which was divested on May 3, 2021, and certain other litigation matters were $14 million in 2026 and $5 million in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58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Costs associated with the acquisition of La Regina were $26 million in 2026 and costs associated with the acquisition of Sovos Brands were $105 million in 2024. Accelerated amortization expense related to customer relationship intangible assets was $20 million and $27 million in 2025 and 2024, respectively. A loss on the sale of our Pop Secret popcorn business of $25 million was included in 2025. </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See Note 9 for additional information.</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Represents primarily corporate offices and enterprise-wide information technology systems.</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based on product categories are as follows:</w:t>
      </w:r>
    </w:p>
    <w:tbl>
      <w:tblPr>
        <w:tblW w:w="561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211"/>
        <w:gridCol w:w="631"/>
        <w:gridCol w:w="109"/>
        <w:gridCol w:w="109"/>
        <w:gridCol w:w="109"/>
        <w:gridCol w:w="109"/>
        <w:gridCol w:w="211"/>
        <w:gridCol w:w="721"/>
        <w:gridCol w:w="109"/>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simple meals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Beverages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serif" w:hAnsi="Times New Roman;serif"/>
          <w:b w:val="false"/>
          <w:i/>
          <w:color w:val="000000"/>
          <w:sz w:val="20"/>
        </w:rPr>
        <w:t>V8</w:t>
      </w:r>
      <w:r>
        <w:rPr>
          <w:color w:val="000000"/>
        </w:rPr>
        <w:t xml:space="preserve"> </w:t>
      </w:r>
      <w:r>
        <w:rPr>
          <w:rFonts w:ascii="Times New Roman;serif" w:hAnsi="Times New Roman;serif"/>
          <w:b w:val="false"/>
          <w:color w:val="000000"/>
          <w:sz w:val="20"/>
        </w:rPr>
        <w:t xml:space="preserve">juices and beverages, </w:t>
      </w:r>
      <w:r>
        <w:rPr>
          <w:rFonts w:ascii="Times New Roman;serif" w:hAnsi="Times New Roman;serif"/>
          <w:b w:val="false"/>
          <w:i/>
          <w:color w:val="000000"/>
          <w:sz w:val="20"/>
        </w:rPr>
        <w:t>Campbell’s</w:t>
      </w:r>
      <w:r>
        <w:rPr>
          <w:color w:val="000000"/>
        </w:rPr>
        <w:t xml:space="preserve"> </w:t>
      </w:r>
      <w:r>
        <w:rPr>
          <w:rFonts w:ascii="Times New Roman;serif" w:hAnsi="Times New Roman;serif"/>
          <w:b w:val="false"/>
          <w:color w:val="000000"/>
          <w:sz w:val="20"/>
        </w:rPr>
        <w:t xml:space="preserve">tomato juice and </w:t>
      </w:r>
      <w:r>
        <w:rPr>
          <w:rFonts w:ascii="Times New Roman;serif" w:hAnsi="Times New Roman;serif"/>
          <w:b w:val="false"/>
          <w:i/>
          <w:color w:val="000000"/>
          <w:sz w:val="20"/>
        </w:rPr>
        <w:t xml:space="preserve">Pacific Foods </w:t>
      </w:r>
      <w:r>
        <w:rPr>
          <w:rFonts w:ascii="Times New Roman;serif" w:hAnsi="Times New Roman;serif"/>
          <w:b w:val="false"/>
          <w:color w:val="000000"/>
          <w:sz w:val="20"/>
        </w:rPr>
        <w:t>non-dairy beverages.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North American focused company with 95% of our net sales related to our U.S. operations in 2026, 2025 and 2024. Primarily all of our long-lived assets relate to our U.S. operations, with less than 5% related to non-U.S. operations in 2026 and less than 1%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9. Restructuring Charges, Cost Savings Initiatives and Other Optimization Initiatives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Multi-year Cost Savings Initiatives and Snyder's-Lance, Inc. (Snyder's-Lance) Cost Transformation Program and Integration</w:t>
      </w:r>
    </w:p>
    <w:p>
      <w:pPr>
        <w:pStyle w:val="TextBody"/>
        <w:bidi w:val="0"/>
        <w:spacing w:lineRule="auto" w:line="288" w:before="100" w:after="100"/>
        <w:ind w:left="0" w:right="0" w:firstLine="3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Continuing Operations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2015, we implemented initiatives to reduce costs and to streamline our organizational structure.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years, we expanded these initiatives by continuing to optimize our supply chain and manufacturing networks, as well as our information technology infrastructure.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pre-tax charges recorded in the Consolidated Statements of Earnings related to these initiatives is as follows:</w:t>
      </w:r>
    </w:p>
    <w:tbl>
      <w:tblPr>
        <w:tblW w:w="5882" w:type="dxa"/>
        <w:jc w:val="left"/>
        <w:tblInd w:w="0" w:type="dxa"/>
        <w:tblLayout w:type="fixed"/>
        <w:tblCellMar>
          <w:top w:w="28" w:type="dxa"/>
          <w:left w:w="28" w:type="dxa"/>
          <w:bottom w:w="28" w:type="dxa"/>
          <w:right w:w="28" w:type="dxa"/>
        </w:tblCellMar>
      </w:tblPr>
      <w:tblGrid>
        <w:gridCol w:w="1117"/>
        <w:gridCol w:w="982"/>
        <w:gridCol w:w="990"/>
        <w:gridCol w:w="109"/>
        <w:gridCol w:w="109"/>
        <w:gridCol w:w="109"/>
        <w:gridCol w:w="109"/>
        <w:gridCol w:w="211"/>
        <w:gridCol w:w="466"/>
        <w:gridCol w:w="109"/>
        <w:gridCol w:w="109"/>
        <w:gridCol w:w="109"/>
        <w:gridCol w:w="109"/>
        <w:gridCol w:w="316"/>
        <w:gridCol w:w="698"/>
        <w:gridCol w:w="230"/>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Program</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59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pre-tax costs associated with these initiatives is as follows:</w:t>
      </w:r>
    </w:p>
    <w:tbl>
      <w:tblPr>
        <w:tblW w:w="4964" w:type="dxa"/>
        <w:jc w:val="left"/>
        <w:tblInd w:w="0" w:type="dxa"/>
        <w:tblLayout w:type="fixed"/>
        <w:tblCellMar>
          <w:top w:w="28" w:type="dxa"/>
          <w:left w:w="28" w:type="dxa"/>
          <w:bottom w:w="28" w:type="dxa"/>
          <w:right w:w="28" w:type="dxa"/>
        </w:tblCellMar>
      </w:tblPr>
      <w:tblGrid>
        <w:gridCol w:w="1344"/>
        <w:gridCol w:w="1184"/>
        <w:gridCol w:w="1192"/>
        <w:gridCol w:w="316"/>
        <w:gridCol w:w="698"/>
        <w:gridCol w:w="230"/>
      </w:tblGrid>
      <w:tr>
        <w:trPr/>
        <w:tc>
          <w:tcPr>
            <w:tcW w:w="134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Program</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and benefits</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impairment/accelerated depreciation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Implementation costs and other related costs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aggregate $895 million pre-tax costs incurred, approximately $720 million were cash expenditures.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operating results do not include restructuring charges, implementation costs and other related costs because we evaluate segment performance excluding such charges. A summary of the pre-tax costs associated with segments is as follows:</w:t>
      </w:r>
    </w:p>
    <w:tbl>
      <w:tblPr>
        <w:tblW w:w="3157" w:type="dxa"/>
        <w:jc w:val="left"/>
        <w:tblInd w:w="0" w:type="dxa"/>
        <w:tblLayout w:type="fixed"/>
        <w:tblCellMar>
          <w:top w:w="28" w:type="dxa"/>
          <w:left w:w="28" w:type="dxa"/>
          <w:bottom w:w="28" w:type="dxa"/>
          <w:right w:w="28" w:type="dxa"/>
        </w:tblCellMar>
      </w:tblPr>
      <w:tblGrid>
        <w:gridCol w:w="613"/>
        <w:gridCol w:w="538"/>
        <w:gridCol w:w="544"/>
        <w:gridCol w:w="109"/>
        <w:gridCol w:w="109"/>
        <w:gridCol w:w="316"/>
        <w:gridCol w:w="698"/>
        <w:gridCol w:w="230"/>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Program</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28, 2024, we substantially completed the multi-year cost savings initiatives and Snyder's-Lance cost transformation program and integration. Certain phases that had not been fully implemented were incorporated into the 2025 cost savings initiatives described below.</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 xml:space="preserve">Sovos Brands Integration Initiatives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2024, we completed the acquisition of Sovos Brands. See Note 3 for additional information. We identified opportunities for cost synergies as we integrated Sovos Brands.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recorded Restructuring charges of $21 million for severance pay and benefits related to initiatives to achieve the synergies. The charges incurred in 2024 were associated with the Meals &amp; Beverages segment.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the initiatives to achieve synergies were incorporated into the cost savings initiatives described below.</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 xml:space="preserve">2025 Cost Savings Initiatives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As mentioned above, we substantially completed our previous multi-year cost savings initiatives and Snyder's-Lance cost transformation program and integration and had identified initial opportunities for cost synergies as we integrated Sovos Brands. Certain initiatives from those programs were incorporated into our 2025 cost savings initiatives. In the third quarter of 2026, we commenced a voluntary early retirement program as part of our cost savings initiatives. The program was available to certain salaried employees who met age and length-of-service criteria. The eligible employees were entitled to receive severance pay and benefits, including enhanced pension benefits for certain employees. Substantially all electing employees will depart the company by December 2026.</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pre-tax charges recorded in the Consolidated Statements of Earnings related to these initiatives is as follows:</w:t>
      </w:r>
    </w:p>
    <w:tbl>
      <w:tblPr>
        <w:tblW w:w="7835" w:type="dxa"/>
        <w:jc w:val="left"/>
        <w:tblInd w:w="0" w:type="dxa"/>
        <w:tblLayout w:type="fixed"/>
        <w:tblCellMar>
          <w:top w:w="28" w:type="dxa"/>
          <w:left w:w="28" w:type="dxa"/>
          <w:bottom w:w="28" w:type="dxa"/>
          <w:right w:w="28" w:type="dxa"/>
        </w:tblCellMar>
      </w:tblPr>
      <w:tblGrid>
        <w:gridCol w:w="1117"/>
        <w:gridCol w:w="982"/>
        <w:gridCol w:w="990"/>
        <w:gridCol w:w="211"/>
        <w:gridCol w:w="481"/>
        <w:gridCol w:w="109"/>
        <w:gridCol w:w="109"/>
        <w:gridCol w:w="109"/>
        <w:gridCol w:w="109"/>
        <w:gridCol w:w="211"/>
        <w:gridCol w:w="466"/>
        <w:gridCol w:w="109"/>
        <w:gridCol w:w="109"/>
        <w:gridCol w:w="109"/>
        <w:gridCol w:w="109"/>
        <w:gridCol w:w="634"/>
        <w:gridCol w:w="1404"/>
        <w:gridCol w:w="467"/>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Recognized as of August 2, 2026</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charges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cumulative pre-tax costs associated with the initiatives is as follows:</w:t>
      </w:r>
    </w:p>
    <w:tbl>
      <w:tblPr>
        <w:tblW w:w="6225" w:type="dxa"/>
        <w:jc w:val="left"/>
        <w:tblInd w:w="0" w:type="dxa"/>
        <w:tblLayout w:type="fixed"/>
        <w:tblCellMar>
          <w:top w:w="28" w:type="dxa"/>
          <w:left w:w="28" w:type="dxa"/>
          <w:bottom w:w="28" w:type="dxa"/>
          <w:right w:w="28" w:type="dxa"/>
        </w:tblCellMar>
      </w:tblPr>
      <w:tblGrid>
        <w:gridCol w:w="1344"/>
        <w:gridCol w:w="1184"/>
        <w:gridCol w:w="1192"/>
        <w:gridCol w:w="634"/>
        <w:gridCol w:w="1404"/>
        <w:gridCol w:w="467"/>
      </w:tblGrid>
      <w:tr>
        <w:trPr/>
        <w:tc>
          <w:tcPr>
            <w:tcW w:w="134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Recognized as of August 2, 2026</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and benefits</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impairment/accelerated depreciation</w:t>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Implementation costs and other related costs</w:t>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aggregate $285 million pre-tax costs incurred to date, $158 million were cash expenditures. In addition, we invested $216 million in capital expenditures as of August 2, 2026. The capital expenditures primarily related to optimization of production within our manufacturing network, optimization of information technology infrastructure and applications and implementation of our existing SAP enterprise-resource planning system for Sovos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restructuring activity and related reserves is as follows:</w:t>
      </w:r>
    </w:p>
    <w:tbl>
      <w:tblPr>
        <w:tblW w:w="10205" w:type="dxa"/>
        <w:jc w:val="left"/>
        <w:tblInd w:w="0" w:type="dxa"/>
        <w:tblLayout w:type="fixed"/>
        <w:tblCellMar>
          <w:top w:w="28" w:type="dxa"/>
          <w:left w:w="28" w:type="dxa"/>
          <w:bottom w:w="28" w:type="dxa"/>
          <w:right w:w="28" w:type="dxa"/>
        </w:tblCellMar>
      </w:tblPr>
      <w:tblGrid>
        <w:gridCol w:w="528"/>
        <w:gridCol w:w="362"/>
        <w:gridCol w:w="351"/>
        <w:gridCol w:w="109"/>
        <w:gridCol w:w="109"/>
        <w:gridCol w:w="109"/>
        <w:gridCol w:w="306"/>
        <w:gridCol w:w="547"/>
        <w:gridCol w:w="160"/>
        <w:gridCol w:w="109"/>
        <w:gridCol w:w="109"/>
        <w:gridCol w:w="109"/>
        <w:gridCol w:w="109"/>
        <w:gridCol w:w="109"/>
        <w:gridCol w:w="109"/>
        <w:gridCol w:w="109"/>
        <w:gridCol w:w="266"/>
        <w:gridCol w:w="266"/>
        <w:gridCol w:w="267"/>
        <w:gridCol w:w="109"/>
        <w:gridCol w:w="109"/>
        <w:gridCol w:w="109"/>
        <w:gridCol w:w="498"/>
        <w:gridCol w:w="498"/>
        <w:gridCol w:w="500"/>
        <w:gridCol w:w="109"/>
        <w:gridCol w:w="109"/>
        <w:gridCol w:w="109"/>
        <w:gridCol w:w="446"/>
        <w:gridCol w:w="446"/>
        <w:gridCol w:w="448"/>
        <w:gridCol w:w="109"/>
        <w:gridCol w:w="109"/>
        <w:gridCol w:w="109"/>
        <w:gridCol w:w="338"/>
        <w:gridCol w:w="338"/>
        <w:gridCol w:w="339"/>
        <w:gridCol w:w="109"/>
        <w:gridCol w:w="109"/>
        <w:gridCol w:w="109"/>
        <w:gridCol w:w="222"/>
        <w:gridCol w:w="507"/>
        <w:gridCol w:w="174"/>
      </w:tblGrid>
      <w:tr>
        <w:trPr/>
        <w:tc>
          <w:tcPr>
            <w:tcW w:w="52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Pay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Pension Benefits</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Implementation Costs and Other Related</w:t>
            </w:r>
          </w:p>
          <w:p>
            <w:pPr>
              <w:pStyle w:val="TableContents"/>
              <w:bidi w:val="0"/>
              <w:spacing w:lineRule="auto" w:line="240" w:before="0" w:after="0"/>
              <w:jc w:val="center"/>
              <w:rPr/>
            </w:pPr>
            <w:r>
              <w:rPr>
                <w:rFonts w:ascii="Times New Roman;serif" w:hAnsi="Times New Roman;serif"/>
                <w:b/>
                <w:color w:val="000000"/>
                <w:sz w:val="16"/>
              </w:rPr>
              <w:t>Costs</w:t>
            </w:r>
            <w:r>
              <w:rPr>
                <w:rFonts w:ascii="Times New Roman;serif" w:hAnsi="Times New Roman;serif"/>
                <w:b/>
                <w:color w:val="000000"/>
                <w:sz w:val="10"/>
              </w:rPr>
              <w:t xml:space="preserve">(5)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Impairment/Accelerated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 Non-Cash Exit Costs</w:t>
            </w:r>
            <w:r>
              <w:rPr>
                <w:rFonts w:ascii="Times New Roman;serif" w:hAnsi="Times New Roman;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Charges</w:t>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balance at July 28, 2024</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balance at August 3, 2025</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2026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2026 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Accrued balance at August 2, 2026</w:t>
            </w:r>
            <w:r>
              <w:rPr>
                <w:rFonts w:ascii="Times New Roman;serif" w:hAnsi="Times New Roman;serif"/>
                <w:b/>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Associated with the multi-year cost savings initiatives and Snyder's-Lance cost transformation program and integration, and the Sovos Brands integration initiatives described above. Includes $12 million of severance pay and benefits recorded in Other liabilities in the Consolidated Balance Sheet.</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$14 million of severance pay and benefits recorded in Other liabilities in the Consolidated Balance Sheet.</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Includes $4 million of severance pay and benefits recorded in Other liabilities in the Consolidated Balance Sheet.</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Represents special termination pension benefits offered under the voluntary early retirement program. See Note 11.</w:t>
      </w:r>
    </w:p>
    <w:p>
      <w:pPr>
        <w:pStyle w:val="TextBody"/>
        <w:bidi w:val="0"/>
        <w:spacing w:lineRule="auto" w:line="28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pStyle w:val="TextBody"/>
        <w:bidi w:val="0"/>
        <w:spacing w:lineRule="auto" w:line="288" w:before="0" w:after="0"/>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Includes non-cash costs that are not reflected in the restructuring reserve in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results do not include restructuring charges, implementation costs and other related costs because we evaluate segment performance excluding such charges. A summary of the pre-tax costs associated with segments is as follows: </w:t>
      </w:r>
    </w:p>
    <w:tbl>
      <w:tblPr>
        <w:tblW w:w="4607" w:type="dxa"/>
        <w:jc w:val="left"/>
        <w:tblInd w:w="0" w:type="dxa"/>
        <w:tblLayout w:type="fixed"/>
        <w:tblCellMar>
          <w:top w:w="28" w:type="dxa"/>
          <w:left w:w="28" w:type="dxa"/>
          <w:bottom w:w="28" w:type="dxa"/>
          <w:right w:w="28" w:type="dxa"/>
        </w:tblCellMar>
      </w:tblPr>
      <w:tblGrid>
        <w:gridCol w:w="613"/>
        <w:gridCol w:w="538"/>
        <w:gridCol w:w="544"/>
        <w:gridCol w:w="211"/>
        <w:gridCol w:w="466"/>
        <w:gridCol w:w="109"/>
        <w:gridCol w:w="109"/>
        <w:gridCol w:w="109"/>
        <w:gridCol w:w="109"/>
        <w:gridCol w:w="457"/>
        <w:gridCol w:w="1009"/>
        <w:gridCol w:w="333"/>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Costs Incurred to Date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&amp; Beverages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Snacks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2027, certain phases of these initiatives that have not been fully implemented will be incorporated into our 2027 cost savings initiatives described below.</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2027 Cost Savings Initiatives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2026, we announced plans to implement cost savings initiatives beginning in 2027, including those remaining under our 2025 cost savings initiatives, targeted overhead savings actions and an enterprise spend optimization project to improve how we manage and deploy direct and indirect spending. Cost estimates for these new initiatives, as well as timing for certain activities, are continuing to be developed.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estimated pre-tax costs for actions that have been identified to date are approximately $90 million, and we expect to incur substantially all of the costs through 2030. These estimates will be updated as the detailed plans are developed. We expect the costs for the actions that have been identified to date to consist of the following: approximately $5 million in severance pay and benefits and approximately $85 million in implementation costs and other related costs. We expect these pre-tax costs to be associated with our segments as follows: Meals &amp; Beverages - approximately 36%; Snacks - approximately 35% and Corporate - approximately 29%. Of the aggregate $90 million of pre-tax costs identified to date, we expect substantially all will be cash expenditures. In addition, we expect to invest approximately $10 million in capital expenditures. </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Other Optimization Initiatives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2026, we incurred $21 million in Marketing and selling expenses related to this initiative. In 2025, we incurred $20 million in Marketing and selling expenses and $1 million in Administrative expenses related to this initiative. In 2024, we incurred $5 million in Marketing and selling expenses related to this initiative. As of August 2, 2026, we have incurred $46 million in Marketing and selling expenses and $1 million in Administrative expenses related to this initiative.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10. Earnings per Share (EPS)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earnings (loss) attributable to The Campbell's Company common shareholders for basic EPS is determined by taking Net earnings (loss) attributable to The Campbell's Company less the accretion of redeemable noncontrolling interests to redemption value as the redemption is deemed probable and at an amount other than fair value. See also Note 5 for additional information. In connection with the La Regina acquisition, we recognized a liability at fair value for the deferred consideration that will be paid on May 4, 2027. The deferred consideration will be payable at our discretion in either cash or shares of our capital stock. See Note 3 for additional information. We recognize changes in fair value to accrete the liability to the total $140 million due on May 4, 2027. As the deferred consideration may be settled in shares, for diluted EPS purposes we apply the if-converted method and assume share settlement. Under this method because the entire amount to be accreted would be immediately recognized upon payment, Net earnings (loss) attributable to The Campbell's Company common shareholders for diluted EPS also includes the unrecognized accretion on the deferred consideration. The weighted average shares outstanding used for basic and diluted EPS calculations vary in that the weighted average shares outstanding assuming dilution include the incremental effect of stock options and other share-based payment awards, calculated using the treasury stock method, and the incremental shares that would be assumed to satisfy the deferred consideration, except when such effect would be antidilutive. To the extent the deferred consideration is not fully settled in shares of our capital stock, we may use shares to settle the options to acquire all or a portion of the remaining 51% of the outstanding equity interests of La Regina. In periods after the settlement of the deferred consideration and to the extent shares otherwise remain available under the maximum aggregate share settlement amount of $140 million, for diluted EPS purposes, we will apply the if-converted method and assume share settlement for the exercise of the options. Under this method, Net earnings (loss) attributable to The Campbell’s Company common shareholders for diluted EPS will include the hypothetical portion of earnings that we would acquire with the assumed share settlement and adjusted for the recognized accretion of the redeemable noncontrolling interests. The weighted average shares outstanding for diluted EPS purposes will include the incremental effect of shares assumed to satisfy the exercise of the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62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calculations of basic and diluted EPS for the periods presented in the Consolidated Statements of Earnings:</w:t>
      </w:r>
    </w:p>
    <w:tbl>
      <w:tblPr>
        <w:tblW w:w="10205" w:type="dxa"/>
        <w:jc w:val="left"/>
        <w:tblInd w:w="0" w:type="dxa"/>
        <w:tblLayout w:type="fixed"/>
        <w:tblCellMar>
          <w:top w:w="28" w:type="dxa"/>
          <w:left w:w="28" w:type="dxa"/>
          <w:bottom w:w="28" w:type="dxa"/>
          <w:right w:w="28" w:type="dxa"/>
        </w:tblCellMar>
      </w:tblPr>
      <w:tblGrid>
        <w:gridCol w:w="2495"/>
        <w:gridCol w:w="2133"/>
        <w:gridCol w:w="2151"/>
        <w:gridCol w:w="211"/>
        <w:gridCol w:w="526"/>
        <w:gridCol w:w="109"/>
        <w:gridCol w:w="109"/>
        <w:gridCol w:w="109"/>
        <w:gridCol w:w="109"/>
        <w:gridCol w:w="211"/>
        <w:gridCol w:w="511"/>
        <w:gridCol w:w="109"/>
        <w:gridCol w:w="109"/>
        <w:gridCol w:w="109"/>
        <w:gridCol w:w="109"/>
        <w:gridCol w:w="211"/>
        <w:gridCol w:w="511"/>
        <w:gridCol w:w="109"/>
        <w:gridCol w:w="109"/>
        <w:gridCol w:w="155"/>
      </w:tblGrid>
      <w:tr>
        <w:trPr/>
        <w:tc>
          <w:tcPr>
            <w:tcW w:w="2495"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of redeemable noncontrolling interests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 common shareholders — Basic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Unrecognized accretion on deferred consideration</w:t>
            </w:r>
          </w:p>
        </w:tc>
        <w:tc>
          <w:tcPr>
            <w:tcW w:w="7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The Campbell's Company common shareholders —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effect of stock options and other share-based payment awards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effect of deferred consideration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per share attributable to The Campbell's Company common shareholders:</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EPS calculation for 2026 excludes approximately 1 million stock options that would have been antidilutive. The EPS calculation for 2025 and 2024 excludes less than 1 million stock options that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11. Pension and Postretirement Benefits</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Pension Benefits — </w:t>
      </w:r>
      <w:r>
        <w:rPr>
          <w:rFonts w:ascii="Times New Roman;serif" w:hAnsi="Times New Roman;serif"/>
          <w:b w:val="false"/>
          <w:color w:val="000000"/>
          <w:sz w:val="20"/>
        </w:rPr>
        <w:t>We sponsor a number of noncontributory defined benefit pension plans to provide retirement benefits to eligible U.S. and non-U.S. 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 In 2026, certain pension plans were amended to freeze future benefit accruals (other than interest credits on already accrued benefits), effective as of August 1, 2028, for certain salaried employees who remain with the company and participate in the plans after that date.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settled $70 million of our pension benefit obligations associated with approximately 500 retired participants that were receiving benefits within our U.S. defined benefit pension plans. A group annuity contract was purchased on behalf of these participants with a third-party insurance provider and funded directly by $66 million from the assets of our pension plans, resulting in an actuarial gain of $4 million.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Postretirement Benefits — </w:t>
      </w:r>
      <w:r>
        <w:rPr>
          <w:rFonts w:ascii="Times New Roman;serif" w:hAnsi="Times New Roman;serif"/>
          <w:b w:val="false"/>
          <w:color w:val="000000"/>
          <w:sz w:val="20"/>
        </w:rPr>
        <w:t>We provide postretirement benefits, including health care and life insurance to eligible retired U.S. employees, and where applicable, their dependents. Accordingly, we sponsor a retiree medical program for eligible retired U.S. employees and fund applicable retiree medical accounts intended to provide reimbursement for eligible health care expenses on a tax-favored basis for retirees who satisfy certain eligibility requirements. Effective as of January 1, 2019, we no longer sponsor our own retiree medical coverage for substantially all retired U.S. employees that are Medicare eligible. Instead, we offer these Medicare-eligible retirees access to health care coverage through a private exchange and offer a health reimbursement account to subsidize benefits for a select group of such retirees. We also provide postretirement life insurance to all eligible U.S. employees who retired prior to January 1, 2018, as well as certain eligible retired employees covered by one of our collective bargaining agreements who retired prior to January 1, 2023.</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Determining net periodic benefit expense (income) is dependent on various actuarial assumptions, including discount rates, expected return on plan assets, compensation increases, turnover rates and health care trend rates. Actuarial gains and losses are recognized immediately in Other expenses / (income) in the Consolidated Statements of Earnings as of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63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which is our fiscal year end, or more frequently if an interim remeasurement is required. We use the fair value of plan assets to calculate the expected return on plan assets.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Components of net periodic benefit expense (income) were as follows:</w:t>
      </w:r>
    </w:p>
    <w:tbl>
      <w:tblPr>
        <w:tblW w:w="9380" w:type="dxa"/>
        <w:jc w:val="left"/>
        <w:tblInd w:w="0" w:type="dxa"/>
        <w:tblLayout w:type="fixed"/>
        <w:tblCellMar>
          <w:top w:w="28" w:type="dxa"/>
          <w:left w:w="28" w:type="dxa"/>
          <w:bottom w:w="28" w:type="dxa"/>
          <w:right w:w="28" w:type="dxa"/>
        </w:tblCellMar>
      </w:tblPr>
      <w:tblGrid>
        <w:gridCol w:w="1253"/>
        <w:gridCol w:w="1104"/>
        <w:gridCol w:w="1107"/>
        <w:gridCol w:w="211"/>
        <w:gridCol w:w="376"/>
        <w:gridCol w:w="109"/>
        <w:gridCol w:w="109"/>
        <w:gridCol w:w="109"/>
        <w:gridCol w:w="109"/>
        <w:gridCol w:w="211"/>
        <w:gridCol w:w="361"/>
        <w:gridCol w:w="109"/>
        <w:gridCol w:w="109"/>
        <w:gridCol w:w="109"/>
        <w:gridCol w:w="109"/>
        <w:gridCol w:w="211"/>
        <w:gridCol w:w="36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(credit)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termination benefits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 losses (gains)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 (gains)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expense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expense (income) other than the service cost component are included in Other expenses / (income) in the Consolidated Statements of Earnings.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special termination pension benefits recognized in 2026 related to a voluntary early retirement program offered under our cost savings initiatives. See also Note 9.</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curtailment gains recognized in 2026 primarily related to plan amendments of certain pension plans to freeze future benefit accruals (other than interest credits on already accrued benefits), effective as of August 1, 2028, for certain salaried employees.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pension actuarial gains recognized in 2026 were primarily due to increases in the discount rates used to determine the benefit obligation and the gain from the annuity settlement, partially offset by plan experience and gains on plan assets that were less than the expected return. The pension actuarial losses recognized in 2025 were primarily due to gains on plan assets that were less than the expected return, partially offset by increases in the discount rates used to determine the benefit obligation. The pension actuarial losses recognized in 2024 were primarily due to decreases in the discount rates used to determine the benefit obligation and plan experience, partially offset by gains on plan assets.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postretirement actuarial gains recognized in 2026 were primarily due to increases in the discount rates used to determine the benefit obligation and plan experience. The postretirement actuarial gains recognized in 2025 were primarily due to plan experience.</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Change in benefit obligation:</w:t>
      </w:r>
    </w:p>
    <w:tbl>
      <w:tblPr>
        <w:tblW w:w="8186" w:type="dxa"/>
        <w:jc w:val="left"/>
        <w:tblInd w:w="0" w:type="dxa"/>
        <w:tblLayout w:type="fixed"/>
        <w:tblCellMar>
          <w:top w:w="28" w:type="dxa"/>
          <w:left w:w="28" w:type="dxa"/>
          <w:bottom w:w="28" w:type="dxa"/>
          <w:right w:w="28" w:type="dxa"/>
        </w:tblCellMar>
      </w:tblPr>
      <w:tblGrid>
        <w:gridCol w:w="1215"/>
        <w:gridCol w:w="1069"/>
        <w:gridCol w:w="1075"/>
        <w:gridCol w:w="109"/>
        <w:gridCol w:w="109"/>
        <w:gridCol w:w="109"/>
        <w:gridCol w:w="211"/>
        <w:gridCol w:w="631"/>
        <w:gridCol w:w="109"/>
        <w:gridCol w:w="109"/>
        <w:gridCol w:w="109"/>
        <w:gridCol w:w="109"/>
        <w:gridCol w:w="211"/>
        <w:gridCol w:w="616"/>
        <w:gridCol w:w="109"/>
        <w:gridCol w:w="109"/>
        <w:gridCol w:w="109"/>
        <w:gridCol w:w="109"/>
        <w:gridCol w:w="211"/>
        <w:gridCol w:w="481"/>
        <w:gridCol w:w="109"/>
        <w:gridCol w:w="109"/>
        <w:gridCol w:w="109"/>
        <w:gridCol w:w="109"/>
        <w:gridCol w:w="211"/>
        <w:gridCol w:w="4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amendment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64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Change in the fair value of pension plan assets:</w:t>
      </w:r>
    </w:p>
    <w:tbl>
      <w:tblPr>
        <w:tblW w:w="5945" w:type="dxa"/>
        <w:jc w:val="left"/>
        <w:tblInd w:w="0" w:type="dxa"/>
        <w:tblLayout w:type="fixed"/>
        <w:tblCellMar>
          <w:top w:w="28" w:type="dxa"/>
          <w:left w:w="28" w:type="dxa"/>
          <w:bottom w:w="28" w:type="dxa"/>
          <w:right w:w="28" w:type="dxa"/>
        </w:tblCellMar>
      </w:tblPr>
      <w:tblGrid>
        <w:gridCol w:w="1217"/>
        <w:gridCol w:w="1066"/>
        <w:gridCol w:w="1076"/>
        <w:gridCol w:w="109"/>
        <w:gridCol w:w="109"/>
        <w:gridCol w:w="109"/>
        <w:gridCol w:w="211"/>
        <w:gridCol w:w="631"/>
        <w:gridCol w:w="109"/>
        <w:gridCol w:w="109"/>
        <w:gridCol w:w="109"/>
        <w:gridCol w:w="109"/>
        <w:gridCol w:w="211"/>
        <w:gridCol w:w="61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Net amounts recognized in the Consolidated Balance Sheets:</w:t>
      </w:r>
    </w:p>
    <w:tbl>
      <w:tblPr>
        <w:tblW w:w="8112" w:type="dxa"/>
        <w:jc w:val="left"/>
        <w:tblInd w:w="0" w:type="dxa"/>
        <w:tblLayout w:type="fixed"/>
        <w:tblCellMar>
          <w:top w:w="28" w:type="dxa"/>
          <w:left w:w="28" w:type="dxa"/>
          <w:bottom w:w="28" w:type="dxa"/>
          <w:right w:w="28" w:type="dxa"/>
        </w:tblCellMar>
      </w:tblPr>
      <w:tblGrid>
        <w:gridCol w:w="1249"/>
        <w:gridCol w:w="1099"/>
        <w:gridCol w:w="1102"/>
        <w:gridCol w:w="109"/>
        <w:gridCol w:w="109"/>
        <w:gridCol w:w="109"/>
        <w:gridCol w:w="211"/>
        <w:gridCol w:w="481"/>
        <w:gridCol w:w="109"/>
        <w:gridCol w:w="109"/>
        <w:gridCol w:w="109"/>
        <w:gridCol w:w="109"/>
        <w:gridCol w:w="211"/>
        <w:gridCol w:w="466"/>
        <w:gridCol w:w="109"/>
        <w:gridCol w:w="109"/>
        <w:gridCol w:w="109"/>
        <w:gridCol w:w="109"/>
        <w:gridCol w:w="211"/>
        <w:gridCol w:w="541"/>
        <w:gridCol w:w="109"/>
        <w:gridCol w:w="109"/>
        <w:gridCol w:w="109"/>
        <w:gridCol w:w="109"/>
        <w:gridCol w:w="211"/>
        <w:gridCol w:w="54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recognized asset /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recognized in Accumulated other comprehensive income (loss) consist of:</w:t>
      </w:r>
    </w:p>
    <w:tbl>
      <w:tblPr>
        <w:tblW w:w="4808" w:type="dxa"/>
        <w:jc w:val="left"/>
        <w:tblInd w:w="0" w:type="dxa"/>
        <w:tblLayout w:type="fixed"/>
        <w:tblCellMar>
          <w:top w:w="28" w:type="dxa"/>
          <w:left w:w="28" w:type="dxa"/>
          <w:bottom w:w="28" w:type="dxa"/>
          <w:right w:w="28" w:type="dxa"/>
        </w:tblCellMar>
      </w:tblPr>
      <w:tblGrid>
        <w:gridCol w:w="770"/>
        <w:gridCol w:w="678"/>
        <w:gridCol w:w="681"/>
        <w:gridCol w:w="109"/>
        <w:gridCol w:w="109"/>
        <w:gridCol w:w="109"/>
        <w:gridCol w:w="109"/>
        <w:gridCol w:w="109"/>
        <w:gridCol w:w="159"/>
        <w:gridCol w:w="159"/>
        <w:gridCol w:w="309"/>
        <w:gridCol w:w="397"/>
        <w:gridCol w:w="162"/>
        <w:gridCol w:w="109"/>
        <w:gridCol w:w="109"/>
        <w:gridCol w:w="109"/>
        <w:gridCol w:w="211"/>
        <w:gridCol w:w="256"/>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c>
          <w:tcPr>
            <w:tcW w:w="948" w:type="dxa"/>
            <w:gridSpan w:val="6"/>
            <w:tcBorders/>
          </w:tcPr>
          <w:p>
            <w:pPr>
              <w:pStyle w:val="TableContents"/>
              <w:bidi w:val="0"/>
              <w:spacing w:before="0" w:after="283"/>
              <w:jc w:val="left"/>
              <w:rPr>
                <w:sz w:val="4"/>
                <w:szCs w:val="4"/>
              </w:rPr>
            </w:pPr>
            <w:r>
              <w:rPr>
                <w:sz w:val="4"/>
                <w:szCs w:val="4"/>
              </w:rPr>
            </w:r>
          </w:p>
        </w:tc>
      </w:tr>
      <w:tr>
        <w:trPr/>
        <w:tc>
          <w:tcPr>
            <w:tcW w:w="2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credit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amounts recognized in accumulated other comprehensive income (loss) associated with postretirement benefits was due to amortization in 2026.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pension plans with projected benefit obligations in excess of plan assets and accumulated benefit obligations in excess of plan assets:</w:t>
      </w:r>
    </w:p>
    <w:tbl>
      <w:tblPr>
        <w:tblW w:w="4865" w:type="dxa"/>
        <w:jc w:val="left"/>
        <w:tblInd w:w="0" w:type="dxa"/>
        <w:tblLayout w:type="fixed"/>
        <w:tblCellMar>
          <w:top w:w="28" w:type="dxa"/>
          <w:left w:w="28" w:type="dxa"/>
          <w:bottom w:w="28" w:type="dxa"/>
          <w:right w:w="28" w:type="dxa"/>
        </w:tblCellMar>
      </w:tblPr>
      <w:tblGrid>
        <w:gridCol w:w="982"/>
        <w:gridCol w:w="862"/>
        <w:gridCol w:w="870"/>
        <w:gridCol w:w="109"/>
        <w:gridCol w:w="109"/>
        <w:gridCol w:w="109"/>
        <w:gridCol w:w="211"/>
        <w:gridCol w:w="406"/>
        <w:gridCol w:w="109"/>
        <w:gridCol w:w="109"/>
        <w:gridCol w:w="109"/>
        <w:gridCol w:w="109"/>
        <w:gridCol w:w="211"/>
        <w:gridCol w:w="40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accumulated benefit obligation for all pension plans was $1.106 billion at August 2, 2026, and $1.195 billion at August 3, 2025.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 xml:space="preserve">Weighted-average assumptions used to determine benefit obligations at the end of the year: </w:t>
      </w:r>
    </w:p>
    <w:tbl>
      <w:tblPr>
        <w:tblW w:w="6587" w:type="dxa"/>
        <w:jc w:val="left"/>
        <w:tblInd w:w="0" w:type="dxa"/>
        <w:tblLayout w:type="fixed"/>
        <w:tblCellMar>
          <w:top w:w="28" w:type="dxa"/>
          <w:left w:w="28" w:type="dxa"/>
          <w:bottom w:w="28" w:type="dxa"/>
          <w:right w:w="28" w:type="dxa"/>
        </w:tblCellMar>
      </w:tblPr>
      <w:tblGrid>
        <w:gridCol w:w="938"/>
        <w:gridCol w:w="823"/>
        <w:gridCol w:w="833"/>
        <w:gridCol w:w="109"/>
        <w:gridCol w:w="109"/>
        <w:gridCol w:w="109"/>
        <w:gridCol w:w="219"/>
        <w:gridCol w:w="219"/>
        <w:gridCol w:w="221"/>
        <w:gridCol w:w="109"/>
        <w:gridCol w:w="109"/>
        <w:gridCol w:w="109"/>
        <w:gridCol w:w="209"/>
        <w:gridCol w:w="209"/>
        <w:gridCol w:w="211"/>
        <w:gridCol w:w="109"/>
        <w:gridCol w:w="109"/>
        <w:gridCol w:w="109"/>
        <w:gridCol w:w="219"/>
        <w:gridCol w:w="219"/>
        <w:gridCol w:w="221"/>
        <w:gridCol w:w="130"/>
        <w:gridCol w:w="130"/>
        <w:gridCol w:w="130"/>
        <w:gridCol w:w="194"/>
        <w:gridCol w:w="194"/>
        <w:gridCol w:w="287"/>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5.73%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crediting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 xml:space="preserve">Weighted-average assumptions used to determine net periodic benefit cost for the years ended: </w:t>
      </w:r>
    </w:p>
    <w:tbl>
      <w:tblPr>
        <w:tblW w:w="5539"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19"/>
        <w:gridCol w:w="219"/>
        <w:gridCol w:w="221"/>
        <w:gridCol w:w="109"/>
        <w:gridCol w:w="109"/>
        <w:gridCol w:w="109"/>
        <w:gridCol w:w="209"/>
        <w:gridCol w:w="209"/>
        <w:gridCol w:w="211"/>
        <w:gridCol w:w="109"/>
        <w:gridCol w:w="109"/>
        <w:gridCol w:w="109"/>
        <w:gridCol w:w="197"/>
        <w:gridCol w:w="197"/>
        <w:gridCol w:w="281"/>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5.46%</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6.38%</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3.23%</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crediting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65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discount rate is established as of the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discount rate used to determine net periodic postretirement expense was 5.26% in 2026, 5.23% in 2025, and 5.47% in 2024.</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 xml:space="preserve">Assumed health care cost trend rates at the end of the year: </w:t>
      </w:r>
    </w:p>
    <w:tbl>
      <w:tblPr>
        <w:tblW w:w="8137" w:type="dxa"/>
        <w:jc w:val="left"/>
        <w:tblInd w:w="0" w:type="dxa"/>
        <w:tblLayout w:type="fixed"/>
        <w:tblCellMar>
          <w:top w:w="28" w:type="dxa"/>
          <w:left w:w="28" w:type="dxa"/>
          <w:bottom w:w="28" w:type="dxa"/>
          <w:right w:w="28" w:type="dxa"/>
        </w:tblCellMar>
      </w:tblPr>
      <w:tblGrid>
        <w:gridCol w:w="2229"/>
        <w:gridCol w:w="1956"/>
        <w:gridCol w:w="1964"/>
        <w:gridCol w:w="109"/>
        <w:gridCol w:w="109"/>
        <w:gridCol w:w="109"/>
        <w:gridCol w:w="219"/>
        <w:gridCol w:w="219"/>
        <w:gridCol w:w="221"/>
        <w:gridCol w:w="109"/>
        <w:gridCol w:w="109"/>
        <w:gridCol w:w="109"/>
        <w:gridCol w:w="197"/>
        <w:gridCol w:w="197"/>
        <w:gridCol w:w="281"/>
      </w:tblGrid>
      <w:tr>
        <w:trPr/>
        <w:tc>
          <w:tcPr>
            <w:tcW w:w="222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care cost trend rate assumed for next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to which the cost trend rate is assumed to decline (ultimate trend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that the rate reaches the ultimate trend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w:t>
            </w:r>
          </w:p>
        </w:tc>
      </w:tr>
    </w:tbl>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 xml:space="preserve">Pension Plan Assets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fundamental goal underlying the investment policy is to ensure that the assets of the plans are invested in a prudent manner to earn a rate of return over time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volatility of pension assets relative to pension liabilities, and to follow investment practices that comply with applicable laws and regulations.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policy objectives will be met by investing assets to achieve a reasonable tradeoff between return and risk relative to plan obligations, including investing a portion of the assets in funds selected in part to hedge the interest rate sensitivity to plan obligations.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portfolio includes investments in the following asset classes: fixed income, equity, real estate and alternatives. Fixed income investments provide a moderate expected return and hedge the exposure to interest rate risk of the plans’ obligations. Equities are used for their high expected return. Additional asset classes are used to provide diversification.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Asset allocation is monitored on an ongoing basis relative to the established asset class targets. The interaction between plan assets and benefit obligations is periodically studied to assist in the establishment of strategic asset allocation targets. A key element of our investment strategy is to reduce our funded status risk in part through appropriate asset allocation within our plan assets. The investment policy permits variances from the targets within certain parameters. Asset rebalancing occurs when the underlying asset class allocations move outside these parameters, at which time the asset allocation is rebalanced back to the policy target weight.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year-end pension plan weighted-average asset allocations by category were:</w:t>
      </w:r>
    </w:p>
    <w:tbl>
      <w:tblPr>
        <w:tblW w:w="5016" w:type="dxa"/>
        <w:jc w:val="left"/>
        <w:tblInd w:w="0" w:type="dxa"/>
        <w:tblLayout w:type="fixed"/>
        <w:tblCellMar>
          <w:top w:w="28" w:type="dxa"/>
          <w:left w:w="28" w:type="dxa"/>
          <w:bottom w:w="28" w:type="dxa"/>
          <w:right w:w="28" w:type="dxa"/>
        </w:tblCellMar>
      </w:tblPr>
      <w:tblGrid>
        <w:gridCol w:w="658"/>
        <w:gridCol w:w="577"/>
        <w:gridCol w:w="580"/>
        <w:gridCol w:w="434"/>
        <w:gridCol w:w="434"/>
        <w:gridCol w:w="436"/>
        <w:gridCol w:w="109"/>
        <w:gridCol w:w="109"/>
        <w:gridCol w:w="109"/>
        <w:gridCol w:w="204"/>
        <w:gridCol w:w="204"/>
        <w:gridCol w:w="206"/>
        <w:gridCol w:w="109"/>
        <w:gridCol w:w="109"/>
        <w:gridCol w:w="109"/>
        <w:gridCol w:w="183"/>
        <w:gridCol w:w="183"/>
        <w:gridCol w:w="263"/>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other</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Pension plan assets are categorized based on the following fair value hierarchy: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Level 1: Observable inputs that reflect quoted prices (unadjusted) for identical assets or liabilities in active markets.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Level 2: Inputs other than quoted prices included in Level 1 that are observable for the asset or liability through corroboration with observable market data.</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Level 3: Unobservable inputs, which are valued based on our estimates of assumptions that market participants would use in pricing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pension plan assets by asset category at August 2, 2026, and August 3, 2025:</w:t>
      </w:r>
    </w:p>
    <w:tbl>
      <w:tblPr>
        <w:tblW w:w="10205" w:type="dxa"/>
        <w:jc w:val="left"/>
        <w:tblInd w:w="0" w:type="dxa"/>
        <w:tblLayout w:type="fixed"/>
        <w:tblCellMar>
          <w:top w:w="28" w:type="dxa"/>
          <w:left w:w="28" w:type="dxa"/>
          <w:bottom w:w="28" w:type="dxa"/>
          <w:right w:w="28" w:type="dxa"/>
        </w:tblCellMar>
      </w:tblPr>
      <w:tblGrid>
        <w:gridCol w:w="733"/>
        <w:gridCol w:w="446"/>
        <w:gridCol w:w="451"/>
        <w:gridCol w:w="220"/>
        <w:gridCol w:w="658"/>
        <w:gridCol w:w="113"/>
        <w:gridCol w:w="109"/>
        <w:gridCol w:w="109"/>
        <w:gridCol w:w="109"/>
        <w:gridCol w:w="213"/>
        <w:gridCol w:w="273"/>
        <w:gridCol w:w="110"/>
        <w:gridCol w:w="109"/>
        <w:gridCol w:w="109"/>
        <w:gridCol w:w="109"/>
        <w:gridCol w:w="211"/>
        <w:gridCol w:w="481"/>
        <w:gridCol w:w="109"/>
        <w:gridCol w:w="109"/>
        <w:gridCol w:w="109"/>
        <w:gridCol w:w="109"/>
        <w:gridCol w:w="211"/>
        <w:gridCol w:w="406"/>
        <w:gridCol w:w="109"/>
        <w:gridCol w:w="109"/>
        <w:gridCol w:w="109"/>
        <w:gridCol w:w="109"/>
        <w:gridCol w:w="220"/>
        <w:gridCol w:w="644"/>
        <w:gridCol w:w="113"/>
        <w:gridCol w:w="109"/>
        <w:gridCol w:w="109"/>
        <w:gridCol w:w="109"/>
        <w:gridCol w:w="231"/>
        <w:gridCol w:w="280"/>
        <w:gridCol w:w="120"/>
        <w:gridCol w:w="109"/>
        <w:gridCol w:w="109"/>
        <w:gridCol w:w="109"/>
        <w:gridCol w:w="211"/>
        <w:gridCol w:w="466"/>
        <w:gridCol w:w="109"/>
        <w:gridCol w:w="109"/>
        <w:gridCol w:w="109"/>
        <w:gridCol w:w="109"/>
        <w:gridCol w:w="211"/>
        <w:gridCol w:w="406"/>
        <w:gridCol w:w="161"/>
      </w:tblGrid>
      <w:tr>
        <w:trPr/>
        <w:tc>
          <w:tcPr>
            <w:tcW w:w="7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August 2,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Measurements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August 2, 2026 Using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August 3,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Measurements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August 3, 2025 Using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Hierarchy</w:t>
            </w:r>
          </w:p>
        </w:tc>
      </w:tr>
      <w:tr>
        <w:trPr/>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Government and agency bonds:</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Mortgage and asset backed securities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 funds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measured at net asset value:</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Commingled equity funds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Commingled fixed income funds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investments measured at net asset value: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items to reconcile to fair value</w:t>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pension plan assets at fair value</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Short-term investments — </w:t>
      </w:r>
      <w:r>
        <w:rPr>
          <w:rFonts w:ascii="Times New Roman;serif" w:hAnsi="Times New Roman;serif"/>
          <w:b w:val="false"/>
          <w:color w:val="000000"/>
          <w:sz w:val="20"/>
        </w:rPr>
        <w:t>Investments include cash and cash equivalents, and various short-term debt instruments and short-term investment funds. Institutional short-term investment vehicles valued daily are classified as Level 1 at cost which approximates market value. Other investments valued based upon net asset value are included as a reconciling item to the fair value table.</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Equities — </w:t>
      </w:r>
      <w:r>
        <w:rPr>
          <w:rFonts w:ascii="Times New Roman;serif" w:hAnsi="Times New Roman;serif"/>
          <w:b w:val="false"/>
          <w:color w:val="000000"/>
          <w:sz w:val="20"/>
        </w:rPr>
        <w:t xml:space="preserve">Common stocks and preferred stocks are classified as Level 1 or Level 2. Level 1 investments are valued using quoted market prices in active markets. Level 2 investments are valued using quoted prices for identical or similar assets.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Corporate bonds — </w:t>
      </w:r>
      <w:r>
        <w:rPr>
          <w:rFonts w:ascii="Times New Roman;serif" w:hAnsi="Times New Roman;serif"/>
          <w:b w:val="false"/>
          <w:color w:val="000000"/>
          <w:sz w:val="20"/>
        </w:rPr>
        <w:t xml:space="preserve">These investments are valued based on quoted market prices, yield curves and pricing models using current market rates.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Government and agency bonds — </w:t>
      </w:r>
      <w:r>
        <w:rPr>
          <w:rFonts w:ascii="Times New Roman;serif" w:hAnsi="Times New Roman;serif"/>
          <w:b w:val="false"/>
          <w:color w:val="000000"/>
          <w:sz w:val="20"/>
        </w:rPr>
        <w:t xml:space="preserve">These investments are generally valued based on bid quotations and recent trade data for identical or similar assets.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Municipal bonds — </w:t>
      </w:r>
      <w:r>
        <w:rPr>
          <w:rFonts w:ascii="Times New Roman;serif" w:hAnsi="Times New Roman;serif"/>
          <w:b w:val="false"/>
          <w:color w:val="000000"/>
          <w:sz w:val="20"/>
        </w:rPr>
        <w:t xml:space="preserve">These investments are valued based on quoted market prices, yield curves and pricing models using current market rates.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Mortgage and asset backed securities — </w:t>
      </w:r>
      <w:r>
        <w:rPr>
          <w:rFonts w:ascii="Times New Roman;serif" w:hAnsi="Times New Roman;serif"/>
          <w:b w:val="false"/>
          <w:color w:val="000000"/>
          <w:sz w:val="20"/>
        </w:rPr>
        <w:t xml:space="preserve">These investments are valued based on prices obtained from third party pricing sources. The prices from third party pricing sources may be based on bid quotes from dealers and recent trade data. Mortgage backed securities are traded in the over-the-counter market. </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Real estate — </w:t>
      </w:r>
      <w:r>
        <w:rPr>
          <w:rFonts w:ascii="Times New Roman;serif" w:hAnsi="Times New Roman;serif"/>
          <w:b w:val="false"/>
          <w:color w:val="000000"/>
          <w:sz w:val="20"/>
        </w:rPr>
        <w:t>Real estate investments consist of property funds and commingled funds primarily invested in publicly listed infrastructure securities and publicly traded real estate securities. Real estate investments are valued based on the net asset values of such funds and included as a reconciling item to the fair value table.</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Hedge funds — </w:t>
      </w:r>
      <w:r>
        <w:rPr>
          <w:rFonts w:ascii="Times New Roman;serif" w:hAnsi="Times New Roman;serif"/>
          <w:b w:val="false"/>
          <w:color w:val="000000"/>
          <w:sz w:val="20"/>
        </w:rPr>
        <w:t>Hedge fund investments include hedge funds valued based upon a net asset value derived from the fair value of underlying securities. 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67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Commingled funds — </w:t>
      </w:r>
      <w:r>
        <w:rPr>
          <w:rFonts w:ascii="Times New Roman;serif" w:hAnsi="Times New Roman;serif"/>
          <w:b w:val="false"/>
          <w:color w:val="000000"/>
          <w:sz w:val="20"/>
        </w:rPr>
        <w:t>Investments in commingled funds are not traded in active markets. Commingled funds are valued based on the net asset values of such funds and are included as a reconciling item to the fair value table.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items to reconcile to fair value of plan assets included amounts due for securities sold, amounts payable for securities purchased and other payables.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Level 3 investments for the years ended August 2, 2026, and August 3, 2025:</w:t>
      </w:r>
    </w:p>
    <w:tbl>
      <w:tblPr>
        <w:tblW w:w="6745" w:type="dxa"/>
        <w:jc w:val="left"/>
        <w:tblInd w:w="0" w:type="dxa"/>
        <w:tblLayout w:type="fixed"/>
        <w:tblCellMar>
          <w:top w:w="28" w:type="dxa"/>
          <w:left w:w="28" w:type="dxa"/>
          <w:bottom w:w="28" w:type="dxa"/>
          <w:right w:w="28" w:type="dxa"/>
        </w:tblCellMar>
      </w:tblPr>
      <w:tblGrid>
        <w:gridCol w:w="1140"/>
        <w:gridCol w:w="1000"/>
        <w:gridCol w:w="1010"/>
        <w:gridCol w:w="109"/>
        <w:gridCol w:w="109"/>
        <w:gridCol w:w="109"/>
        <w:gridCol w:w="270"/>
        <w:gridCol w:w="520"/>
        <w:gridCol w:w="139"/>
        <w:gridCol w:w="109"/>
        <w:gridCol w:w="109"/>
        <w:gridCol w:w="109"/>
        <w:gridCol w:w="375"/>
        <w:gridCol w:w="481"/>
        <w:gridCol w:w="193"/>
        <w:gridCol w:w="109"/>
        <w:gridCol w:w="109"/>
        <w:gridCol w:w="109"/>
        <w:gridCol w:w="211"/>
        <w:gridCol w:w="27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August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Purchases, sales and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Transfers out of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August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25" w:type="dxa"/>
        <w:jc w:val="left"/>
        <w:tblInd w:w="0" w:type="dxa"/>
        <w:tblLayout w:type="fixed"/>
        <w:tblCellMar>
          <w:top w:w="28" w:type="dxa"/>
          <w:left w:w="28" w:type="dxa"/>
          <w:bottom w:w="28" w:type="dxa"/>
          <w:right w:w="28" w:type="dxa"/>
        </w:tblCellMar>
      </w:tblPr>
      <w:tblGrid>
        <w:gridCol w:w="1101"/>
        <w:gridCol w:w="970"/>
        <w:gridCol w:w="973"/>
        <w:gridCol w:w="109"/>
        <w:gridCol w:w="109"/>
        <w:gridCol w:w="109"/>
        <w:gridCol w:w="270"/>
        <w:gridCol w:w="520"/>
        <w:gridCol w:w="139"/>
        <w:gridCol w:w="109"/>
        <w:gridCol w:w="109"/>
        <w:gridCol w:w="109"/>
        <w:gridCol w:w="385"/>
        <w:gridCol w:w="467"/>
        <w:gridCol w:w="198"/>
        <w:gridCol w:w="109"/>
        <w:gridCol w:w="109"/>
        <w:gridCol w:w="109"/>
        <w:gridCol w:w="211"/>
        <w:gridCol w:w="25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July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sales and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August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Estimated future benefit payments are as follows:</w:t>
      </w:r>
    </w:p>
    <w:tbl>
      <w:tblPr>
        <w:tblW w:w="3691" w:type="dxa"/>
        <w:jc w:val="left"/>
        <w:tblInd w:w="0" w:type="dxa"/>
        <w:tblLayout w:type="fixed"/>
        <w:tblCellMar>
          <w:top w:w="28" w:type="dxa"/>
          <w:left w:w="28" w:type="dxa"/>
          <w:bottom w:w="28" w:type="dxa"/>
          <w:right w:w="28" w:type="dxa"/>
        </w:tblCellMar>
      </w:tblPr>
      <w:tblGrid>
        <w:gridCol w:w="369"/>
        <w:gridCol w:w="325"/>
        <w:gridCol w:w="326"/>
        <w:gridCol w:w="109"/>
        <w:gridCol w:w="109"/>
        <w:gridCol w:w="109"/>
        <w:gridCol w:w="211"/>
        <w:gridCol w:w="466"/>
        <w:gridCol w:w="109"/>
        <w:gridCol w:w="109"/>
        <w:gridCol w:w="109"/>
        <w:gridCol w:w="109"/>
        <w:gridCol w:w="357"/>
        <w:gridCol w:w="612"/>
        <w:gridCol w:w="262"/>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Postretirement</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future benefit payments include payments from funded and unfunded plans.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expect contributions to pension plans to be material in 2027.</w:t>
      </w:r>
    </w:p>
    <w:p>
      <w:pPr>
        <w:pStyle w:val="TextBody"/>
        <w:bidi w:val="0"/>
        <w:spacing w:lineRule="auto" w:line="288" w:before="100" w:after="100"/>
        <w:ind w:left="0" w:right="0" w:firstLine="360"/>
        <w:jc w:val="both"/>
        <w:rPr/>
      </w:pPr>
      <w:r>
        <w:rPr>
          <w:rFonts w:ascii="Times New Roman;serif" w:hAnsi="Times New Roman;serif"/>
          <w:b w:val="false"/>
          <w:i/>
          <w:color w:val="000000"/>
          <w:sz w:val="20"/>
        </w:rPr>
        <w:t xml:space="preserve">Defined Contribution Plans — </w:t>
      </w:r>
      <w:r>
        <w:rPr>
          <w:rFonts w:ascii="Times New Roman;serif" w:hAnsi="Times New Roman;serif"/>
          <w:b w:val="false"/>
          <w:color w:val="000000"/>
          <w:sz w:val="20"/>
        </w:rPr>
        <w:t>We sponsor a 401(k) Retirement Plan that covers substantially all U.S. employees and provide a matching contribution of 100% of employee contributions up to 4% of eligible compensation. In addition, for employees not eligible to participate in defined benefit plans that we sponsor and for those who will no longer accrue pension benefits (other than interest credits on already accrued benefits) effective August 1, 2028, we provide a contribution equal to 3% of eligible compensation regardless of their participation in the 401(k) Retirement Plan. Amounts charged to Costs and expenses were $77 million in 2026 and 2025, and $73 million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lease warehouse and distribution facilities, office space, manufacturing facilities, equipment and vehicles, primarily through operating leases.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Leases recorded on our Consolidated Balance Sheets have remaining terms primarily from 1 to 11 years.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fleet leases generally include residual value guarantees that are assessed at lease inception in determining ROU assets and corresponding liabilities. No other significant restrictions or covenants are included in our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68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tbl>
      <w:tblPr>
        <w:tblW w:w="7187" w:type="dxa"/>
        <w:jc w:val="left"/>
        <w:tblInd w:w="0" w:type="dxa"/>
        <w:tblLayout w:type="fixed"/>
        <w:tblCellMar>
          <w:top w:w="28" w:type="dxa"/>
          <w:left w:w="28" w:type="dxa"/>
          <w:bottom w:w="28" w:type="dxa"/>
          <w:right w:w="28" w:type="dxa"/>
        </w:tblCellMar>
      </w:tblPr>
      <w:tblGrid>
        <w:gridCol w:w="1293"/>
        <w:gridCol w:w="1135"/>
        <w:gridCol w:w="1142"/>
        <w:gridCol w:w="109"/>
        <w:gridCol w:w="109"/>
        <w:gridCol w:w="109"/>
        <w:gridCol w:w="211"/>
        <w:gridCol w:w="481"/>
        <w:gridCol w:w="109"/>
        <w:gridCol w:w="109"/>
        <w:gridCol w:w="109"/>
        <w:gridCol w:w="109"/>
        <w:gridCol w:w="211"/>
        <w:gridCol w:w="466"/>
        <w:gridCol w:w="109"/>
        <w:gridCol w:w="109"/>
        <w:gridCol w:w="109"/>
        <w:gridCol w:w="109"/>
        <w:gridCol w:w="211"/>
        <w:gridCol w:w="466"/>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2024 excludes costs associated with the cost savings initiatives described in Note 9.</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lease amounts recorded in the Consolidated Balance Sheets:</w:t>
      </w:r>
    </w:p>
    <w:tbl>
      <w:tblPr>
        <w:tblW w:w="7727"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884"/>
        <w:gridCol w:w="884"/>
        <w:gridCol w:w="886"/>
        <w:gridCol w:w="109"/>
        <w:gridCol w:w="109"/>
        <w:gridCol w:w="109"/>
        <w:gridCol w:w="211"/>
        <w:gridCol w:w="481"/>
        <w:gridCol w:w="109"/>
        <w:gridCol w:w="109"/>
        <w:gridCol w:w="109"/>
        <w:gridCol w:w="109"/>
        <w:gridCol w:w="211"/>
        <w:gridCol w:w="46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Leases</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assets, net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Weighted-average lease terms and discount rates were as follows: </w:t>
      </w:r>
    </w:p>
    <w:tbl>
      <w:tblPr>
        <w:tblW w:w="8627" w:type="dxa"/>
        <w:jc w:val="left"/>
        <w:tblInd w:w="0" w:type="dxa"/>
        <w:tblLayout w:type="fixed"/>
        <w:tblCellMar>
          <w:top w:w="28" w:type="dxa"/>
          <w:left w:w="28" w:type="dxa"/>
          <w:bottom w:w="28" w:type="dxa"/>
          <w:right w:w="28" w:type="dxa"/>
        </w:tblCellMar>
      </w:tblPr>
      <w:tblGrid>
        <w:gridCol w:w="1288"/>
        <w:gridCol w:w="1131"/>
        <w:gridCol w:w="1135"/>
        <w:gridCol w:w="109"/>
        <w:gridCol w:w="109"/>
        <w:gridCol w:w="109"/>
        <w:gridCol w:w="210"/>
        <w:gridCol w:w="211"/>
        <w:gridCol w:w="142"/>
        <w:gridCol w:w="142"/>
        <w:gridCol w:w="142"/>
        <w:gridCol w:w="146"/>
        <w:gridCol w:w="109"/>
        <w:gridCol w:w="109"/>
        <w:gridCol w:w="109"/>
        <w:gridCol w:w="210"/>
        <w:gridCol w:w="211"/>
        <w:gridCol w:w="121"/>
        <w:gridCol w:w="112"/>
        <w:gridCol w:w="112"/>
        <w:gridCol w:w="116"/>
        <w:gridCol w:w="109"/>
        <w:gridCol w:w="109"/>
        <w:gridCol w:w="109"/>
        <w:gridCol w:w="203"/>
        <w:gridCol w:w="203"/>
        <w:gridCol w:w="142"/>
        <w:gridCol w:w="142"/>
        <w:gridCol w:w="142"/>
        <w:gridCol w:w="146"/>
        <w:gridCol w:w="109"/>
        <w:gridCol w:w="109"/>
        <w:gridCol w:w="109"/>
        <w:gridCol w:w="203"/>
        <w:gridCol w:w="203"/>
        <w:gridCol w:w="121"/>
        <w:gridCol w:w="112"/>
        <w:gridCol w:w="112"/>
        <w:gridCol w:w="161"/>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are as follows:</w:t>
      </w:r>
    </w:p>
    <w:tbl>
      <w:tblPr>
        <w:tblW w:w="5746" w:type="dxa"/>
        <w:jc w:val="left"/>
        <w:tblInd w:w="0" w:type="dxa"/>
        <w:tblLayout w:type="fixed"/>
        <w:tblCellMar>
          <w:top w:w="28" w:type="dxa"/>
          <w:left w:w="28" w:type="dxa"/>
          <w:bottom w:w="28" w:type="dxa"/>
          <w:right w:w="28" w:type="dxa"/>
        </w:tblCellMar>
      </w:tblPr>
      <w:tblGrid>
        <w:gridCol w:w="1269"/>
        <w:gridCol w:w="1115"/>
        <w:gridCol w:w="1126"/>
        <w:gridCol w:w="109"/>
        <w:gridCol w:w="109"/>
        <w:gridCol w:w="109"/>
        <w:gridCol w:w="229"/>
        <w:gridCol w:w="507"/>
        <w:gridCol w:w="120"/>
        <w:gridCol w:w="109"/>
        <w:gridCol w:w="109"/>
        <w:gridCol w:w="109"/>
        <w:gridCol w:w="211"/>
        <w:gridCol w:w="361"/>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5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5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reported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69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cash flow and other information related to leases:</w:t>
      </w:r>
    </w:p>
    <w:tbl>
      <w:tblPr>
        <w:tblW w:w="9263" w:type="dxa"/>
        <w:jc w:val="left"/>
        <w:tblInd w:w="0" w:type="dxa"/>
        <w:tblLayout w:type="fixed"/>
        <w:tblCellMar>
          <w:top w:w="28" w:type="dxa"/>
          <w:left w:w="28" w:type="dxa"/>
          <w:bottom w:w="28" w:type="dxa"/>
          <w:right w:w="28" w:type="dxa"/>
        </w:tblCellMar>
      </w:tblPr>
      <w:tblGrid>
        <w:gridCol w:w="2121"/>
        <w:gridCol w:w="1864"/>
        <w:gridCol w:w="1879"/>
        <w:gridCol w:w="109"/>
        <w:gridCol w:w="109"/>
        <w:gridCol w:w="109"/>
        <w:gridCol w:w="211"/>
        <w:gridCol w:w="481"/>
        <w:gridCol w:w="109"/>
        <w:gridCol w:w="109"/>
        <w:gridCol w:w="109"/>
        <w:gridCol w:w="109"/>
        <w:gridCol w:w="211"/>
        <w:gridCol w:w="466"/>
        <w:gridCol w:w="109"/>
        <w:gridCol w:w="109"/>
        <w:gridCol w:w="109"/>
        <w:gridCol w:w="109"/>
        <w:gridCol w:w="211"/>
        <w:gridCol w:w="46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with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13. Taxes on Earnings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on earnings consists of the following:</w:t>
      </w:r>
    </w:p>
    <w:tbl>
      <w:tblPr>
        <w:tblW w:w="4722" w:type="dxa"/>
        <w:jc w:val="left"/>
        <w:tblInd w:w="0" w:type="dxa"/>
        <w:tblLayout w:type="fixed"/>
        <w:tblCellMar>
          <w:top w:w="28" w:type="dxa"/>
          <w:left w:w="28" w:type="dxa"/>
          <w:bottom w:w="28" w:type="dxa"/>
          <w:right w:w="28" w:type="dxa"/>
        </w:tblCellMar>
      </w:tblPr>
      <w:tblGrid>
        <w:gridCol w:w="597"/>
        <w:gridCol w:w="525"/>
        <w:gridCol w:w="528"/>
        <w:gridCol w:w="211"/>
        <w:gridCol w:w="481"/>
        <w:gridCol w:w="109"/>
        <w:gridCol w:w="109"/>
        <w:gridCol w:w="109"/>
        <w:gridCol w:w="109"/>
        <w:gridCol w:w="211"/>
        <w:gridCol w:w="466"/>
        <w:gridCol w:w="109"/>
        <w:gridCol w:w="109"/>
        <w:gridCol w:w="109"/>
        <w:gridCol w:w="109"/>
        <w:gridCol w:w="211"/>
        <w:gridCol w:w="46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Currently payable:</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5963" w:type="dxa"/>
        <w:jc w:val="center"/>
        <w:tblInd w:w="0" w:type="dxa"/>
        <w:tblLayout w:type="fixed"/>
        <w:tblCellMar>
          <w:top w:w="28" w:type="dxa"/>
          <w:left w:w="28" w:type="dxa"/>
          <w:bottom w:w="28" w:type="dxa"/>
          <w:right w:w="28" w:type="dxa"/>
        </w:tblCellMar>
      </w:tblPr>
      <w:tblGrid>
        <w:gridCol w:w="927"/>
        <w:gridCol w:w="814"/>
        <w:gridCol w:w="823"/>
        <w:gridCol w:w="109"/>
        <w:gridCol w:w="109"/>
        <w:gridCol w:w="109"/>
        <w:gridCol w:w="211"/>
        <w:gridCol w:w="481"/>
        <w:gridCol w:w="109"/>
        <w:gridCol w:w="109"/>
        <w:gridCol w:w="109"/>
        <w:gridCol w:w="109"/>
        <w:gridCol w:w="211"/>
        <w:gridCol w:w="466"/>
        <w:gridCol w:w="109"/>
        <w:gridCol w:w="109"/>
        <w:gridCol w:w="109"/>
        <w:gridCol w:w="109"/>
        <w:gridCol w:w="211"/>
        <w:gridCol w:w="46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70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effective income tax rate to the U.S. federal statutory income tax rate for 2026:</w:t>
      </w:r>
    </w:p>
    <w:tbl>
      <w:tblPr>
        <w:tblW w:w="7197" w:type="dxa"/>
        <w:jc w:val="left"/>
        <w:tblInd w:w="0" w:type="dxa"/>
        <w:tblLayout w:type="fixed"/>
        <w:tblCellMar>
          <w:top w:w="28" w:type="dxa"/>
          <w:left w:w="28" w:type="dxa"/>
          <w:bottom w:w="28" w:type="dxa"/>
          <w:right w:w="28" w:type="dxa"/>
        </w:tblCellMar>
      </w:tblPr>
      <w:tblGrid>
        <w:gridCol w:w="1856"/>
        <w:gridCol w:w="1632"/>
        <w:gridCol w:w="1641"/>
        <w:gridCol w:w="211"/>
        <w:gridCol w:w="466"/>
        <w:gridCol w:w="109"/>
        <w:gridCol w:w="109"/>
        <w:gridCol w:w="109"/>
        <w:gridCol w:w="109"/>
        <w:gridCol w:w="255"/>
        <w:gridCol w:w="256"/>
        <w:gridCol w:w="444"/>
      </w:tblGrid>
      <w:tr>
        <w:trPr/>
        <w:tc>
          <w:tcPr>
            <w:tcW w:w="185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 </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income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income taxes (net of federal tax benefit)</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current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10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During the year ended August 2, 2026, state taxes in California, Illinois, Texas and Minnesota made up the majority (greater than 50%) of the tax effect in this category.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U.S. federal statutory income tax rate with our effective income tax rate for 2025 and 2024:</w:t>
      </w:r>
    </w:p>
    <w:tbl>
      <w:tblPr>
        <w:tblW w:w="5933" w:type="dxa"/>
        <w:jc w:val="left"/>
        <w:tblInd w:w="0" w:type="dxa"/>
        <w:tblLayout w:type="fixed"/>
        <w:tblCellMar>
          <w:top w:w="28" w:type="dxa"/>
          <w:left w:w="28" w:type="dxa"/>
          <w:bottom w:w="28" w:type="dxa"/>
          <w:right w:w="28" w:type="dxa"/>
        </w:tblCellMar>
      </w:tblPr>
      <w:tblGrid>
        <w:gridCol w:w="1367"/>
        <w:gridCol w:w="1204"/>
        <w:gridCol w:w="1208"/>
        <w:gridCol w:w="109"/>
        <w:gridCol w:w="109"/>
        <w:gridCol w:w="255"/>
        <w:gridCol w:w="256"/>
        <w:gridCol w:w="271"/>
        <w:gridCol w:w="109"/>
        <w:gridCol w:w="109"/>
        <w:gridCol w:w="109"/>
        <w:gridCol w:w="255"/>
        <w:gridCol w:w="256"/>
        <w:gridCol w:w="316"/>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international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 law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Nondeductible executive compensation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1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increase in 2024 is associated with the acquisition of Sovos Brands.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The OBBBA makes certain provisions of the Tax Cuts and Jobs Act of 2017 permanent and makes changes to some U.S. corporate tax provisions, many of which have different effective dates. The provisions of the OBBBA did not have a material impact on our effective tax rate in 2026 or 2025. Certain provisions of the OBBBA impact the timing of cash tax payments, which resulted in a reduction of our taxes paid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71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Deferred tax liabilities and assets are comprised of the following:</w:t>
      </w:r>
    </w:p>
    <w:tbl>
      <w:tblPr>
        <w:tblW w:w="6128" w:type="dxa"/>
        <w:jc w:val="left"/>
        <w:tblInd w:w="0" w:type="dxa"/>
        <w:tblLayout w:type="fixed"/>
        <w:tblCellMar>
          <w:top w:w="28" w:type="dxa"/>
          <w:left w:w="28" w:type="dxa"/>
          <w:bottom w:w="28" w:type="dxa"/>
          <w:right w:w="28" w:type="dxa"/>
        </w:tblCellMar>
      </w:tblPr>
      <w:tblGrid>
        <w:gridCol w:w="1397"/>
        <w:gridCol w:w="1228"/>
        <w:gridCol w:w="1244"/>
        <w:gridCol w:w="211"/>
        <w:gridCol w:w="631"/>
        <w:gridCol w:w="109"/>
        <w:gridCol w:w="109"/>
        <w:gridCol w:w="109"/>
        <w:gridCol w:w="109"/>
        <w:gridCol w:w="211"/>
        <w:gridCol w:w="61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compensation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loss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carryforwards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valuation allowance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our U.S. and non-U.S. subsidiaries had tax loss carryforwards of approximately $103 million. Of these carryforwards, $9 million may be carried forward indefinitely, and $94 million expire between 2028 and 2044. As of August 2, 2026, our net deferred liability included $4 million of tax effected loss carryforwards, of which $2 million was offset by a deferred tax asset valuation allowance. Additionally, as of August 2, 2026, our U.S. and non-U.S. subsidiaries had capital loss carryforwards of approximately $46 million, all of which may be carried forward indefinitely. As of August 2, 2026, our net deferred liability included $6 million of tax effected capital loss carryforwards, all of which was offset by a deferred tax asset valuation allowance.</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change in the deferred tax asset valuation allowance in 2026 was a decrease of $12 million. The decrease was primarily due to the expiration of capital loss carryforwards in 2026. The net change in the deferred tax asset valuation allowance in 2025 was a decrease of $6 million. The decrease was primarily due to the sale of our Pop Secret popcorn business. The net change in the deferred tax asset valuation allowance in 2024 was a decrease of $100 million. The decrease was primarily due to the expiration of capital loss carryforwards in 2024.</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other deferred tax assets included $3 million of tax credit carryforwards with the majority expiring between 2029 and 2039. As of August 2, 2026, deferred tax asset valuation allowances had been established to offset $3 million of the tax credit carryforwards.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had certain foreign earnings that are deemed to be permanently reinvested and for which we have not recognized a deferred tax liability. We estimate that the tax liability that might be incurred if permanently reinvested earnings were remitted to the U.S. would not be material. Foreign subsidiary earnings in 2021 and thereafter are not considered permanently reinvested and we have therefore recognized a deferred tax liability and expense.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activity related to unrecognized tax benefits follows:</w:t>
      </w:r>
    </w:p>
    <w:tbl>
      <w:tblPr>
        <w:tblW w:w="6536" w:type="dxa"/>
        <w:jc w:val="left"/>
        <w:tblInd w:w="0" w:type="dxa"/>
        <w:tblLayout w:type="fixed"/>
        <w:tblCellMar>
          <w:top w:w="28" w:type="dxa"/>
          <w:left w:w="28" w:type="dxa"/>
          <w:bottom w:w="28" w:type="dxa"/>
          <w:right w:w="28" w:type="dxa"/>
        </w:tblCellMar>
      </w:tblPr>
      <w:tblGrid>
        <w:gridCol w:w="1369"/>
        <w:gridCol w:w="1200"/>
        <w:gridCol w:w="1210"/>
        <w:gridCol w:w="211"/>
        <w:gridCol w:w="376"/>
        <w:gridCol w:w="109"/>
        <w:gridCol w:w="109"/>
        <w:gridCol w:w="109"/>
        <w:gridCol w:w="109"/>
        <w:gridCol w:w="211"/>
        <w:gridCol w:w="361"/>
        <w:gridCol w:w="109"/>
        <w:gridCol w:w="109"/>
        <w:gridCol w:w="109"/>
        <w:gridCol w:w="109"/>
        <w:gridCol w:w="211"/>
        <w:gridCol w:w="36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prior-year tax positions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prior-year tax positions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current-year tax positions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unrecognized tax benefits that, if recognized, would impact the annual effective tax rate was $13 million as of August 2, 2026, $15 million as of August 3, 2025, and $14 million as of July 28, 2024. The total amount of unrecognized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72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benefits can change due to audit settlements, tax examination activities, statute expirations and the recognition and measurement criteria under accounting for uncertainty in income taxes.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accounting policy for interest and penalties attributable to income taxes is to reflect any expense or benefit as a component of our income tax provision. The total amount of interest and penalties recognized in the Consolidated Statements of Earnings was not material in 2026, 2025, and 2024. The total amount of interest and penalties recognized in the Consolidated Balance Sheets in Other liabilities was $7 million as of August 2, 2026 and August 3, 2025.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income tax returns in the U.S. federal jurisdiction and various state and non-U.S. jurisdictions. In the normal course of business, we are subject to examination by taxing authorities, including the U.S. and Canada. With limited exceptions, we have been audited for income tax purposes in the U.S. through 2025 and in Canada through 2018. In addition, several state income tax examinations are in progress for the years 2017 to 2024.</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were as follows:</w:t>
      </w:r>
    </w:p>
    <w:tbl>
      <w:tblPr>
        <w:tblW w:w="2871" w:type="dxa"/>
        <w:jc w:val="left"/>
        <w:tblInd w:w="0" w:type="dxa"/>
        <w:tblLayout w:type="fixed"/>
        <w:tblCellMar>
          <w:top w:w="28" w:type="dxa"/>
          <w:left w:w="28" w:type="dxa"/>
          <w:bottom w:w="28" w:type="dxa"/>
          <w:right w:w="28" w:type="dxa"/>
        </w:tblCellMar>
      </w:tblPr>
      <w:tblGrid>
        <w:gridCol w:w="776"/>
        <w:gridCol w:w="682"/>
        <w:gridCol w:w="687"/>
        <w:gridCol w:w="211"/>
        <w:gridCol w:w="36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state and local</w:t>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paid income taxes, net of refunds, of $268 million and $252 million in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14. Short-term Borrowings and Long-term Debt</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borrowings consist of the following: </w:t>
      </w:r>
    </w:p>
    <w:tbl>
      <w:tblPr>
        <w:tblW w:w="4343" w:type="dxa"/>
        <w:jc w:val="left"/>
        <w:tblInd w:w="0" w:type="dxa"/>
        <w:tblLayout w:type="fixed"/>
        <w:tblCellMar>
          <w:top w:w="28" w:type="dxa"/>
          <w:left w:w="28" w:type="dxa"/>
          <w:bottom w:w="28" w:type="dxa"/>
          <w:right w:w="28" w:type="dxa"/>
        </w:tblCellMar>
      </w:tblPr>
      <w:tblGrid>
        <w:gridCol w:w="863"/>
        <w:gridCol w:w="758"/>
        <w:gridCol w:w="763"/>
        <w:gridCol w:w="211"/>
        <w:gridCol w:w="481"/>
        <w:gridCol w:w="109"/>
        <w:gridCol w:w="109"/>
        <w:gridCol w:w="109"/>
        <w:gridCol w:w="109"/>
        <w:gridCol w:w="211"/>
        <w:gridCol w:w="46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Borrowings of La Regina</w:t>
            </w:r>
            <w:r>
              <w:rPr>
                <w:rFonts w:ascii="Times New Roman;serif" w:hAnsi="Times New Roman;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76"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notes, other short-term borrowings and finance leases. Creditors only have recourse to La Regina for the liabilities. See also Note 5.</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unamortized net discount/premium on debt issuances and debt issuance costs.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interest rate of commercial paper, which consisted of U.S. borrowings, was 4.29% as of August 2, 2026, and 4.69% as of August 3, 2025.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we issued $45 million of standby letters of credit.</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On September 16, 2026, we entered into an Extension Agreement to further extend the maturity date of the 2024 Revolving Credit Facility Agreement by one year from April 16, 2030 to April 16, 2031. The 2024 Revolving Credit Facility Agreement remained unused at August 2, 2026, except for $1 million of standby letters of credit that we issued under it. We may increase the 2024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73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facility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$500 million aggregate principal amount of senior notes maturing in March 2027 that we expect to repay and/or refinance using available resources, which may include accessing the capital markets, using cash on hand, commercial paper and/or our revolving credit facility.</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consists of the following: </w:t>
      </w:r>
    </w:p>
    <w:tbl>
      <w:tblPr>
        <w:tblW w:w="6022" w:type="dxa"/>
        <w:jc w:val="left"/>
        <w:tblInd w:w="0" w:type="dxa"/>
        <w:tblLayout w:type="fixed"/>
        <w:tblCellMar>
          <w:top w:w="28" w:type="dxa"/>
          <w:left w:w="28" w:type="dxa"/>
          <w:bottom w:w="28" w:type="dxa"/>
          <w:right w:w="28" w:type="dxa"/>
        </w:tblCellMar>
      </w:tblPr>
      <w:tblGrid>
        <w:gridCol w:w="1085"/>
        <w:gridCol w:w="954"/>
        <w:gridCol w:w="961"/>
        <w:gridCol w:w="109"/>
        <w:gridCol w:w="109"/>
        <w:gridCol w:w="109"/>
        <w:gridCol w:w="109"/>
        <w:gridCol w:w="109"/>
        <w:gridCol w:w="109"/>
        <w:gridCol w:w="109"/>
        <w:gridCol w:w="211"/>
        <w:gridCol w:w="63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5.30% Notes due March 20,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 Notes due March 19,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 Notes due March 15, 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5.20% Notes due March 21, 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2.375% Notes due April 24, 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 Notes due March 21, 2031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5.40% Notes due March 21, 2034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Notes due March 23, 2035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3.80% Notes due August 2, 2042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4.80% Notes due March 15, 2048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3.125% Notes due April 24, 2050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5.25% Notes due October 13, 2054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Borrowings of La Regina</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notes and finance leases. Creditors only have recourse to La Regina for the liabilities. See also Note 5. </w:t>
      </w:r>
    </w:p>
    <w:p>
      <w:pPr>
        <w:pStyle w:val="TextBody"/>
        <w:bidi w:val="0"/>
        <w:spacing w:lineRule="auto" w:line="26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unamortized net discount/premium on debt issuances and debt issuance costs, and cumulative fair value hedging adjustments related to fixed-to-floating interest rate swaps.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Principal amounts of long-term debt, including finance lease obligations, maturing over the next five years are as follows:</w:t>
      </w:r>
    </w:p>
    <w:tbl>
      <w:tblPr>
        <w:tblW w:w="2254"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15, 2022, we entered into a delayed draw term loan credit agreement (the 2022 DDTL Credit Agreement) totaling up to $500 million scheduled to mature on November 15, 2025. We borrowed $500 million under the 2022 DDTL Credit Agreement in March 2023. The $500 million outstanding was repaid as described below.</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10, 2023, we entered into the 2024 DDTL Credit Agreement totaling up to $2 billion scheduled to mature on October 8, 2024. On March 12, 2024, we borrowed $2 billion under the 2024 DDTL Credit Agreement and used the proceeds in order to fund the acquisition of Sovos Brands, along with the fees and expenses incurred in connection therewith.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74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billion was repaid in full as described below.</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2023, we filed a registration statement (the 2023 Registration Statement) with the Securities and Exchange Commission (SEC) that registered an indeterminate amount of debt securities. In August 2026, we filed a registration statement (the 2026 Registration Statement) with the SEC that registered an indeterminate amount of debt securities, capital stock, preferred stock, warrants, purchase contracts and units. Under the 2026 Registration Statement, we may issue these securities from time to time, depending on market conditions.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19, 2024, pursuant to the 2023 Registration Statement, we issued senior unsecured notes of $2.5 billion, consisting of:</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$400 million aggregate principal amount of notes bearing interest at a fixed rate of 5.30% per annum, due March 20, 2026, with interest payable semi-annually on each of March 20 and September 20 commencing September 20, 2024;</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$500 million aggregate principal amount of notes bearing interest at a fixed rate of 5.20% per annum, due March 19, 2027, with interest payable semi-annually on each of March 19 and September 19 commencing September 19, 2024;</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$600 million aggregate principal amount of notes bearing interest at a fixed rate of 5.20% per annum, due March 21, 2029, with interest payable semi-annually on each of March 21 and September 21 commencing September 21, 2024; and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$1 billion aggregate principal amount of notes bearing interest at a fixed rate of 5.40% per annum, due March 21, 2034, with interest payable semi-annually on each of March 21 and September 21 commencing September 21, 2024.</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The notes contain customary covenants and events of default. If a change of control triggering event occurs, we will be required to offer to purchase the notes at a purchase price equal to 101% of the principal amount plus accrued and unpaid interest, if any, to the purchase date. </w:t>
      </w:r>
      <w:r>
        <w:rPr>
          <w:rFonts w:ascii="Times New Roman;serif" w:hAnsi="Times New Roman;serif"/>
          <w:b w:val="false"/>
          <w:color w:val="000000"/>
          <w:sz w:val="20"/>
          <w:shd w:fill="FFFFFF" w:val="clear"/>
        </w:rPr>
        <w:t xml:space="preserve">We used the net proceeds from the sale of the notes to repay the </w:t>
      </w:r>
      <w:r>
        <w:rPr>
          <w:rFonts w:ascii="Times New Roman;serif" w:hAnsi="Times New Roman;serif"/>
          <w:b w:val="false"/>
          <w:color w:val="000000"/>
          <w:sz w:val="20"/>
        </w:rPr>
        <w:t>$2 billion of outstanding</w:t>
      </w:r>
      <w:r>
        <w:rPr>
          <w:color w:val="000000"/>
          <w:shd w:fill="FFFFFF" w:val="clear"/>
        </w:rPr>
        <w:t xml:space="preserve"> </w:t>
      </w:r>
      <w:r>
        <w:rPr>
          <w:rFonts w:ascii="Times New Roman;serif" w:hAnsi="Times New Roman;serif"/>
          <w:b w:val="false"/>
          <w:color w:val="000000"/>
          <w:sz w:val="20"/>
          <w:shd w:fill="FFFFFF" w:val="clear"/>
        </w:rPr>
        <w:t>borrowings under the 2024 DDTL Credit Agreement used to fund the Sovos Brands acquisition, including fees and expenses in connection therewith, and the remainder of the net proceeds to repay commercial paper.</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5, 2024, we repaid $100 million of the $500 million outstanding under the 2022 DDTL Credit Agreement due November 15, 2025. The remaining $400 million was repaid in October 2024 and November 2024 as described below.</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 2024, pursuant to the 2023 Registration Statement, we completed the issuance of senior unsecured notes of $1.15 billion, consisting of:</w:t>
      </w:r>
    </w:p>
    <w:p>
      <w:pPr>
        <w:pStyle w:val="TextBody"/>
        <w:bidi w:val="0"/>
        <w:spacing w:lineRule="auto" w:line="288" w:before="100" w:after="100"/>
        <w:ind w:left="0" w:right="0" w:hanging="360"/>
        <w:jc w:val="both"/>
        <w:rPr>
          <w:color w:val="000000"/>
        </w:rPr>
      </w:pPr>
      <w:r>
        <w:rPr>
          <w:color w:val="000000"/>
        </w:rPr>
        <w:t>•    </w:t>
      </w:r>
      <w:r>
        <w:rPr>
          <w:rFonts w:ascii="Times New Roman;serif" w:hAnsi="Times New Roman;serif"/>
          <w:b w:val="false"/>
          <w:color w:val="000000"/>
          <w:sz w:val="20"/>
        </w:rPr>
        <w:t>$800 million aggregate principal amount of notes bearing interest at a fixed rate of 4.75% per annum, due March 23, 2035, with interest payable semi-annually on each of March 23 and September 23 commencing March 23, 2025; and</w:t>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$350 million aggregate principal amount of notes bearing interest at a fixed rate of 5.25% per annum, due October 13, 2054, with interest payable semi-annually on each of April 13 and October 13 commencing April 13, 2025.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pStyle w:val="TextBody"/>
        <w:bidi w:val="0"/>
        <w:spacing w:lineRule="auto" w:line="288" w:before="100" w:after="100"/>
        <w:ind w:left="0" w:right="0" w:firstLine="360"/>
        <w:jc w:val="both"/>
        <w:rPr/>
      </w:pPr>
      <w:r>
        <w:rPr>
          <w:rFonts w:ascii="Times New Roman;serif" w:hAnsi="Times New Roman;serif"/>
          <w:b w:val="false"/>
          <w:color w:val="000000"/>
          <w:sz w:val="20"/>
        </w:rPr>
        <w:t>On December 15, 2025, pursuant to the 2023 Registration Statement, we completed the issuance of senior unsecured notes, consisting of $550 million aggregate principal amount of notes bearing interest at a fixed rate of 4.55% per annum, due March 21, 2031, with interest payable semi-annually on each of March 21 and September 21 commencing March 21, 2026. The notes contain customary covenants and events of default. If a change of control triggering event occurs, we will be required to offer to purchase the notes at a purchase price equal to 101% of the principal amount plus accrued and unpaid interest, if any, to the purchase date. W</w:t>
      </w:r>
      <w:r>
        <w:rPr>
          <w:rFonts w:ascii="Times New Roman;serif" w:hAnsi="Times New Roman;serif"/>
          <w:b w:val="false"/>
          <w:color w:val="000000"/>
          <w:sz w:val="20"/>
          <w:shd w:fill="FFFFFF" w:val="clear"/>
        </w:rPr>
        <w:t xml:space="preserve">e used a portion of the net proceeds from the issuance of the notes to repay a portion of our outstanding commercial paper and used the remaining proceeds to repay existing indebtedness and for general corporate purposes. </w:t>
      </w:r>
      <w:r>
        <w:rPr>
          <w:rFonts w:ascii="Times New Roman;serif" w:hAnsi="Times New Roman;serif"/>
          <w:b w:val="false"/>
          <w:color w:val="000000"/>
          <w:sz w:val="20"/>
        </w:rPr>
        <w:t>In March 2026, we used a portion of the net proceeds from the issuance of the notes along with cash on hand and the issuance of commercial paper to repay $400 million aggregate principal amount of senior notes that matured in March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75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entered into fixed-to-floating interest rate swaps with a notional amount of $600 million. The instruments effectively convert a portion of our $800 million 4.75% Notes due March 23, 2035 from fixed-rate to variable-rate debt with interest based on the Secured Overnight Financing Rate (SOFR) plus a margin. The cumulative fair value hedging adjustments included in long-term debt related to fixed-to-floating interest rate swaps was a gain of $26 million as of August 2, 2026. See Note 15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15. Financial Instruments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August 2, 2026, or August 3, 2025.</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exposed to credit risk from our customers. During 2026, our largest customer accounted for approximately 22% of our consolidated net sales. Our five largest customers accounted for approximately 48% of our consolidated net sales in 2026.</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closely monitor credit risk associated with counterparties and customers.</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risk, primarily the Canadian dollar related to intercompany transactions and the Euro related to transactions with La Regina. We acquired our 49% ownership interests in La Regina on May 4, 2026. We utilize foreign exchange forward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$179 million as of August 2, 2026, and $183 million as of August 3, 2025.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$146 million as of August 2, 2026, and $413 million as of August 3, 2025.</w:t>
      </w:r>
    </w:p>
    <w:p>
      <w:pPr>
        <w:pStyle w:val="TextBody"/>
        <w:bidi w:val="0"/>
        <w:spacing w:lineRule="auto" w:line="276" w:before="10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amount of $700 million at a gain of less than $1 million. We settled forward starting interest rate swaps with a notional amount of $1.1 billion in March 2024 at a loss of $11 million. The gains and losses on these instruments were recorded in other comprehensive income (loss) and will be recognized in Interest expense over the respective lives of the debt. There were no forward starting interest rate swaps or treasury lock contracts outstanding as of August 2, 2026 and August 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76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entered into fixed-to-floating interest rate swaps to hedge changes in the fair value of a portion of our previously issued senior unsecured notes attributable to the change in the benchmark interest rate. The instruments effectively convert a portion of our $800 million 4.75% Notes due March 23, 2035 from fixed-rate to variable-rate debt with interest based on SOFR plus a margin. The fixed-to-floating interest rate swaps are designated as fair-value hedges. Changes in the fair value of these instruments are recorded in Interest expense along with the offsetting changes in the fair value of the related hedged portion of long-term debt. The notional amount of fixed-to-floating interest rate swaps was $600 million as of August 2, 2026. There were no fixed-to-floating interest rate swaps outstanding as of August 3, 2025.</w:t>
      </w:r>
    </w:p>
    <w:p>
      <w:pPr>
        <w:pStyle w:val="TextBody"/>
        <w:bidi w:val="0"/>
        <w:spacing w:lineRule="auto" w:line="268" w:before="100" w:after="100"/>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natural gas, aluminum, cocoa, diesel fuel, corn, soybean oil, and soybean meal. Commodity futures, options and swap contracts are either designated as cash-flow hedging instruments or are undesignated. We hedge a portion of commodity requirements for periods typically up to 18 months. There were no commodity contracts designated as cash-flow hedges as of August 2, 2026 or August 3, 2025. The notional amount of commodity contracts not designated as accounting hedges was $152 million as of August 2, 2026, and $184 million as of August 3, 2025. The change in fair value on undesignated instruments is recorded in Cost of products sold.</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$37 million as of August 2, 2026, and $49 million as of August 3, 2025. The change in fair value on the embedded derivative is recorded in Cost of products sold.</w:t>
      </w:r>
    </w:p>
    <w:p>
      <w:pPr>
        <w:pStyle w:val="TextBody"/>
        <w:bidi w:val="0"/>
        <w:spacing w:lineRule="auto" w:line="276" w:before="100" w:after="283"/>
        <w:jc w:val="both"/>
        <w:rPr>
          <w:rFonts w:ascii="Times New Roman;serif" w:hAnsi="Times New Roman;serif"/>
          <w:b/>
          <w:i/>
          <w:color w:val="000000"/>
          <w:sz w:val="20"/>
        </w:rPr>
      </w:pPr>
      <w:r>
        <w:rPr>
          <w:rFonts w:ascii="Times New Roman;serif" w:hAnsi="Times New Roman;serif"/>
          <w:b/>
          <w:i/>
          <w:color w:val="000000"/>
          <w:sz w:val="20"/>
        </w:rPr>
        <w:t>Deferred Compensation Obligation Price Risk</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August 2, 2026, and August 3, 2025, were $83 million and $76 million, respectively.</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fair value of derivative instruments on a gross basis as recorded in the Consolidated Balance Sheets as of August 2, 2026, and August 3, 2025:</w:t>
      </w:r>
    </w:p>
    <w:tbl>
      <w:tblPr>
        <w:tblW w:w="7819" w:type="dxa"/>
        <w:jc w:val="left"/>
        <w:tblInd w:w="0" w:type="dxa"/>
        <w:tblLayout w:type="fixed"/>
        <w:tblCellMar>
          <w:top w:w="28" w:type="dxa"/>
          <w:left w:w="28" w:type="dxa"/>
          <w:bottom w:w="28" w:type="dxa"/>
          <w:right w:w="28" w:type="dxa"/>
        </w:tblCellMar>
      </w:tblPr>
      <w:tblGrid>
        <w:gridCol w:w="1290"/>
        <w:gridCol w:w="1133"/>
        <w:gridCol w:w="1146"/>
        <w:gridCol w:w="709"/>
        <w:gridCol w:w="709"/>
        <w:gridCol w:w="711"/>
        <w:gridCol w:w="109"/>
        <w:gridCol w:w="109"/>
        <w:gridCol w:w="109"/>
        <w:gridCol w:w="211"/>
        <w:gridCol w:w="376"/>
        <w:gridCol w:w="109"/>
        <w:gridCol w:w="109"/>
        <w:gridCol w:w="109"/>
        <w:gridCol w:w="109"/>
        <w:gridCol w:w="211"/>
        <w:gridCol w:w="40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contracts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77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tbl>
      <w:tblPr>
        <w:tblW w:w="7804" w:type="dxa"/>
        <w:jc w:val="center"/>
        <w:tblInd w:w="0" w:type="dxa"/>
        <w:tblLayout w:type="fixed"/>
        <w:tblCellMar>
          <w:top w:w="28" w:type="dxa"/>
          <w:left w:w="28" w:type="dxa"/>
          <w:bottom w:w="28" w:type="dxa"/>
          <w:right w:w="28" w:type="dxa"/>
        </w:tblCellMar>
      </w:tblPr>
      <w:tblGrid>
        <w:gridCol w:w="1290"/>
        <w:gridCol w:w="1133"/>
        <w:gridCol w:w="1146"/>
        <w:gridCol w:w="709"/>
        <w:gridCol w:w="709"/>
        <w:gridCol w:w="711"/>
        <w:gridCol w:w="109"/>
        <w:gridCol w:w="109"/>
        <w:gridCol w:w="109"/>
        <w:gridCol w:w="211"/>
        <w:gridCol w:w="406"/>
        <w:gridCol w:w="109"/>
        <w:gridCol w:w="109"/>
        <w:gridCol w:w="109"/>
        <w:gridCol w:w="109"/>
        <w:gridCol w:w="211"/>
        <w:gridCol w:w="36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Fixed-to-floating interest rate swaps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hedges</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August 2, 2026, and August 3, 2025, would be adjusted as detailed in the following table:</w:t>
      </w:r>
    </w:p>
    <w:tbl>
      <w:tblPr>
        <w:tblW w:w="10205" w:type="dxa"/>
        <w:jc w:val="left"/>
        <w:tblInd w:w="0" w:type="dxa"/>
        <w:tblLayout w:type="fixed"/>
        <w:tblCellMar>
          <w:top w:w="28" w:type="dxa"/>
          <w:left w:w="28" w:type="dxa"/>
          <w:bottom w:w="28" w:type="dxa"/>
          <w:right w:w="28" w:type="dxa"/>
        </w:tblCellMar>
      </w:tblPr>
      <w:tblGrid>
        <w:gridCol w:w="402"/>
        <w:gridCol w:w="353"/>
        <w:gridCol w:w="358"/>
        <w:gridCol w:w="109"/>
        <w:gridCol w:w="109"/>
        <w:gridCol w:w="109"/>
        <w:gridCol w:w="399"/>
        <w:gridCol w:w="712"/>
        <w:gridCol w:w="208"/>
        <w:gridCol w:w="109"/>
        <w:gridCol w:w="109"/>
        <w:gridCol w:w="109"/>
        <w:gridCol w:w="536"/>
        <w:gridCol w:w="688"/>
        <w:gridCol w:w="279"/>
        <w:gridCol w:w="109"/>
        <w:gridCol w:w="109"/>
        <w:gridCol w:w="109"/>
        <w:gridCol w:w="218"/>
        <w:gridCol w:w="388"/>
        <w:gridCol w:w="112"/>
        <w:gridCol w:w="109"/>
        <w:gridCol w:w="109"/>
        <w:gridCol w:w="109"/>
        <w:gridCol w:w="408"/>
        <w:gridCol w:w="699"/>
        <w:gridCol w:w="212"/>
        <w:gridCol w:w="109"/>
        <w:gridCol w:w="109"/>
        <w:gridCol w:w="109"/>
        <w:gridCol w:w="536"/>
        <w:gridCol w:w="688"/>
        <w:gridCol w:w="279"/>
        <w:gridCol w:w="109"/>
        <w:gridCol w:w="109"/>
        <w:gridCol w:w="109"/>
        <w:gridCol w:w="219"/>
        <w:gridCol w:w="376"/>
        <w:gridCol w:w="173"/>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 Subject to Netting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 Subject to Netting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maintain cash margin accounts in connection with funding the settlement of open positions for exchange-traded commodity derivative instruments. Cash margin liability balances of less than $1 million at August 2, 2026 and August 3, 2025 were included in Accrued liabilities in the Consolidated Balance Sheets.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 of our derivative instruments designated as cash-flow hedges in other comprehensive income (loss) (OCI) and the Consolidated Statements of Earnings:</w:t>
      </w:r>
    </w:p>
    <w:tbl>
      <w:tblPr>
        <w:tblW w:w="10205" w:type="dxa"/>
        <w:jc w:val="left"/>
        <w:tblInd w:w="0" w:type="dxa"/>
        <w:tblLayout w:type="fixed"/>
        <w:tblCellMar>
          <w:top w:w="28" w:type="dxa"/>
          <w:left w:w="28" w:type="dxa"/>
          <w:bottom w:w="28" w:type="dxa"/>
          <w:right w:w="28" w:type="dxa"/>
        </w:tblCellMar>
      </w:tblPr>
      <w:tblGrid>
        <w:gridCol w:w="1815"/>
        <w:gridCol w:w="1590"/>
        <w:gridCol w:w="1605"/>
        <w:gridCol w:w="632"/>
        <w:gridCol w:w="632"/>
        <w:gridCol w:w="634"/>
        <w:gridCol w:w="109"/>
        <w:gridCol w:w="109"/>
        <w:gridCol w:w="109"/>
        <w:gridCol w:w="211"/>
        <w:gridCol w:w="435"/>
        <w:gridCol w:w="109"/>
        <w:gridCol w:w="109"/>
        <w:gridCol w:w="109"/>
        <w:gridCol w:w="109"/>
        <w:gridCol w:w="211"/>
        <w:gridCol w:w="435"/>
        <w:gridCol w:w="109"/>
        <w:gridCol w:w="109"/>
        <w:gridCol w:w="109"/>
        <w:gridCol w:w="109"/>
        <w:gridCol w:w="211"/>
        <w:gridCol w:w="435"/>
        <w:gridCol w:w="160"/>
      </w:tblGrid>
      <w:tr>
        <w:trPr/>
        <w:tc>
          <w:tcPr>
            <w:tcW w:w="181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Cash-flow Hedge</w:t>
              <w:br/>
              <w:t>OCI Activity</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derivative gain (loss) at beginning of year</w:t>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portion of changes in fair value recognized in OCI:</w:t>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starting interest rate swaps</w:t>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reclassified from OCI to earnings:</w:t>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Location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starting interest rate swaps</w:t>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derivative gain (loss) at end of year</w:t>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current valuations, the amount expected to be reclassified from OCI into earnings within the next 12 months is a gain of $2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78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total amounts of line items presented in the Consolidated Statements of Earnings in which the effects of derivative instruments designated as cash-flow and fair-value hedges are recorded and the total effect of hedge activity on these line items:</w:t>
      </w:r>
    </w:p>
    <w:tbl>
      <w:tblPr>
        <w:tblW w:w="10205" w:type="dxa"/>
        <w:jc w:val="left"/>
        <w:tblInd w:w="0" w:type="dxa"/>
        <w:tblLayout w:type="fixed"/>
        <w:tblCellMar>
          <w:top w:w="28" w:type="dxa"/>
          <w:left w:w="28" w:type="dxa"/>
          <w:bottom w:w="28" w:type="dxa"/>
          <w:right w:w="28" w:type="dxa"/>
        </w:tblCellMar>
      </w:tblPr>
      <w:tblGrid>
        <w:gridCol w:w="613"/>
        <w:gridCol w:w="538"/>
        <w:gridCol w:w="543"/>
        <w:gridCol w:w="109"/>
        <w:gridCol w:w="109"/>
        <w:gridCol w:w="109"/>
        <w:gridCol w:w="229"/>
        <w:gridCol w:w="687"/>
        <w:gridCol w:w="118"/>
        <w:gridCol w:w="109"/>
        <w:gridCol w:w="109"/>
        <w:gridCol w:w="109"/>
        <w:gridCol w:w="109"/>
        <w:gridCol w:w="109"/>
        <w:gridCol w:w="226"/>
        <w:gridCol w:w="515"/>
        <w:gridCol w:w="116"/>
        <w:gridCol w:w="109"/>
        <w:gridCol w:w="109"/>
        <w:gridCol w:w="109"/>
        <w:gridCol w:w="230"/>
        <w:gridCol w:w="673"/>
        <w:gridCol w:w="119"/>
        <w:gridCol w:w="109"/>
        <w:gridCol w:w="109"/>
        <w:gridCol w:w="109"/>
        <w:gridCol w:w="109"/>
        <w:gridCol w:w="109"/>
        <w:gridCol w:w="226"/>
        <w:gridCol w:w="500"/>
        <w:gridCol w:w="117"/>
        <w:gridCol w:w="109"/>
        <w:gridCol w:w="109"/>
        <w:gridCol w:w="109"/>
        <w:gridCol w:w="109"/>
        <w:gridCol w:w="109"/>
        <w:gridCol w:w="230"/>
        <w:gridCol w:w="673"/>
        <w:gridCol w:w="119"/>
        <w:gridCol w:w="109"/>
        <w:gridCol w:w="109"/>
        <w:gridCol w:w="109"/>
        <w:gridCol w:w="109"/>
        <w:gridCol w:w="109"/>
        <w:gridCol w:w="225"/>
        <w:gridCol w:w="499"/>
        <w:gridCol w:w="175"/>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27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2684" w:type="dxa"/>
            <w:gridSpan w:val="13"/>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7,002</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cash-flow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reclassified from OCI 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recognized on hedged item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on derivative recognized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excluded from effectiveness testing recognized in each line item of earnings using an amortization approach was not material in all periods presented.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location of the amounts recorded in the Consolidated Balance Sheets related to the cumulative fair value basis adjustments for fair-value hedges:</w:t>
      </w:r>
    </w:p>
    <w:tbl>
      <w:tblPr>
        <w:tblW w:w="10205" w:type="dxa"/>
        <w:jc w:val="left"/>
        <w:tblInd w:w="0" w:type="dxa"/>
        <w:tblLayout w:type="fixed"/>
        <w:tblCellMar>
          <w:top w:w="28" w:type="dxa"/>
          <w:left w:w="28" w:type="dxa"/>
          <w:bottom w:w="28" w:type="dxa"/>
          <w:right w:w="28" w:type="dxa"/>
        </w:tblCellMar>
      </w:tblPr>
      <w:tblGrid>
        <w:gridCol w:w="761"/>
        <w:gridCol w:w="668"/>
        <w:gridCol w:w="672"/>
        <w:gridCol w:w="109"/>
        <w:gridCol w:w="109"/>
        <w:gridCol w:w="109"/>
        <w:gridCol w:w="291"/>
        <w:gridCol w:w="663"/>
        <w:gridCol w:w="150"/>
        <w:gridCol w:w="150"/>
        <w:gridCol w:w="150"/>
        <w:gridCol w:w="150"/>
        <w:gridCol w:w="291"/>
        <w:gridCol w:w="560"/>
        <w:gridCol w:w="150"/>
        <w:gridCol w:w="109"/>
        <w:gridCol w:w="109"/>
        <w:gridCol w:w="109"/>
        <w:gridCol w:w="559"/>
        <w:gridCol w:w="1134"/>
        <w:gridCol w:w="288"/>
        <w:gridCol w:w="288"/>
        <w:gridCol w:w="288"/>
        <w:gridCol w:w="288"/>
        <w:gridCol w:w="559"/>
        <w:gridCol w:w="1076"/>
        <w:gridCol w:w="415"/>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Hedged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Amount of Fair-value Hedging Loss (Gain) Included in the Carrying Amount</w:t>
            </w:r>
          </w:p>
        </w:tc>
      </w:tr>
      <w:tr>
        <w:trPr/>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effects of our derivative instruments not designated as hedges in the Consolidated Statements of Earnings:</w:t>
      </w:r>
    </w:p>
    <w:tbl>
      <w:tblPr>
        <w:tblW w:w="8389" w:type="dxa"/>
        <w:jc w:val="left"/>
        <w:tblInd w:w="0" w:type="dxa"/>
        <w:tblLayout w:type="fixed"/>
        <w:tblCellMar>
          <w:top w:w="28" w:type="dxa"/>
          <w:left w:w="28" w:type="dxa"/>
          <w:bottom w:w="28" w:type="dxa"/>
          <w:right w:w="28" w:type="dxa"/>
        </w:tblCellMar>
      </w:tblPr>
      <w:tblGrid>
        <w:gridCol w:w="1004"/>
        <w:gridCol w:w="880"/>
        <w:gridCol w:w="890"/>
        <w:gridCol w:w="109"/>
        <w:gridCol w:w="109"/>
        <w:gridCol w:w="109"/>
        <w:gridCol w:w="699"/>
        <w:gridCol w:w="699"/>
        <w:gridCol w:w="701"/>
        <w:gridCol w:w="109"/>
        <w:gridCol w:w="109"/>
        <w:gridCol w:w="109"/>
        <w:gridCol w:w="211"/>
        <w:gridCol w:w="436"/>
        <w:gridCol w:w="109"/>
        <w:gridCol w:w="109"/>
        <w:gridCol w:w="109"/>
        <w:gridCol w:w="109"/>
        <w:gridCol w:w="211"/>
        <w:gridCol w:w="436"/>
        <w:gridCol w:w="109"/>
        <w:gridCol w:w="109"/>
        <w:gridCol w:w="109"/>
        <w:gridCol w:w="109"/>
        <w:gridCol w:w="211"/>
        <w:gridCol w:w="33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106" w:type="dxa"/>
            <w:gridSpan w:val="12"/>
            <w:tcBorders/>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23"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23"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Loss (Gain)</w:t>
              <w:br/>
              <w:t>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 xml:space="preserve">16. Fair Value Measurements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categorize financial assets and liabilities based on the following fair value hierarchy:</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Level 1: Observable inputs that reflect quoted prices (unadjusted) for identical assets or liabilities in active markets.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Level 2: Inputs other than quoted prices included in Level 1 that are observable for the asset or liability through corroboration with observable market data.</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Level 3: Unobservable inputs, which are valued based on our estimates of assumptions that market participants would use in pricing the asset or liability.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79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assets and liabilities that are measured at fair value on a recurring basis consistent with the fair value hierarchy:</w:t>
      </w:r>
    </w:p>
    <w:tbl>
      <w:tblPr>
        <w:tblW w:w="10205" w:type="dxa"/>
        <w:jc w:val="left"/>
        <w:tblInd w:w="0" w:type="dxa"/>
        <w:tblLayout w:type="fixed"/>
        <w:tblCellMar>
          <w:top w:w="28" w:type="dxa"/>
          <w:left w:w="28" w:type="dxa"/>
          <w:bottom w:w="28" w:type="dxa"/>
          <w:right w:w="28" w:type="dxa"/>
        </w:tblCellMar>
      </w:tblPr>
      <w:tblGrid>
        <w:gridCol w:w="870"/>
        <w:gridCol w:w="532"/>
        <w:gridCol w:w="537"/>
        <w:gridCol w:w="251"/>
        <w:gridCol w:w="448"/>
        <w:gridCol w:w="130"/>
        <w:gridCol w:w="109"/>
        <w:gridCol w:w="109"/>
        <w:gridCol w:w="109"/>
        <w:gridCol w:w="211"/>
        <w:gridCol w:w="406"/>
        <w:gridCol w:w="109"/>
        <w:gridCol w:w="109"/>
        <w:gridCol w:w="109"/>
        <w:gridCol w:w="109"/>
        <w:gridCol w:w="211"/>
        <w:gridCol w:w="376"/>
        <w:gridCol w:w="109"/>
        <w:gridCol w:w="109"/>
        <w:gridCol w:w="109"/>
        <w:gridCol w:w="109"/>
        <w:gridCol w:w="211"/>
        <w:gridCol w:w="406"/>
        <w:gridCol w:w="109"/>
        <w:gridCol w:w="109"/>
        <w:gridCol w:w="109"/>
        <w:gridCol w:w="109"/>
        <w:gridCol w:w="253"/>
        <w:gridCol w:w="434"/>
        <w:gridCol w:w="131"/>
        <w:gridCol w:w="109"/>
        <w:gridCol w:w="109"/>
        <w:gridCol w:w="109"/>
        <w:gridCol w:w="211"/>
        <w:gridCol w:w="406"/>
        <w:gridCol w:w="109"/>
        <w:gridCol w:w="109"/>
        <w:gridCol w:w="109"/>
        <w:gridCol w:w="109"/>
        <w:gridCol w:w="211"/>
        <w:gridCol w:w="361"/>
        <w:gridCol w:w="109"/>
        <w:gridCol w:w="109"/>
        <w:gridCol w:w="109"/>
        <w:gridCol w:w="109"/>
        <w:gridCol w:w="211"/>
        <w:gridCol w:w="406"/>
        <w:gridCol w:w="158"/>
      </w:tblGrid>
      <w:tr>
        <w:trPr/>
        <w:tc>
          <w:tcPr>
            <w:tcW w:w="87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as of</w:t>
              <w:br/>
              <w:t>August 2,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w:t>
              <w:br/>
              <w:t>August 2, 2026 Using</w:t>
              <w:b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as of</w:t>
              <w:br/>
              <w:t>August 3,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w:t>
              <w:br/>
              <w:t>August 3, 2025 Using</w:t>
              <w:br/>
              <w:t>Fair Value Hierarchy</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rFonts w:ascii="Times New Roman;serif" w:hAnsi="Times New Roman;serif"/>
                <w:b w:val="false"/>
                <w:color w:val="000000"/>
                <w:sz w:val="13"/>
              </w:rPr>
              <w:t>(1)</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Commodity derivative contracts</w:t>
            </w:r>
            <w:r>
              <w:rPr>
                <w:rFonts w:ascii="Times New Roman;serif" w:hAnsi="Times New Roman;serif"/>
                <w:b w:val="false"/>
                <w:color w:val="000000"/>
                <w:sz w:val="13"/>
              </w:rPr>
              <w:t>(2)</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 derivative contracts</w:t>
            </w:r>
            <w:r>
              <w:rPr>
                <w:rFonts w:ascii="Times New Roman;serif" w:hAnsi="Times New Roman;serif"/>
                <w:b w:val="false"/>
                <w:color w:val="000000"/>
                <w:sz w:val="13"/>
              </w:rPr>
              <w:t>(3)</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 investments</w:t>
            </w:r>
            <w:r>
              <w:rPr>
                <w:rFonts w:ascii="Times New Roman;serif" w:hAnsi="Times New Roman;serif"/>
                <w:b w:val="false"/>
                <w:color w:val="000000"/>
                <w:sz w:val="13"/>
              </w:rPr>
              <w:t>(4)</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99"/>
        <w:gridCol w:w="348"/>
        <w:gridCol w:w="352"/>
        <w:gridCol w:w="215"/>
        <w:gridCol w:w="492"/>
        <w:gridCol w:w="111"/>
        <w:gridCol w:w="109"/>
        <w:gridCol w:w="109"/>
        <w:gridCol w:w="109"/>
        <w:gridCol w:w="211"/>
        <w:gridCol w:w="481"/>
        <w:gridCol w:w="109"/>
        <w:gridCol w:w="109"/>
        <w:gridCol w:w="109"/>
        <w:gridCol w:w="109"/>
        <w:gridCol w:w="211"/>
        <w:gridCol w:w="406"/>
        <w:gridCol w:w="109"/>
        <w:gridCol w:w="109"/>
        <w:gridCol w:w="109"/>
        <w:gridCol w:w="109"/>
        <w:gridCol w:w="211"/>
        <w:gridCol w:w="406"/>
        <w:gridCol w:w="109"/>
        <w:gridCol w:w="109"/>
        <w:gridCol w:w="109"/>
        <w:gridCol w:w="109"/>
        <w:gridCol w:w="216"/>
        <w:gridCol w:w="477"/>
        <w:gridCol w:w="111"/>
        <w:gridCol w:w="109"/>
        <w:gridCol w:w="109"/>
        <w:gridCol w:w="109"/>
        <w:gridCol w:w="211"/>
        <w:gridCol w:w="466"/>
        <w:gridCol w:w="109"/>
        <w:gridCol w:w="109"/>
        <w:gridCol w:w="109"/>
        <w:gridCol w:w="109"/>
        <w:gridCol w:w="211"/>
        <w:gridCol w:w="361"/>
        <w:gridCol w:w="109"/>
        <w:gridCol w:w="109"/>
        <w:gridCol w:w="109"/>
        <w:gridCol w:w="109"/>
        <w:gridCol w:w="211"/>
        <w:gridCol w:w="406"/>
        <w:gridCol w:w="158"/>
      </w:tblGrid>
      <w:tr>
        <w:trPr/>
        <w:tc>
          <w:tcPr>
            <w:tcW w:w="10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as of</w:t>
              <w:br/>
              <w:t>August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w:t>
              <w:br/>
              <w:t>August 2, 2026 Using</w:t>
              <w:b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br/>
              <w:t>as of</w:t>
              <w:br/>
              <w:t>August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w:t>
              <w:br/>
              <w:t>August 3, 2025 Using</w:t>
              <w:br/>
              <w:t>Fair Value Hierarchy</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rFonts w:ascii="Times New Roman;serif" w:hAnsi="Times New Roman;serif"/>
                <w:b w:val="false"/>
                <w:color w:val="000000"/>
                <w:sz w:val="13"/>
              </w:rPr>
              <w:t>(1)</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Commodity derivative contracts</w:t>
            </w:r>
            <w:r>
              <w:rPr>
                <w:rFonts w:ascii="Times New Roman;serif" w:hAnsi="Times New Roman;serif"/>
                <w:b w:val="false"/>
                <w:color w:val="000000"/>
                <w:sz w:val="13"/>
              </w:rPr>
              <w:t>(2)</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 obligation</w:t>
            </w:r>
            <w:r>
              <w:rPr>
                <w:rFonts w:ascii="Times New Roman;serif" w:hAnsi="Times New Roman;serif"/>
                <w:b w:val="false"/>
                <w:color w:val="000000"/>
                <w:sz w:val="13"/>
              </w:rPr>
              <w:t>(4)</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Fixed-to-floating interest rate swaps</w:t>
            </w:r>
            <w:r>
              <w:rPr>
                <w:rFonts w:ascii="Times New Roman;serif" w:hAnsi="Times New Roman;serif"/>
                <w:b w:val="false"/>
                <w:color w:val="000000"/>
                <w:sz w:val="13"/>
              </w:rPr>
              <w:t>(5)</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contingent consideration</w:t>
            </w:r>
            <w:r>
              <w:rPr>
                <w:rFonts w:ascii="Times New Roman;serif" w:hAnsi="Times New Roman;serif"/>
                <w:b w:val="false"/>
                <w:color w:val="000000"/>
                <w:sz w:val="13"/>
              </w:rPr>
              <w:t>(6)</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Based on observable market transactions of spot currency rates and forward rates. </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Based on observable equity and fixed income index swap rates.</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Based on the fair value of the participants’ investments.</w:t>
      </w:r>
    </w:p>
    <w:p>
      <w:pPr>
        <w:pStyle w:val="TextBody"/>
        <w:bidi w:val="0"/>
        <w:spacing w:lineRule="auto" w:line="28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Based on observable SOFR swap rates.</w:t>
      </w:r>
    </w:p>
    <w:p>
      <w:pPr>
        <w:pStyle w:val="TextBody"/>
        <w:bidi w:val="0"/>
        <w:spacing w:lineRule="auto" w:line="288" w:before="0" w:after="100"/>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Determined using a probability-weighted discounted cash flow analysis, based on the estimated timing of cash flows, probability of the amount of contingent consideration and using an appropriate discount rate. See Note 3 for additional information on the acquisition of La Regina.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80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Level 3 assets and liabilities related to commodity derivative contracts:</w:t>
      </w:r>
    </w:p>
    <w:tbl>
      <w:tblPr>
        <w:tblW w:w="4610" w:type="dxa"/>
        <w:jc w:val="left"/>
        <w:tblInd w:w="0" w:type="dxa"/>
        <w:tblLayout w:type="fixed"/>
        <w:tblCellMar>
          <w:top w:w="28" w:type="dxa"/>
          <w:left w:w="28" w:type="dxa"/>
          <w:bottom w:w="28" w:type="dxa"/>
          <w:right w:w="28" w:type="dxa"/>
        </w:tblCellMar>
      </w:tblPr>
      <w:tblGrid>
        <w:gridCol w:w="945"/>
        <w:gridCol w:w="828"/>
        <w:gridCol w:w="836"/>
        <w:gridCol w:w="109"/>
        <w:gridCol w:w="109"/>
        <w:gridCol w:w="109"/>
        <w:gridCol w:w="211"/>
        <w:gridCol w:w="331"/>
        <w:gridCol w:w="109"/>
        <w:gridCol w:w="109"/>
        <w:gridCol w:w="109"/>
        <w:gridCol w:w="109"/>
        <w:gridCol w:w="211"/>
        <w:gridCol w:w="331"/>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Items Measured at Fair Value on a Nonrecurring Basis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assets and liabilities that are measured at fair value on a recurring basis, we are also required to measure certain items at fair value on a nonrecurring basis.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2026, we recognized an impairment charge of $23 million on plant assets associated with the cost savings initiatives to optimize our supply chain and manufacturing network described in Note 9. The carrying value was reduced to estimated fair value based on expected proceeds. The carrying value was not material.</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In the second and third quarters of 2025, we performed interim impairment assessments on certain trademarks in our Snacks segment. In the fourth quarter of 2026, as part of our annual impairment assessment, we recognized impairment charges on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Cape Cod </w:t>
      </w:r>
      <w:r>
        <w:rPr>
          <w:rFonts w:ascii="Times New Roman;serif" w:hAnsi="Times New Roman;serif"/>
          <w:b w:val="false"/>
          <w:color w:val="000000"/>
          <w:sz w:val="20"/>
        </w:rPr>
        <w:t>trademarks in our Snacks segment. See also Note 7 for additional information on the impairment charges.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was determined based on unobservable Level 3 inputs. The fair value of trademarks was determined based on discounted cash flow analysis that involves significant management assumptions such as expected revenue growth rates, assumed royalty rates and weighted-average costs of capital.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fair value measurements of the trademarks:</w:t>
      </w:r>
    </w:p>
    <w:tbl>
      <w:tblPr>
        <w:tblW w:w="10205" w:type="dxa"/>
        <w:jc w:val="left"/>
        <w:tblInd w:w="0" w:type="dxa"/>
        <w:tblLayout w:type="fixed"/>
        <w:tblCellMar>
          <w:top w:w="28" w:type="dxa"/>
          <w:left w:w="28" w:type="dxa"/>
          <w:bottom w:w="28" w:type="dxa"/>
          <w:right w:w="28" w:type="dxa"/>
        </w:tblCellMar>
      </w:tblPr>
      <w:tblGrid>
        <w:gridCol w:w="450"/>
        <w:gridCol w:w="353"/>
        <w:gridCol w:w="355"/>
        <w:gridCol w:w="109"/>
        <w:gridCol w:w="109"/>
        <w:gridCol w:w="109"/>
        <w:gridCol w:w="109"/>
        <w:gridCol w:w="109"/>
        <w:gridCol w:w="353"/>
        <w:gridCol w:w="630"/>
        <w:gridCol w:w="183"/>
        <w:gridCol w:w="109"/>
        <w:gridCol w:w="109"/>
        <w:gridCol w:w="109"/>
        <w:gridCol w:w="218"/>
        <w:gridCol w:w="499"/>
        <w:gridCol w:w="112"/>
        <w:gridCol w:w="109"/>
        <w:gridCol w:w="109"/>
        <w:gridCol w:w="109"/>
        <w:gridCol w:w="312"/>
        <w:gridCol w:w="691"/>
        <w:gridCol w:w="163"/>
        <w:gridCol w:w="109"/>
        <w:gridCol w:w="109"/>
        <w:gridCol w:w="109"/>
        <w:gridCol w:w="109"/>
        <w:gridCol w:w="109"/>
        <w:gridCol w:w="117"/>
        <w:gridCol w:w="117"/>
        <w:gridCol w:w="227"/>
        <w:gridCol w:w="503"/>
        <w:gridCol w:w="117"/>
        <w:gridCol w:w="109"/>
        <w:gridCol w:w="109"/>
        <w:gridCol w:w="109"/>
        <w:gridCol w:w="360"/>
        <w:gridCol w:w="618"/>
        <w:gridCol w:w="188"/>
        <w:gridCol w:w="109"/>
        <w:gridCol w:w="109"/>
        <w:gridCol w:w="109"/>
        <w:gridCol w:w="233"/>
        <w:gridCol w:w="399"/>
        <w:gridCol w:w="120"/>
        <w:gridCol w:w="109"/>
        <w:gridCol w:w="109"/>
        <w:gridCol w:w="109"/>
        <w:gridCol w:w="162"/>
      </w:tblGrid>
      <w:tr>
        <w:trPr/>
        <w:tc>
          <w:tcPr>
            <w:tcW w:w="4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568" w:type="dxa"/>
            <w:gridSpan w:val="10"/>
            <w:tcBorders/>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Kettle Brand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Cape Cod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Snyder's of Hanover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Late July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Allied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accounts receivable and accounts payable approximate fair value. Cash equivalents represent fair value as these highly liquid investments have an original maturity of three months or less. There were $10 million of cash equivalents with fair value based on Level 2 inputs at August 2, 2026. There were no cash equivalents with fair value based on Level 2 inputs at August 3, 2025.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short- and long-term debt was $6.566 billion at August 2, 2026, and $6.545 billion at August 3, 2025. The carrying value was $7.137 billion at August 2, 2026, and $6.857 billion at August 3, 2025. The fair value of long-term debt is principally estimated using Level 2 inputs based on quoted market prices or pricing models using current market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pPr>
      <w:r>
        <w:rPr>
          <w:rFonts w:ascii="Times New Roman;serif" w:hAnsi="Times New Roman;serif"/>
          <w:b/>
          <w:color w:val="000000"/>
          <w:sz w:val="20"/>
        </w:rPr>
        <w:t>17.</w:t>
      </w:r>
      <w:r>
        <w:rPr>
          <w:color w:val="000000"/>
        </w:rPr>
        <w:t xml:space="preserve"> </w:t>
      </w:r>
      <w:r>
        <w:rPr>
          <w:rFonts w:ascii="Times New Roman;serif" w:hAnsi="Times New Roman;serif"/>
          <w:b/>
          <w:color w:val="000000"/>
          <w:sz w:val="20"/>
        </w:rPr>
        <w:t>Shareholders' Equity</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authorized 560 million shares of Capital stock with $.0375 par value and 40 million shares of Preferred stock, issuable in one or more classes, with or without par as may be authorized by the Board of Directors. No Preferred stock has been issued.</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2024, the Board authorized a new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81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dilutive share repurchase program of up to $250 million that was approved by the Board in June 2021 and has been terminated.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2026, 2025, and 2024 we repurchased 805 thousand shares at a cost of $26 million, 1.303 million shares at a cost of $62 million and 1.56 million shares at a cost of $67 million, respectively, pursuant to our anti-dilutive share repurchase program. As of August 2, 2026, approximately $172 million remained available under the September 2024 program and approximately $301 million remained under the September 2021 program. We have not repurchased shares under either program since January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2005, shareholders approved the 2005 Long-Term Incentive Plan, which authorized the issuance of 6 million shares to satisfy awards of stock options, stock appreciation rights, unrestricted stock, restricted stock/units (including performance restricted stock) and performance units.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 In 2022, shareholders approved the 2022 Long-Term Incentive Plan, which authorized the issuance of 12 million shares to satisfy awards of stock options, stock appreciation rights, unrestricted stock, restricted stock/units (including performance restricted stock) and performance units. The 2022 Long-Term Incentive Plan replaced the 2015 Long-Term Incentive Plan and no new awards can be granted under the 2015 Long-Term Incentive Plan and none of the shares that remain available under the 2015 Long-Term Incentive Plan are available for issuance under the 2022 Long-Term Incentive Plan.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performance restricted stock units subject to a relative TSR modifier, time-lapse restricted stock/units, strategic performance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after the relevant three-year performance period, a recipient of TSR performance restricted stock/units may earn a total award ranging from 0% to 200% of the initial grant. Awards of EPS performance restricted stock/units granted beginning in 2022 will be earned upon the achievement of our adjusted EPS compound annual growth rate goal (EPS CAGR performance restricted stock/units), measured over a three-year period. A recipient of EPS CAGR performance restricted stock/units may earn a total award ranging from 0% to 200% of the initial grant. Awards of EPS performance restricted stock/units granted prior to 2022 were earned based upon our achievement of annual earnings per share goals and vested over the relevant three-year period. During the three-year vesting period, a recipient of EPS performance restricted stock/units earned a total award of either 0% or 100% of the initial grant. Awards of performance restricted stock units subject to a relative TSR modifier will be earned upon the achievement of our annual EPS and organic net sales growth rate goals during a three-year period subject to a relative TSR modifier. The number of units earned based upon the achievement of each growth rate goal may be further increased or reduced based upon our TSR ranking during a three-year period compared to the respective TSR of companies in a performance peer group. A recipient of performance restricted stock units subject to a relative TSR modifier may earn a total award ranging from 0% to 250%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were earned based upon the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vested at the end of the three years. A recipient of FCF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options are granted on a selective basis under the Long-Term Incentive Plans. The term of a stock option granted under these plans may not exceed ten years from the date of grant. The option price may not be less than the fair market value of a share of common stock on the date of the grant. Options granted under these plans generally vest ratably over a three-year period. In 2019, we also granted certain options that vest at the end of a three-year period. We last issued stock options in 2019.</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2026, we issued time-lapse restricted stock units, unrestricted stock, and performance restricted stock units subject to a relative TSR modifier. We last issued TSR performance restricted stock units and EPS CAGR performance restricted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82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units in 2025, FCF performance restricted stock units in 2019, EPS performance restricted stock units in 2018, strategic performance restricted stock units in 2014 and special performance restricted units in 2015.</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Sovos Brands acquisition, in the third quarter of 2024, we issued 1.721 million time-lapse restricted stock units (Replacement units) in exchange for certain Sovos Brands restricted stock units and performance restricted stock units. The Replacement units were subject to the same terms and conditions of the original Sovos Brands restricted stock units and performance restricted stock units. Certain Replacement units were subject to accelerated vesting. The Replacement units have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in the third quarter of 2024. See Note 3 for additional information. The portion of the Replacement units attributable to post-combination service were recognized as stock-based compensation expense over the remaining vesting period.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stock-based compensation expense, we estimate forfeitures expected to occur. Total pre-tax stock-based compensation expense and tax-related benefits recognized in the Consolidated Statements of Earnings were as follows:</w:t>
      </w:r>
    </w:p>
    <w:tbl>
      <w:tblPr>
        <w:tblW w:w="6987" w:type="dxa"/>
        <w:jc w:val="left"/>
        <w:tblInd w:w="0" w:type="dxa"/>
        <w:tblLayout w:type="fixed"/>
        <w:tblCellMar>
          <w:top w:w="28" w:type="dxa"/>
          <w:left w:w="28" w:type="dxa"/>
          <w:bottom w:w="28" w:type="dxa"/>
          <w:right w:w="28" w:type="dxa"/>
        </w:tblCellMar>
      </w:tblPr>
      <w:tblGrid>
        <w:gridCol w:w="1530"/>
        <w:gridCol w:w="1345"/>
        <w:gridCol w:w="1355"/>
        <w:gridCol w:w="211"/>
        <w:gridCol w:w="376"/>
        <w:gridCol w:w="109"/>
        <w:gridCol w:w="109"/>
        <w:gridCol w:w="109"/>
        <w:gridCol w:w="109"/>
        <w:gridCol w:w="211"/>
        <w:gridCol w:w="361"/>
        <w:gridCol w:w="109"/>
        <w:gridCol w:w="109"/>
        <w:gridCol w:w="109"/>
        <w:gridCol w:w="109"/>
        <w:gridCol w:w="211"/>
        <w:gridCol w:w="361"/>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pre-tax stock-based compensation expense</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Tax-related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10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$26 million of expense related to accelerated vesting of certain Replacement units in 2024.</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w:t>
      </w:r>
    </w:p>
    <w:tbl>
      <w:tblPr>
        <w:tblW w:w="7574" w:type="dxa"/>
        <w:jc w:val="left"/>
        <w:tblInd w:w="0" w:type="dxa"/>
        <w:tblLayout w:type="fixed"/>
        <w:tblCellMar>
          <w:top w:w="28" w:type="dxa"/>
          <w:left w:w="28" w:type="dxa"/>
          <w:bottom w:w="28" w:type="dxa"/>
          <w:right w:w="28" w:type="dxa"/>
        </w:tblCellMar>
      </w:tblPr>
      <w:tblGrid>
        <w:gridCol w:w="946"/>
        <w:gridCol w:w="830"/>
        <w:gridCol w:w="834"/>
        <w:gridCol w:w="378"/>
        <w:gridCol w:w="378"/>
        <w:gridCol w:w="384"/>
        <w:gridCol w:w="109"/>
        <w:gridCol w:w="109"/>
        <w:gridCol w:w="109"/>
        <w:gridCol w:w="211"/>
        <w:gridCol w:w="616"/>
        <w:gridCol w:w="109"/>
        <w:gridCol w:w="109"/>
        <w:gridCol w:w="109"/>
        <w:gridCol w:w="109"/>
        <w:gridCol w:w="330"/>
        <w:gridCol w:w="330"/>
        <w:gridCol w:w="331"/>
        <w:gridCol w:w="109"/>
        <w:gridCol w:w="109"/>
        <w:gridCol w:w="109"/>
        <w:gridCol w:w="250"/>
        <w:gridCol w:w="482"/>
        <w:gridCol w:w="18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August 3,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August 2, 2026</w:t>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August 2, 2026</w:t>
            </w:r>
          </w:p>
        </w:tc>
        <w:tc>
          <w:tcPr>
            <w:tcW w:w="75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2024 was $1 million. We measured the fair value of stock options using the Black-Scholes option pricing model.</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expensed stock options on a straight-line basis over the vesting period, except for awards issued to retirement eligible participants, which we expensed on an accelerated basis. As of January 2022, compensation related to stock options was fully expensed.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83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time-lapse restricted stock units and EPS CAGR performance restricted stock units activity:</w:t>
      </w:r>
    </w:p>
    <w:tbl>
      <w:tblPr>
        <w:tblW w:w="4947" w:type="dxa"/>
        <w:jc w:val="left"/>
        <w:tblInd w:w="0" w:type="dxa"/>
        <w:tblLayout w:type="fixed"/>
        <w:tblCellMar>
          <w:top w:w="28" w:type="dxa"/>
          <w:left w:w="28" w:type="dxa"/>
          <w:bottom w:w="28" w:type="dxa"/>
          <w:right w:w="28" w:type="dxa"/>
        </w:tblCellMar>
      </w:tblPr>
      <w:tblGrid>
        <w:gridCol w:w="896"/>
        <w:gridCol w:w="787"/>
        <w:gridCol w:w="792"/>
        <w:gridCol w:w="378"/>
        <w:gridCol w:w="378"/>
        <w:gridCol w:w="383"/>
        <w:gridCol w:w="109"/>
        <w:gridCol w:w="109"/>
        <w:gridCol w:w="109"/>
        <w:gridCol w:w="216"/>
        <w:gridCol w:w="631"/>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Grant-Date</w:t>
              <w:br/>
              <w:t>Fair Value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August 3,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August 2, 2026</w:t>
            </w:r>
          </w:p>
        </w:tc>
        <w:tc>
          <w:tcPr>
            <w:tcW w:w="7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 the fair value of time-lapse restricted stock units and EPS CAGR performance restricted stock units based on the quoted price of our stock at the date of grant. We expense time-lapse restricted stock units and EPS CAGR performance restricted stock units on a straight-line basis over the vesting period, except for awards issued to retirement-eligible participants and certain Replacement units, which we expense on an accelerated basis. There were 514 thousand EPS CAGR performance target grants outstanding at August 2, 2026, with a weighted-average grant-date fair value of $44.28. The actual number of EPS CAGR performance restricted stock units that vest will depend on actual performance achieved. We estimate expense based on the number of awards expected to vest. In connection with the Sovos Brands acquisition, in 2024, our adjusted EPS compound annual growth rate goals for the EPS CAGR performance restricted stock units granted in 2024 and 2023 were revised to equitably adjust for the impact of completed acquisitions and divestitures that were not contemplated at the time of approval of the original targets. In connection with the divestiture of our Pop Secret popcorn business, in the first quarter of 2025, our adjusted EPS compound annual growth rate goals for the EPS performance restricted stock units granted in 2024 and 2023 were similarly revised. In connection with the divestiture of our noosa yoghurt business in the third quarter of 2025, our adjusted EPS compound annual growth rate goals for the EPS performance restricted stock units granted in 2025, 2024, and 2023 were again similarly revised.</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2, 2026, total remaining unearned compensation related to nonvested time-lapse restricted stock units and EPS CAGR performance restricted units was $42 million, which will be amortized over the weighted-average remaining service period of 1.8 years. In the first quarter of 2026, recipients of the EPS CAGR performance restricted stock units earned 48% of the initial grants based upon performance achieved during a three-year period ended August 3, 2025. In the first quarter of 2025, recipients of EPS CAGR performance restricted stock units earned 100% of the initial grants based upon performance achieved during a three-year period ended July 28, 2024. The fair value of restricted stock units and EPS CAGR performance restricted stock units vested during 2026, 2025 and 2024 was $36 million, $69 million and $97 million, respectively. The weighted-average grant-date fair value of the restricted stock units and EPS CAGR performance restricted stock units granted during 2025 and 2024 was $47.37 and $41.57, respectively. In the first quarter of 2027, recipients of EPS CAGR performance restricted stock units will receive a 0% payout based upon performance achieved during a three-year period ended August 2, 2026.</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restricted stock units subject to a TSR modifier and TSR performance restricted stock units activity:</w:t>
      </w:r>
    </w:p>
    <w:tbl>
      <w:tblPr>
        <w:tblW w:w="4947" w:type="dxa"/>
        <w:jc w:val="left"/>
        <w:tblInd w:w="0" w:type="dxa"/>
        <w:tblLayout w:type="fixed"/>
        <w:tblCellMar>
          <w:top w:w="28" w:type="dxa"/>
          <w:left w:w="28" w:type="dxa"/>
          <w:bottom w:w="28" w:type="dxa"/>
          <w:right w:w="28" w:type="dxa"/>
        </w:tblCellMar>
      </w:tblPr>
      <w:tblGrid>
        <w:gridCol w:w="896"/>
        <w:gridCol w:w="787"/>
        <w:gridCol w:w="792"/>
        <w:gridCol w:w="378"/>
        <w:gridCol w:w="378"/>
        <w:gridCol w:w="383"/>
        <w:gridCol w:w="109"/>
        <w:gridCol w:w="109"/>
        <w:gridCol w:w="109"/>
        <w:gridCol w:w="216"/>
        <w:gridCol w:w="631"/>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Grant-Date</w:t>
              <w:br/>
              <w:t>Fair Value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August 3,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August 2, 2026</w:t>
            </w:r>
          </w:p>
        </w:tc>
        <w:tc>
          <w:tcPr>
            <w:tcW w:w="7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estimated the fair value of performance restricted stock units subject to a TSR modifier and TSR performance restricted stock units at the grant date using a Monte Carlo simulation. Weighted-average assumptions used in the Monte Carlo simulation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84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tbl>
      <w:tblPr>
        <w:tblW w:w="5060" w:type="dxa"/>
        <w:jc w:val="left"/>
        <w:tblInd w:w="0" w:type="dxa"/>
        <w:tblLayout w:type="fixed"/>
        <w:tblCellMar>
          <w:top w:w="28" w:type="dxa"/>
          <w:left w:w="28" w:type="dxa"/>
          <w:bottom w:w="28" w:type="dxa"/>
          <w:right w:w="28" w:type="dxa"/>
        </w:tblCellMar>
      </w:tblPr>
      <w:tblGrid>
        <w:gridCol w:w="771"/>
        <w:gridCol w:w="677"/>
        <w:gridCol w:w="681"/>
        <w:gridCol w:w="254"/>
        <w:gridCol w:w="254"/>
        <w:gridCol w:w="256"/>
        <w:gridCol w:w="109"/>
        <w:gridCol w:w="109"/>
        <w:gridCol w:w="109"/>
        <w:gridCol w:w="244"/>
        <w:gridCol w:w="244"/>
        <w:gridCol w:w="246"/>
        <w:gridCol w:w="109"/>
        <w:gridCol w:w="109"/>
        <w:gridCol w:w="109"/>
        <w:gridCol w:w="227"/>
        <w:gridCol w:w="227"/>
        <w:gridCol w:w="325"/>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4.84%</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22.16%</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 performance restricted stock units subject to a TSR modifier and TSR performance restricted stock units on a straight-line basis over the service period, except for awards issued to retirement eligible participants, which we expense on an accelerated basis. As of August 2, 2026, total remaining unearned compensation related to performance restricted stock units subject to a TSR modifier and TSR performance restricted stock units was $8 million, which will be amortized over the weighted-average remaining service period of 1.7 years. In the first quarter of 2026, recipients of TSR performance restricted stock units earned 50% of the initial grants based upon our TSR ranking in a performance peer group during a three-year period ended August 1, 2025.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In the first quarter of 2024, recipients of TSR performance restricted stock units earned 75% of the initial grants based upon our TSR ranking in a performance peer group during a three-year period ended July 28, 2023. The fair value of TSR performance restricted stock units vested during 2026, 2025, and 2024 was $4 million, $23 million and $12 million, respectively. The weighted-average grant-date fair value of the TSR performance restricted stock units granted during 2025 and 2024 was $45.23 and $44.18, respectively. In the first quarter of 2027, recipients of TSR performance restricted stock units will receive a 0% payout based upon our TSR ranking in a performance peer group during a three-year period ended July 31, 2026.</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benefits on the exercise of stock options in 2024 was not material. Cash received from the exercise of stock options was $2 million for 2024, and is reflected in cash flows from financing activities in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19. Commitments and Contingencies</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Regulatory and Litigation Matters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litigation proceedings are ongoing.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August 2, 2026.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85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guarantee approximately 4,600 bank loans made to independent contractor distributors by third-party financial institutions for the purchase of distribution routes. The maximum potential amount of the future payments under existing guarantees we could be required to make is $598 million as of August 2, 2026. Our guarantees are indirectly secured by the distribution routes. We do not expect that we will be required to make material guarantee payments as a result of defaults on the bank loans guaranteed. The amounts recognized as of August 2, 2026, and August 3, 2025, were not material.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provided certain indemnifications in connection with divestitures, contracts and other transactions. Certain indemnifications have finite expiration dates. Liabilities recognized based on known exposures related to such matters were not material at August 2, 2026, and August 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20. Supplier Finance Program Obligations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The rollforwards of our outstanding obligations confirmed as valid under our supplier finance program, which are included in Accounts payable on the Consolidated Balance Sheets, for the years ended August 2, 2026 and August 3, 2025 are as follows:</w:t>
      </w:r>
    </w:p>
    <w:tbl>
      <w:tblPr>
        <w:tblW w:w="6936" w:type="dxa"/>
        <w:jc w:val="left"/>
        <w:tblInd w:w="0" w:type="dxa"/>
        <w:tblLayout w:type="fixed"/>
        <w:tblCellMar>
          <w:top w:w="28" w:type="dxa"/>
          <w:left w:w="28" w:type="dxa"/>
          <w:bottom w:w="28" w:type="dxa"/>
          <w:right w:w="28" w:type="dxa"/>
        </w:tblCellMar>
      </w:tblPr>
      <w:tblGrid>
        <w:gridCol w:w="1794"/>
        <w:gridCol w:w="1576"/>
        <w:gridCol w:w="1594"/>
        <w:gridCol w:w="211"/>
        <w:gridCol w:w="481"/>
        <w:gridCol w:w="109"/>
        <w:gridCol w:w="109"/>
        <w:gridCol w:w="109"/>
        <w:gridCol w:w="109"/>
        <w:gridCol w:w="215"/>
        <w:gridCol w:w="475"/>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beginning of the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year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invoices paid during the year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end of the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21. Supplemental Financial Statement Data</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Balance Sheets</w:t>
      </w:r>
    </w:p>
    <w:tbl>
      <w:tblPr>
        <w:tblW w:w="4508" w:type="dxa"/>
        <w:jc w:val="left"/>
        <w:tblInd w:w="0" w:type="dxa"/>
        <w:tblLayout w:type="fixed"/>
        <w:tblCellMar>
          <w:top w:w="28" w:type="dxa"/>
          <w:left w:w="28" w:type="dxa"/>
          <w:bottom w:w="28" w:type="dxa"/>
          <w:right w:w="28" w:type="dxa"/>
        </w:tblCellMar>
      </w:tblPr>
      <w:tblGrid>
        <w:gridCol w:w="923"/>
        <w:gridCol w:w="809"/>
        <w:gridCol w:w="817"/>
        <w:gridCol w:w="211"/>
        <w:gridCol w:w="481"/>
        <w:gridCol w:w="109"/>
        <w:gridCol w:w="109"/>
        <w:gridCol w:w="109"/>
        <w:gridCol w:w="109"/>
        <w:gridCol w:w="211"/>
        <w:gridCol w:w="46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5514" w:type="dxa"/>
        <w:jc w:val="left"/>
        <w:tblInd w:w="0" w:type="dxa"/>
        <w:tblLayout w:type="fixed"/>
        <w:tblCellMar>
          <w:top w:w="28" w:type="dxa"/>
          <w:left w:w="28" w:type="dxa"/>
          <w:bottom w:w="28" w:type="dxa"/>
          <w:right w:w="28" w:type="dxa"/>
        </w:tblCellMar>
      </w:tblPr>
      <w:tblGrid>
        <w:gridCol w:w="1178"/>
        <w:gridCol w:w="1034"/>
        <w:gridCol w:w="1043"/>
        <w:gridCol w:w="211"/>
        <w:gridCol w:w="631"/>
        <w:gridCol w:w="109"/>
        <w:gridCol w:w="109"/>
        <w:gridCol w:w="109"/>
        <w:gridCol w:w="109"/>
        <w:gridCol w:w="211"/>
        <w:gridCol w:w="61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containers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86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tbl>
      <w:tblPr>
        <w:tblW w:w="4689" w:type="dxa"/>
        <w:jc w:val="left"/>
        <w:tblInd w:w="0" w:type="dxa"/>
        <w:tblLayout w:type="fixed"/>
        <w:tblCellMar>
          <w:top w:w="28" w:type="dxa"/>
          <w:left w:w="28" w:type="dxa"/>
          <w:bottom w:w="28" w:type="dxa"/>
          <w:right w:w="28" w:type="dxa"/>
        </w:tblCellMar>
      </w:tblPr>
      <w:tblGrid>
        <w:gridCol w:w="880"/>
        <w:gridCol w:w="772"/>
        <w:gridCol w:w="778"/>
        <w:gridCol w:w="211"/>
        <w:gridCol w:w="631"/>
        <w:gridCol w:w="109"/>
        <w:gridCol w:w="109"/>
        <w:gridCol w:w="109"/>
        <w:gridCol w:w="109"/>
        <w:gridCol w:w="211"/>
        <w:gridCol w:w="61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Projects in progress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Accumulated depreciation</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Depreciation expense was $372 million in 2026, $366 million in 2025 and $338 million in 2024. Buildings are depreciated over periods ranging from 7 to 45 years. Machinery and equipment are depreciated over periods generally ranging from 2 to 20 years.</w:t>
      </w:r>
    </w:p>
    <w:tbl>
      <w:tblPr>
        <w:tblW w:w="5934" w:type="dxa"/>
        <w:jc w:val="left"/>
        <w:tblInd w:w="0" w:type="dxa"/>
        <w:tblLayout w:type="fixed"/>
        <w:tblCellMar>
          <w:top w:w="28" w:type="dxa"/>
          <w:left w:w="28" w:type="dxa"/>
          <w:bottom w:w="28" w:type="dxa"/>
          <w:right w:w="28" w:type="dxa"/>
        </w:tblCellMar>
      </w:tblPr>
      <w:tblGrid>
        <w:gridCol w:w="1434"/>
        <w:gridCol w:w="1262"/>
        <w:gridCol w:w="1279"/>
        <w:gridCol w:w="211"/>
        <w:gridCol w:w="481"/>
        <w:gridCol w:w="109"/>
        <w:gridCol w:w="109"/>
        <w:gridCol w:w="109"/>
        <w:gridCol w:w="109"/>
        <w:gridCol w:w="211"/>
        <w:gridCol w:w="46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net of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6069" w:type="dxa"/>
        <w:jc w:val="left"/>
        <w:tblInd w:w="0" w:type="dxa"/>
        <w:tblLayout w:type="fixed"/>
        <w:tblCellMar>
          <w:top w:w="28" w:type="dxa"/>
          <w:left w:w="28" w:type="dxa"/>
          <w:bottom w:w="28" w:type="dxa"/>
          <w:right w:w="28" w:type="dxa"/>
        </w:tblCellMar>
      </w:tblPr>
      <w:tblGrid>
        <w:gridCol w:w="1488"/>
        <w:gridCol w:w="1305"/>
        <w:gridCol w:w="1317"/>
        <w:gridCol w:w="211"/>
        <w:gridCol w:w="481"/>
        <w:gridCol w:w="109"/>
        <w:gridCol w:w="109"/>
        <w:gridCol w:w="109"/>
        <w:gridCol w:w="109"/>
        <w:gridCol w:w="211"/>
        <w:gridCol w:w="46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and consumer promotion programs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4209" w:type="dxa"/>
        <w:jc w:val="left"/>
        <w:tblInd w:w="0" w:type="dxa"/>
        <w:tblLayout w:type="fixed"/>
        <w:tblCellMar>
          <w:top w:w="28" w:type="dxa"/>
          <w:left w:w="28" w:type="dxa"/>
          <w:bottom w:w="28" w:type="dxa"/>
          <w:right w:w="28" w:type="dxa"/>
        </w:tblCellMar>
      </w:tblPr>
      <w:tblGrid>
        <w:gridCol w:w="815"/>
        <w:gridCol w:w="714"/>
        <w:gridCol w:w="721"/>
        <w:gridCol w:w="211"/>
        <w:gridCol w:w="481"/>
        <w:gridCol w:w="109"/>
        <w:gridCol w:w="109"/>
        <w:gridCol w:w="109"/>
        <w:gridCol w:w="109"/>
        <w:gridCol w:w="211"/>
        <w:gridCol w:w="46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87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Statements of Earnings</w:t>
      </w:r>
    </w:p>
    <w:tbl>
      <w:tblPr>
        <w:tblW w:w="8607" w:type="dxa"/>
        <w:jc w:val="left"/>
        <w:tblInd w:w="0" w:type="dxa"/>
        <w:tblLayout w:type="fixed"/>
        <w:tblCellMar>
          <w:top w:w="28" w:type="dxa"/>
          <w:left w:w="28" w:type="dxa"/>
          <w:bottom w:w="28" w:type="dxa"/>
          <w:right w:w="28" w:type="dxa"/>
        </w:tblCellMar>
      </w:tblPr>
      <w:tblGrid>
        <w:gridCol w:w="2000"/>
        <w:gridCol w:w="1755"/>
        <w:gridCol w:w="1780"/>
        <w:gridCol w:w="211"/>
        <w:gridCol w:w="481"/>
        <w:gridCol w:w="109"/>
        <w:gridCol w:w="109"/>
        <w:gridCol w:w="109"/>
        <w:gridCol w:w="109"/>
        <w:gridCol w:w="211"/>
        <w:gridCol w:w="466"/>
        <w:gridCol w:w="109"/>
        <w:gridCol w:w="109"/>
        <w:gridCol w:w="109"/>
        <w:gridCol w:w="109"/>
        <w:gridCol w:w="211"/>
        <w:gridCol w:w="466"/>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 (income)</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intangible assets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periodic benefit expense (income) other than the service cost</w:t>
            </w:r>
            <w:r>
              <w:rPr>
                <w:rFonts w:ascii="Times New Roman;serif" w:hAnsi="Times New Roman;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intangible assets</w:t>
            </w:r>
            <w:r>
              <w:rPr>
                <w:rFonts w:ascii="Times New Roman;serif" w:hAnsi="Times New Roman;serif"/>
                <w:b w:val="false"/>
                <w:color w:val="000000"/>
                <w:sz w:val="13"/>
              </w:rPr>
              <w:t>(3)</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sales of businesses</w:t>
            </w:r>
            <w:r>
              <w:rPr>
                <w:rFonts w:ascii="Times New Roman;serif" w:hAnsi="Times New Roman;serif"/>
                <w:b w:val="false"/>
                <w:color w:val="000000"/>
                <w:sz w:val="13"/>
              </w:rPr>
              <w:t>(4)</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associated with acquisitions</w:t>
            </w:r>
            <w:r>
              <w:rPr>
                <w:rFonts w:ascii="Times New Roman;serif" w:hAnsi="Times New Roman;serif"/>
                <w:b w:val="false"/>
                <w:color w:val="000000"/>
                <w:sz w:val="13"/>
              </w:rPr>
              <w:t>(5)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fees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2" w:type="dxa"/>
        <w:jc w:val="left"/>
        <w:tblInd w:w="0" w:type="dxa"/>
        <w:tblLayout w:type="fixed"/>
        <w:tblCellMar>
          <w:top w:w="28" w:type="dxa"/>
          <w:left w:w="28" w:type="dxa"/>
          <w:bottom w:w="28" w:type="dxa"/>
          <w:right w:w="28" w:type="dxa"/>
        </w:tblCellMar>
      </w:tblPr>
      <w:tblGrid>
        <w:gridCol w:w="1454"/>
        <w:gridCol w:w="1279"/>
        <w:gridCol w:w="1287"/>
        <w:gridCol w:w="211"/>
        <w:gridCol w:w="481"/>
        <w:gridCol w:w="109"/>
        <w:gridCol w:w="109"/>
        <w:gridCol w:w="109"/>
        <w:gridCol w:w="109"/>
        <w:gridCol w:w="211"/>
        <w:gridCol w:w="466"/>
        <w:gridCol w:w="109"/>
        <w:gridCol w:w="109"/>
        <w:gridCol w:w="109"/>
        <w:gridCol w:w="109"/>
        <w:gridCol w:w="211"/>
        <w:gridCol w:w="46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Advertising and consumer promotion expense</w:t>
            </w:r>
            <w:r>
              <w:rPr>
                <w:rFonts w:ascii="Times New Roman;serif" w:hAnsi="Times New Roman;serif"/>
                <w:b w:val="false"/>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02" w:type="dxa"/>
        <w:jc w:val="left"/>
        <w:tblInd w:w="0" w:type="dxa"/>
        <w:tblLayout w:type="fixed"/>
        <w:tblCellMar>
          <w:top w:w="28" w:type="dxa"/>
          <w:left w:w="28" w:type="dxa"/>
          <w:bottom w:w="28" w:type="dxa"/>
          <w:right w:w="28" w:type="dxa"/>
        </w:tblCellMar>
      </w:tblPr>
      <w:tblGrid>
        <w:gridCol w:w="772"/>
        <w:gridCol w:w="676"/>
        <w:gridCol w:w="682"/>
        <w:gridCol w:w="211"/>
        <w:gridCol w:w="481"/>
        <w:gridCol w:w="109"/>
        <w:gridCol w:w="109"/>
        <w:gridCol w:w="109"/>
        <w:gridCol w:w="109"/>
        <w:gridCol w:w="211"/>
        <w:gridCol w:w="466"/>
        <w:gridCol w:w="109"/>
        <w:gridCol w:w="109"/>
        <w:gridCol w:w="109"/>
        <w:gridCol w:w="109"/>
        <w:gridCol w:w="211"/>
        <w:gridCol w:w="4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capitalized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Times New Roman;serif" w:hAnsi="Times New Roman;serif"/>
          <w:b w:val="false"/>
          <w:color w:val="000000"/>
          <w:sz w:val="18"/>
        </w:rPr>
        <w:t>__________________________________________</w:t>
      </w:r>
      <w:r>
        <w:rPr>
          <w:color w:val="000000"/>
        </w:rPr>
        <w:t> </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accelerated amortization expense related to customer relationship intangible assets of $20 million and $27 million in 2025 and 2024, respectively.</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special termination pension benefits in 2026. See Note 11 for additional information.</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See Note 7 for additional information.</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See Note 4 for additional information.</w:t>
      </w:r>
    </w:p>
    <w:p>
      <w:pPr>
        <w:pStyle w:val="TextBody"/>
        <w:bidi w:val="0"/>
        <w:spacing w:lineRule="auto" w:line="288" w:before="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Related to the acquisitions of La Regina in 2026 and Sovos Brands in 2024. See Note 3 for additional information.</w:t>
      </w:r>
    </w:p>
    <w:p>
      <w:pPr>
        <w:pStyle w:val="TextBody"/>
        <w:bidi w:val="0"/>
        <w:spacing w:lineRule="auto" w:line="288" w:before="60" w:after="283"/>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Included in Marketing and selling expenses.</w:t>
      </w:r>
    </w:p>
    <w:p>
      <w:pPr>
        <w:pStyle w:val="TextBody"/>
        <w:bidi w:val="0"/>
        <w:spacing w:before="6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88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Statements of Cash Flows</w:t>
      </w:r>
    </w:p>
    <w:tbl>
      <w:tblPr>
        <w:tblW w:w="7241" w:type="dxa"/>
        <w:jc w:val="left"/>
        <w:tblInd w:w="0" w:type="dxa"/>
        <w:tblLayout w:type="fixed"/>
        <w:tblCellMar>
          <w:top w:w="28" w:type="dxa"/>
          <w:left w:w="28" w:type="dxa"/>
          <w:bottom w:w="28" w:type="dxa"/>
          <w:right w:w="28" w:type="dxa"/>
        </w:tblCellMar>
      </w:tblPr>
      <w:tblGrid>
        <w:gridCol w:w="1506"/>
        <w:gridCol w:w="1325"/>
        <w:gridCol w:w="1338"/>
        <w:gridCol w:w="211"/>
        <w:gridCol w:w="481"/>
        <w:gridCol w:w="109"/>
        <w:gridCol w:w="109"/>
        <w:gridCol w:w="109"/>
        <w:gridCol w:w="109"/>
        <w:gridCol w:w="211"/>
        <w:gridCol w:w="466"/>
        <w:gridCol w:w="109"/>
        <w:gridCol w:w="109"/>
        <w:gridCol w:w="109"/>
        <w:gridCol w:w="109"/>
        <w:gridCol w:w="211"/>
        <w:gridCol w:w="46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Cash Flows from 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charges to net earnings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ROU asset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costs/debt discount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related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5111" w:type="dxa"/>
        <w:jc w:val="left"/>
        <w:tblInd w:w="0" w:type="dxa"/>
        <w:tblLayout w:type="fixed"/>
        <w:tblCellMar>
          <w:top w:w="28" w:type="dxa"/>
          <w:left w:w="28" w:type="dxa"/>
          <w:bottom w:w="28" w:type="dxa"/>
          <w:right w:w="28" w:type="dxa"/>
        </w:tblCellMar>
      </w:tblPr>
      <w:tblGrid>
        <w:gridCol w:w="776"/>
        <w:gridCol w:w="678"/>
        <w:gridCol w:w="690"/>
        <w:gridCol w:w="211"/>
        <w:gridCol w:w="436"/>
        <w:gridCol w:w="109"/>
        <w:gridCol w:w="109"/>
        <w:gridCol w:w="109"/>
        <w:gridCol w:w="109"/>
        <w:gridCol w:w="211"/>
        <w:gridCol w:w="436"/>
        <w:gridCol w:w="109"/>
        <w:gridCol w:w="109"/>
        <w:gridCol w:w="109"/>
        <w:gridCol w:w="109"/>
        <w:gridCol w:w="211"/>
        <w:gridCol w:w="43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related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46" w:type="dxa"/>
        <w:jc w:val="left"/>
        <w:tblInd w:w="0" w:type="dxa"/>
        <w:tblLayout w:type="fixed"/>
        <w:tblCellMar>
          <w:top w:w="28" w:type="dxa"/>
          <w:left w:w="28" w:type="dxa"/>
          <w:bottom w:w="28" w:type="dxa"/>
          <w:right w:w="28" w:type="dxa"/>
        </w:tblCellMar>
      </w:tblPr>
      <w:tblGrid>
        <w:gridCol w:w="895"/>
        <w:gridCol w:w="787"/>
        <w:gridCol w:w="792"/>
        <w:gridCol w:w="211"/>
        <w:gridCol w:w="481"/>
        <w:gridCol w:w="109"/>
        <w:gridCol w:w="109"/>
        <w:gridCol w:w="109"/>
        <w:gridCol w:w="109"/>
        <w:gridCol w:w="211"/>
        <w:gridCol w:w="466"/>
        <w:gridCol w:w="109"/>
        <w:gridCol w:w="109"/>
        <w:gridCol w:w="109"/>
        <w:gridCol w:w="109"/>
        <w:gridCol w:w="211"/>
        <w:gridCol w:w="46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Cash Flow Information</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6522" w:type="dxa"/>
        <w:jc w:val="left"/>
        <w:tblInd w:w="0" w:type="dxa"/>
        <w:tblLayout w:type="fixed"/>
        <w:tblCellMar>
          <w:top w:w="28" w:type="dxa"/>
          <w:left w:w="28" w:type="dxa"/>
          <w:bottom w:w="28" w:type="dxa"/>
          <w:right w:w="28" w:type="dxa"/>
        </w:tblCellMar>
      </w:tblPr>
      <w:tblGrid>
        <w:gridCol w:w="1251"/>
        <w:gridCol w:w="1096"/>
        <w:gridCol w:w="1103"/>
        <w:gridCol w:w="211"/>
        <w:gridCol w:w="481"/>
        <w:gridCol w:w="109"/>
        <w:gridCol w:w="109"/>
        <w:gridCol w:w="109"/>
        <w:gridCol w:w="109"/>
        <w:gridCol w:w="211"/>
        <w:gridCol w:w="466"/>
        <w:gridCol w:w="109"/>
        <w:gridCol w:w="109"/>
        <w:gridCol w:w="109"/>
        <w:gridCol w:w="109"/>
        <w:gridCol w:w="211"/>
        <w:gridCol w:w="46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Non-cash Investing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89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88"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management of The Campbell's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internal control over financial reporting includes those policies and procedures that: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excluded La Regina di San Marzano di Antonio Romano S.p.A. and La Regina Atlantica, LLC from its assessment of internal control over financial reporting as of August 2, 2026 because they were acquired by the Company in purchase business combinations during the year ended August 2, 2026. La Regina di San Marzano di Antonio Romano S.p.A. and La Regina Atlantica, LLC are 49% owned consolidated variable interest entities whose total assets and total net sales excluded from management's assessment of internal control over financial reporting collectively represent approximately 3% and less than 1%, respectively, of the related consolidated financial statement amounts as of and for the year ended August 2, 2026. This exclusion is in accordance with the guidelines established by the Securities and Exchange Commission.</w:t>
      </w:r>
    </w:p>
    <w:p>
      <w:pPr>
        <w:pStyle w:val="TextBody"/>
        <w:bidi w:val="0"/>
        <w:spacing w:lineRule="auto" w:line="288" w:before="100" w:after="283"/>
        <w:ind w:left="0" w:right="0" w:firstLine="360"/>
        <w:jc w:val="both"/>
        <w:rPr/>
      </w:pPr>
      <w:r>
        <w:rPr>
          <w:rFonts w:ascii="Times New Roman;serif" w:hAnsi="Times New Roman;serif"/>
          <w:b w:val="false"/>
          <w:color w:val="000000"/>
          <w:sz w:val="20"/>
        </w:rPr>
        <w:t xml:space="preserve">Except as noted above, the Company’s management assessed the effectiveness of the Company’s internal control over financial reporting as of August 2, 2026. In making this assessment, management used the criteria set forth by the Committee of Sponsoring Organizations of the Treadway Commission (COSO)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xml:space="preserve">. Based on this assessment using those criteria, management concluded that the Company’s internal control over financial reporting was effective as of August 2, 2026. </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August 2, 2026 has been audited by PricewaterhouseCoopers LLP, an independent registered public accounting firm, as stated in their report, which appears on the next page.</w:t>
      </w:r>
    </w:p>
    <w:tbl>
      <w:tblPr>
        <w:tblW w:w="6260" w:type="dxa"/>
        <w:jc w:val="center"/>
        <w:tblInd w:w="0" w:type="dxa"/>
        <w:tblLayout w:type="fixed"/>
        <w:tblCellMar>
          <w:top w:w="28" w:type="dxa"/>
          <w:left w:w="28" w:type="dxa"/>
          <w:bottom w:w="28" w:type="dxa"/>
          <w:right w:w="28" w:type="dxa"/>
        </w:tblCellMar>
      </w:tblPr>
      <w:tblGrid>
        <w:gridCol w:w="1897"/>
        <w:gridCol w:w="1666"/>
        <w:gridCol w:w="1671"/>
        <w:gridCol w:w="109"/>
        <w:gridCol w:w="109"/>
        <w:gridCol w:w="109"/>
        <w:gridCol w:w="109"/>
        <w:gridCol w:w="109"/>
        <w:gridCol w:w="109"/>
        <w:gridCol w:w="109"/>
        <w:gridCol w:w="109"/>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Mick J. Beekhuizen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Mick J. Beekhuizen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Todd E. Cunfer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E. Cunfer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L. Palumbo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L. Palumbo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Controller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September 24,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90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The Campbell's Company</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100" w:after="100"/>
        <w:jc w:val="both"/>
        <w:rPr/>
      </w:pPr>
      <w:r>
        <w:rPr>
          <w:rFonts w:ascii="Times New Roman;serif" w:hAnsi="Times New Roman;serif"/>
          <w:b w:val="false"/>
          <w:color w:val="000000"/>
          <w:sz w:val="20"/>
        </w:rPr>
        <w:t xml:space="preserve">We have audited the accompanying consolidated balance sheets of The Campbell's Company and its subsidiaries (the "Company") as of August 2, 2026 and August 3, 2025, and the related consolidated statements of earnings, of comprehensive income, of equity and of cash flows, for each of the three years in the period ended August 2, 2026, including the related notes and schedule of valuation and qualifying accounts for each of the three years in the period ended August 2, 2026 appearing on page 100 (collectively referred to as the "consolidated financial statements"). We also have audited the Company's internal control over financial reporting as of August 2,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100" w:after="10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August 2, 2026 and August 3, 2025, and the results of its operations and its cash flows for each of the three years in the period ended August 2, 2026 in conformity with accounting principles generally accepted in the United States of America. Also in our opinion, the Company maintained, in all material respects, effective internal control over financial reporting as of August 2,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100" w:after="100"/>
        <w:jc w:val="both"/>
        <w:rPr/>
      </w:pPr>
      <w:r>
        <w:rPr>
          <w:rFonts w:ascii="Times New Roman;serif" w:hAnsi="Times New Roman;serif"/>
          <w:b w:val="false"/>
          <w:color w:val="000000"/>
          <w:sz w:val="20"/>
        </w:rPr>
        <w:t xml:space="preserve">The Company's management is responsible for these consolidated financial statements, for maintaining effective </w:t>
      </w:r>
      <w:r>
        <w:rPr>
          <w:rFonts w:ascii="Georgia;serif" w:hAnsi="Georgia;serif"/>
          <w:b w:val="false"/>
          <w:color w:val="000000"/>
          <w:sz w:val="20"/>
        </w:rPr>
        <w:t>i</w:t>
      </w:r>
      <w:r>
        <w:rPr>
          <w:rFonts w:ascii="Times New Roman;serif" w:hAnsi="Times New Roman;serif"/>
          <w:b w:val="false"/>
          <w:color w:val="000000"/>
          <w:sz w:val="20"/>
        </w:rPr>
        <w:t>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Management’s Report on Internal Control Over Financial Reporting, management has excluded La Regina di San Marzano di Antonio Romano S.p.A. and La Regina Atlantica, LLC from its assessment of internal control over financial reporting as of August 2, 2026 because they were acquired by the Company in purchase business combinations during the year ended August 2, 2026. We have also excluded La Regina di San Marzano di Antonio Romano S.p.A. and La Regina Atlantica, LLC from our audit of internal control over financial reporting. La Regina di San Marzano di Antonio Romano S.p.A. and La Regina Atlantica, LLC are 49% owned consolidated variable interest entities whose total assets and total net sales excluded from management’s assessment and our audit of internal control over financial reporting collectively represent approximately 3% and less than 1%, respectively, of the related consolidated financial statement amounts as of and for the year ended August 2, 2026.</w: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100" w:after="100"/>
        <w:jc w:val="both"/>
        <w:rPr/>
      </w:pPr>
      <w:r>
        <w:rPr>
          <w:rFonts w:ascii="Georgia;serif" w:hAnsi="Georgia;serif"/>
          <w:b w:val="false"/>
          <w:color w:val="000000"/>
          <w:sz w:val="20"/>
        </w:rPr>
        <w:t>A</w:t>
      </w:r>
      <w:r>
        <w:rPr>
          <w:color w:val="000000"/>
        </w:rPr>
        <w:t xml:space="preserve"> </w:t>
      </w:r>
      <w:r>
        <w:rPr>
          <w:rFonts w:ascii="Times New Roman;serif" w:hAnsi="Times New Roman;serif"/>
          <w:b w:val="false"/>
          <w:color w:val="000000"/>
          <w:sz w:val="20"/>
        </w:rPr>
        <w:t xml:space="preserve">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91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 Impairment Tests for Certain Trademarks</w:t>
      </w:r>
    </w:p>
    <w:p>
      <w:pPr>
        <w:pStyle w:val="TextBody"/>
        <w:bidi w:val="0"/>
        <w:spacing w:lineRule="auto" w:line="288" w:before="100" w:after="100"/>
        <w:jc w:val="both"/>
        <w:rPr/>
      </w:pPr>
      <w:r>
        <w:rPr>
          <w:rFonts w:ascii="Times New Roman;serif" w:hAnsi="Times New Roman;serif"/>
          <w:b w:val="false"/>
          <w:color w:val="000000"/>
          <w:sz w:val="20"/>
        </w:rPr>
        <w:t xml:space="preserve">As described in Notes 1 and 7 to the consolidated financial statements, the Company’s indefinite-lived trademarks were $3.561 billion as of August 2, 2026. Of the carrying value of all indefinite-lived trademarks, $1.470 billion related to the </w:t>
      </w:r>
      <w:r>
        <w:rPr>
          <w:rFonts w:ascii="Times New Roman;serif" w:hAnsi="Times New Roman;serif"/>
          <w:b w:val="false"/>
          <w:i/>
          <w:color w:val="000000"/>
          <w:sz w:val="20"/>
        </w:rPr>
        <w:t>Rao’s</w:t>
      </w:r>
      <w:r>
        <w:rPr>
          <w:color w:val="000000"/>
        </w:rPr>
        <w:t xml:space="preserve"> </w:t>
      </w:r>
      <w:r>
        <w:rPr>
          <w:rFonts w:ascii="Times New Roman;serif" w:hAnsi="Times New Roman;serif"/>
          <w:b w:val="false"/>
          <w:color w:val="000000"/>
          <w:sz w:val="20"/>
        </w:rPr>
        <w:t xml:space="preserve">trademark, $470 million related to the </w:t>
      </w:r>
      <w:r>
        <w:rPr>
          <w:rFonts w:ascii="Times New Roman;serif" w:hAnsi="Times New Roman;serif"/>
          <w:b w:val="false"/>
          <w:i/>
          <w:color w:val="000000"/>
          <w:sz w:val="20"/>
        </w:rPr>
        <w:t xml:space="preserve">Snyder's of Hanover </w:t>
      </w:r>
      <w:r>
        <w:rPr>
          <w:rFonts w:ascii="Times New Roman;serif" w:hAnsi="Times New Roman;serif"/>
          <w:b w:val="false"/>
          <w:color w:val="000000"/>
          <w:sz w:val="20"/>
        </w:rPr>
        <w:t xml:space="preserve">trademark, $350 million related to the </w:t>
      </w:r>
      <w:r>
        <w:rPr>
          <w:rFonts w:ascii="Times New Roman;serif" w:hAnsi="Times New Roman;serif"/>
          <w:b w:val="false"/>
          <w:i/>
          <w:color w:val="000000"/>
          <w:sz w:val="20"/>
        </w:rPr>
        <w:t>Lance</w:t>
      </w:r>
      <w:r>
        <w:rPr>
          <w:color w:val="000000"/>
        </w:rPr>
        <w:t xml:space="preserve"> </w:t>
      </w:r>
      <w:r>
        <w:rPr>
          <w:rFonts w:ascii="Times New Roman;serif" w:hAnsi="Times New Roman;serif"/>
          <w:b w:val="false"/>
          <w:color w:val="000000"/>
          <w:sz w:val="20"/>
        </w:rPr>
        <w:t xml:space="preserve">trademark, $280 million related to the </w:t>
      </w:r>
      <w:r>
        <w:rPr>
          <w:rFonts w:ascii="Times New Roman;serif" w:hAnsi="Times New Roman;serif"/>
          <w:b w:val="false"/>
          <w:i/>
          <w:color w:val="000000"/>
          <w:sz w:val="20"/>
        </w:rPr>
        <w:t xml:space="preserve">Pacific Foods </w:t>
      </w:r>
      <w:r>
        <w:rPr>
          <w:rFonts w:ascii="Times New Roman;serif" w:hAnsi="Times New Roman;serif"/>
          <w:b w:val="false"/>
          <w:color w:val="000000"/>
          <w:sz w:val="20"/>
        </w:rPr>
        <w:t xml:space="preserve">trademark, $258 million related to the </w:t>
      </w:r>
      <w:r>
        <w:rPr>
          <w:rFonts w:ascii="Times New Roman;serif" w:hAnsi="Times New Roman;serif"/>
          <w:b w:val="false"/>
          <w:i/>
          <w:color w:val="000000"/>
          <w:sz w:val="20"/>
        </w:rPr>
        <w:t xml:space="preserve">Kettle Brand </w:t>
      </w:r>
      <w:r>
        <w:rPr>
          <w:rFonts w:ascii="Times New Roman;serif" w:hAnsi="Times New Roman;serif"/>
          <w:b w:val="false"/>
          <w:color w:val="000000"/>
          <w:sz w:val="20"/>
        </w:rPr>
        <w:t xml:space="preserve">trademark, and $130 million related to the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 xml:space="preserve">trademark. Management conducts a test at least annually in the fourth quarter for impairment, or more often if events or changes in circumstances indicate that the carrying amount of the asset may be impaired. Indefinite-lived intangible assets are tested for impairment by comparing the fair value of the asset to the carrying value. Fair value is determined using a relief from royalty valuation method based on discounted cash flow analyses that include significant assumptions such as revenue growth rates, weighted average costs of capital and assumed royalty rates. If the carrying value exceeds fair value, an impairment charge will be recorded to reduce the asset to fair value. In the fourth quarter of 2026, based on recent performance of the </w:t>
      </w:r>
      <w:r>
        <w:rPr>
          <w:rFonts w:ascii="Times New Roman;serif" w:hAnsi="Times New Roman;serif"/>
          <w:b w:val="false"/>
          <w:i/>
          <w:color w:val="000000"/>
          <w:sz w:val="20"/>
        </w:rPr>
        <w:t>Kettle Brand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Cape Cod</w:t>
      </w:r>
      <w:r>
        <w:rPr>
          <w:color w:val="000000"/>
        </w:rPr>
        <w:t xml:space="preserve"> </w:t>
      </w:r>
      <w:r>
        <w:rPr>
          <w:rFonts w:ascii="Times New Roman;serif" w:hAnsi="Times New Roman;serif"/>
          <w:b w:val="false"/>
          <w:color w:val="000000"/>
          <w:sz w:val="20"/>
        </w:rPr>
        <w:t>trademarks, management lowered its near-term and long-term outlook for future sales and operating performance and recognized impairment charges of $60 million and $57 million, respectively.</w:t>
      </w:r>
    </w:p>
    <w:p>
      <w:pPr>
        <w:pStyle w:val="TextBody"/>
        <w:bidi w:val="0"/>
        <w:spacing w:lineRule="auto" w:line="288" w:before="100" w:after="100"/>
        <w:jc w:val="both"/>
        <w:rPr/>
      </w:pPr>
      <w:r>
        <w:rPr>
          <w:rFonts w:ascii="Georgia;serif" w:hAnsi="Georgia;serif"/>
          <w:b w:val="false"/>
          <w:color w:val="000000"/>
          <w:sz w:val="20"/>
        </w:rPr>
        <w:t>T</w:t>
      </w:r>
      <w:r>
        <w:rPr>
          <w:rFonts w:ascii="Times New Roman;serif" w:hAnsi="Times New Roman;serif"/>
          <w:b w:val="false"/>
          <w:color w:val="000000"/>
          <w:sz w:val="20"/>
        </w:rPr>
        <w:t xml:space="preserve">he principal considerations for our determination that performing procedures relating to the indefinite-lived intangible assets impairment tests for certain trademarks is a critical audit matter are (i) the significant judgment by management when developing the fair value estimate of certain trademarks; (ii) a high degree of auditor judgment, subjectivity, and effort in performing procedures and evaluating management’s significant assumptions related to the revenue growth rate for the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 xml:space="preserve">trademark, weighted average costs of capital for the </w:t>
      </w:r>
      <w:r>
        <w:rPr>
          <w:rFonts w:ascii="Times New Roman;serif" w:hAnsi="Times New Roman;serif"/>
          <w:b w:val="false"/>
          <w:i/>
          <w:color w:val="000000"/>
          <w:sz w:val="20"/>
        </w:rPr>
        <w:t>Rao’</w:t>
      </w:r>
      <w:r>
        <w:rPr>
          <w:rFonts w:ascii="Times New Roman;serif" w:hAnsi="Times New Roman;serif"/>
          <w:b w:val="false"/>
          <w:color w:val="000000"/>
          <w:sz w:val="20"/>
        </w:rPr>
        <w:t>s,</w:t>
      </w:r>
      <w:r>
        <w:rPr>
          <w:color w:val="000000"/>
        </w:rPr>
        <w:t xml:space="preserve"> </w:t>
      </w:r>
      <w:r>
        <w:rPr>
          <w:rFonts w:ascii="Times New Roman;serif" w:hAnsi="Times New Roman;serif"/>
          <w:b w:val="false"/>
          <w:i/>
          <w:color w:val="000000"/>
          <w:sz w:val="20"/>
        </w:rPr>
        <w:t>Kettle Brand</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Snyder’s of Hanover </w:t>
      </w:r>
      <w:r>
        <w:rPr>
          <w:rFonts w:ascii="Times New Roman;serif" w:hAnsi="Times New Roman;serif"/>
          <w:b w:val="false"/>
          <w:color w:val="000000"/>
          <w:sz w:val="20"/>
        </w:rPr>
        <w:t xml:space="preserve">trademarks and the assumed royalty rates for the </w:t>
      </w:r>
      <w:r>
        <w:rPr>
          <w:rFonts w:ascii="Times New Roman;serif" w:hAnsi="Times New Roman;serif"/>
          <w:b w:val="false"/>
          <w:i/>
          <w:color w:val="000000"/>
          <w:sz w:val="20"/>
        </w:rPr>
        <w:t>Rao’s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Snyder's of Hanover</w:t>
      </w:r>
      <w:r>
        <w:rPr>
          <w:rFonts w:ascii="Times New Roman;serif" w:hAnsi="Times New Roman;serif"/>
          <w:b w:val="false"/>
          <w:color w:val="000000"/>
          <w:sz w:val="20"/>
        </w:rPr>
        <w:t xml:space="preserve">, </w:t>
      </w:r>
      <w:r>
        <w:rPr>
          <w:rFonts w:ascii="Times New Roman;serif" w:hAnsi="Times New Roman;serif"/>
          <w:b w:val="false"/>
          <w:i/>
          <w:color w:val="000000"/>
          <w:sz w:val="20"/>
        </w:rPr>
        <w:t>Lance</w:t>
      </w:r>
      <w:r>
        <w:rPr>
          <w:rFonts w:ascii="Times New Roman;serif" w:hAnsi="Times New Roman;serif"/>
          <w:b w:val="false"/>
          <w:color w:val="000000"/>
          <w:sz w:val="20"/>
        </w:rPr>
        <w:t xml:space="preserve">, </w:t>
      </w:r>
      <w:r>
        <w:rPr>
          <w:rFonts w:ascii="Times New Roman;serif" w:hAnsi="Times New Roman;serif"/>
          <w:b w:val="false"/>
          <w:i/>
          <w:color w:val="000000"/>
          <w:sz w:val="20"/>
        </w:rPr>
        <w:t>Kettle Brand</w:t>
      </w:r>
      <w:r>
        <w:rPr>
          <w:rFonts w:ascii="Times New Roman;serif" w:hAnsi="Times New Roman;serif"/>
          <w:b w:val="false"/>
          <w:color w:val="000000"/>
          <w:sz w:val="20"/>
        </w:rPr>
        <w:t xml:space="preserve">, </w:t>
      </w:r>
      <w:r>
        <w:rPr>
          <w:rFonts w:ascii="Times New Roman;serif" w:hAnsi="Times New Roman;serif"/>
          <w:b w:val="false"/>
          <w:i/>
          <w:color w:val="000000"/>
          <w:sz w:val="20"/>
        </w:rPr>
        <w:t>Pacific Foods</w:t>
      </w:r>
      <w:r>
        <w:rPr>
          <w:rFonts w:ascii="Times New Roman;serif" w:hAnsi="Times New Roman;serif"/>
          <w:b w:val="false"/>
          <w:color w:val="000000"/>
          <w:sz w:val="20"/>
        </w:rPr>
        <w:t xml:space="preserve">, and </w:t>
      </w:r>
      <w:r>
        <w:rPr>
          <w:rFonts w:ascii="Times New Roman;serif" w:hAnsi="Times New Roman;serif"/>
          <w:b w:val="false"/>
          <w:i/>
          <w:color w:val="000000"/>
          <w:sz w:val="20"/>
        </w:rPr>
        <w:t xml:space="preserve">Cape Cod </w:t>
      </w:r>
      <w:r>
        <w:rPr>
          <w:rFonts w:ascii="Times New Roman;serif" w:hAnsi="Times New Roman;serif"/>
          <w:b w:val="false"/>
          <w:color w:val="000000"/>
          <w:sz w:val="20"/>
        </w:rPr>
        <w:t>trademarks; and (iii) the audit effort involved the use of professionals with specialized skill and knowledge.</w:t>
      </w:r>
    </w:p>
    <w:p>
      <w:pPr>
        <w:pStyle w:val="TextBody"/>
        <w:bidi w:val="0"/>
        <w:spacing w:lineRule="auto" w:line="288" w:before="100" w:after="100"/>
        <w:jc w:val="both"/>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assets impairment tests for certain trademarks. These procedures also included, among others (i) testing management’s process for developing the fair value estimate of certain trademarks; (ii) evaluating the appropriateness of the relief from royalty valuation method; (iii) testing the completeness and accuracy of underlying data used in the relief from royalty valuation method; and (iv) evaluating the reasonableness of the significant assumptions used by management related to the revenue growth rate for the </w:t>
      </w:r>
      <w:r>
        <w:rPr>
          <w:rFonts w:ascii="Times New Roman;serif" w:hAnsi="Times New Roman;serif"/>
          <w:b w:val="false"/>
          <w:i/>
          <w:color w:val="000000"/>
          <w:sz w:val="20"/>
        </w:rPr>
        <w:t>Snyder's of Hanover</w:t>
      </w:r>
      <w:r>
        <w:rPr>
          <w:color w:val="000000"/>
        </w:rPr>
        <w:t xml:space="preserve"> </w:t>
      </w:r>
      <w:r>
        <w:rPr>
          <w:rFonts w:ascii="Times New Roman;serif" w:hAnsi="Times New Roman;serif"/>
          <w:b w:val="false"/>
          <w:color w:val="000000"/>
          <w:sz w:val="20"/>
        </w:rPr>
        <w:t xml:space="preserve">trademark, weighted average costs of capital for the </w:t>
      </w:r>
      <w:r>
        <w:rPr>
          <w:rFonts w:ascii="Times New Roman;serif" w:hAnsi="Times New Roman;serif"/>
          <w:b w:val="false"/>
          <w:i/>
          <w:color w:val="000000"/>
          <w:sz w:val="20"/>
        </w:rPr>
        <w:t>Rao’s</w:t>
      </w:r>
      <w:r>
        <w:rPr>
          <w:rFonts w:ascii="Times New Roman;serif" w:hAnsi="Times New Roman;serif"/>
          <w:b w:val="false"/>
          <w:color w:val="000000"/>
          <w:sz w:val="20"/>
        </w:rPr>
        <w:t xml:space="preserve">, </w:t>
      </w:r>
      <w:r>
        <w:rPr>
          <w:rFonts w:ascii="Times New Roman;serif" w:hAnsi="Times New Roman;serif"/>
          <w:b w:val="false"/>
          <w:i/>
          <w:color w:val="000000"/>
          <w:sz w:val="20"/>
        </w:rPr>
        <w:t>Kettle Brand</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 xml:space="preserve">Snyder’s of Hanover </w:t>
      </w:r>
      <w:r>
        <w:rPr>
          <w:rFonts w:ascii="Times New Roman;serif" w:hAnsi="Times New Roman;serif"/>
          <w:b w:val="false"/>
          <w:color w:val="000000"/>
          <w:sz w:val="20"/>
        </w:rPr>
        <w:t xml:space="preserve">trademarks and the assumed royalty rates for the </w:t>
      </w:r>
      <w:r>
        <w:rPr>
          <w:rFonts w:ascii="Times New Roman;serif" w:hAnsi="Times New Roman;serif"/>
          <w:b w:val="false"/>
          <w:i/>
          <w:color w:val="000000"/>
          <w:sz w:val="20"/>
        </w:rPr>
        <w:t>Rao’s</w:t>
      </w:r>
      <w:r>
        <w:rPr>
          <w:rFonts w:ascii="Times New Roman;serif" w:hAnsi="Times New Roman;serif"/>
          <w:b w:val="false"/>
          <w:color w:val="000000"/>
          <w:sz w:val="20"/>
        </w:rPr>
        <w:t xml:space="preserve">, </w:t>
      </w:r>
      <w:r>
        <w:rPr>
          <w:rFonts w:ascii="Times New Roman;serif" w:hAnsi="Times New Roman;serif"/>
          <w:b w:val="false"/>
          <w:i/>
          <w:color w:val="000000"/>
          <w:sz w:val="20"/>
        </w:rPr>
        <w:t>Snyder's of Hanover</w:t>
      </w:r>
      <w:r>
        <w:rPr>
          <w:rFonts w:ascii="Times New Roman;serif" w:hAnsi="Times New Roman;serif"/>
          <w:b w:val="false"/>
          <w:color w:val="000000"/>
          <w:sz w:val="20"/>
        </w:rPr>
        <w:t xml:space="preserve">, </w:t>
      </w:r>
      <w:r>
        <w:rPr>
          <w:rFonts w:ascii="Times New Roman;serif" w:hAnsi="Times New Roman;serif"/>
          <w:b w:val="false"/>
          <w:i/>
          <w:color w:val="000000"/>
          <w:sz w:val="20"/>
        </w:rPr>
        <w:t>Lance</w:t>
      </w:r>
      <w:r>
        <w:rPr>
          <w:rFonts w:ascii="Times New Roman;serif" w:hAnsi="Times New Roman;serif"/>
          <w:b w:val="false"/>
          <w:color w:val="000000"/>
          <w:sz w:val="20"/>
        </w:rPr>
        <w:t xml:space="preserve">, </w:t>
      </w:r>
      <w:r>
        <w:rPr>
          <w:rFonts w:ascii="Times New Roman;serif" w:hAnsi="Times New Roman;serif"/>
          <w:b w:val="false"/>
          <w:i/>
          <w:color w:val="000000"/>
          <w:sz w:val="20"/>
        </w:rPr>
        <w:t>Kettle Brand</w:t>
      </w:r>
      <w:r>
        <w:rPr>
          <w:rFonts w:ascii="Times New Roman;serif" w:hAnsi="Times New Roman;serif"/>
          <w:b w:val="false"/>
          <w:color w:val="000000"/>
          <w:sz w:val="20"/>
        </w:rPr>
        <w:t xml:space="preserve">, </w:t>
      </w:r>
      <w:r>
        <w:rPr>
          <w:rFonts w:ascii="Times New Roman;serif" w:hAnsi="Times New Roman;serif"/>
          <w:b w:val="false"/>
          <w:i/>
          <w:color w:val="000000"/>
          <w:sz w:val="20"/>
        </w:rPr>
        <w:t>Pacific Foods</w:t>
      </w:r>
      <w:r>
        <w:rPr>
          <w:rFonts w:ascii="Times New Roman;serif" w:hAnsi="Times New Roman;serif"/>
          <w:b w:val="false"/>
          <w:color w:val="000000"/>
          <w:sz w:val="20"/>
        </w:rPr>
        <w:t xml:space="preserve">, and </w:t>
      </w:r>
      <w:r>
        <w:rPr>
          <w:rFonts w:ascii="Times New Roman;serif" w:hAnsi="Times New Roman;serif"/>
          <w:b w:val="false"/>
          <w:i/>
          <w:color w:val="000000"/>
          <w:sz w:val="20"/>
        </w:rPr>
        <w:t xml:space="preserve">Cape Cod </w:t>
      </w:r>
      <w:r>
        <w:rPr>
          <w:rFonts w:ascii="Times New Roman;serif" w:hAnsi="Times New Roman;serif"/>
          <w:b w:val="false"/>
          <w:color w:val="000000"/>
          <w:sz w:val="20"/>
        </w:rPr>
        <w:t>trademarks. Evaluating management’s assumptions related to the revenue growth rates and the assumed royalty rates involved evaluating whether the assumptions used by management were reasonable considering (i) the current and past performance of the certain trademarks; (ii) the consistency with external market and industry data; and (iii) whether the assumptions were consistent with evidence obtained in other areas of the audit. Professionals with specialized skill and knowledge were used to assist in the evaluation of the appropriateness of the relief from royalty valuation method and the reasonableness of the weighted average costs of capital and assumed royalty rate assumptions.</w:t>
      </w:r>
    </w:p>
    <w:p>
      <w:pPr>
        <w:pStyle w:val="TextBody"/>
        <w:bidi w:val="0"/>
        <w:spacing w:before="100" w:after="100"/>
        <w:jc w:val="both"/>
        <w:rPr/>
      </w:pPr>
      <w:r>
        <w:rPr/>
      </w:r>
    </w:p>
    <w:tbl>
      <w:tblPr>
        <w:tblW w:w="4184" w:type="dxa"/>
        <w:jc w:val="left"/>
        <w:tblInd w:w="0" w:type="dxa"/>
        <w:tblLayout w:type="fixed"/>
        <w:tblCellMar>
          <w:top w:w="28" w:type="dxa"/>
          <w:left w:w="28" w:type="dxa"/>
          <w:bottom w:w="28" w:type="dxa"/>
          <w:right w:w="28" w:type="dxa"/>
        </w:tblCellMar>
      </w:tblPr>
      <w:tblGrid>
        <w:gridCol w:w="124"/>
        <w:gridCol w:w="109"/>
        <w:gridCol w:w="109"/>
        <w:gridCol w:w="829"/>
        <w:gridCol w:w="829"/>
        <w:gridCol w:w="831"/>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PricewaterhouseCoopers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1954</w:t>
      </w:r>
      <w:bookmarkStart w:id="2" w:name="id5025b20eae24f998a77d25d5bccbf99_12123"/>
      <w:bookmarkEnd w:id="2"/>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92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9A. </w:t>
      </w:r>
      <w:r>
        <w:rPr>
          <w:rFonts w:ascii="Times New Roman;serif" w:hAnsi="Times New Roman;serif"/>
          <w:b/>
          <w:i/>
          <w:color w:val="000000"/>
          <w:sz w:val="20"/>
        </w:rPr>
        <w:t>Controls and Procedures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August 2, 2026 (the Evaluation Date). Based on such evaluation, the President and Chief Executive Officer and the Executive Vice President and Chief Financial Officer have concluded that, as of the Evaluation Date, our disclosure controls and procedures are effective.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The annual report of management on our internal control over financial reporting is provided under "Financial Statements and Supplementary Data" on page </w:t>
      </w:r>
      <w:hyperlink w:anchor="idf8dcfb831fd4ff7a700868205e1f44f_196">
        <w:r>
          <w:rPr>
            <w:rStyle w:val="InternetLink"/>
            <w:rFonts w:ascii="Times New Roman;serif" w:hAnsi="Times New Roman;serif"/>
            <w:b w:val="false"/>
            <w:strike w:val="false"/>
            <w:dstrike w:val="false"/>
            <w:color w:val="000000"/>
            <w:sz w:val="20"/>
            <w:u w:val="none"/>
            <w:effect w:val="none"/>
          </w:rPr>
          <w:t>90</w:t>
        </w:r>
      </w:hyperlink>
      <w:r>
        <w:rPr>
          <w:rFonts w:ascii="Times New Roman;serif" w:hAnsi="Times New Roman;serif"/>
          <w:b w:val="false"/>
          <w:color w:val="000000"/>
          <w:sz w:val="20"/>
        </w:rPr>
        <w:t xml:space="preserve">. The attestation report of PricewaterhouseCoopers LLP, our independent registered public accounting firm, regarding our internal control over financial reporting is provided under "Financial Statements and Supplementary Data" on pages </w:t>
      </w:r>
      <w:hyperlink w:anchor="idf8dcfb831fd4ff7a700868205e1f44f_199">
        <w:r>
          <w:rPr>
            <w:rStyle w:val="InternetLink"/>
            <w:rFonts w:ascii="Times New Roman;serif" w:hAnsi="Times New Roman;serif"/>
            <w:b w:val="false"/>
            <w:strike w:val="false"/>
            <w:dstrike w:val="false"/>
            <w:color w:val="000000"/>
            <w:sz w:val="20"/>
            <w:u w:val="none"/>
            <w:effect w:val="none"/>
          </w:rPr>
          <w:t>91</w:t>
        </w:r>
      </w:hyperlink>
      <w:r>
        <w:rPr>
          <w:rFonts w:ascii="Times New Roman;serif" w:hAnsi="Times New Roman;serif"/>
          <w:b w:val="false"/>
          <w:color w:val="000000"/>
          <w:sz w:val="20"/>
        </w:rPr>
        <w:t>-92.</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materially affected, or were likely to materially affect, such internal control over financial reporting during the quarter ended August 2, 2026.</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excluded La Regina di San Marzano di Antonio Romano S.p.A. and La Regina Atlantica, LLC from its assessment of internal control over financial reporting as of August 2, 2026 because they were acquired by the Company in purchase business combinations during the year ended August 2, 2026. La Regina di San Marzano di Antonio Romano S.p.A. and La Regina Atlantica, LLC are 49% owned consolidated variable interest entities whose total assets and total net sales excluded from management's assessment of internal control over financial reporting collectively represent approximately 3% and less than 1%, respectively, of the related consolidated financial statement amounts as of and for the year ended August 2, 2026. This exclusion is in accordance with the guidelines established by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August 2, 2026, none of our directors or officers (as defined in Rule 16a-1(f) under the Exchange Act)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erif" w:hAnsi="Times New Roman;serif"/>
          <w:b/>
          <w:color w:val="000000"/>
          <w:sz w:val="20"/>
        </w:rPr>
        <w:t xml:space="preserve">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sections entitled "Item 1 — Election of Directors," "Voting Securities and Principal Shareholders — Ownership of Directors and Executive Officers" and "Voting Securities and Principal Shareholders — Delinquent Section 16(a) Reports" in our Proxy Statement for the 2026 Annual Meeting of Shareholders (the 2026 Proxy) are incorporated herein by reference. The information presented in the section entitled "Corporate Governance Policies and Practices — Board Meetings and Committees — Board Committee Structure" in the 2026 Proxy relating to the members of our Audit Committee and the Audit Committee’s financial experts is incorporated herein by reference. The information presented in the section entitled "Compensation Discussion and Analysis — How Do We Manage Risks Related to Our Compensation Program? — Trading Campbell's Securities" in the 2026 Proxy relating to the company's Insider Trading Policy is incorporated herein by reference.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information required by this Item relating to our executive officers is set forth under the heading "Information about our Executive Officers" in this Report.</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the Investor portion of our website, </w:t>
      </w:r>
      <w:r>
        <w:rPr>
          <w:rFonts w:ascii="Times New Roman;serif" w:hAnsi="Times New Roman;serif"/>
          <w:b w:val="false"/>
          <w:color w:val="000000"/>
          <w:sz w:val="20"/>
          <w:u w:val="single"/>
        </w:rPr>
        <w:t>www.thecampbellscompany.com</w:t>
      </w:r>
      <w:r>
        <w:rPr>
          <w:color w:val="000000"/>
        </w:rPr>
        <w:t xml:space="preserve"> </w:t>
      </w:r>
      <w:r>
        <w:rPr>
          <w:rFonts w:ascii="Times New Roman;serif" w:hAnsi="Times New Roman;serif"/>
          <w:b w:val="false"/>
          <w:color w:val="000000"/>
          <w:sz w:val="20"/>
        </w:rPr>
        <w:t>(under the "About Us—Investors—Governance—Documents &amp; Charters" caption). We intend to satisfy the disclosure requirement regarding any amendment to, or a waiver of, a provision of the Code of Ethics for the Chief Executive Officer and Senior Financial Officers by posting such information on our website. </w:t>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We have also adopted a separate Code of Business Conduct and Ethics applicable to the Board of Directors, our officers and all of our employees. The Code of Business Conduct and Ethics is posted on the Investor portion of our website, </w:t>
      </w:r>
      <w:r>
        <w:rPr>
          <w:rFonts w:ascii="Times New Roman;serif" w:hAnsi="Times New Roman;serif"/>
          <w:b w:val="false"/>
          <w:color w:val="000000"/>
          <w:sz w:val="20"/>
          <w:u w:val="single"/>
        </w:rPr>
        <w:t>www.thecampbellscompany.com</w:t>
      </w:r>
      <w:r>
        <w:rPr>
          <w:color w:val="000000"/>
        </w:rPr>
        <w:t xml:space="preserve"> </w:t>
      </w:r>
      <w:r>
        <w:rPr>
          <w:rFonts w:ascii="Times New Roman;serif" w:hAnsi="Times New Roman;serif"/>
          <w:b w:val="false"/>
          <w:color w:val="000000"/>
          <w:sz w:val="20"/>
        </w:rPr>
        <w:t>(under the "About Us—Investors—Governance—Documents &amp; Charters" caption). Our Corporate Governance Standards and the charters of our four standing committees of the Board of Directors can also be found at this website. Printed copies of the foregoing are available to any shareholder requesting a copy by:</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writing to Investor Relations, The Campbell's Company, 1 Campbell Place, Camden, NJ 08103-1799;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93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calling 856-342-6081; or</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color w:val="000000"/>
          <w:sz w:val="20"/>
        </w:rPr>
        <w:t>e-mailing our Investor Relations Department at IR@campbells.com.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2026 Proxy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Shareholder Matters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sections entitled "Voting Securities and Principal Shareholders — Ownership of Directors and Executive Officers," "Voting Securities and Principal Shareholders — Principal Shareholders" and "Item 4 — Amendment and Restatement of the Company's 2022 Long-Term Incentive Plan" in the 2026 Proxy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sections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2026 Proxy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2026 Proxy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94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hanging="360"/>
        <w:jc w:val="left"/>
        <w:rPr/>
      </w:pPr>
      <w:r>
        <w:rPr>
          <w:rFonts w:ascii="Times New Roman;serif" w:hAnsi="Times New Roman;serif"/>
          <w:b/>
          <w:color w:val="000000"/>
          <w:sz w:val="20"/>
        </w:rPr>
        <w:t>Item 15.</w:t>
      </w:r>
      <w:r>
        <w:rPr>
          <w:color w:val="000000"/>
        </w:rPr>
        <w:t xml:space="preserve"> </w:t>
      </w:r>
      <w:r>
        <w:rPr>
          <w:rFonts w:ascii="Times New Roman;serif" w:hAnsi="Times New Roman;serif"/>
          <w:b/>
          <w:i/>
          <w:color w:val="000000"/>
          <w:sz w:val="20"/>
        </w:rPr>
        <w:t>Exhibits and Financial Statement Schedules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(a) The following documents are filed as part of this Report: </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1.  Financial Statements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Earnings for 2026, 2025 and 2024</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2026, 2025 and 2024</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as of August 2, 2026 and August 3, 2025</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2026, 2025 and 2024</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Equity for 2026, 2025 and 2024</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238)</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2.  Financial Statement Schedule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II - Valuation and Qualifying Accounts for 2026, 2025 and 2024</w:t>
      </w:r>
    </w:p>
    <w:p>
      <w:pPr>
        <w:pStyle w:val="TextBody"/>
        <w:bidi w:val="0"/>
        <w:spacing w:lineRule="auto" w:line="288" w:before="100" w:after="100"/>
        <w:jc w:val="left"/>
        <w:rPr>
          <w:rFonts w:ascii="Times New Roman;serif" w:hAnsi="Times New Roman;serif"/>
          <w:b/>
          <w:i/>
          <w:color w:val="000000"/>
          <w:sz w:val="20"/>
        </w:rPr>
      </w:pPr>
      <w:r>
        <w:rPr>
          <w:rFonts w:ascii="Times New Roman;serif" w:hAnsi="Times New Roman;serif"/>
          <w:b/>
          <w:i/>
          <w:color w:val="000000"/>
          <w:sz w:val="20"/>
        </w:rPr>
        <w:t>3.  Exhibits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Reference is made to Item 15(b) below.</w:t>
      </w:r>
    </w:p>
    <w:p>
      <w:pPr>
        <w:pStyle w:val="TextBody"/>
        <w:bidi w:val="0"/>
        <w:spacing w:lineRule="auto" w:line="288" w:before="100" w:after="10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Exhibits</w:t>
      </w:r>
      <w:r>
        <w:rPr>
          <w:rFonts w:ascii="Times New Roman;serif" w:hAnsi="Times New Roman;serif"/>
          <w:b w:val="false"/>
          <w:color w:val="000000"/>
          <w:sz w:val="20"/>
        </w:rPr>
        <w:t>. The Exhibit Index, which immediately precedes the signature page, is incorporated by reference into this Report.</w:t>
      </w:r>
    </w:p>
    <w:p>
      <w:pPr>
        <w:pStyle w:val="TextBody"/>
        <w:bidi w:val="0"/>
        <w:spacing w:lineRule="auto" w:line="288" w:before="100" w:after="10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rPr>
        <w:t>Financial Statement Schedules</w:t>
      </w:r>
      <w:r>
        <w:rPr>
          <w:rFonts w:ascii="Times New Roman;serif" w:hAnsi="Times New Roman;serif"/>
          <w:b w:val="false"/>
          <w:color w:val="000000"/>
          <w:sz w:val="20"/>
        </w:rPr>
        <w:t>. Reference is made to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both"/>
        <w:rPr/>
      </w:pPr>
      <w:r>
        <w:rPr>
          <w:rFonts w:ascii="Times New Roman;serif" w:hAnsi="Times New Roman;serif"/>
          <w:b/>
          <w:color w:val="000000"/>
          <w:sz w:val="20"/>
        </w:rPr>
        <w:t xml:space="preserve">Item 16. </w:t>
      </w:r>
      <w:r>
        <w:rPr>
          <w:rFonts w:ascii="Times New Roman;serif" w:hAnsi="Times New Roman;serif"/>
          <w:b/>
          <w:i/>
          <w:color w:val="000000"/>
          <w:sz w:val="20"/>
        </w:rPr>
        <w:t>Form 10-K Summary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95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142"/>
        <w:gridCol w:w="124"/>
        <w:gridCol w:w="124"/>
        <w:gridCol w:w="2936"/>
        <w:gridCol w:w="2844"/>
        <w:gridCol w:w="4035"/>
      </w:tblGrid>
      <w:tr>
        <w:trPr/>
        <w:tc>
          <w:tcPr>
            <w:tcW w:w="1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403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2(a)</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Agreement and Plan of Merger, dated August 7, 2023, by and among Sovos Brands, Inc., Campbell Soup Company and Premium Products Merger Sub, Inc., is incorporated by reference to Exhibit 2.1 to Campbell’s Form 8-K (SEC file number 1-3822) filed with the SEC on August 7, 2023.</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2(b)*</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Sale and Purchase Agreement, dated as of December 8, 2025, by and among Campbell Investment Company, Antonio Romano, Felice Romano, Luigi Romano, Natalina Romano, Evolve S.r.l. and F.A.L. Holdings LLC, incorporated by reference to Exhibit 2.1 to Campbell’s Current Report on Form 8-K (SEC file number 1-3822) filed on December 9, 2025.</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2(c)*</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Equity Purchase Agreement, dated as of December 8, 2025, by and between Campbell Soup Supply Company LLC and Felix Global Holdings, Corporation, incorporated by reference to Exhibit 2.2 to Campbell’s Current Report on Form 8-K (SEC file number 1-3822) filed on December 9, 2025.</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2(d)*</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Closing Memorandum and Amendment Agreement, dated as of May 4, 2026, by and among Felice Romano, Antonio Romano, Luigi Romano, Natalina Romano, Evolve S.r.l., F.A.L. Holdings LLC, Felix Global Holdings, Corporation, Campbell Investment Company and Campbell Soup Supply Company L.L.C., incorporated by reference to Exhibit 2.1 to Campbell’s Quarterly Report on Form 10-Q (SEC File number 1-3822) for the fiscal quarter ended May 3, 2026.</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Restated Certificate of Incorporation, as amended through November 19, 2024, is incorporated by reference to Exhibit 3.1 to Campbell’s Form 10-Q (SEC file number 1-3822) for the fiscal quarter ended October 27, 2024.</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3(b)</w:t>
            </w:r>
          </w:p>
        </w:tc>
        <w:tc>
          <w:tcPr>
            <w:tcW w:w="98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By-Laws of The Campbell's Company, amended and restated effective November 19, 2024, are incorporated by reference to Exhibit 3.2 to Campbell’s Form 8-K (SEC file number 1-3822) filed with the SEC on November 20, 2024.</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4(a)</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Indenture, dated November 24, 2008, between Campbell and The Bank of New York Mellon, as Trustee, is incorporated by reference to Exhibit 4(a) to Campbell’s Registration Statement on Form S-3 (SEC file number 333-155626) filed with the SEC on November 24, 2008.</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4(b)</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Form of First Supplemental Indenture, dated August 2, 2012, among Campbell, The Bank of New York Mellon and Wells Fargo Bank, National Association, as Series Trustee, to Indenture dated November 24, 2008, is incorporated by reference to Exhibit 4.1 to Campbell's Form 8-K (SEC file number 1-3822) filed with the SEC on August 2, 2012.</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4(c)</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Indenture dated as of March 19, 2015, between Campbell and Wells Fargo Bank, National Association, as trustee, is incorporated by reference to Exhibit 4.1 to Campbell's Form 8-K (SEC file number 1-3822) filed with the SEC on March 19, 2015.</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4(d)</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Subordinated Indenture between the registrant and U.S. Bank Trust Company, National Association, as trustee, is incorporated by reference to Exhibit 4.2 to Campbell's Registration Statement on Form S-3 (SEC File No. 333-298306) filed with the SEC on August 13, 2026.</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4(e)</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First Supplemental Indenture, dated as of August 17, 2023, between Campbell Soup Company, Computershare Trust Company, N.A. (as successor in interest to Wells Fargo Bank, National Association), as retiring trustee, and U.S. Bank Trust Company, National Association, as successor trustee, is incorporated by reference to Exhibit 4.3 to Campbell’s Registration Statement on Form S-3 (SEC file number 333-274048) filed with the SEC on August 17, 2023.</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4(f)</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Form of 3.800% Notes due 2042 is incorporated by reference to Exhibit 4.1 to Campbell's Form 8-K (SEC file number 1-3822) filed with the SEC on August 2, 2012.</w:t>
              </w:r>
            </w:hyperlink>
            <w:r>
              <w:rPr>
                <w:color w:val="000000"/>
              </w:rPr>
              <w:t xml:space="preserve"> </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vAlign w:val="center"/>
          </w:tcPr>
          <w:p>
            <w:pPr>
              <w:pStyle w:val="TableContents"/>
              <w:bidi w:val="0"/>
              <w:spacing w:before="0" w:after="283"/>
              <w:jc w:val="left"/>
              <w:rPr>
                <w:sz w:val="4"/>
                <w:szCs w:val="4"/>
              </w:rPr>
            </w:pPr>
            <w:r>
              <w:rPr>
                <w:sz w:val="4"/>
                <w:szCs w:val="4"/>
              </w:rPr>
            </w:r>
          </w:p>
        </w:tc>
        <w:tc>
          <w:tcPr>
            <w:tcW w:w="9815" w:type="dxa"/>
            <w:gridSpan w:val="3"/>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4(g)</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Form of 4.150% Note due 2028 is incorporated by reference to Exhibit 4.2.6 to Campbell's Form 8-K (SEC file number 1-3822) filed with the SEC on March 16, 2018.</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4(h)</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Form of 4.800% Note due 2048 is incorporated by reference to Exhibit 4.2.7 to Campbell's Form 8-K (SEC file number 1-3822) filed with the SEC on March 16, 2018.</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4(i)</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2.375% Note due 2030 incorporated by reference to Exhibit 4.2.1 to Campbell's Form 8-K (SEC file number 1-3822) filed with the SEC on April 24, 2020.</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4(j)</w:t>
            </w:r>
          </w:p>
        </w:tc>
        <w:tc>
          <w:tcPr>
            <w:tcW w:w="9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3.125% Note due 2050 incorporated by reference to Exhibit 4.2.2 to Campbell's Form 8-K (SEC file number 1-3822) filed with the SEC on April 24, 2020.</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4(k)</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pb-822026x10xkxexb4k.htm">
              <w:r>
                <w:rPr>
                  <w:rStyle w:val="InternetLink"/>
                  <w:rFonts w:ascii="Times New Roman;serif" w:hAnsi="Times New Roman;serif"/>
                  <w:b w:val="false"/>
                  <w:color w:val="0000FF"/>
                  <w:sz w:val="20"/>
                  <w:u w:val="single"/>
                </w:rPr>
                <w:t>Description of securities.</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4(l)</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Form of 2026 Note, incorporated by reference to Exhibit 4.3.1 to Campbell’s Current Report on Form 8-K (SEC file number 1-3822) filed with the SEC on March 21, 2024.</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4(m)</w:t>
            </w:r>
          </w:p>
        </w:tc>
        <w:tc>
          <w:tcPr>
            <w:tcW w:w="98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2027 Note, incorporated by reference to Exhibit 4.3.2 to Campbell’s Current Report on Form 8-K (SEC file number 1-3822) filed with the SEC on March 21, 2024.</w:t>
              </w:r>
            </w:hyperlink>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96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tbl>
      <w:tblPr>
        <w:tblW w:w="10205" w:type="dxa"/>
        <w:jc w:val="center"/>
        <w:tblInd w:w="0" w:type="dxa"/>
        <w:tblLayout w:type="fixed"/>
        <w:tblCellMar>
          <w:top w:w="28" w:type="dxa"/>
          <w:left w:w="28" w:type="dxa"/>
          <w:bottom w:w="28" w:type="dxa"/>
          <w:right w:w="28" w:type="dxa"/>
        </w:tblCellMar>
      </w:tblPr>
      <w:tblGrid>
        <w:gridCol w:w="184"/>
        <w:gridCol w:w="144"/>
        <w:gridCol w:w="136"/>
        <w:gridCol w:w="3000"/>
        <w:gridCol w:w="2783"/>
        <w:gridCol w:w="3958"/>
      </w:tblGrid>
      <w:tr>
        <w:trPr/>
        <w:tc>
          <w:tcPr>
            <w:tcW w:w="18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4(n)</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Form of 2029 Note, incorporated by reference to Exhibit 4.3.3 to Campbell’s Current Report on Form 8-K (SEC file number 1-3822) filed with the SEC on March 21,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4(o)</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Form of 2034 Note, incorporated by reference to Exhibit 4.3.4 to Campbell’s Current Report on Form 8-K (SEC file number 1-3822) filed with the SEC on March 21,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4(p)</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2035 Note, incorporated by reference to Exhibit 4.3.1 to Campbell’s Current Report on Form 8-K (SEC file number 1-3822) filed on October 2,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4(q)</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2054 Note, incorporated by reference to Exhibit 4.3.2 to Campbell’s Current Report on Form 8-K (SEC file number 1-3822) filed on October 2,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4(r)</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2031 Note, incorporated by reference to Exhibit 4.3 to Campbell’s Current Report on Form 8-K (SEC file number 1-3822) filed on December 15, 2025.</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10(a)+</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Campbell Soup Company 2015 Long-Term Incentive Plan is incorporated by reference to Campbell’s 2015 Proxy Statement (SEC file number 1-3822) filed with the SEC on October 9, 2015.</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10(b)+</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Campbell Soup Company 2022 Long-Term Incentive Plan, is incorporated by reference to Appendix B to Campbell’s 2022 Proxy Statement (SEC file number 1-3822) filed with the SEC on October 18, 2022.</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10(c)+</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Campbell Soup Company Annual Incentive Plan, as amended on November 19, 2014, is incorporated by reference to Campbell’s 2014 Proxy Statement (SEC file number 1-3822) filed with the SEC on October 1, 2014.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vAlign w:val="center"/>
          </w:tcPr>
          <w:p>
            <w:pPr>
              <w:pStyle w:val="TableContents"/>
              <w:bidi w:val="0"/>
              <w:spacing w:before="0" w:after="283"/>
              <w:jc w:val="left"/>
              <w:rPr>
                <w:sz w:val="4"/>
                <w:szCs w:val="4"/>
              </w:rPr>
            </w:pPr>
            <w:r>
              <w:rPr>
                <w:sz w:val="4"/>
                <w:szCs w:val="4"/>
              </w:rPr>
            </w:r>
          </w:p>
        </w:tc>
        <w:tc>
          <w:tcPr>
            <w:tcW w:w="9741" w:type="dxa"/>
            <w:gridSpan w:val="3"/>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10(d)+</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Campbell Soup Company Supplemental Employees’ Retirement Plan, as amended and restated effective January 1, 2009, is incorporated by reference to Exhibit 10(c) to Campbell’s Form 10-Q (SEC file number 1-3822) for the fiscal quarter ended February 1, 2009.</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10(e)+</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First Amendment to the Campbell Soup Company Supplemental Employees’ Retirement Plan, effective as of December 31, 2010, is incorporated by reference to Exhibit 10(c) to Campbell’s Form 10-Q (SEC file number 1-3822) for the fiscal quarter ended January 30, 2011.</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10(f)+</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 xml:space="preserve">Form of 2015 Long-Term Incentive Plan Nonqualified Stock Option Agreement is incorporated by reference to Exhibit 10(dd) to Campbell's Form 10-K (SEC file number 1-3822) for the fiscal year ended July 31, 2016. </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10(g)+</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2022 Long-Term Incentive Plan Time-Lapse Restricted Stock Unit Agreement is incorporated by reference to Exhibit 10(w) to Campbell's Form 10-K (SEC file number 1-3822) for the fiscal year ended July 30, 2023.</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10(h)+</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Form of 2022 Long-Term Incentive Plan Performance Restricted Stock Unit Agreement (Earnings Per Share) is incorporated by reference to Exhibit 10(x) to Campbell's Form 10-K (SEC file number 1-3822) for the fiscal year ended July 30, 2023.</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10(i)+</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2022 Long-Term Incentive Plan Performance Restricted Stock Unit Agreement (Total Shareholder Return) is incorporated by reference to Exhibit 10(y) to Campbell's Form 10-K (SEC file number 1-3822) for the fiscal year ended July 30, 2023.</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10(j)+</w:t>
            </w:r>
          </w:p>
        </w:tc>
        <w:tc>
          <w:tcPr>
            <w:tcW w:w="974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20"/>
                  <w:u w:val="single"/>
                </w:rPr>
                <w:t xml:space="preserve">2025 Non-Employee Director Fees are incorporated by reference to Exhibit 10.4 to Campbell’s Form 10-Q (SEC file number 1-3822) for the fiscal quarter ended October 27, 2024. </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Campbell Soup Company Executive Severance Pay Plan is incorporated by reference to Exhibit 10 to Campbell's Form 8-K (SEC file number 1-3822) filed with the SEC on April 2, 2019.</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10(l)+</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First Amendment to the Campbell Soup Company Executive Severance Pay Plan, effective September 1, 2023 is incorporated by reference to Exhibit 10(hh) to Campbell's Form 10-K (SEC file number 1-3822) for the fiscal year ended July 30, 2023.</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10(m)</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 xml:space="preserve">Voting Agreement, dated August 7, 2023, by and among certain funds associated with Advent International Corporation and Campbell Soup Company, is incorporated by reference to Exhibit 10.1 to Campbell’s Form 8-K (SEC file number 1-3822) filed with the SEC on August 7, 2023. </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10(n)</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Five-Year Credit Agreement, dated April 16, 2024, by and among Campbell Soup Company, the Eligible Subsidiaries party thereto from time to time, JPMorgan Chase Bank, N.A., as administrative agent, and the other lenders named therein, is incorporated by reference to Exhibit 10 to Campbell’s Current Report on Form 8-K (SEC file number 1-3822) filed with the SEC on April 16,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10(o)+</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Amended and Restated Change in Control Severance Protection Agreement, is incorporated by reference to Exhibit 10(ee) to Campbell's Annual Report on Form 10-K (SEC file number 1-3822) for the fiscal year ended July 28,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10(p)+</w:t>
            </w:r>
          </w:p>
        </w:tc>
        <w:tc>
          <w:tcPr>
            <w:tcW w:w="9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Form of 2022 Long-Term Incentive Plan Performance Restricted Stock Unit Agreement (Earnings Per Share) is incorporated by reference to Exhibit 10.1 to Campbell's Form 10-Q (SEC file number 1-3822) for the fiscal quarter ended October 27, 2024.</w:t>
              </w:r>
            </w:hyperlink>
          </w:p>
        </w:tc>
      </w:tr>
      <w:tr>
        <w:trPr/>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97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tbl>
      <w:tblPr>
        <w:tblW w:w="10205" w:type="dxa"/>
        <w:jc w:val="center"/>
        <w:tblInd w:w="0" w:type="dxa"/>
        <w:tblLayout w:type="fixed"/>
        <w:tblCellMar>
          <w:top w:w="28" w:type="dxa"/>
          <w:left w:w="28" w:type="dxa"/>
          <w:bottom w:w="28" w:type="dxa"/>
          <w:right w:w="28" w:type="dxa"/>
        </w:tblCellMar>
      </w:tblPr>
      <w:tblGrid>
        <w:gridCol w:w="288"/>
        <w:gridCol w:w="170"/>
        <w:gridCol w:w="173"/>
        <w:gridCol w:w="2885"/>
        <w:gridCol w:w="2766"/>
        <w:gridCol w:w="3923"/>
      </w:tblGrid>
      <w:tr>
        <w:trPr/>
        <w:tc>
          <w:tcPr>
            <w:tcW w:w="2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23"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Form of 2022 Long-Term Incentive Plan Performance Restricted Stock Unit Agreement (Total Shareholder Return) is incorporated by reference to Exhibit 10.2 to Campbell's Form 10-Q (SEC file number 1-3822) for the fiscal quarter ended October 27, 2024.</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10(r)+</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Campbell Soup Company Supplemental Retirement Plan, as amended and restated effective October 1, 2024, is incorporated by reference to Exhibit 10.3 to Campbell’s Form 10-Q (SEC file number 1-3822) for the fiscal quarter ended October 27, 2024.</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10(s)</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Extension Agreement, dated as of August 5, 2025, by and among The Campbell’s Company, the Eligible Subsidiaries party thereto from time to time, JPMorgan Chase Bank, N.A., as administrative agent, and the other lenders named therein, is incorporated by reference to Exhibit 10.1 to Campbell's Current Report on Form 8-K (SEC file number 1-3822) filed with the SEC on August 5, 2025.</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10(t)+</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Form of 2022 Long-Term Incentive Plan Performance Restricted Stock Unit Agreement (Fiscal Year 2026 - Adjusted Earnings Per Share Growth) is incorporated by reference to Exhibit 10(y) to Campbell's Annual Report on Form 10-K (SEC file number 1-3822) for the fiscal year ended August 3, 2025.</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10(u)+</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Form of 2022 Long-Term Incentive Plan Performance Restricted Stock Unit Agreement (Fiscal Year 2026 - Organic Sales Growth) is incorporated by reference to Exhibit 10(z) to Campbell's Annual Report on Form 10-K (SEC file number 1-3822) for the fiscal year ended August 3, 2025.</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10(v)+</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Second Amendment to the Campbell Soup Company Supplemental Employees' Retirement Plan, effective as of March 10, 2026, incorporated by reference to Exhibit 10.1 to Campbell’s Quarterly Report on Form 10-Q (SEC File number 1-3822) for the fiscal quarter ended May 3,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 xml:space="preserve">Extension Agreement, dated as of September 16, 2026, by and among The Campbell’s Company, the Eligible Subsidiaries party thereto from time to time, JPMorgan Chase Bank, N.A., as administrative agent, and the other lenders named therein, is incorporated by reference to Exhibit 10.1 to Campbell's Current Report on Form 8-K (SEC file number 1-3822) filed with the SEC on September </w:t>
              </w:r>
            </w:hyperlink>
            <w:hyperlink r:id="rId50">
              <w:r>
                <w:rPr>
                  <w:rStyle w:val="InternetLink"/>
                  <w:rFonts w:ascii="Times New Roman;serif" w:hAnsi="Times New Roman;serif"/>
                  <w:b w:val="false"/>
                  <w:color w:val="000080"/>
                  <w:sz w:val="20"/>
                  <w:u w:val="single"/>
                </w:rPr>
                <w:t>17</w:t>
              </w:r>
            </w:hyperlink>
            <w:hyperlink r:id="rId51">
              <w:r>
                <w:rPr>
                  <w:rStyle w:val="InternetLink"/>
                  <w:rFonts w:ascii="Times New Roman;serif" w:hAnsi="Times New Roman;serif"/>
                  <w:b w:val="false"/>
                  <w:color w:val="000080"/>
                  <w:sz w:val="20"/>
                  <w:u w:val="single"/>
                </w:rPr>
                <w:t>,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10(x)+</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pb-822026x10xkxexb10x.htm">
              <w:r>
                <w:rPr>
                  <w:rStyle w:val="InternetLink"/>
                  <w:rFonts w:ascii="Times New Roman;serif" w:hAnsi="Times New Roman;serif"/>
                  <w:b w:val="false"/>
                  <w:color w:val="0000FF"/>
                  <w:sz w:val="20"/>
                  <w:u w:val="single"/>
                </w:rPr>
                <w:t>Form of 2022 Long-Term Incentive Plan Nonqualified Stock Option Agreement.</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Insider Trading Policy, is incorporated by reference to Exhibit 19 to Campbell's Annual Report on Form 10-K (SEC file number 1-3822) for the fiscal year ended August 3, 2025.</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80"/>
                  <w:sz w:val="20"/>
                  <w:u w:val="single"/>
                </w:rPr>
                <w:t>Subsidiary List</w:t>
              </w:r>
            </w:hyperlink>
            <w:hyperlink r:id="rId54">
              <w:r>
                <w:rPr>
                  <w:rStyle w:val="InternetLink"/>
                  <w:rFonts w:ascii="Times New Roman;serif" w:hAnsi="Times New Roman;serif"/>
                  <w:b w:val="false"/>
                  <w:color w:val="000080"/>
                  <w:sz w:val="20"/>
                  <w:u w:val="single"/>
                </w:rPr>
                <w:t xml:space="preserve">, </w:t>
              </w:r>
            </w:hyperlink>
            <w:hyperlink r:id="rId55">
              <w:r>
                <w:rPr>
                  <w:rStyle w:val="InternetLink"/>
                  <w:rFonts w:ascii="Times New Roman;serif" w:hAnsi="Times New Roman;serif"/>
                  <w:b w:val="false"/>
                  <w:color w:val="000080"/>
                  <w:sz w:val="20"/>
                  <w:u w:val="single"/>
                </w:rPr>
                <w:t xml:space="preserve">is incorporated by reference to Exhibit </w:t>
              </w:r>
            </w:hyperlink>
            <w:hyperlink r:id="rId56">
              <w:r>
                <w:rPr>
                  <w:rStyle w:val="InternetLink"/>
                  <w:rFonts w:ascii="Times New Roman;serif" w:hAnsi="Times New Roman;serif"/>
                  <w:b w:val="false"/>
                  <w:color w:val="000080"/>
                  <w:sz w:val="20"/>
                  <w:u w:val="single"/>
                </w:rPr>
                <w:t>21</w:t>
              </w:r>
            </w:hyperlink>
            <w:hyperlink r:id="rId57">
              <w:r>
                <w:rPr>
                  <w:rStyle w:val="InternetLink"/>
                  <w:rFonts w:ascii="Times New Roman;serif" w:hAnsi="Times New Roman;serif"/>
                  <w:b w:val="false"/>
                  <w:color w:val="000080"/>
                  <w:sz w:val="20"/>
                  <w:u w:val="single"/>
                </w:rPr>
                <w:t xml:space="preserve"> to Campbell's Annual Report on Form 10-K (SEC file number 1-3822) for the fiscal year ended August 3, 2025</w:t>
              </w:r>
            </w:hyperlink>
            <w:r>
              <w:rPr>
                <w:rFonts w:ascii="Times New Roman;serif" w:hAnsi="Times New Roman;serif"/>
                <w:b w:val="false"/>
                <w:color w:val="0000FF"/>
                <w:sz w:val="20"/>
                <w:u w:val="single"/>
              </w:rPr>
              <w: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pb-822026x10xkxexb23.htm">
              <w:r>
                <w:rPr>
                  <w:rStyle w:val="InternetLink"/>
                  <w:rFonts w:ascii="Times New Roman;serif" w:hAnsi="Times New Roman;serif"/>
                  <w:b w:val="false"/>
                  <w:color w:val="0000FF"/>
                  <w:sz w:val="20"/>
                  <w:u w:val="single"/>
                </w:rPr>
                <w:t>Consent of Independent Registered Public Accounting Firm.</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pb-822026xexb24.htm">
              <w:r>
                <w:rPr>
                  <w:rStyle w:val="InternetLink"/>
                  <w:rFonts w:ascii="Times New Roman;serif" w:hAnsi="Times New Roman;serif"/>
                  <w:b w:val="false"/>
                  <w:color w:val="0000FF"/>
                  <w:sz w:val="20"/>
                  <w:u w:val="single"/>
                </w:rPr>
                <w:t>Powers of Attorney.</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pb-822026x10xkxexb31a.htm">
              <w:r>
                <w:rPr>
                  <w:rStyle w:val="InternetLink"/>
                  <w:rFonts w:ascii="Times New Roman;serif" w:hAnsi="Times New Roman;serif"/>
                  <w:b w:val="false"/>
                  <w:color w:val="0000FF"/>
                  <w:sz w:val="20"/>
                  <w:u w:val="single"/>
                </w:rPr>
                <w:t>Certification of Mick J. Beekhuizen pursuant to Rule 13a-14(a).</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31(b)</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pb-822026x10xkxexb31b.htm">
              <w:r>
                <w:rPr>
                  <w:rStyle w:val="InternetLink"/>
                  <w:rFonts w:ascii="Times New Roman;serif" w:hAnsi="Times New Roman;serif"/>
                  <w:b w:val="false"/>
                  <w:color w:val="0000FF"/>
                  <w:sz w:val="20"/>
                  <w:u w:val="single"/>
                </w:rPr>
                <w:t>Certification of Todd E. Cunfer pursuant to Rule 13a-14(a).</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32(a)</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pb-822026x10xkxexb32a.htm">
              <w:r>
                <w:rPr>
                  <w:rStyle w:val="InternetLink"/>
                  <w:rFonts w:ascii="Times New Roman;serif" w:hAnsi="Times New Roman;serif"/>
                  <w:b w:val="false"/>
                  <w:color w:val="0000FF"/>
                  <w:sz w:val="20"/>
                  <w:u w:val="single"/>
                </w:rPr>
                <w:t>Certification of Mick J. Beekhuizen pursuant to 18 U.S.C. Section 1350.</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32(b)</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pb-822026x10xkxexb32b.htm">
              <w:r>
                <w:rPr>
                  <w:rStyle w:val="InternetLink"/>
                  <w:rFonts w:ascii="Times New Roman;serif" w:hAnsi="Times New Roman;serif"/>
                  <w:b w:val="false"/>
                  <w:color w:val="0000FF"/>
                  <w:sz w:val="20"/>
                  <w:u w:val="single"/>
                </w:rPr>
                <w:t>Certification of Todd E. Cunfer pursuant to 18 U.S.C. Section 1350.</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957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8">
              <w:r>
                <w:rPr>
                  <w:rStyle w:val="InternetLink"/>
                  <w:rFonts w:ascii="Times New Roman;serif" w:hAnsi="Times New Roman;serif"/>
                  <w:b w:val="false"/>
                  <w:color w:val="0000FF"/>
                  <w:sz w:val="20"/>
                  <w:u w:val="single"/>
                </w:rPr>
                <w:t>Amended and Restated Incentive Compensation Clawback Policy is incorporated by reference to Exhibit 97 Annual Report on Form 10-K (SEC file number 1-3822) for the fiscal year ended August 3, 2025.</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Annual Report on Form 10-K, formulated in Inline XBRL (see exhibit 101)</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Certain information in this document marked with “[</w:t>
            </w:r>
            <w:r>
              <w:rPr>
                <w:rFonts w:ascii="Times New Roman;serif" w:hAnsi="Times New Roman;serif"/>
                <w:b w:val="false"/>
                <w:i/>
                <w:color w:val="000000"/>
                <w:sz w:val="20"/>
              </w:rPr>
              <w:t>Redacted</w:t>
            </w:r>
            <w:r>
              <w:rPr>
                <w:rFonts w:ascii="Times New Roman;serif" w:hAnsi="Times New Roman;serif"/>
                <w:b w:val="false"/>
                <w:color w:val="000000"/>
                <w:sz w:val="20"/>
              </w:rPr>
              <w:t>]” has been excluded pursuant to Item 601(b)(2) of Regulation S-K. Such excluded information is not material and is treated by the registrant as private and confidential. An unredacted copy of the document will be furnished supplementally to the SEC upon request. Schedules and exhibits have been omitted pursuant to Item 601(b)(2) of Regulation S-K. A copy of any omitted schedule or exhibit will be furnished supplementally to the SEC upon request.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exhibit is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98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as amended, Campbell has duly caused this Report to be signed on its behalf by the undersigned, thereunto duly authorized.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September 24, 2026</w:t>
      </w:r>
    </w:p>
    <w:tbl>
      <w:tblPr>
        <w:tblW w:w="7604"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233"/>
        <w:gridCol w:w="2233"/>
        <w:gridCol w:w="2238"/>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CAMPBELL'S COMPANY</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Todd E. Cunfer</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Todd E. Cunfer</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4" w:type="dxa"/>
            <w:gridSpan w:val="3"/>
            <w:vMerge w:val="continue"/>
            <w:tcBorders/>
            <w:tcMar>
              <w:top w:w="0" w:type="dxa"/>
              <w:left w:w="0" w:type="dxa"/>
              <w:bottom w:w="0" w:type="dxa"/>
              <w:right w:w="0" w:type="dxa"/>
            </w:tcMar>
            <w:vAlign w:val="center"/>
          </w:tcPr>
          <w:p>
            <w:pPr>
              <w:pStyle w:val="Normal"/>
              <w:bidi w:val="0"/>
              <w:jc w:val="left"/>
              <w:rPr/>
            </w:pPr>
            <w:r>
              <w:rPr/>
            </w:r>
          </w:p>
        </w:tc>
        <w:tc>
          <w:tcPr>
            <w:tcW w:w="670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Campbell and in the capacities indicated on September 24, 2026.</w:t>
      </w:r>
    </w:p>
    <w:p>
      <w:pPr>
        <w:pStyle w:val="TextBody"/>
        <w:bidi w:val="0"/>
        <w:spacing w:before="12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646"/>
        <w:gridCol w:w="1437"/>
        <w:gridCol w:w="1443"/>
        <w:gridCol w:w="109"/>
        <w:gridCol w:w="109"/>
        <w:gridCol w:w="109"/>
        <w:gridCol w:w="1638"/>
        <w:gridCol w:w="1538"/>
        <w:gridCol w:w="2176"/>
      </w:tblGrid>
      <w:tr>
        <w:trPr/>
        <w:tc>
          <w:tcPr>
            <w:tcW w:w="164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tc>
      </w:tr>
      <w:tr>
        <w:trPr/>
        <w:tc>
          <w:tcPr>
            <w:tcW w:w="4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Mick J. Beekhuizen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Mick J. Beekhuizen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Maria Teresa Hilado</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Todd E. Cunfer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Todd. E. Cunfer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Grant H. Hill</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Kelly L. Palumbo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Kelly L. Palumbo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Sarah Hofstetter</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Controller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Keith R. McLoughlin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 B. Lautenbach</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Fabiola R. Arredondo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 Alice D. Malone, Jr.</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Howard M. Averill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Kurt T. Schmidt</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Bennett Dorrance,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Archbold D. van Beuren</w:t>
            </w:r>
          </w:p>
        </w:tc>
      </w:tr>
      <w:tr>
        <w:trPr/>
        <w:tc>
          <w:tcPr>
            <w:tcW w:w="4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By: /s/ Charles A. Brawley, III</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Charles A. Brawley, III</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General Counsel and Corporate Secretary,</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Attorney-in-fact</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powers of attorney)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99 </w:t>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CAMPBELL'S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Valuation and Qualifying Accounts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Years ended August 2, 2026, August 3, 2025, and July 28, 2024</w:t>
      </w:r>
    </w:p>
    <w:p>
      <w:pPr>
        <w:pStyle w:val="TextBody"/>
        <w:bidi w:val="0"/>
        <w:spacing w:before="0" w:after="0"/>
        <w:jc w:val="center"/>
        <w:rPr/>
      </w:pPr>
      <w:r>
        <w:rPr/>
      </w:r>
    </w:p>
    <w:tbl>
      <w:tblPr>
        <w:tblW w:w="10139" w:type="dxa"/>
        <w:jc w:val="left"/>
        <w:tblInd w:w="0" w:type="dxa"/>
        <w:tblLayout w:type="fixed"/>
        <w:tblCellMar>
          <w:top w:w="28" w:type="dxa"/>
          <w:left w:w="28" w:type="dxa"/>
          <w:bottom w:w="28" w:type="dxa"/>
          <w:right w:w="28" w:type="dxa"/>
        </w:tblCellMar>
      </w:tblPr>
      <w:tblGrid>
        <w:gridCol w:w="1156"/>
        <w:gridCol w:w="1017"/>
        <w:gridCol w:w="1022"/>
        <w:gridCol w:w="727"/>
        <w:gridCol w:w="1246"/>
        <w:gridCol w:w="382"/>
        <w:gridCol w:w="109"/>
        <w:gridCol w:w="109"/>
        <w:gridCol w:w="109"/>
        <w:gridCol w:w="414"/>
        <w:gridCol w:w="946"/>
        <w:gridCol w:w="215"/>
        <w:gridCol w:w="109"/>
        <w:gridCol w:w="109"/>
        <w:gridCol w:w="109"/>
        <w:gridCol w:w="237"/>
        <w:gridCol w:w="541"/>
        <w:gridCol w:w="123"/>
        <w:gridCol w:w="109"/>
        <w:gridCol w:w="109"/>
        <w:gridCol w:w="109"/>
        <w:gridCol w:w="109"/>
        <w:gridCol w:w="109"/>
        <w:gridCol w:w="260"/>
        <w:gridCol w:w="464"/>
        <w:gridCol w:w="190"/>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w:t>
              <w:br/>
              <w:t>(Reduction in) Costs</w:t>
              <w:br/>
              <w:t>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Balance 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End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Period</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ended August 2, 2026</w:t>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discount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reserve</w:t>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Returns reserve</w:t>
            </w:r>
            <w:r>
              <w:rPr>
                <w:rFonts w:ascii="Times New Roman;serif" w:hAnsi="Times New Roman;serif"/>
                <w:b w:val="false"/>
                <w:color w:val="000000"/>
                <w:sz w:val="13"/>
              </w:rPr>
              <w:t>(1)</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allowances</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ended August 3, 2025</w:t>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discount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reserve</w:t>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Returns reserve</w:t>
            </w:r>
            <w:r>
              <w:rPr>
                <w:rFonts w:ascii="Times New Roman;serif" w:hAnsi="Times New Roman;serif"/>
                <w:b w:val="false"/>
                <w:color w:val="000000"/>
                <w:sz w:val="13"/>
              </w:rPr>
              <w:t>(1)</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allowances</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ended July 28, 2024</w:t>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discount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reserve</w:t>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Returns reserve</w:t>
            </w:r>
            <w:r>
              <w:rPr>
                <w:rFonts w:ascii="Times New Roman;serif" w:hAnsi="Times New Roman;serif"/>
                <w:b w:val="false"/>
                <w:color w:val="000000"/>
                <w:sz w:val="13"/>
              </w:rPr>
              <w:t>(1)</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allowances</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0" w:after="10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returns reserve is evaluated quarterly and adjusted accordingly. During each period, returns are charged to Net sales in the Consolidated Statements of Earnings as incurred. Actual returns were approximately $121 million in 2026, and $109 million in 2025 and 2024, or less than 2% of Net sales.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100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 OF SECURITIES REGISTERED PURSUANT TO SECTION 12 OF THE SECURITIES EXCHANGE ACT OF 1934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below description of the capital stock of The Campbell’s Company (the “Company”) is a summary and qualified in its entirety by reference to New Jersey law, the Company’s Restated Certificate of Incorporation, as may be amended (the “Charter”), and the Company’s Amended and Restated By-Laws, as may be amended (the “By-Laws”).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has one class of securities registered under Section 12 of the Securities Exchange Act of 1934, as amended (the “Exchange Act”): its shares of capital stock, par value $0.0375 per share (“Capital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Authorized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Company’s authorized shares consist of 560,000,000 shares of Capital Stock and 40,000,000 shares of preferred stock issuable in one or more classes and series, with preferences, rights, restrictions and qualifications as established by the Board of Directors of the Company (the “Board of Directors”) without shareholder approval, including voting, dividend, redemption, liquidation, sinking fund, conversion and other rights (“Preferred Stock”). The shares of Preferred Stock of each class are without par value unless the amendment creating such class provides for a par value. No shares of Preferred Stock are outstanding.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Voting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Each holder of Capital Stock is entitled to one vote per share on all matters submitted to a vote of shareholders, and may not cumulate their votes in an election for directors. Except as required by the Charter or the rules or regulations of any stock exchange applicable to the Company, or as otherwise provided by law or pursuant to any regulation applicable to the Company or its securities, matters are generally decided by a majority of the Capital Stock votes cast.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Dividend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Holders of Capital Stock are entitled to such dividends as may be lawfully declared from time to time by the Board of Directors of the Company (the “Board of Directors”) from assets legally available for the payment of dividends, subject to the provisions of Preferred Stock and in compliance with the New Jersey Business Corporation Act, as amended (the “Act”).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Liquidation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After satisfaction of creditors and the preferential liquidation rights of any Preferred Stock, the holders of Capital Stock are entitled to share, ratably, in the distribution of all remaining net assets.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Other Rights and Preferences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Holders of Capital Stock have no conversion, redemption or preemptive rights to subscribe to or acquire any of the Company’s securities. Capital Stock is not entitled to the benefit of any sinking fund provisions. There are no restrictions on transfer of Capital Stock, except as required by law.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Certain Other Provisions of the Charter, By-Laws or New Jersey Law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Charter, By-Laws and/or New Jersey law include the following provisions that may have an effect of delaying, deferring or preventing a change in control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4"/>
        </w:rPr>
        <w:t>Two-Thirds Stockholder Approval for Certain Corporate Actions</w:t>
      </w:r>
      <w:r>
        <w:rPr>
          <w:rFonts w:ascii="Times New Roman;serif" w:hAnsi="Times New Roman;serif"/>
          <w:b w:val="false"/>
          <w:i/>
          <w:color w:val="000000"/>
          <w:sz w:val="24"/>
        </w:rPr>
        <w:t xml:space="preserve">. </w:t>
      </w:r>
      <w:r>
        <w:rPr>
          <w:rFonts w:ascii="Times New Roman;serif" w:hAnsi="Times New Roman;serif"/>
          <w:b w:val="false"/>
          <w:color w:val="000000"/>
          <w:sz w:val="24"/>
        </w:rPr>
        <w:t>Except as otherwise required by the By-Laws or the Charter, action by the stockholders to adopt a proposed amendment to the Charter, adopt plans of merger or consolidation, sell all or substantially all of the Company’s assets, or dissolve the Company may be taken by the affirmative vote of two-thirds of the votes cast by the holders of Capital Stock entitled to vote thereon, subject to the rights of any holders of Preferred Stock entitled to vote thereon.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4"/>
        </w:rPr>
        <w:t>Effect of Preferred Stock</w:t>
      </w:r>
      <w:r>
        <w:rPr>
          <w:rFonts w:ascii="Times New Roman;serif" w:hAnsi="Times New Roman;serif"/>
          <w:b w:val="false"/>
          <w:i/>
          <w:color w:val="000000"/>
          <w:sz w:val="24"/>
        </w:rPr>
        <w:t xml:space="preserve">. </w:t>
      </w:r>
      <w:r>
        <w:rPr>
          <w:rFonts w:ascii="Times New Roman;serif" w:hAnsi="Times New Roman;serif"/>
          <w:b w:val="false"/>
          <w:color w:val="000000"/>
          <w:sz w:val="24"/>
        </w:rPr>
        <w:t>The Board of Directors is authorized to approve the issuance of Preferred Stock without stockholder approval and to determine the number of shares, the designations and the relative preferences, rights, restrictions and qualifications of any class or series of Preferred Stock. As a result, the Board of Directors could, without stockholder approval, authorize the issuance of Preferred Stock with voting, dividend, redemption, liquidation, sinking fund, conversion and other rights that could proportionately reduce, minimize or otherwise adversely affect the voting power and other rights of holders of Capital Stock or other classes or series of Preferred Stock or that could have the effect of delaying, deferring or preventing a change in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4"/>
        </w:rPr>
        <w:t>Board of Directors</w:t>
      </w:r>
      <w:r>
        <w:rPr>
          <w:rFonts w:ascii="Times New Roman;serif" w:hAnsi="Times New Roman;serif"/>
          <w:b w:val="false"/>
          <w:i/>
          <w:color w:val="000000"/>
          <w:sz w:val="24"/>
        </w:rPr>
        <w:t xml:space="preserve">. </w:t>
      </w:r>
      <w:r>
        <w:rPr>
          <w:rFonts w:ascii="Times New Roman;serif" w:hAnsi="Times New Roman;serif"/>
          <w:b w:val="false"/>
          <w:color w:val="000000"/>
          <w:sz w:val="24"/>
        </w:rPr>
        <w:t>The Board of Directors, by the affirmative vote of two-thirds of the directors in office, may remove a director for cause where, in their judgment, the continuation of the director in office would be harmful to the Company’s interests and may suspend the director for a reasonable period pending final determination that cause exists for removal.</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i/>
          <w:color w:val="000000"/>
          <w:sz w:val="24"/>
        </w:rPr>
        <w:t>New Jersey Shareholders Protection Act</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We are subject to the provisions of Section 14A-10A of the Act, which is known as the “Shareholders Protection Act.” Generally, the Shareholders Protection Act prohibits a publicly held New Jersey corporation with its principal executive offices or significant business operations in New Jersey, like us, from engaging in any “business combination” with any “interested stockholder” of that corporation for a period of five years following the time at which that stockholder became an “interested stockholder,” unless such business combination is approved by the board of directors prior to the time such person became an interested stockholder, or certain other exceptions apply. An “interested stockholder” is defined generally as a person who, together with affiliates and associates, owns (or within the preceding five-year period owned) 10% or more of the voting power of the outstanding voting stock of such corporation. A “business combination” includes mergers, consolidations, sales,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leases, exchanges, mortgages, pledges, transfers or other dispositions of assets having a value of 10% or more of such corporation’s total assets, certain issuances of stock or other securities and certain other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but not in limitation of the five-year restriction, if applicable, under the Shareholders Protection Act, the Company may not engage in a business combination with an interested stockholder at any time unless: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Board of Directors approved the business combination prior to the time the stockholder became an interested stockholder;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holders of two-thirds of the Company’s voting stock (which includes Capital Stock) not beneficially owned by the interested stockholder affirmatively vote to approve the business combination at a meeting called for that purpose;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consideration received by the non-interested stockholders in the business combination meets the standards of the statute, which is designed to ensure that all other stockholders receive at least the highest price per share paid by the interested stockholder; 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business combination is approved by (a) the Board of Directors, or a committee of the Board of Directors consisting solely of persons who are not employees, officers, directors, stockholders, affiliates or associates of the interested stockholder prior to the consummation of the business combination; and (b) the affirmative vote of the holders of a majority of the voting stock (excluding that beneficially owned by the interested stockholder) at a meeting called for that purpose if the transaction or series of related transactions with the interested stockholder which caused the person to become an interested stockholder was approved by the Board of Directors prior to the consummation of that transaction or series of related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New Jersey corporation that has publicly traded voting stock may not opt out of these restrictions. These provisions could have the effect of delaying, deferring or preventing a change of control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4"/>
        </w:rPr>
        <w:t>Advance Notice Requirements</w:t>
      </w:r>
      <w:r>
        <w:rPr>
          <w:rFonts w:ascii="Times New Roman;serif" w:hAnsi="Times New Roman;serif"/>
          <w:b w:val="false"/>
          <w:i/>
          <w:color w:val="000000"/>
          <w:sz w:val="24"/>
        </w:rPr>
        <w:t xml:space="preserve">. </w:t>
      </w:r>
      <w:r>
        <w:rPr>
          <w:rFonts w:ascii="Times New Roman;serif" w:hAnsi="Times New Roman;serif"/>
          <w:b w:val="false"/>
          <w:color w:val="000000"/>
          <w:sz w:val="24"/>
        </w:rPr>
        <w:t>Stockholders wishing to nominate persons for election to the Board of Directors at an annual meeting or to propose any business to be considered by the Company’s stockholders at an annual meeting must comply with certain advance notice and other requirements set forth in the By-Laws.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i/>
          <w:color w:val="000000"/>
          <w:sz w:val="24"/>
        </w:rPr>
        <w:t>Board Vacancies</w:t>
      </w:r>
      <w:r>
        <w:rPr>
          <w:rFonts w:ascii="Times New Roman;serif" w:hAnsi="Times New Roman;serif"/>
          <w:b w:val="false"/>
          <w:i/>
          <w:color w:val="000000"/>
          <w:sz w:val="24"/>
        </w:rPr>
        <w:t xml:space="preserve">. </w:t>
      </w:r>
      <w:r>
        <w:rPr>
          <w:rFonts w:ascii="Times New Roman;serif" w:hAnsi="Times New Roman;serif"/>
          <w:b w:val="false"/>
          <w:color w:val="000000"/>
          <w:sz w:val="24"/>
        </w:rPr>
        <w:t>Any vacancy on the Board of Directors may be filled by the affirmative vote of a majority of the directors then in office; provided that in case of an increase in the number of directors pursuant to an amendment to the By-Laws made by the Company’s stockholders, the stockholders may fill the vacancy or vacancies so created at the meeting at which such amendment is effected or may authorize the Board of Directors to fill such vacancy or vacancies. Any director elected to fill a vacancy shall hold office until the next annual meeting of stockholders and until such director’s successor shall have been elected and qualified.</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4"/>
        </w:rPr>
        <w:t>Special Meetings; Stockholder Action by Written Consent</w:t>
      </w:r>
      <w:r>
        <w:rPr>
          <w:rFonts w:ascii="Times New Roman;serif" w:hAnsi="Times New Roman;serif"/>
          <w:b w:val="false"/>
          <w:i/>
          <w:color w:val="000000"/>
          <w:sz w:val="24"/>
        </w:rPr>
        <w:t xml:space="preserve">. </w:t>
      </w:r>
      <w:r>
        <w:rPr>
          <w:rFonts w:ascii="Times New Roman;serif" w:hAnsi="Times New Roman;serif"/>
          <w:b w:val="false"/>
          <w:color w:val="000000"/>
          <w:sz w:val="24"/>
        </w:rPr>
        <w:t>Special meetings of the stockholders may be called at any time by the Chairman of the Board of Directors or the Company’s president, or a majority of the Board of Directors, and upon the written request of stockholders of record holding a majority of Capital Stock issued and outstanding and entitled to vote at such meeting.</w:t>
      </w:r>
    </w:p>
    <w:p>
      <w:pPr>
        <w:pStyle w:val="TextBody"/>
        <w:bidi w:val="0"/>
        <w:spacing w:before="0" w:after="0"/>
        <w:ind w:left="0" w:right="0" w:firstLine="720"/>
        <w:jc w:val="both"/>
        <w:rPr/>
      </w:pPr>
      <w:r>
        <w:rPr/>
      </w:r>
    </w:p>
    <w:p>
      <w:pPr>
        <w:pStyle w:val="TextBody"/>
        <w:bidi w:val="0"/>
        <w:spacing w:lineRule="auto" w:line="288"/>
        <w:ind w:left="0" w:right="0" w:firstLine="720"/>
        <w:jc w:val="left"/>
        <w:rPr/>
      </w:pPr>
      <w:r>
        <w:rPr>
          <w:rFonts w:ascii="Times New Roman;serif" w:hAnsi="Times New Roman;serif"/>
          <w:b/>
          <w:i/>
          <w:color w:val="000000"/>
          <w:sz w:val="24"/>
        </w:rPr>
        <w:t>Amendments and Certain Other Provisions</w:t>
      </w:r>
      <w:r>
        <w:rPr>
          <w:rFonts w:ascii="Times New Roman;serif" w:hAnsi="Times New Roman;serif"/>
          <w:b w:val="false"/>
          <w:i/>
          <w:color w:val="000000"/>
          <w:sz w:val="24"/>
        </w:rPr>
        <w:t xml:space="preserve">. </w:t>
      </w:r>
      <w:r>
        <w:rPr>
          <w:rFonts w:ascii="Times New Roman;serif" w:hAnsi="Times New Roman;serif"/>
          <w:b w:val="false"/>
          <w:color w:val="000000"/>
          <w:sz w:val="24"/>
        </w:rPr>
        <w:t>The By-Laws may be altered, amended or repealed at any regular meeting of the stockholders (or at any special meeting thereof duly called for that purpose) by a majority of votes cast at such meeting. Subject to the laws of the State of New Jersey, the Charter and the By-Laws, the Board of Directors may amend the By-Laws by a majority vote of the members of the Board of Directors at the time in office at any regular or special meeting of the Board of Directors.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CAMPBELL’S COMPANY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2022 LONG-TERM INCENTIVE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NONQUALIFIED STOCK OPTION AGREEMENT</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NONQUALIFIED STOCK OPTION AGREEMENT</w:t>
      </w:r>
      <w:r>
        <w:rPr>
          <w:color w:val="000000"/>
        </w:rPr>
        <w:t xml:space="preserve"> </w:t>
      </w:r>
      <w:r>
        <w:rPr>
          <w:rFonts w:ascii="Times New Roman;serif" w:hAnsi="Times New Roman;serif"/>
          <w:b w:val="false"/>
          <w:color w:val="000000"/>
          <w:sz w:val="22"/>
        </w:rPr>
        <w:t xml:space="preserve">(the “Agreement”) </w:t>
      </w:r>
      <w:r>
        <w:rPr>
          <w:rFonts w:ascii="Times New Roman;serif" w:hAnsi="Times New Roman;serif"/>
          <w:b w:val="false"/>
          <w:color w:val="000000"/>
          <w:sz w:val="22"/>
          <w:shd w:fill="FFFFFF" w:val="clear"/>
        </w:rPr>
        <w:t xml:space="preserve">between The Campbell’s Company (f/k/a Campbell Soup Company and hereinafter, the “Company”) and [Employee Full Legal Name] </w:t>
      </w:r>
      <w:r>
        <w:rPr>
          <w:rFonts w:ascii="Times New Roman;serif" w:hAnsi="Times New Roman;serif"/>
          <w:b w:val="false"/>
          <w:color w:val="000000"/>
          <w:sz w:val="22"/>
        </w:rPr>
        <w:t>(the “Optionee”)</w:t>
      </w:r>
      <w:r>
        <w:rPr>
          <w:rFonts w:ascii="Times New Roman;serif" w:hAnsi="Times New Roman;serif"/>
          <w:b w:val="false"/>
          <w:color w:val="000000"/>
          <w:sz w:val="22"/>
          <w:shd w:fill="FFFFFF" w:val="clear"/>
        </w:rPr>
        <w:t xml:space="preserve">, an employee of the Company or one of its participating subsidiaries, </w:t>
      </w:r>
      <w:r>
        <w:rPr>
          <w:rFonts w:ascii="Times New Roman;serif" w:hAnsi="Times New Roman;serif"/>
          <w:b w:val="false"/>
          <w:color w:val="000000"/>
          <w:sz w:val="22"/>
        </w:rPr>
        <w:t>is effective as of</w:t>
      </w:r>
      <w:r>
        <w:rPr>
          <w:color w:val="000000"/>
          <w:shd w:fill="FFFFFF" w:val="clear"/>
        </w:rPr>
        <w:t xml:space="preserve"> </w:t>
      </w:r>
      <w:r>
        <w:rPr>
          <w:rFonts w:ascii="Times New Roman;serif" w:hAnsi="Times New Roman;serif"/>
          <w:b w:val="false"/>
          <w:color w:val="000000"/>
          <w:sz w:val="22"/>
          <w:shd w:fill="FFFFFF" w:val="clear"/>
        </w:rPr>
        <w:t>(the “Grant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desires to award the Optionee Non-Qualified Stock Options to purchase shares of capital stock of the Company under the Company’s 2022 Long-Term Incentive Plan, as amended (the “Plan”);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by accepting this award, the Optionee agrees to the terms of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NOW, THEREFORE, </w:t>
      </w:r>
      <w:r>
        <w:rPr>
          <w:rFonts w:ascii="Times New Roman;serif" w:hAnsi="Times New Roman;serif"/>
          <w:b w:val="false"/>
          <w:color w:val="000000"/>
          <w:sz w:val="22"/>
        </w:rPr>
        <w:t>in consideration of valuable considerations the legal sufficiency of which is hereby acknowledged,</w:t>
      </w:r>
      <w:r>
        <w:rPr>
          <w:color w:val="000000"/>
        </w:rPr>
        <w:t xml:space="preserve"> </w:t>
      </w:r>
      <w:r>
        <w:rPr>
          <w:rFonts w:ascii="Times New Roman;serif" w:hAnsi="Times New Roman;serif"/>
          <w:b w:val="false"/>
          <w:color w:val="000000"/>
          <w:sz w:val="22"/>
        </w:rPr>
        <w:t xml:space="preserve">the Company and the Optionee, each intending to be legally bound hereby, agree as follows: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1. </w:t>
      </w:r>
      <w:r>
        <w:rPr>
          <w:rFonts w:ascii="Times New Roman;serif" w:hAnsi="Times New Roman;serif"/>
          <w:b/>
          <w:color w:val="000000"/>
          <w:sz w:val="22"/>
          <w:u w:val="single"/>
        </w:rPr>
        <w:t>Option Grant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hereby grants to the Optionee, as of the Grant Date, the right and option (this “Option”) to purchase the number of shares of capital stock, $.0375 par value of the Company (the “Shares”) for the exercise price per share (the “Exercise Price”), all as set forth below. Such Option shall vest and terminate according to the vesting schedule and term information described below. Notwithstanding anything to the contrary herein, no Option may be exercised after the close of business at the Company’s headquarters on the 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anniversary of the Grant Date (“Expiration Date”). If the Expiration Date does not fall on a Company business day, the Expiration Date shall be the immediately preceding business day. </w:t>
      </w:r>
    </w:p>
    <w:p>
      <w:pPr>
        <w:pStyle w:val="TextBody"/>
        <w:bidi w:val="0"/>
        <w:spacing w:before="0" w:after="0"/>
        <w:ind w:left="0" w:right="0" w:firstLine="720"/>
        <w:jc w:val="both"/>
        <w:rPr/>
      </w:pPr>
      <w:r>
        <w:rPr/>
      </w:r>
    </w:p>
    <w:tbl>
      <w:tblPr>
        <w:tblW w:w="5398" w:type="dxa"/>
        <w:jc w:val="left"/>
        <w:tblInd w:w="0" w:type="dxa"/>
        <w:tblLayout w:type="fixed"/>
        <w:tblCellMar>
          <w:top w:w="28" w:type="dxa"/>
          <w:left w:w="28" w:type="dxa"/>
          <w:bottom w:w="28" w:type="dxa"/>
          <w:right w:w="28" w:type="dxa"/>
        </w:tblCellMar>
      </w:tblPr>
      <w:tblGrid>
        <w:gridCol w:w="722"/>
        <w:gridCol w:w="633"/>
        <w:gridCol w:w="639"/>
        <w:gridCol w:w="996"/>
        <w:gridCol w:w="996"/>
        <w:gridCol w:w="1412"/>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 of Grant:</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[Grant Date]</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Number of Options: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[Options Granted]</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Type of Option:</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Non-Qualified Stock Option</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Exercise Price:</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$[Grant Price]</w:t>
            </w:r>
          </w:p>
        </w:tc>
      </w:tr>
      <w:tr>
        <w:trPr/>
        <w:tc>
          <w:tcPr>
            <w:tcW w:w="19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Expiration Date:</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both"/>
              <w:rPr/>
            </w:pPr>
            <w:r>
              <w:rPr>
                <w:rFonts w:ascii="Times New Roman;serif" w:hAnsi="Times New Roman;serif"/>
                <w:b w:val="false"/>
                <w:color w:val="000000"/>
                <w:sz w:val="22"/>
              </w:rPr>
              <w:t>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Anniversary of the Grant Date</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shd w:fill="FFFFFF" w:val="clear"/>
        </w:rPr>
        <w:t>2.</w:t>
      </w:r>
      <w:r>
        <w:rPr>
          <w:color w:val="000000"/>
        </w:rPr>
        <w:t xml:space="preserve"> </w:t>
      </w:r>
      <w:r>
        <w:rPr>
          <w:rFonts w:ascii="Times New Roman;serif" w:hAnsi="Times New Roman;serif"/>
          <w:b/>
          <w:color w:val="000000"/>
          <w:sz w:val="22"/>
          <w:u w:val="single"/>
        </w:rPr>
        <w:t>Vesting Schedule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shd w:fill="FFFFFF" w:val="clear"/>
        </w:rPr>
        <w:t>Subject to the terms of this Agreement and the Plan and provided that the Optionee remains continuously employed throughout the vesting periods, this Option shall vest and become exercisable upon the each of the first three (3) anniversaries of the Grant Date (each a “Vesting Date”), as set forth below:</w:t>
      </w:r>
    </w:p>
    <w:p>
      <w:pPr>
        <w:pStyle w:val="TextBody"/>
        <w:bidi w:val="0"/>
        <w:spacing w:before="0" w:after="0"/>
        <w:ind w:left="0" w:right="0" w:firstLine="720"/>
        <w:jc w:val="both"/>
        <w:rPr/>
      </w:pPr>
      <w:r>
        <w:rPr/>
      </w:r>
    </w:p>
    <w:tbl>
      <w:tblPr>
        <w:tblW w:w="5024" w:type="dxa"/>
        <w:jc w:val="left"/>
        <w:tblInd w:w="0" w:type="dxa"/>
        <w:tblLayout w:type="fixed"/>
        <w:tblCellMar>
          <w:top w:w="28" w:type="dxa"/>
          <w:left w:w="28" w:type="dxa"/>
          <w:bottom w:w="28" w:type="dxa"/>
          <w:right w:w="28" w:type="dxa"/>
        </w:tblCellMar>
      </w:tblPr>
      <w:tblGrid>
        <w:gridCol w:w="482"/>
        <w:gridCol w:w="425"/>
        <w:gridCol w:w="427"/>
        <w:gridCol w:w="1079"/>
        <w:gridCol w:w="1079"/>
        <w:gridCol w:w="1532"/>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Vesting Date</w:t>
            </w:r>
          </w:p>
        </w:tc>
        <w:tc>
          <w:tcPr>
            <w:tcW w:w="3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Cumulative Number of Option Shares</w:t>
            </w:r>
          </w:p>
        </w:tc>
      </w:tr>
      <w:tr>
        <w:trPr/>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 1]</w:t>
            </w:r>
          </w:p>
        </w:tc>
        <w:tc>
          <w:tcPr>
            <w:tcW w:w="3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[#Vesting on Date 1]</w:t>
            </w:r>
          </w:p>
        </w:tc>
      </w:tr>
      <w:tr>
        <w:trPr/>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 2]</w:t>
            </w:r>
          </w:p>
        </w:tc>
        <w:tc>
          <w:tcPr>
            <w:tcW w:w="3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[#Vesting on Date 2]</w:t>
            </w:r>
          </w:p>
        </w:tc>
      </w:tr>
      <w:tr>
        <w:trPr/>
        <w:tc>
          <w:tcPr>
            <w:tcW w:w="13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 3]</w:t>
            </w:r>
          </w:p>
        </w:tc>
        <w:tc>
          <w:tcPr>
            <w:tcW w:w="36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[#Vesting on Date 3]</w:t>
            </w:r>
          </w:p>
        </w:tc>
      </w:tr>
    </w:tbl>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5780"/>
                <wp:effectExtent l="0" t="0" r="0" b="0"/>
                <wp:wrapNone/>
                <wp:docPr id="107" name="Frame10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3. </w:t>
      </w:r>
      <w:r>
        <w:rPr>
          <w:rFonts w:ascii="Times New Roman;serif" w:hAnsi="Times New Roman;serif"/>
          <w:b/>
          <w:color w:val="000000"/>
          <w:sz w:val="22"/>
          <w:u w:val="single"/>
        </w:rPr>
        <w:t>Option Exercise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To exercise an Option, the Optionee must follow any exercise procedures established by the Company and pay the exercise price in U.S. dollars or in Shares valued at their “Fair Market Value” (as defined under Section 2.18 of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4. </w:t>
      </w:r>
      <w:r>
        <w:rPr>
          <w:rFonts w:ascii="Times New Roman;serif" w:hAnsi="Times New Roman;serif"/>
          <w:b/>
          <w:color w:val="000000"/>
          <w:sz w:val="22"/>
          <w:u w:val="single"/>
        </w:rPr>
        <w:t>Incorporation of Plan Terms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This award is subject to the terms and conditions of the Plan. Such terms and conditions of the Plan are incorporated into and made a part of this Agreement by reference. In the event of any conflicts between the provisions of this Agreement and the terms of the Plan, the terms of the Plan will control. The Compensation and Organization Committee of the Board of Directors (the “Committee”) shall have the right to resolve all questions which may arise in connection with this Option or this Agreement, including whether an Optionee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5. </w:t>
      </w:r>
      <w:r>
        <w:rPr>
          <w:rFonts w:ascii="Times New Roman;serif" w:hAnsi="Times New Roman;serif"/>
          <w:b/>
          <w:color w:val="000000"/>
          <w:sz w:val="22"/>
          <w:u w:val="single"/>
        </w:rPr>
        <w:t>Termination of Employment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the Optionee’s employment is terminated, (i) any part of the Option that is unvested as of such termination date shall remain unvested and shall terminate as of such date, and (ii) the Optionee shall have the right for one (1) year after the date of such termination of employment or until the Expiration Date, whichever is earlier, to exercise only that portion of the Option that has become vested as of the date of such Termination of Employment, and thereafter the Option shall terminate and cease to be exercisable, except as provided in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Termination of Employment for Cause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The portion, if any, of the Option that remains unexercised (vested or unvested) shall terminate and become null and void if the Optionee’s employment is terminated for Cause.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w:t>
      </w:r>
      <w:r>
        <w:rPr>
          <w:rFonts w:ascii="Times New Roman;serif" w:hAnsi="Times New Roman;serif"/>
          <w:b w:val="false"/>
          <w:color w:val="000000"/>
          <w:sz w:val="22"/>
          <w:u w:val="single"/>
        </w:rPr>
        <w:t>Voluntary Termination of Employment by Optionee</w:t>
      </w:r>
      <w:r>
        <w:rPr>
          <w:rFonts w:ascii="Times New Roman;serif" w:hAnsi="Times New Roman;serif"/>
          <w:b w:val="false"/>
          <w:color w:val="000000"/>
          <w:sz w:val="22"/>
        </w:rPr>
        <w:t>. Upon a voluntary termination of employment by Optionee and Optionee is not Retirement Eligible, (i) any part of the Option that is unvested as of such termination date shall remain unvested and shall terminate as of such date, and (ii) the Optionee shall have the right for three (3) months after the date of such termination of employment or until the Expiration Date, whichever is earlier, to exercise only that portion of the Option that has become vested as of the date of such termination of employment, and thereafter the Option shall terminate and cease to be exercisable.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(c) </w:t>
      </w:r>
      <w:r>
        <w:rPr>
          <w:rFonts w:ascii="Times New Roman;serif" w:hAnsi="Times New Roman;serif"/>
          <w:b w:val="false"/>
          <w:color w:val="000000"/>
          <w:sz w:val="22"/>
          <w:u w:val="single"/>
        </w:rPr>
        <w:t>Retirement, Total Disability, or Death After Six Months Following the Grant Date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If the Optionee’s employment is terminated after at least six (6) months have elapsed following the Grant Date: (i) as the result of the Optionee’s Retirement, Total Disability or death; or (ii) by the Company for reasons other than Cause and the Optionee is Retirement Eligible, (x) any part of the Option that was originally scheduled to vest will continue to vest, and (y) the Optionee or a person who acquired the right to exercise the Option by inheritance or by the laws of descent and distribution shall have the right until the Option ceases to be exercisable to exercise the Option.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For purposes of this Agreement, the following terms shall have the meanings set forth below:</w:t>
      </w:r>
    </w:p>
    <w:p>
      <w:pPr>
        <w:pStyle w:val="TextBody"/>
        <w:bidi w:val="0"/>
        <w:spacing w:lineRule="auto" w:line="288"/>
        <w:ind w:left="0" w:right="0" w:firstLine="1440"/>
        <w:jc w:val="both"/>
        <w:rPr/>
      </w:pPr>
      <w:r>
        <w:rPr>
          <w:rFonts w:ascii="Times New Roman;serif" w:hAnsi="Times New Roman;serif"/>
          <w:b w:val="false"/>
          <w:color w:val="000000"/>
          <w:sz w:val="22"/>
        </w:rPr>
        <w:t>1.</w:t>
      </w:r>
      <w:r>
        <w:rPr>
          <w:color w:val="000000"/>
        </w:rPr>
        <w:t>“</w:t>
      </w:r>
      <w:r>
        <w:rPr>
          <w:rFonts w:ascii="Times New Roman;serif" w:hAnsi="Times New Roman;serif"/>
          <w:b w:val="false"/>
          <w:color w:val="000000"/>
          <w:sz w:val="22"/>
        </w:rPr>
        <w:t>Retirement” or “Retirement Eligible” means the Optionee terminates, or is eligible to terminate, employment with the Company or its subsidiaries after attaining 55 years of age with at least 5 years of continuous service on or prior to the date of termination.</w:t>
      </w:r>
      <w:r>
        <w:rPr>
          <w:color w:val="000000"/>
        </w:rPr>
        <w:t xml:space="preserve"> “</w:t>
      </w:r>
      <w:r>
        <w:rPr>
          <w:rFonts w:ascii="Times New Roman;serif" w:hAnsi="Times New Roman;serif"/>
          <w:b w:val="false"/>
          <w:color w:val="000000"/>
          <w:sz w:val="22"/>
        </w:rPr>
        <w:t xml:space="preserve">Total Disability means “Total Disability” or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2.</w:t>
      </w:r>
      <w:r>
        <w:rPr>
          <w:color w:val="000000"/>
        </w:rPr>
        <w:t>“</w:t>
      </w:r>
      <w:r>
        <w:rPr>
          <w:rFonts w:ascii="Times New Roman;serif" w:hAnsi="Times New Roman;serif"/>
          <w:b w:val="false"/>
          <w:color w:val="000000"/>
          <w:sz w:val="22"/>
        </w:rPr>
        <w:t>Totally Disabled” as that term is defined under a Company-sponsored long-term disability plan from which Optionee is receiving disability benefits and which is in effect from time to time on and after the Grant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6. </w:t>
      </w:r>
      <w:r>
        <w:rPr>
          <w:rFonts w:ascii="Times New Roman;serif" w:hAnsi="Times New Roman;serif"/>
          <w:b/>
          <w:color w:val="000000"/>
          <w:sz w:val="22"/>
          <w:u w:val="single"/>
        </w:rPr>
        <w:t>Withholding of Taxes</w:t>
      </w:r>
      <w:r>
        <w:rPr>
          <w:rFonts w:ascii="Times New Roman;serif" w:hAnsi="Times New Roman;serif"/>
          <w:b w:val="false"/>
          <w:color w:val="000000"/>
          <w:sz w:val="22"/>
        </w:rPr>
        <w:t xml:space="preserve">. As a condition of issuing any Shares upon exercise of the Option, the Optionee shall pay any sums required to be withheld by federal, state, local, or other applicable tax law with respect to such exercise. In accordance with any procedures as may be established by the Committee, the Optionee may satisfy any required withholding payments in cash or Shares (including the surrender of Shares already owned by the Optionee). The value of any Shares surrendered or withheld shall equal the closing price on the New York Stock Exchange composite tape on the tax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7. </w:t>
      </w:r>
      <w:r>
        <w:rPr>
          <w:rFonts w:ascii="Times New Roman;serif" w:hAnsi="Times New Roman;serif"/>
          <w:b/>
          <w:color w:val="000000"/>
          <w:sz w:val="22"/>
          <w:u w:val="single"/>
        </w:rPr>
        <w:t>Limits on Transferability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Option may not be sold, pledged, hypothecated, or transferred in any manner other than by will or by the laws of descent and distribution and may be exercised during the lifetime of Optionee only by Optionee. The terms of this Agreement shall be binding upon the executors, administrators, heirs, successors and assigns of Optionee. The Options shall not be subject to execution, attachment or other process.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8. </w:t>
      </w:r>
      <w:r>
        <w:rPr>
          <w:rFonts w:ascii="Times New Roman;serif" w:hAnsi="Times New Roman;serif"/>
          <w:b/>
          <w:color w:val="000000"/>
          <w:sz w:val="22"/>
          <w:u w:val="single"/>
        </w:rPr>
        <w:t>No Compensation Deferrals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the Plan nor this Agreement is intended to provide for an elective deferral of compensation that would be subject to Section 409A (“Section 409A”) of the Internal Revenue Code of 1986, as amended from time to time. The Company reserves the right, to the extent the Company deems necessary or advisable in its sole discretion, to unilaterally amend or modify the Plan and/or this Agreement to ensure that no awards (including without limitation, this Option) become subject to Section 409A.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9. </w:t>
      </w:r>
      <w:r>
        <w:rPr>
          <w:rFonts w:ascii="Times New Roman;serif" w:hAnsi="Times New Roman;serif"/>
          <w:b/>
          <w:color w:val="000000"/>
          <w:sz w:val="22"/>
          <w:u w:val="single"/>
        </w:rPr>
        <w:t>No Employment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Nothing contained in the Plan or this Agreement shall give any employee the right to be retained in the employment of any member of the Company or affect the right of any such employer to terminate any employee.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10. </w:t>
      </w:r>
      <w:r>
        <w:rPr>
          <w:rFonts w:ascii="Times New Roman;serif" w:hAnsi="Times New Roman;serif"/>
          <w:b/>
          <w:color w:val="000000"/>
          <w:sz w:val="22"/>
          <w:u w:val="single"/>
        </w:rPr>
        <w:t>Compliance with Securities Laws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Shares shall not be issued with respect to this Option unless the issuance and delivery of such Shares shall comply with all relevant provisions of state and federal laws, rules and regulations, and, in the discretion of the Company, shall be further subject to the approval of counsel for the Company with respect to that compliance.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11. </w:t>
      </w:r>
      <w:r>
        <w:rPr>
          <w:rFonts w:ascii="Times New Roman;serif" w:hAnsi="Times New Roman;serif"/>
          <w:b/>
          <w:color w:val="000000"/>
          <w:sz w:val="22"/>
          <w:u w:val="single"/>
        </w:rPr>
        <w:t>Successors.</w:t>
      </w:r>
      <w:r>
        <w:rPr>
          <w:color w:val="000000"/>
        </w:rPr>
        <w:t xml:space="preserve"> </w:t>
      </w:r>
      <w:r>
        <w:rPr>
          <w:rFonts w:ascii="Times New Roman;serif" w:hAnsi="Times New Roman;serif"/>
          <w:b w:val="false"/>
          <w:color w:val="000000"/>
          <w:sz w:val="22"/>
        </w:rPr>
        <w:t>This Agreement shall be binding upon and inure to the benefit of any successor or successors of the Company and any person or persons who shall acquire any rights hereunder in accordance with this Agreement or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12. </w:t>
      </w:r>
      <w:r>
        <w:rPr>
          <w:rFonts w:ascii="Times New Roman;serif" w:hAnsi="Times New Roman;serif"/>
          <w:b/>
          <w:color w:val="000000"/>
          <w:sz w:val="22"/>
          <w:u w:val="single"/>
        </w:rPr>
        <w:t>Governing Law; Jurisdiction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shall be construed in accordance with, and its interpretation shall otherwise be 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color w:val="000000"/>
          <w:sz w:val="22"/>
        </w:rPr>
        <w:t xml:space="preserve">13. </w:t>
      </w:r>
      <w:r>
        <w:rPr>
          <w:rFonts w:ascii="Times New Roman;serif" w:hAnsi="Times New Roman;serif"/>
          <w:b/>
          <w:color w:val="000000"/>
          <w:sz w:val="22"/>
          <w:u w:val="single"/>
        </w:rPr>
        <w:t>Severability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which could be deemed null and void shall first be construed, interpreted or revised retroactively to permit this Agreement to be construed so as to foster the intent of this Agreement and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14. </w:t>
      </w:r>
      <w:r>
        <w:rPr>
          <w:rFonts w:ascii="Times New Roman;serif" w:hAnsi="Times New Roman;serif"/>
          <w:b/>
          <w:color w:val="000000"/>
          <w:sz w:val="22"/>
          <w:u w:val="single"/>
        </w:rPr>
        <w:t>Electronic Delivery and Acceptance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may, in its sole discretion, decide to deliver any documents related to current or future participation in the Plan by electronic means or to request the Optionee’s consent to participate in the Plan by electronic means. The Optionee hereby consents to receive such documents by electronic delivery and, if requested, agrees to participate in the Plan through an on-line or electronic system established and maintained by the Company or a third party designated by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 xml:space="preserve">15. </w:t>
      </w:r>
      <w:r>
        <w:rPr>
          <w:rFonts w:ascii="Times New Roman;serif" w:hAnsi="Times New Roman;serif"/>
          <w:b/>
          <w:color w:val="000000"/>
          <w:sz w:val="22"/>
          <w:u w:val="single"/>
        </w:rPr>
        <w:t>Entire Agreement</w:t>
      </w:r>
      <w:r>
        <w:rPr>
          <w:rFonts w:ascii="Times New Roman;serif" w:hAnsi="Times New Roman;serif"/>
          <w:b/>
          <w:color w:val="000000"/>
          <w:sz w:val="22"/>
        </w:rPr>
        <w:t xml:space="preserve">. </w:t>
      </w:r>
      <w:r>
        <w:rPr>
          <w:rFonts w:ascii="Times New Roman;serif" w:hAnsi="Times New Roman;serif"/>
          <w:b w:val="false"/>
          <w:color w:val="000000"/>
          <w:sz w:val="22"/>
        </w:rPr>
        <w:t xml:space="preserve">The terms of the Plan and this Agreement when accepted by Participant will constitute the entire agreement with respect to the subject matter hereof. This Agreement supersedes any prior agreements, representations or promises of the parties relating to the subject matter hereof.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Company has caused this Agreement to be executed by a duly authorized executive all as of the first date above written.</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THE CAMPBELL’S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 xml:space="preserve">By: </w:t>
      </w:r>
      <w:r>
        <w:rPr>
          <w:color w:val="000000"/>
          <w:u w:val="single"/>
          <w:shd w:fill="FFFFFF" w:val="clear"/>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Diane Johnson May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&amp;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People and Culture Officer</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480" w:after="480"/>
        <w:jc w:val="center"/>
        <w:rPr>
          <w:rFonts w:ascii="Times New Roman;serif" w:hAnsi="Times New Roman;serif"/>
          <w:b/>
          <w:color w:val="000000"/>
          <w:sz w:val="20"/>
          <w:u w:val="single"/>
        </w:rPr>
      </w:pPr>
      <w:r>
        <w:rPr>
          <w:rFonts w:ascii="Times New Roman;serif" w:hAnsi="Times New Roman;serif"/>
          <w:b/>
          <w:color w:val="000000"/>
          <w:sz w:val="20"/>
          <w:u w:val="single"/>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 333-298306) and Form S-8 (Nos. 333-277843, 333-268604, 333-216582, 333-208441, 333-173583, 333-173582, 333-160381, 333-157850, 333-134675, 333-22803, 333-00729 and 033-59797) of The Campbell's Company of our report dated September 24, 2026 relating to the financial statements, financial statement schedule and the effectiveness of internal control over financial reporting, which appears in this Form 10-K.</w:t>
      </w:r>
    </w:p>
    <w:p>
      <w:pPr>
        <w:pStyle w:val="TextBody"/>
        <w:bidi w:val="0"/>
        <w:spacing w:before="0" w:after="0"/>
        <w:jc w:val="both"/>
        <w:rPr/>
      </w:pPr>
      <w:r>
        <w:rPr/>
      </w:r>
    </w:p>
    <w:tbl>
      <w:tblPr>
        <w:tblW w:w="4424" w:type="dxa"/>
        <w:jc w:val="left"/>
        <w:tblInd w:w="0" w:type="dxa"/>
        <w:tblLayout w:type="fixed"/>
        <w:tblCellMar>
          <w:top w:w="28" w:type="dxa"/>
          <w:left w:w="28" w:type="dxa"/>
          <w:bottom w:w="28" w:type="dxa"/>
          <w:right w:w="28" w:type="dxa"/>
        </w:tblCellMar>
      </w:tblPr>
      <w:tblGrid>
        <w:gridCol w:w="989"/>
        <w:gridCol w:w="872"/>
        <w:gridCol w:w="883"/>
        <w:gridCol w:w="109"/>
        <w:gridCol w:w="109"/>
        <w:gridCol w:w="109"/>
        <w:gridCol w:w="109"/>
        <w:gridCol w:w="109"/>
        <w:gridCol w:w="109"/>
        <w:gridCol w:w="109"/>
        <w:gridCol w:w="109"/>
        <w:gridCol w:w="109"/>
        <w:gridCol w:w="109"/>
        <w:gridCol w:w="10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24, 2026</w:t>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2"/>
        </w:rPr>
      </w:pPr>
      <w:r>
        <w:rPr>
          <w:rFonts w:ascii="Times New Roman;serif" w:hAnsi="Times New Roman;serif"/>
          <w:b/>
          <w:color w:val="000000"/>
          <w:sz w:val="22"/>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5th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Fabiola R. Arredondo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Fabiola R. Arredondo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2nd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Howard M. Averill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Howard M. Averill</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10th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Bennett Dorrance, Jr.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Bennett Dorrance, Jr.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30th day of August,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Maria Teresa Hilado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Maria Teresa Hilado</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8th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Grant H. Hill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 H. Hill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5th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Sarah Hofstetter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Sarah Hofstetter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8th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Marc B. Lautenbach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Marc B. Lautenbach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4th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Mary Alice Dorrance Malone, Jr.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Mary Alice Dorrance Malone, Jr.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8th day of September, 2026.</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Keith R. McLoughlin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Keith R. McLoughin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2nd day of September,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Kurt T. Schmidt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Kurt T. Schmidt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ANNUAL REPORT ON FORM 10-K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2, 2026,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this 7th day of September,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Archbold D. van Beuren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Archbold D. van Beuren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Director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RULE 13a-14(a)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Mick J. Beekhuizen, certify that:</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The Campbell's Company;</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24, 2026 </w:t>
      </w:r>
    </w:p>
    <w:p>
      <w:pPr>
        <w:pStyle w:val="TextBody"/>
        <w:bidi w:val="0"/>
        <w:spacing w:lineRule="auto" w:line="288" w:before="0" w:after="0"/>
        <w:jc w:val="left"/>
        <w:rPr>
          <w:color w:val="000000"/>
        </w:rPr>
      </w:pPr>
      <w:r>
        <w:rPr>
          <w:color w:val="000000"/>
        </w:rPr>
        <w:t> </w:t>
      </w:r>
    </w:p>
    <w:tbl>
      <w:tblPr>
        <w:tblW w:w="559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18"/>
        <w:gridCol w:w="218"/>
        <w:gridCol w:w="218"/>
        <w:gridCol w:w="218"/>
        <w:gridCol w:w="218"/>
        <w:gridCol w:w="218"/>
        <w:gridCol w:w="1051"/>
        <w:gridCol w:w="1051"/>
        <w:gridCol w:w="106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Mick J. Beekhuizen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Mick J. Beekhuizen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RULE 13a-14(a)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Todd E. Cunfer, certify that:</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The Campbell's Company;</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September 24, 2026</w:t>
      </w:r>
    </w:p>
    <w:tbl>
      <w:tblPr>
        <w:tblW w:w="607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09"/>
        <w:gridCol w:w="209"/>
        <w:gridCol w:w="211"/>
        <w:gridCol w:w="176"/>
        <w:gridCol w:w="176"/>
        <w:gridCol w:w="176"/>
        <w:gridCol w:w="1263"/>
        <w:gridCol w:w="1263"/>
        <w:gridCol w:w="12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Todd E. Cunfer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E. Cunfer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The Campbell's Company (the “Company”) on Form 10-K for the fiscal year ended August 2, 2026 (the “Report”), I, Mick J. Beekhuizen, President and Chief Executive Officer of the Company, hereby certify, pursuant to 18 U.S.C. Section 1350, as adopted pursuant to Section 906 of the Sarbanes-Oxley Act of 2002, that, to my knowledge: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September 24, 2026</w:t>
      </w:r>
    </w:p>
    <w:tbl>
      <w:tblPr>
        <w:tblW w:w="559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18"/>
        <w:gridCol w:w="218"/>
        <w:gridCol w:w="218"/>
        <w:gridCol w:w="218"/>
        <w:gridCol w:w="218"/>
        <w:gridCol w:w="218"/>
        <w:gridCol w:w="1051"/>
        <w:gridCol w:w="1051"/>
        <w:gridCol w:w="106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Mick J. Beekhuizen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Mick J. Beekhuizen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under Section 906 has been provided to the Company and will be retained by the Company and furnished to the Securities and Exchange Commission or its staff upon request.</w:t>
      </w:r>
    </w:p>
    <w:p>
      <w:pPr>
        <w:pStyle w:val="TextBody"/>
        <w:bidi w:val="0"/>
        <w:spacing w:before="180" w:after="283"/>
        <w:ind w:left="0" w:right="0" w:firstLine="22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32(b)</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80" w:after="283"/>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The Campbell's Company (the “Company”) on Form 10-K for the fiscal year ended August 2, 2026 (the “Report”), I, Todd E. Cunfer, Executive Vice President and Chief Financial Officer of the Company, hereby certify, pursuant to 18 U.S.C. Section 1350, as adopted pursuant to Section 906 of the Sarbanes-Oxley Act of 2002, that, to my knowledge: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24, 2026 </w:t>
      </w:r>
    </w:p>
    <w:tbl>
      <w:tblPr>
        <w:tblW w:w="607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09"/>
        <w:gridCol w:w="209"/>
        <w:gridCol w:w="211"/>
        <w:gridCol w:w="176"/>
        <w:gridCol w:w="176"/>
        <w:gridCol w:w="176"/>
        <w:gridCol w:w="1263"/>
        <w:gridCol w:w="1263"/>
        <w:gridCol w:w="12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Todd E. Cunfer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E. Cunfer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under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732/000095010323011620/dp198090_ex0201.htm" TargetMode="External"/><Relationship Id="rId5" Type="http://schemas.openxmlformats.org/officeDocument/2006/relationships/hyperlink" Target="https://www.sec.gov/Archives/edgar/data/16732/000119312525311905/d23938dex21.htm" TargetMode="External"/><Relationship Id="rId6" Type="http://schemas.openxmlformats.org/officeDocument/2006/relationships/hyperlink" Target="https://www.sec.gov/Archives/edgar/data/16732/000119312525311905/d23938dex22.htm" TargetMode="External"/><Relationship Id="rId7" Type="http://schemas.openxmlformats.org/officeDocument/2006/relationships/hyperlink" Target="https://www.sec.gov/Archives/edgar/data/16732/000001673226000012/cpb-exh21x05032026x10xq.htm" TargetMode="External"/><Relationship Id="rId8" Type="http://schemas.openxmlformats.org/officeDocument/2006/relationships/hyperlink" Target="https://www.sec.gov/Archives/edgar/data/16732/000001673224000201/cpb-exh31xrestatedcertific.htm" TargetMode="External"/><Relationship Id="rId9" Type="http://schemas.openxmlformats.org/officeDocument/2006/relationships/hyperlink" Target="https://www.sec.gov/Archives/edgar/data/16732/000001673224000194/cpb-exh32xbyxlaws.htm" TargetMode="External"/><Relationship Id="rId10" Type="http://schemas.openxmlformats.org/officeDocument/2006/relationships/hyperlink" Target="https://www.sec.gov/Archives/edgar/data/16732/000095010308002875/dp11895_ex4a.htm" TargetMode="External"/><Relationship Id="rId11" Type="http://schemas.openxmlformats.org/officeDocument/2006/relationships/hyperlink" Target="https://www.sec.gov/Archives/edgar/data/16732/000119312512330540/d385353dex41.htm" TargetMode="External"/><Relationship Id="rId12" Type="http://schemas.openxmlformats.org/officeDocument/2006/relationships/hyperlink" Target="https://www.sec.gov/Archives/edgar/data/16732/000119312515097806/d801200dex41.htm" TargetMode="External"/><Relationship Id="rId13" Type="http://schemas.openxmlformats.org/officeDocument/2006/relationships/hyperlink" Target="https://www.sec.gov/Archives/edgar/data/16732/000119312526349250/d137141dex42.htm" TargetMode="External"/><Relationship Id="rId14" Type="http://schemas.openxmlformats.org/officeDocument/2006/relationships/hyperlink" Target="https://www.sec.gov/Archives/edgar/data/16732/000119312523215040/d441929dex43.htm" TargetMode="External"/><Relationship Id="rId15" Type="http://schemas.openxmlformats.org/officeDocument/2006/relationships/hyperlink" Target="https://www.sec.gov/Archives/edgar/data/16732/000119312512330540/d385353dex41.htm" TargetMode="External"/><Relationship Id="rId16" Type="http://schemas.openxmlformats.org/officeDocument/2006/relationships/hyperlink" Target="https://www.sec.gov/Archives/edgar/data/16732/000095015918000106/ex4-2_6.htm" TargetMode="External"/><Relationship Id="rId17" Type="http://schemas.openxmlformats.org/officeDocument/2006/relationships/hyperlink" Target="https://www.sec.gov/Archives/edgar/data/16732/000095015918000106/ex4-2_7.htm" TargetMode="External"/><Relationship Id="rId18" Type="http://schemas.openxmlformats.org/officeDocument/2006/relationships/hyperlink" Target="https://www.sec.gov/Archives/edgar/data/16732/000119312520119114/d916212dex421.htm" TargetMode="External"/><Relationship Id="rId19" Type="http://schemas.openxmlformats.org/officeDocument/2006/relationships/hyperlink" Target="https://www.sec.gov/Archives/edgar/data/16732/000119312520119114/d916212dex422.htm" TargetMode="External"/><Relationship Id="rId20" Type="http://schemas.openxmlformats.org/officeDocument/2006/relationships/hyperlink" Target="https://www.sec.gov/Archives/edgar/data/16732/000119312524073519/d812515dex431.htm" TargetMode="External"/><Relationship Id="rId21" Type="http://schemas.openxmlformats.org/officeDocument/2006/relationships/hyperlink" Target="https://www.sec.gov/Archives/edgar/data/16732/000119312524073519/d812515dex432.htm" TargetMode="External"/><Relationship Id="rId22" Type="http://schemas.openxmlformats.org/officeDocument/2006/relationships/hyperlink" Target="https://www.sec.gov/Archives/edgar/data/16732/000119312524073519/d812515dex433.htm" TargetMode="External"/><Relationship Id="rId23" Type="http://schemas.openxmlformats.org/officeDocument/2006/relationships/hyperlink" Target="https://www.sec.gov/Archives/edgar/data/16732/000119312524073519/d812515dex434.htm" TargetMode="External"/><Relationship Id="rId24" Type="http://schemas.openxmlformats.org/officeDocument/2006/relationships/hyperlink" Target="https://www.sec.gov/Archives/edgar/data/16732/000119312524231157/d854687dex431.htm" TargetMode="External"/><Relationship Id="rId25" Type="http://schemas.openxmlformats.org/officeDocument/2006/relationships/hyperlink" Target="https://www.sec.gov/Archives/edgar/data/16732/000119312524231157/d854687dex432.htm" TargetMode="External"/><Relationship Id="rId26" Type="http://schemas.openxmlformats.org/officeDocument/2006/relationships/hyperlink" Target="https://www.sec.gov/Archives/edgar/data/16732/000119312525319210/d91329dex43.htm" TargetMode="External"/><Relationship Id="rId27" Type="http://schemas.openxmlformats.org/officeDocument/2006/relationships/hyperlink" Target="https://www.sec.gov/Archives/edgar/data/16732/000119312515341359/d35422ddef14a.htm" TargetMode="External"/><Relationship Id="rId28" Type="http://schemas.openxmlformats.org/officeDocument/2006/relationships/hyperlink" Target="https://www.sec.gov/Archives/edgar/data/16732/000120677422002551/cpb4080901-def14a.htm" TargetMode="External"/><Relationship Id="rId29" Type="http://schemas.openxmlformats.org/officeDocument/2006/relationships/hyperlink" Target="https://www.sec.gov/Archives/edgar/data/16732/000119312514360923/d773216ddef14a.htm" TargetMode="External"/><Relationship Id="rId30" Type="http://schemas.openxmlformats.org/officeDocument/2006/relationships/hyperlink" Target="https://www.sec.gov/Archives/edgar/data/16732/000089322009000515/w73131exv10wxcy.htm" TargetMode="External"/><Relationship Id="rId31" Type="http://schemas.openxmlformats.org/officeDocument/2006/relationships/hyperlink" Target="https://www.sec.gov/Archives/edgar/data/16732/000095012311023447/w81833exv10wxcy.htm" TargetMode="External"/><Relationship Id="rId32" Type="http://schemas.openxmlformats.org/officeDocument/2006/relationships/hyperlink" Target="https://www.sec.gov/Archives/edgar/data/16732/000001673216000146/cpb-7312046xexb10dd.htm" TargetMode="External"/><Relationship Id="rId33" Type="http://schemas.openxmlformats.org/officeDocument/2006/relationships/hyperlink" Target="https://www.sec.gov/Archives/edgar/data/16732/000001673223000109/cpb-7302023exb10w.htm" TargetMode="External"/><Relationship Id="rId34" Type="http://schemas.openxmlformats.org/officeDocument/2006/relationships/hyperlink" Target="https://www.sec.gov/Archives/edgar/data/16732/000001673223000109/cpb-7302023exb10x.htm" TargetMode="External"/><Relationship Id="rId35" Type="http://schemas.openxmlformats.org/officeDocument/2006/relationships/hyperlink" Target="https://www.sec.gov/Archives/edgar/data/16732/000001673223000109/cpb-7303023exb10y.htm" TargetMode="External"/><Relationship Id="rId36" Type="http://schemas.openxmlformats.org/officeDocument/2006/relationships/hyperlink" Target="https://www.sec.gov/Archives/edgar/data/16732/000001673224000201/cpb-exb1042025nonxemployee.htm" TargetMode="External"/><Relationship Id="rId37" Type="http://schemas.openxmlformats.org/officeDocument/2006/relationships/hyperlink" Target="https://www.sec.gov/Archives/edgar/data/16732/000162828019003777/exhibit10.htm" TargetMode="External"/><Relationship Id="rId38" Type="http://schemas.openxmlformats.org/officeDocument/2006/relationships/hyperlink" Target="https://www.sec.gov/Archives/edgar/data/16732/000001673223000109/cpb-7302023exb10hh.htm" TargetMode="External"/><Relationship Id="rId39" Type="http://schemas.openxmlformats.org/officeDocument/2006/relationships/hyperlink" Target="https://www.sec.gov/Archives/edgar/data/16732/000095010323011620/dp198090_ex1001.htm" TargetMode="External"/><Relationship Id="rId40" Type="http://schemas.openxmlformats.org/officeDocument/2006/relationships/hyperlink" Target="https://www.sec.gov/Archives/edgar/data/16732/000119312524097732/d806817dex10.htm" TargetMode="External"/><Relationship Id="rId41" Type="http://schemas.openxmlformats.org/officeDocument/2006/relationships/hyperlink" Target="https://www.sec.gov/Archives/edgar/data/16732/000001673224000130/cpb-7282024x10xkxexb10ee.htm" TargetMode="External"/><Relationship Id="rId42" Type="http://schemas.openxmlformats.org/officeDocument/2006/relationships/hyperlink" Target="https://www.sec.gov/Archives/edgar/data/16732/000001673224000201/cpb-exb101formofpsugrantag.htm" TargetMode="External"/><Relationship Id="rId43" Type="http://schemas.openxmlformats.org/officeDocument/2006/relationships/hyperlink" Target="https://www.sec.gov/Archives/edgar/data/16732/000001673224000201/cpb-exb102formofpsugrantag.htm" TargetMode="External"/><Relationship Id="rId44" Type="http://schemas.openxmlformats.org/officeDocument/2006/relationships/hyperlink" Target="https://www.sec.gov/Archives/edgar/data/16732/000001673224000201/cpb-exb103srpplandocumenta.htm" TargetMode="External"/><Relationship Id="rId45" Type="http://schemas.openxmlformats.org/officeDocument/2006/relationships/hyperlink" Target="https://www.sec.gov/Archives/edgar/data/16732/000119312525173561/d66603dex101.htm" TargetMode="External"/><Relationship Id="rId46" Type="http://schemas.openxmlformats.org/officeDocument/2006/relationships/hyperlink" Target="https://www.sec.gov/Archives/edgar/data/16732/000001673225000112/cpb-832025x10xkxexb10y.htm" TargetMode="External"/><Relationship Id="rId47" Type="http://schemas.openxmlformats.org/officeDocument/2006/relationships/hyperlink" Target="https://www.sec.gov/Archives/edgar/data/16732/000001673225000112/cpb-832025x10xkxexb10z.htm" TargetMode="External"/><Relationship Id="rId48" Type="http://schemas.openxmlformats.org/officeDocument/2006/relationships/hyperlink" Target="https://www.sec.gov/Archives/edgar/data/16732/000001673226000012/cpb-exh101x05032026x10xq.htm" TargetMode="External"/><Relationship Id="rId49" Type="http://schemas.openxmlformats.org/officeDocument/2006/relationships/hyperlink" Target="https://www.sec.gov/Archives/edgar/data/16732/000001673226000023/exhibit101extensionagreeme.htm" TargetMode="External"/><Relationship Id="rId50" Type="http://schemas.openxmlformats.org/officeDocument/2006/relationships/hyperlink" Target="https://www.sec.gov/Archives/edgar/data/16732/000001673226000023/exhibit101extensionagreeme.htm" TargetMode="External"/><Relationship Id="rId51" Type="http://schemas.openxmlformats.org/officeDocument/2006/relationships/hyperlink" Target="https://www.sec.gov/Archives/edgar/data/16732/000001673226000023/exhibit101extensionagreeme.htm" TargetMode="External"/><Relationship Id="rId52" Type="http://schemas.openxmlformats.org/officeDocument/2006/relationships/hyperlink" Target="https://www.sec.gov/Archives/edgar/data/16732/000001673225000112/cpb-832024x10xkxexb19.htm" TargetMode="External"/><Relationship Id="rId53" Type="http://schemas.openxmlformats.org/officeDocument/2006/relationships/hyperlink" Target="https://www.sec.gov/Archives/edgar/data/16732/000001673225000112/cpb-832025x10xkxexb21.htm" TargetMode="External"/><Relationship Id="rId54" Type="http://schemas.openxmlformats.org/officeDocument/2006/relationships/hyperlink" Target="https://www.sec.gov/Archives/edgar/data/16732/000001673225000112/cpb-832025x10xkxexb21.htm" TargetMode="External"/><Relationship Id="rId55" Type="http://schemas.openxmlformats.org/officeDocument/2006/relationships/hyperlink" Target="https://www.sec.gov/Archives/edgar/data/16732/000001673225000112/cpb-832025x10xkxexb21.htm" TargetMode="External"/><Relationship Id="rId56" Type="http://schemas.openxmlformats.org/officeDocument/2006/relationships/hyperlink" Target="https://www.sec.gov/Archives/edgar/data/16732/000001673225000112/cpb-832025x10xkxexb21.htm" TargetMode="External"/><Relationship Id="rId57" Type="http://schemas.openxmlformats.org/officeDocument/2006/relationships/hyperlink" Target="https://www.sec.gov/Archives/edgar/data/16732/000001673225000112/cpb-832025x10xkxexb21.htm" TargetMode="External"/><Relationship Id="rId58" Type="http://schemas.openxmlformats.org/officeDocument/2006/relationships/hyperlink" Target="https://www.sec.gov/Archives/edgar/data/16732/000001673225000112/cpb-832025exbx97.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64570</Words>
  <Characters>357487</Characters>
  <CharactersWithSpaces>418491</CharactersWithSpaces>
  <Paragraphs>6018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