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55" w:lineRule="exact"/>
        <w:rPr>
          <w:sz w:val="24"/>
          <w:szCs w:val="24"/>
          <w:color w:val="auto"/>
        </w:rPr>
      </w:pPr>
    </w:p>
    <w:p>
      <w:pPr>
        <w:ind w:left="400"/>
        <w:spacing w:after="0"/>
        <w:tabs>
          <w:tab w:leader="none" w:pos="858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8"/>
          <w:szCs w:val="18"/>
          <w:b w:val="1"/>
          <w:bCs w:val="1"/>
          <w:color w:val="auto"/>
        </w:rPr>
        <w:t>Commission File Number</w:t>
      </w:r>
    </w:p>
    <w:p>
      <w:pPr>
        <w:spacing w:after="0" w:line="31" w:lineRule="exact"/>
        <w:rPr>
          <w:sz w:val="24"/>
          <w:szCs w:val="24"/>
          <w:color w:val="auto"/>
        </w:rPr>
      </w:pPr>
    </w:p>
    <w:p>
      <w:pPr>
        <w:ind w:left="960"/>
        <w:spacing w:after="0"/>
        <w:tabs>
          <w:tab w:leader="none" w:pos="9320" w:val="left"/>
        </w:tabs>
        <w:rPr>
          <w:sz w:val="20"/>
          <w:szCs w:val="20"/>
          <w:color w:val="auto"/>
        </w:rPr>
      </w:pPr>
      <w:r>
        <w:rPr>
          <w:rFonts w:ascii="Times New Roman" w:cs="Times New Roman" w:eastAsia="Times New Roman" w:hAnsi="Times New Roman"/>
          <w:sz w:val="18"/>
          <w:szCs w:val="18"/>
          <w:b w:val="1"/>
          <w:bCs w:val="1"/>
          <w:color w:val="auto"/>
        </w:rPr>
        <w:t>November 1, 2020</w:t>
      </w:r>
      <w:r>
        <w:rPr>
          <w:sz w:val="20"/>
          <w:szCs w:val="20"/>
          <w:color w:val="auto"/>
        </w:rPr>
        <w:tab/>
      </w:r>
      <w:r>
        <w:rPr>
          <w:rFonts w:ascii="Times New Roman" w:cs="Times New Roman" w:eastAsia="Times New Roman" w:hAnsi="Times New Roman"/>
          <w:sz w:val="17"/>
          <w:szCs w:val="17"/>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CAMPBELL SOUP COMPANY</w:t>
      </w:r>
    </w:p>
    <w:p>
      <w:pPr>
        <w:spacing w:after="0" w:line="67" w:lineRule="exact"/>
        <w:rPr>
          <w:sz w:val="24"/>
          <w:szCs w:val="24"/>
          <w:color w:val="auto"/>
        </w:rPr>
      </w:pPr>
    </w:p>
    <w:p>
      <w:pPr>
        <w:ind w:left="244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New Jersey</w:t>
      </w:r>
      <w:r>
        <w:rPr>
          <w:sz w:val="20"/>
          <w:szCs w:val="20"/>
          <w:color w:val="auto"/>
        </w:rPr>
        <w:tab/>
      </w:r>
      <w:r>
        <w:rPr>
          <w:rFonts w:ascii="Times New Roman" w:cs="Times New Roman" w:eastAsia="Times New Roman" w:hAnsi="Times New Roman"/>
          <w:sz w:val="17"/>
          <w:szCs w:val="17"/>
          <w:b w:val="1"/>
          <w:bCs w:val="1"/>
          <w:color w:val="auto"/>
        </w:rPr>
        <w:t>21-0419870</w:t>
      </w:r>
    </w:p>
    <w:p>
      <w:pPr>
        <w:spacing w:after="0" w:line="31" w:lineRule="exact"/>
        <w:rPr>
          <w:sz w:val="24"/>
          <w:szCs w:val="24"/>
          <w:color w:val="auto"/>
        </w:rPr>
      </w:pPr>
    </w:p>
    <w:p>
      <w:pPr>
        <w:ind w:left="2080"/>
        <w:spacing w:after="0"/>
        <w:tabs>
          <w:tab w:leader="none" w:pos="7120" w:val="left"/>
        </w:tabs>
        <w:rPr>
          <w:sz w:val="20"/>
          <w:szCs w:val="20"/>
          <w:color w:val="auto"/>
        </w:rPr>
      </w:pPr>
      <w:r>
        <w:rPr>
          <w:rFonts w:ascii="Times New Roman" w:cs="Times New Roman" w:eastAsia="Times New Roman" w:hAnsi="Times New Roman"/>
          <w:sz w:val="18"/>
          <w:szCs w:val="18"/>
          <w:i w:val="1"/>
          <w:iCs w:val="1"/>
          <w:color w:val="auto"/>
        </w:rPr>
        <w:t>State of Incorporation</w:t>
      </w:r>
      <w:r>
        <w:rPr>
          <w:sz w:val="20"/>
          <w:szCs w:val="20"/>
          <w:color w:val="auto"/>
        </w:rPr>
        <w:tab/>
      </w:r>
      <w:r>
        <w:rPr>
          <w:rFonts w:ascii="Times New Roman" w:cs="Times New Roman" w:eastAsia="Times New Roman" w:hAnsi="Times New Roman"/>
          <w:sz w:val="18"/>
          <w:szCs w:val="18"/>
          <w:i w:val="1"/>
          <w:iCs w:val="1"/>
          <w:color w:val="auto"/>
        </w:rPr>
        <w:t>I.R.S. Employer Identification No.</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Offices</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(856) 342-4800</w:t>
      </w:r>
    </w:p>
    <w:p>
      <w:pPr>
        <w:spacing w:after="0" w:line="2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p>
      <w:pPr>
        <w:ind w:left="1540"/>
        <w:spacing w:after="0"/>
        <w:tabs>
          <w:tab w:leader="none" w:pos="4960" w:val="left"/>
          <w:tab w:leader="none" w:pos="720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1120"/>
        <w:spacing w:after="0"/>
        <w:tabs>
          <w:tab w:leader="none" w:pos="5420" w:val="left"/>
          <w:tab w:leader="none" w:pos="7980" w:val="left"/>
        </w:tabs>
        <w:rPr>
          <w:sz w:val="20"/>
          <w:szCs w:val="20"/>
          <w:color w:val="auto"/>
        </w:rPr>
      </w:pPr>
      <w:r>
        <w:rPr>
          <w:rFonts w:ascii="Times New Roman" w:cs="Times New Roman" w:eastAsia="Times New Roman" w:hAnsi="Times New Roman"/>
          <w:sz w:val="18"/>
          <w:szCs w:val="18"/>
          <w:color w:val="auto"/>
        </w:rPr>
        <w:t>Capital Stock, par value $.0375</w:t>
      </w:r>
      <w:r>
        <w:rPr>
          <w:sz w:val="20"/>
          <w:szCs w:val="20"/>
          <w:color w:val="auto"/>
        </w:rPr>
        <w:tab/>
      </w:r>
      <w:r>
        <w:rPr>
          <w:rFonts w:ascii="Times New Roman" w:cs="Times New Roman" w:eastAsia="Times New Roman" w:hAnsi="Times New Roman"/>
          <w:sz w:val="18"/>
          <w:szCs w:val="18"/>
          <w:color w:val="auto"/>
        </w:rPr>
        <w:t>CPB</w:t>
      </w:r>
      <w:r>
        <w:rPr>
          <w:sz w:val="20"/>
          <w:szCs w:val="20"/>
          <w:color w:val="auto"/>
        </w:rPr>
        <w:tab/>
      </w:r>
      <w:r>
        <w:rPr>
          <w:rFonts w:ascii="Times New Roman" w:cs="Times New Roman" w:eastAsia="Times New Roman" w:hAnsi="Times New Roman"/>
          <w:sz w:val="17"/>
          <w:szCs w:val="17"/>
          <w:color w:val="auto"/>
        </w:rPr>
        <w:t>New York Stock Exchange</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56"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sectPr>
      </w:pPr>
    </w:p>
    <w:p>
      <w:pPr>
        <w:spacing w:after="0" w:line="14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53" w:lineRule="exact"/>
        <w:tabs>
          <w:tab w:leader="none" w:pos="1720" w:val="left"/>
          <w:tab w:leader="none" w:pos="4220" w:val="left"/>
        </w:tabs>
        <w:rPr>
          <w:sz w:val="20"/>
          <w:szCs w:val="20"/>
          <w:color w:val="auto"/>
        </w:rPr>
      </w:pPr>
      <w:r>
        <w:rPr>
          <w:rFonts w:ascii="MS PGothic" w:cs="MS PGothic" w:eastAsia="MS PGothic" w:hAnsi="MS PGothic"/>
          <w:sz w:val="36"/>
          <w:szCs w:val="36"/>
          <w:color w:val="auto"/>
          <w:vertAlign w:val="superscript"/>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6" w:lineRule="exact"/>
        <w:rPr>
          <w:sz w:val="24"/>
          <w:szCs w:val="24"/>
          <w:color w:val="auto"/>
        </w:rPr>
      </w:pPr>
    </w:p>
    <w:p>
      <w:pPr>
        <w:sectPr>
          <w:pgSz w:w="11900" w:h="16838" w:orient="portrait"/>
          <w:cols w:equalWidth="0" w:num="2">
            <w:col w:w="3440" w:space="720"/>
            <w:col w:w="7080"/>
          </w:cols>
          <w:pgMar w:left="320" w:top="1029" w:right="339" w:bottom="1440" w:gutter="0" w:footer="0" w:header="0"/>
          <w:type w:val="continuous"/>
        </w:sectPr>
      </w:pPr>
    </w:p>
    <w:p>
      <w:pPr>
        <w:spacing w:after="0" w:line="167"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There were 302,944,984 shares of capital stock outstanding as of December 2, 2020.</w:t>
      </w:r>
    </w:p>
    <w:p>
      <w:pPr>
        <w:sectPr>
          <w:pgSz w:w="11900" w:h="16838" w:orient="portrait"/>
          <w:cols w:equalWidth="0" w:num="1">
            <w:col w:w="11240"/>
          </w:cols>
          <w:pgMar w:left="320" w:top="10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17"/>
                <w:szCs w:val="17"/>
                <w:color w:val="auto"/>
              </w:rPr>
            </w:pPr>
          </w:p>
        </w:tc>
      </w:tr>
      <w:tr>
        <w:trPr>
          <w:trHeight w:val="758"/>
        </w:trPr>
        <w:tc>
          <w:tcPr>
            <w:tcW w:w="4640" w:type="dxa"/>
            <w:vAlign w:val="bottom"/>
            <w:gridSpan w:val="3"/>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PART I - FINANCIAL INFORMATION</w:t>
              </w:r>
            </w:hyperlink>
          </w:p>
        </w:tc>
        <w:tc>
          <w:tcPr>
            <w:tcW w:w="19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260" w:type="dxa"/>
            <w:vAlign w:val="bottom"/>
          </w:tcPr>
          <w:p>
            <w:pPr>
              <w:ind w:left="108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3</w:t>
              </w:r>
            </w:hyperlink>
          </w:p>
        </w:tc>
      </w:tr>
      <w:tr>
        <w:trPr>
          <w:trHeight w:val="229"/>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c>
          <w:tcPr>
            <w:tcW w:w="7540" w:type="dxa"/>
            <w:vAlign w:val="bottom"/>
            <w:gridSpan w:val="3"/>
          </w:tcPr>
          <w:p>
            <w:pPr>
              <w:ind w:left="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230"/>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2.</w:t>
              </w:r>
            </w:hyperlink>
          </w:p>
        </w:tc>
        <w:tc>
          <w:tcPr>
            <w:tcW w:w="7540" w:type="dxa"/>
            <w:vAlign w:val="bottom"/>
            <w:gridSpan w:val="3"/>
          </w:tcPr>
          <w:p>
            <w:pPr>
              <w:ind w:left="4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24">
              <w:r>
                <w:rPr>
                  <w:rFonts w:ascii="Times New Roman" w:cs="Times New Roman" w:eastAsia="Times New Roman" w:hAnsi="Times New Roman"/>
                  <w:sz w:val="18"/>
                  <w:szCs w:val="18"/>
                  <w:u w:val="single" w:color="auto"/>
                  <w:color w:val="0000FF"/>
                  <w:w w:val="88"/>
                </w:rPr>
                <w:t>25</w:t>
              </w:r>
            </w:hyperlink>
          </w:p>
        </w:tc>
      </w:tr>
      <w:tr>
        <w:trPr>
          <w:trHeight w:val="229"/>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w:t>
              </w:r>
            </w:hyperlink>
          </w:p>
        </w:tc>
        <w:tc>
          <w:tcPr>
            <w:tcW w:w="7540" w:type="dxa"/>
            <w:vAlign w:val="bottom"/>
            <w:gridSpan w:val="3"/>
          </w:tcPr>
          <w:p>
            <w:pPr>
              <w:ind w:left="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Quantitative and Qualitative Disclosure About Market Risk</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33">
              <w:r>
                <w:rPr>
                  <w:rFonts w:ascii="Times New Roman" w:cs="Times New Roman" w:eastAsia="Times New Roman" w:hAnsi="Times New Roman"/>
                  <w:sz w:val="18"/>
                  <w:szCs w:val="18"/>
                  <w:u w:val="single" w:color="auto"/>
                  <w:color w:val="0000FF"/>
                  <w:w w:val="88"/>
                </w:rPr>
                <w:t>33</w:t>
              </w:r>
            </w:hyperlink>
          </w:p>
        </w:tc>
      </w:tr>
      <w:tr>
        <w:trPr>
          <w:trHeight w:val="229"/>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4.</w:t>
              </w:r>
            </w:hyperlink>
          </w:p>
        </w:tc>
        <w:tc>
          <w:tcPr>
            <w:tcW w:w="7540" w:type="dxa"/>
            <w:vAlign w:val="bottom"/>
            <w:gridSpan w:val="3"/>
          </w:tcPr>
          <w:p>
            <w:pPr>
              <w:ind w:left="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Controls and Procedures</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33">
              <w:r>
                <w:rPr>
                  <w:rFonts w:ascii="Times New Roman" w:cs="Times New Roman" w:eastAsia="Times New Roman" w:hAnsi="Times New Roman"/>
                  <w:sz w:val="18"/>
                  <w:szCs w:val="18"/>
                  <w:u w:val="single" w:color="auto"/>
                  <w:color w:val="0000FF"/>
                  <w:w w:val="88"/>
                </w:rPr>
                <w:t>33</w:t>
              </w:r>
            </w:hyperlink>
          </w:p>
        </w:tc>
      </w:tr>
      <w:tr>
        <w:trPr>
          <w:trHeight w:val="230"/>
        </w:trPr>
        <w:tc>
          <w:tcPr>
            <w:tcW w:w="8840" w:type="dxa"/>
            <w:vAlign w:val="bottom"/>
            <w:gridSpan w:val="5"/>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PART II - OTHER INFORMATION</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33">
              <w:r>
                <w:rPr>
                  <w:rFonts w:ascii="Times New Roman" w:cs="Times New Roman" w:eastAsia="Times New Roman" w:hAnsi="Times New Roman"/>
                  <w:sz w:val="18"/>
                  <w:szCs w:val="18"/>
                  <w:u w:val="single" w:color="auto"/>
                  <w:color w:val="0000FF"/>
                  <w:w w:val="88"/>
                </w:rPr>
                <w:t>33</w:t>
              </w:r>
            </w:hyperlink>
          </w:p>
        </w:tc>
      </w:tr>
      <w:tr>
        <w:trPr>
          <w:trHeight w:val="229"/>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1.</w:t>
              </w:r>
            </w:hyperlink>
          </w:p>
        </w:tc>
        <w:tc>
          <w:tcPr>
            <w:tcW w:w="7540" w:type="dxa"/>
            <w:vAlign w:val="bottom"/>
            <w:gridSpan w:val="3"/>
          </w:tcPr>
          <w:p>
            <w:pPr>
              <w:ind w:left="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Legal Proceedings</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33">
              <w:r>
                <w:rPr>
                  <w:rFonts w:ascii="Times New Roman" w:cs="Times New Roman" w:eastAsia="Times New Roman" w:hAnsi="Times New Roman"/>
                  <w:sz w:val="18"/>
                  <w:szCs w:val="18"/>
                  <w:u w:val="single" w:color="auto"/>
                  <w:color w:val="0000FF"/>
                  <w:w w:val="88"/>
                </w:rPr>
                <w:t>33</w:t>
              </w:r>
            </w:hyperlink>
          </w:p>
        </w:tc>
      </w:tr>
      <w:tr>
        <w:trPr>
          <w:trHeight w:val="230"/>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2.</w:t>
              </w:r>
            </w:hyperlink>
          </w:p>
        </w:tc>
        <w:tc>
          <w:tcPr>
            <w:tcW w:w="7540" w:type="dxa"/>
            <w:vAlign w:val="bottom"/>
            <w:gridSpan w:val="3"/>
          </w:tcPr>
          <w:p>
            <w:pPr>
              <w:ind w:left="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33">
              <w:r>
                <w:rPr>
                  <w:rFonts w:ascii="Times New Roman" w:cs="Times New Roman" w:eastAsia="Times New Roman" w:hAnsi="Times New Roman"/>
                  <w:sz w:val="18"/>
                  <w:szCs w:val="18"/>
                  <w:u w:val="single" w:color="auto"/>
                  <w:color w:val="0000FF"/>
                  <w:w w:val="88"/>
                </w:rPr>
                <w:t>33</w:t>
              </w:r>
            </w:hyperlink>
          </w:p>
        </w:tc>
      </w:tr>
      <w:tr>
        <w:trPr>
          <w:trHeight w:val="229"/>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w:t>
              </w:r>
            </w:hyperlink>
          </w:p>
        </w:tc>
        <w:tc>
          <w:tcPr>
            <w:tcW w:w="18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6.</w:t>
              </w:r>
            </w:hyperlink>
          </w:p>
        </w:tc>
        <w:tc>
          <w:tcPr>
            <w:tcW w:w="7540" w:type="dxa"/>
            <w:vAlign w:val="bottom"/>
            <w:gridSpan w:val="3"/>
          </w:tcPr>
          <w:p>
            <w:pPr>
              <w:ind w:left="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Exhibits</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33">
              <w:r>
                <w:rPr>
                  <w:rFonts w:ascii="Times New Roman" w:cs="Times New Roman" w:eastAsia="Times New Roman" w:hAnsi="Times New Roman"/>
                  <w:sz w:val="18"/>
                  <w:szCs w:val="18"/>
                  <w:u w:val="single" w:color="auto"/>
                  <w:color w:val="0000FF"/>
                  <w:w w:val="88"/>
                </w:rPr>
                <w:t>33</w:t>
              </w:r>
            </w:hyperlink>
          </w:p>
        </w:tc>
      </w:tr>
      <w:tr>
        <w:trPr>
          <w:trHeight w:val="229"/>
        </w:trPr>
        <w:tc>
          <w:tcPr>
            <w:tcW w:w="8840" w:type="dxa"/>
            <w:vAlign w:val="bottom"/>
            <w:gridSpan w:val="5"/>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INDEX TO EXHIBITS</w:t>
              </w:r>
            </w:hyperlink>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33">
              <w:r>
                <w:rPr>
                  <w:rFonts w:ascii="Times New Roman" w:cs="Times New Roman" w:eastAsia="Times New Roman" w:hAnsi="Times New Roman"/>
                  <w:sz w:val="18"/>
                  <w:szCs w:val="18"/>
                  <w:u w:val="single" w:color="auto"/>
                  <w:color w:val="0000FF"/>
                  <w:w w:val="88"/>
                </w:rPr>
                <w:t>34</w:t>
              </w:r>
            </w:hyperlink>
          </w:p>
        </w:tc>
      </w:tr>
      <w:tr>
        <w:trPr>
          <w:trHeight w:val="234"/>
        </w:trPr>
        <w:tc>
          <w:tcPr>
            <w:tcW w:w="1120" w:type="dxa"/>
            <w:vAlign w:val="bottom"/>
          </w:tcPr>
          <w:p>
            <w:pPr>
              <w:jc w:val="right"/>
              <w:spacing w:after="0"/>
              <w:rPr>
                <w:rFonts w:ascii="Times New Roman" w:cs="Times New Roman" w:eastAsia="Times New Roman" w:hAnsi="Times New Roman"/>
                <w:sz w:val="18"/>
                <w:szCs w:val="18"/>
                <w:u w:val="single" w:color="auto"/>
                <w:color w:val="0000FF"/>
                <w:w w:val="96"/>
              </w:rPr>
            </w:pPr>
            <w:hyperlink w:anchor="page34">
              <w:r>
                <w:rPr>
                  <w:rFonts w:ascii="Times New Roman" w:cs="Times New Roman" w:eastAsia="Times New Roman" w:hAnsi="Times New Roman"/>
                  <w:sz w:val="18"/>
                  <w:szCs w:val="18"/>
                  <w:u w:val="single" w:color="auto"/>
                  <w:color w:val="0000FF"/>
                  <w:w w:val="96"/>
                </w:rPr>
                <w:t>SIGNATURES</w:t>
              </w:r>
            </w:hyperlink>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60" w:type="dxa"/>
            <w:vAlign w:val="bottom"/>
          </w:tcPr>
          <w:p>
            <w:pPr>
              <w:ind w:left="1080"/>
              <w:spacing w:after="0"/>
              <w:rPr>
                <w:rFonts w:ascii="Times New Roman" w:cs="Times New Roman" w:eastAsia="Times New Roman" w:hAnsi="Times New Roman"/>
                <w:sz w:val="18"/>
                <w:szCs w:val="18"/>
                <w:u w:val="single" w:color="auto"/>
                <w:color w:val="0000FF"/>
                <w:w w:val="88"/>
              </w:rPr>
            </w:pPr>
            <w:hyperlink w:anchor="page34">
              <w:r>
                <w:rPr>
                  <w:rFonts w:ascii="Times New Roman" w:cs="Times New Roman" w:eastAsia="Times New Roman" w:hAnsi="Times New Roman"/>
                  <w:sz w:val="18"/>
                  <w:szCs w:val="18"/>
                  <w:u w:val="single" w:color="auto"/>
                  <w:color w:val="0000FF"/>
                  <w:w w:val="88"/>
                </w:rPr>
                <w:t>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080" w:right="1440" w:bottom="1440" w:gutter="0" w:footer="0" w:header="0"/>
        </w:sectPr>
      </w:pPr>
    </w:p>
    <w:bookmarkStart w:id="2" w:name="page3"/>
    <w:bookmarkEnd w:id="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2019</w:t>
            </w:r>
          </w:p>
        </w:tc>
        <w:tc>
          <w:tcPr>
            <w:tcW w:w="0" w:type="dxa"/>
            <w:vAlign w:val="bottom"/>
          </w:tcPr>
          <w:p>
            <w:pPr>
              <w:spacing w:after="0"/>
              <w:rPr>
                <w:sz w:val="1"/>
                <w:szCs w:val="1"/>
                <w:color w:val="auto"/>
              </w:rPr>
            </w:pPr>
          </w:p>
        </w:tc>
      </w:tr>
      <w:tr>
        <w:trPr>
          <w:trHeight w:val="189"/>
        </w:trPr>
        <w:tc>
          <w:tcPr>
            <w:tcW w:w="89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2,183</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1,445</w:t>
            </w:r>
          </w:p>
        </w:tc>
        <w:tc>
          <w:tcPr>
            <w:tcW w:w="0" w:type="dxa"/>
            <w:vAlign w:val="bottom"/>
          </w:tcPr>
          <w:p>
            <w:pPr>
              <w:spacing w:after="0"/>
              <w:rPr>
                <w:sz w:val="1"/>
                <w:szCs w:val="1"/>
                <w:color w:val="auto"/>
              </w:rPr>
            </w:pP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1,866</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0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2019</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20" w:type="dxa"/>
            <w:vAlign w:val="bottom"/>
          </w:tcPr>
          <w:p>
            <w:pPr>
              <w:spacing w:after="0"/>
              <w:rPr>
                <w:sz w:val="11"/>
                <w:szCs w:val="11"/>
                <w:color w:val="auto"/>
              </w:rPr>
            </w:pPr>
          </w:p>
        </w:tc>
        <w:tc>
          <w:tcPr>
            <w:tcW w:w="6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79"/>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7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79"/>
              <w:spacing w:after="0" w:line="13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4"/>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4"/>
        </w:trPr>
        <w:tc>
          <w:tcPr>
            <w:tcW w:w="5680" w:type="dxa"/>
            <w:vAlign w:val="bottom"/>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Reclassification of currency translation adjustments realized upon disposal of</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businesses</w:t>
            </w: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period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(gains) losses included in net earnings</w:t>
            </w:r>
          </w:p>
        </w:tc>
        <w:tc>
          <w:tcPr>
            <w:tcW w:w="14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2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308</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310</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2"/>
        </w:trPr>
        <w:tc>
          <w:tcPr>
            <w:tcW w:w="5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00" w:type="dxa"/>
            <w:vAlign w:val="bottom"/>
          </w:tcPr>
          <w:p>
            <w:pPr>
              <w:spacing w:after="0"/>
              <w:rPr>
                <w:sz w:val="13"/>
                <w:szCs w:val="13"/>
                <w:color w:val="auto"/>
              </w:rPr>
            </w:pP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August 2,</w:t>
            </w:r>
          </w:p>
        </w:tc>
      </w:tr>
      <w:tr>
        <w:trPr>
          <w:trHeight w:val="189"/>
        </w:trPr>
        <w:tc>
          <w:tcPr>
            <w:tcW w:w="6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722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765</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69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2,463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2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2,352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3,987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3,340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9"/>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8"/>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12,417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1,084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3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 to suppliers and others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1,049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579</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9"/>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69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2,906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2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4,996</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30"/>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9,644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w:t>
            </w:r>
          </w:p>
        </w:tc>
      </w:tr>
      <w:tr>
        <w:trPr>
          <w:trHeight w:val="22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stock, $0.0375 par value; authorized 560 shares; issued 323 shares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370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3,387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r>
      <w:tr>
        <w:trPr>
          <w:trHeight w:val="23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6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2,769</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2,773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12,417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12,372</w:t>
            </w:r>
          </w:p>
        </w:tc>
      </w:tr>
      <w:tr>
        <w:trPr>
          <w:trHeight w:val="21"/>
        </w:trPr>
        <w:tc>
          <w:tcPr>
            <w:tcW w:w="69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8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27, 2019</w:t>
            </w:r>
          </w:p>
        </w:tc>
        <w:tc>
          <w:tcPr>
            <w:tcW w:w="0" w:type="dxa"/>
            <w:vAlign w:val="bottom"/>
          </w:tcPr>
          <w:p>
            <w:pPr>
              <w:spacing w:after="0"/>
              <w:rPr>
                <w:sz w:val="1"/>
                <w:szCs w:val="1"/>
                <w:color w:val="auto"/>
              </w:rPr>
            </w:pPr>
          </w:p>
        </w:tc>
      </w:tr>
      <w:tr>
        <w:trPr>
          <w:trHeight w:val="189"/>
        </w:trPr>
        <w:tc>
          <w:tcPr>
            <w:tcW w:w="89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income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sales of businesses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divestitures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Sales of businesses, net of cash divested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issuances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discontinued operations — beginning of period</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discontinued operations — end of period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8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1100" w:type="dxa"/>
            <w:vAlign w:val="bottom"/>
            <w:gridSpan w:val="2"/>
          </w:tcPr>
          <w:p>
            <w:pPr>
              <w:jc w:val="right"/>
              <w:ind w:right="48"/>
              <w:spacing w:after="0" w:line="147" w:lineRule="exact"/>
              <w:rPr>
                <w:sz w:val="20"/>
                <w:szCs w:val="20"/>
                <w:color w:val="auto"/>
              </w:rPr>
            </w:pPr>
            <w:r>
              <w:rPr>
                <w:rFonts w:ascii="Times New Roman" w:cs="Times New Roman" w:eastAsia="Times New Roman" w:hAnsi="Times New Roman"/>
                <w:sz w:val="14"/>
                <w:szCs w:val="14"/>
                <w:b w:val="1"/>
                <w:bCs w:val="1"/>
                <w:color w:val="auto"/>
              </w:rPr>
              <w:t>Issued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ind w:right="348"/>
              <w:spacing w:after="0" w:line="147"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center"/>
              <w:ind w:right="69"/>
              <w:spacing w:after="0" w:line="108" w:lineRule="exact"/>
              <w:rPr>
                <w:sz w:val="20"/>
                <w:szCs w:val="20"/>
                <w:color w:val="auto"/>
              </w:rPr>
            </w:pPr>
            <w:r>
              <w:rPr>
                <w:rFonts w:ascii="Times New Roman" w:cs="Times New Roman" w:eastAsia="Times New Roman" w:hAnsi="Times New Roman"/>
                <w:sz w:val="12"/>
                <w:szCs w:val="12"/>
                <w:b w:val="1"/>
                <w:bCs w:val="1"/>
                <w:color w:val="auto"/>
              </w:rPr>
              <w:t>Retained in</w:t>
            </w:r>
          </w:p>
        </w:tc>
        <w:tc>
          <w:tcPr>
            <w:tcW w:w="1340" w:type="dxa"/>
            <w:vAlign w:val="bottom"/>
            <w:gridSpan w:val="2"/>
            <w:vMerge w:val="restart"/>
          </w:tcPr>
          <w:p>
            <w:pPr>
              <w:ind w:left="1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40" w:type="dxa"/>
            <w:vAlign w:val="bottom"/>
          </w:tcPr>
          <w:p>
            <w:pPr>
              <w:spacing w:after="0"/>
              <w:rPr>
                <w:sz w:val="4"/>
                <w:szCs w:val="4"/>
                <w:color w:val="auto"/>
              </w:rPr>
            </w:pPr>
          </w:p>
        </w:tc>
        <w:tc>
          <w:tcPr>
            <w:tcW w:w="11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4"/>
                <w:szCs w:val="4"/>
                <w:color w:val="auto"/>
              </w:rPr>
            </w:pPr>
          </w:p>
        </w:tc>
        <w:tc>
          <w:tcPr>
            <w:tcW w:w="8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4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1"/>
                <w:szCs w:val="11"/>
                <w:color w:val="auto"/>
              </w:rPr>
            </w:pPr>
          </w:p>
        </w:tc>
        <w:tc>
          <w:tcPr>
            <w:tcW w:w="8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1"/>
                <w:szCs w:val="11"/>
                <w:color w:val="auto"/>
              </w:rPr>
            </w:pPr>
          </w:p>
        </w:tc>
        <w:tc>
          <w:tcPr>
            <w:tcW w:w="1160" w:type="dxa"/>
            <w:vAlign w:val="bottom"/>
          </w:tcPr>
          <w:p>
            <w:pPr>
              <w:jc w:val="right"/>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2040" w:type="dxa"/>
            <w:vAlign w:val="bottom"/>
            <w:tcBorders>
              <w:bottom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at July 28, 2019</w:t>
            </w:r>
          </w:p>
        </w:tc>
        <w:tc>
          <w:tcPr>
            <w:tcW w:w="76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323</w:t>
            </w:r>
          </w:p>
        </w:tc>
        <w:tc>
          <w:tcPr>
            <w:tcW w:w="340" w:type="dxa"/>
            <w:vAlign w:val="bottom"/>
            <w:tcBorders>
              <w:bottom w:val="single" w:sz="8" w:color="auto"/>
            </w:tcBorders>
            <w:shd w:val="clear" w:color="auto" w:fill="CCEE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(1,076)</w:t>
            </w:r>
          </w:p>
        </w:tc>
        <w:tc>
          <w:tcPr>
            <w:tcW w:w="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line="155" w:lineRule="exact"/>
              <w:rPr>
                <w:sz w:val="20"/>
                <w:szCs w:val="20"/>
                <w:color w:val="auto"/>
              </w:rPr>
            </w:pPr>
            <w:r>
              <w:rPr>
                <w:rFonts w:ascii="Times New Roman" w:cs="Times New Roman" w:eastAsia="Times New Roman" w:hAnsi="Times New Roman"/>
                <w:sz w:val="14"/>
                <w:szCs w:val="14"/>
                <w:color w:val="auto"/>
              </w:rPr>
              <w:t>372</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1,993</w:t>
            </w:r>
          </w:p>
        </w:tc>
        <w:tc>
          <w:tcPr>
            <w:tcW w:w="180" w:type="dxa"/>
            <w:vAlign w:val="bottom"/>
            <w:tcBorders>
              <w:bottom w:val="single" w:sz="8" w:color="auto"/>
            </w:tcBorders>
            <w:shd w:val="clear" w:color="auto" w:fill="CCEEFF"/>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(198)</w:t>
            </w:r>
          </w:p>
        </w:tc>
        <w:tc>
          <w:tcPr>
            <w:tcW w:w="2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($.35 per share)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1"/>
                <w:szCs w:val="11"/>
                <w:color w:val="auto"/>
              </w:rPr>
            </w:pPr>
          </w:p>
        </w:tc>
        <w:tc>
          <w:tcPr>
            <w:tcW w:w="8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27, 2019</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2,050</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2, 2020</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3,190</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309</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w:t>
            </w: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($.35 per share)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(107)</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220" w:type="dxa"/>
            <w:vAlign w:val="bottom"/>
          </w:tcPr>
          <w:p>
            <w:pPr>
              <w:spacing w:after="0"/>
              <w:rPr>
                <w:sz w:val="11"/>
                <w:szCs w:val="11"/>
                <w:color w:val="auto"/>
              </w:rPr>
            </w:pPr>
          </w:p>
        </w:tc>
        <w:tc>
          <w:tcPr>
            <w:tcW w:w="8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(24)</w:t>
            </w:r>
          </w:p>
        </w:tc>
        <w:tc>
          <w:tcPr>
            <w:tcW w:w="16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1, 2020</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370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3,387</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(currency in millions, except per share amounts)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Campbell Soup Company and its consolidated subsidiaries.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entities in which we maintain a controlling financial interest and a variable interest entity (VIE) for which we were the primary beneficiary. Intercompany transactions are eliminated in consolidation. See Note 3 for a discussion of Discontinued Operations.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2, 2020.</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August 1, 2021. There are 52 weeks in 2021. There were 53 weeks in 2020.</w:t>
      </w:r>
    </w:p>
    <w:p>
      <w:pPr>
        <w:spacing w:after="0" w:line="131" w:lineRule="exact"/>
        <w:rPr>
          <w:sz w:val="20"/>
          <w:szCs w:val="20"/>
          <w:color w:val="auto"/>
        </w:rPr>
      </w:pPr>
    </w:p>
    <w:p>
      <w:pPr>
        <w:ind w:left="340" w:right="8260" w:hanging="332"/>
        <w:spacing w:after="0" w:line="354" w:lineRule="auto"/>
        <w:tabs>
          <w:tab w:leader="none" w:pos="196"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i w:val="1"/>
          <w:iCs w:val="1"/>
          <w:u w:val="single" w:color="auto"/>
          <w:color w:val="auto"/>
        </w:rPr>
        <w:t>Recently Adopted</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guidance that eliminates, adds, and modifies certain disclosure requirements for fair value measurements. The guidance is effective for fiscal years beginning after December 15, 2019, and interim periods within those years. We adopted the new guidance at the beginning of the first quarter of 2021. The adoption did not have a material impact on our consolidated financial statements.</w:t>
      </w:r>
    </w:p>
    <w:p>
      <w:pPr>
        <w:spacing w:after="0" w:line="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adopted the new guidance on a prospective basis at the beginning of the first quarter of 2021. The adoption did not have a material impact on our consolidated financial statements.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Pronouncements Not Yet Adopted</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The guidance is effective for fiscal years beginning after December 15, 2020, and interim periods within those years. Early adoption is permitted. We are currently evaluating the impact that the new guidance will have on our consolidated financial statements.</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149" w:lineRule="exact"/>
        <w:rPr>
          <w:sz w:val="20"/>
          <w:szCs w:val="20"/>
          <w:color w:val="auto"/>
        </w:rPr>
      </w:pPr>
    </w:p>
    <w:p>
      <w:pPr>
        <w:ind w:right="9420" w:firstLine="8"/>
        <w:spacing w:after="0" w:line="354"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Divestitures </w:t>
      </w:r>
      <w:r>
        <w:rPr>
          <w:rFonts w:ascii="Times New Roman" w:cs="Times New Roman" w:eastAsia="Times New Roman" w:hAnsi="Times New Roman"/>
          <w:sz w:val="18"/>
          <w:szCs w:val="18"/>
          <w:i w:val="1"/>
          <w:iCs w:val="1"/>
          <w:color w:val="auto"/>
        </w:rPr>
        <w:t>Discontinued Operations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completed the sale of our Kelsen business on September 23, 2019, for $322. We also completed the sale of our Arnott’s business and certain other international operations, including the simple meals and shelf-stable beverages businesses in Australia and Asia Pacific (the Arnott's and other international operations), on December 23, 2019, for $2,286. The purchase price was subject to certain post-closing adjustments, which resulted in $4 of additional proceeds in the third quarter of 2020. Beginning in the fourth quarter of 2019, we have reflected the results of operations of the Kelsen business and the Arnott’s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t>other international operations (collectively referred to as Campbell International) as discontinued operations in the Consolidated Statements of Earnings for all periods presented. These businesses were historically included in the Snacks reportable segment.</w:t>
      </w:r>
    </w:p>
    <w:p>
      <w:pPr>
        <w:sectPr>
          <w:pgSz w:w="11900" w:h="16838" w:orient="portrait"/>
          <w:cols w:equalWidth="0" w:num="1">
            <w:col w:w="11240"/>
          </w:cols>
          <w:pgMar w:left="320" w:top="985" w:right="339" w:bottom="1440" w:gutter="0" w:footer="0" w:header="0"/>
        </w:sectPr>
      </w:pP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of Campbell International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before taxes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Taxes on earnings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right="4041"/>
        <w:spacing w:after="0" w:line="303" w:lineRule="auto"/>
        <w:rPr>
          <w:sz w:val="20"/>
          <w:szCs w:val="20"/>
          <w:color w:val="auto"/>
        </w:rPr>
      </w:pPr>
      <w:r>
        <w:rPr>
          <w:rFonts w:ascii="Times New Roman" w:cs="Times New Roman" w:eastAsia="Times New Roman" w:hAnsi="Times New Roman"/>
          <w:sz w:val="17"/>
          <w:szCs w:val="17"/>
          <w:color w:val="auto"/>
        </w:rPr>
        <w:t>Loss on sale of business / costs associated with selling the businesses Tax benefit on loss of sale / costs associated with selling the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848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4" w:lineRule="exact"/>
        <w:rPr>
          <w:sz w:val="20"/>
          <w:szCs w:val="20"/>
          <w:color w:val="auto"/>
        </w:rPr>
      </w:pPr>
    </w:p>
    <w:p>
      <w:pPr>
        <w:ind w:left="139"/>
        <w:spacing w:after="0"/>
        <w:rPr>
          <w:sz w:val="20"/>
          <w:szCs w:val="20"/>
          <w:color w:val="auto"/>
        </w:rPr>
      </w:pPr>
      <w:r>
        <w:rPr>
          <w:rFonts w:ascii="Times New Roman" w:cs="Times New Roman" w:eastAsia="Times New Roman" w:hAnsi="Times New Roman"/>
          <w:sz w:val="14"/>
          <w:szCs w:val="14"/>
          <w:b w:val="1"/>
          <w:bCs w:val="1"/>
          <w:color w:val="auto"/>
        </w:rPr>
        <w:t>October 27, 2019</w:t>
      </w:r>
    </w:p>
    <w:p>
      <w:pPr>
        <w:spacing w:after="0" w:line="48" w:lineRule="exact"/>
        <w:rPr>
          <w:sz w:val="20"/>
          <w:szCs w:val="20"/>
          <w:color w:val="auto"/>
        </w:rPr>
      </w:pPr>
    </w:p>
    <w:p>
      <w:pPr>
        <w:ind w:left="979" w:hanging="979"/>
        <w:spacing w:after="0"/>
        <w:tabs>
          <w:tab w:leader="none" w:pos="9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483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300" w:lineRule="exact"/>
        <w:rPr>
          <w:sz w:val="20"/>
          <w:szCs w:val="20"/>
          <w:color w:val="auto"/>
        </w:rPr>
      </w:pPr>
    </w:p>
    <w:p>
      <w:pPr>
        <w:ind w:left="1059" w:hanging="1059"/>
        <w:spacing w:after="0"/>
        <w:tabs>
          <w:tab w:leader="none" w:pos="10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7" w:lineRule="exact"/>
        <w:rPr>
          <w:rFonts w:ascii="Times New Roman" w:cs="Times New Roman" w:eastAsia="Times New Roman" w:hAnsi="Times New Roman"/>
          <w:sz w:val="18"/>
          <w:szCs w:val="18"/>
          <w:color w:val="auto"/>
        </w:rPr>
      </w:pPr>
    </w:p>
    <w:p>
      <w:pPr>
        <w:ind w:left="10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ind w:left="999"/>
        <w:spacing w:after="0"/>
        <w:rPr>
          <w:sz w:val="20"/>
          <w:szCs w:val="20"/>
          <w:color w:val="auto"/>
        </w:rPr>
      </w:pPr>
      <w:r>
        <w:rPr>
          <w:rFonts w:ascii="Times New Roman" w:cs="Times New Roman" w:eastAsia="Times New Roman" w:hAnsi="Times New Roman"/>
          <w:sz w:val="18"/>
          <w:szCs w:val="18"/>
          <w:color w:val="auto"/>
        </w:rPr>
        <w:t>(51)</w:t>
      </w:r>
    </w:p>
    <w:p>
      <w:pPr>
        <w:spacing w:after="0" w:line="23" w:lineRule="exact"/>
        <w:rPr>
          <w:sz w:val="20"/>
          <w:szCs w:val="20"/>
          <w:color w:val="auto"/>
        </w:rPr>
      </w:pPr>
    </w:p>
    <w:p>
      <w:pPr>
        <w:ind w:left="999"/>
        <w:spacing w:after="0"/>
        <w:rPr>
          <w:sz w:val="20"/>
          <w:szCs w:val="20"/>
          <w:color w:val="auto"/>
        </w:rPr>
      </w:pPr>
      <w:r>
        <w:rPr>
          <w:rFonts w:ascii="Times New Roman" w:cs="Times New Roman" w:eastAsia="Times New Roman" w:hAnsi="Times New Roman"/>
          <w:sz w:val="18"/>
          <w:szCs w:val="18"/>
          <w:color w:val="auto"/>
        </w:rPr>
        <w:t>(24)</w:t>
      </w:r>
    </w:p>
    <w:p>
      <w:pPr>
        <w:spacing w:after="0" w:line="31" w:lineRule="exact"/>
        <w:rPr>
          <w:sz w:val="20"/>
          <w:szCs w:val="20"/>
          <w:color w:val="auto"/>
        </w:rPr>
      </w:pPr>
    </w:p>
    <w:p>
      <w:pPr>
        <w:ind w:left="1079" w:hanging="1079"/>
        <w:spacing w:after="0"/>
        <w:tabs>
          <w:tab w:leader="none" w:pos="10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48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9201" w:space="720"/>
            <w:col w:w="1319"/>
          </w:cols>
          <w:pgMar w:left="320" w:top="985"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the sale of the Arnott's and other international operations, we entered into a long-term licensing arrangement for the exclusive rights to certain Campbell brands in certain non-U.S. markets. We provide certain transition services to support the divested business.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flow activity of Campbell International included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89"/>
        </w:trPr>
        <w:tc>
          <w:tcPr>
            <w:tcW w:w="9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83"/>
        </w:trPr>
        <w:tc>
          <w:tcPr>
            <w:tcW w:w="99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October 27, 2019</w:t>
            </w:r>
          </w:p>
        </w:tc>
      </w:tr>
      <w:tr>
        <w:trPr>
          <w:trHeight w:val="21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discontinued operating activities: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4"/>
        </w:trPr>
        <w:tc>
          <w:tcPr>
            <w:tcW w:w="9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of discontinued operations business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5"/>
        </w:trPr>
        <w:tc>
          <w:tcPr>
            <w:tcW w:w="9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discontinued investing activities: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9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discontinued operations business, net of cash divested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Divestitures</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11, 2019, we completed the sale of our European chips business for £63, or $77. The pre-tax loss recognized in the first quarter of 2020 on the sale was $64, which included the impact of allocated goodwill and foreign currency translation adjustments. For tax purposes, in the first quarter of 2020, the capital loss on the sale was offset by a valuation allowance. The European chips business had net sales of $25 for the three-month period ended October 27, 2019. Earnings were not material in the period. The results of the European chips business through the date of sale were reflected in continuing operations within the Snacks reportable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Accumulated Other Comprehensive Income (Loss)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20" w:type="dxa"/>
            <w:vAlign w:val="bottom"/>
          </w:tcPr>
          <w:p>
            <w:pPr>
              <w:spacing w:after="0"/>
              <w:rPr>
                <w:sz w:val="13"/>
                <w:szCs w:val="13"/>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2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4"/>
                <w:szCs w:val="14"/>
                <w:b w:val="1"/>
                <w:bCs w:val="1"/>
                <w:color w:val="auto"/>
                <w:w w:val="97"/>
              </w:rPr>
              <w:t>Adjustments</w:t>
            </w:r>
            <w:r>
              <w:rPr>
                <w:rFonts w:ascii="Times New Roman" w:cs="Times New Roman" w:eastAsia="Times New Roman" w:hAnsi="Times New Roman"/>
                <w:sz w:val="18"/>
                <w:szCs w:val="18"/>
                <w:b w:val="1"/>
                <w:bCs w:val="1"/>
                <w:color w:val="auto"/>
                <w:w w:val="97"/>
                <w:vertAlign w:val="superscript"/>
              </w:rPr>
              <w:t>(1)</w:t>
            </w:r>
          </w:p>
        </w:tc>
        <w:tc>
          <w:tcPr>
            <w:tcW w:w="154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9"/>
              </w:rPr>
              <w:t>Cash Flow Hedges</w:t>
            </w:r>
            <w:r>
              <w:rPr>
                <w:rFonts w:ascii="Times New Roman" w:cs="Times New Roman" w:eastAsia="Times New Roman" w:hAnsi="Times New Roman"/>
                <w:sz w:val="18"/>
                <w:szCs w:val="18"/>
                <w:b w:val="1"/>
                <w:bCs w:val="1"/>
                <w:color w:val="auto"/>
                <w:w w:val="99"/>
                <w:vertAlign w:val="superscript"/>
              </w:rPr>
              <w:t>(2)</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4"/>
                <w:szCs w:val="14"/>
                <w:b w:val="1"/>
                <w:bCs w:val="1"/>
                <w:color w:val="auto"/>
              </w:rPr>
              <w:t>Plan Adjustments</w:t>
            </w:r>
            <w:r>
              <w:rPr>
                <w:rFonts w:ascii="Times New Roman" w:cs="Times New Roman" w:eastAsia="Times New Roman" w:hAnsi="Times New Roman"/>
                <w:sz w:val="18"/>
                <w:szCs w:val="18"/>
                <w:b w:val="1"/>
                <w:bCs w:val="1"/>
                <w:color w:val="auto"/>
                <w:vertAlign w:val="superscript"/>
              </w:rPr>
              <w:t>(3)</w:t>
            </w:r>
          </w:p>
        </w:tc>
        <w:tc>
          <w:tcPr>
            <w:tcW w:w="120" w:type="dxa"/>
            <w:vAlign w:val="bottom"/>
          </w:tcPr>
          <w:p>
            <w:pPr>
              <w:spacing w:after="0"/>
              <w:rPr>
                <w:sz w:val="16"/>
                <w:szCs w:val="16"/>
                <w:color w:val="auto"/>
              </w:rPr>
            </w:pP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28,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51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Octoboer 27,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2,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Amounts reclassified from accumulated other comprehensive</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line="187"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November 1, 2020, and August 2, 2020, and tax expense of $4 as of October 27, 2019, and July 28, 2019.</w:t>
      </w:r>
    </w:p>
    <w:p>
      <w:pPr>
        <w:ind w:left="320" w:hanging="312"/>
        <w:spacing w:after="0" w:line="183" w:lineRule="auto"/>
        <w:tabs>
          <w:tab w:leader="none" w:pos="32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a tax benefit of $2 as of November 1, 2020, $1 as of August 2, 2020, and October 27, 2019, and $2 as of July 28, 2019.</w:t>
      </w:r>
    </w:p>
    <w:p>
      <w:pPr>
        <w:ind w:left="320" w:hanging="312"/>
        <w:spacing w:after="0" w:line="185" w:lineRule="auto"/>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tax expense of $2 as of November 1, 2020, $2 as of August 2, 2020, $7 as of October 27, 2019, and $8 as of July 28, 2019.</w:t>
      </w:r>
    </w:p>
    <w:p>
      <w:pPr>
        <w:ind w:left="340" w:right="4200" w:hanging="332"/>
        <w:spacing w:after="0" w:line="270"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reclassified from sale of businesses. See Note 3 for additional information. Amounts related to noncontrolling interests were not material.</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1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 (Loss) Components</w:t>
            </w:r>
          </w:p>
        </w:tc>
        <w:tc>
          <w:tcPr>
            <w:tcW w:w="14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2019</w:t>
            </w:r>
          </w:p>
        </w:tc>
        <w:tc>
          <w:tcPr>
            <w:tcW w:w="80" w:type="dxa"/>
            <w:vAlign w:val="bottom"/>
          </w:tcPr>
          <w:p>
            <w:pPr>
              <w:spacing w:after="0"/>
              <w:rPr>
                <w:sz w:val="11"/>
                <w:szCs w:val="11"/>
                <w:color w:val="auto"/>
              </w:rPr>
            </w:pPr>
          </w:p>
        </w:tc>
        <w:tc>
          <w:tcPr>
            <w:tcW w:w="26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Location of (Gain) Loss Recognized in</w:t>
            </w:r>
          </w:p>
        </w:tc>
        <w:tc>
          <w:tcPr>
            <w:tcW w:w="0" w:type="dxa"/>
            <w:vAlign w:val="bottom"/>
          </w:tcPr>
          <w:p>
            <w:pPr>
              <w:spacing w:after="0"/>
              <w:rPr>
                <w:sz w:val="1"/>
                <w:szCs w:val="1"/>
                <w:color w:val="auto"/>
              </w:rPr>
            </w:pPr>
          </w:p>
        </w:tc>
      </w:tr>
      <w:tr>
        <w:trPr>
          <w:trHeight w:val="189"/>
        </w:trPr>
        <w:tc>
          <w:tcPr>
            <w:tcW w:w="6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Currency translation (gains) losses realized upon disposal of businesses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0" w:type="dxa"/>
            <w:vAlign w:val="bottom"/>
          </w:tcPr>
          <w:p>
            <w:pPr>
              <w:spacing w:after="0"/>
              <w:rPr>
                <w:sz w:val="1"/>
                <w:szCs w:val="1"/>
                <w:color w:val="auto"/>
              </w:rPr>
            </w:pPr>
          </w:p>
        </w:tc>
      </w:tr>
      <w:tr>
        <w:trPr>
          <w:trHeight w:val="176"/>
        </w:trPr>
        <w:tc>
          <w:tcPr>
            <w:tcW w:w="61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Currency translation (gains) losses realized upon disposal of businesses</w:t>
            </w: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5"/>
                <w:szCs w:val="15"/>
                <w:color w:val="auto"/>
              </w:rPr>
            </w:pPr>
          </w:p>
        </w:tc>
        <w:tc>
          <w:tcPr>
            <w:tcW w:w="2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(loss) from discontinued</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23"/>
        </w:trPr>
        <w:tc>
          <w:tcPr>
            <w:tcW w:w="6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Total before tax</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Tax expense (benefit)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(Gain) loss,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5"/>
                <w:szCs w:val="15"/>
                <w:color w:val="auto"/>
              </w:rPr>
            </w:pPr>
          </w:p>
        </w:tc>
        <w:tc>
          <w:tcPr>
            <w:tcW w:w="2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(loss) from discontinued</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29"/>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Total before tax</w:t>
            </w: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Tax expense (benefit)</w:t>
            </w: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(Gain) loss, net of tax</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adjustments: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Prior service credit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Tax expense (benefit)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(Gain) loss,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right="8660" w:firstLine="8"/>
        <w:spacing w:after="0" w:line="354"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 by business segment:</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August 2, 2020</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48"/>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balance at November 1, 2020</w:t>
            </w:r>
          </w:p>
        </w:tc>
        <w:tc>
          <w:tcPr>
            <w:tcW w:w="54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08"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 subject to amortization and intangible assets not subject to amortization:</w:t>
      </w: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0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82"/>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060" w:type="dxa"/>
            <w:vAlign w:val="bottom"/>
          </w:tcPr>
          <w:p>
            <w:pPr>
              <w:jc w:val="center"/>
              <w:ind w:right="44"/>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9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40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Trademarks</w:t>
            </w: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Non-amortizable intangible assets consist of trademarks. As of November 1, 2020, trademarks primarily included $1,978 associated with Snyder's-Lance. Of the carrying values of all indefinite-lived trademarks, $620 related to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$292 related to the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trademark, and $280 related to the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trademark.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in Earnings from continuing operations was $10 and $11 for the three-month periods ended November 1, 2020, and October 27, 2019, respectively. As of November 1, 2020, amortizable intangible assets had a weighted-average remaining useful life of 18 years. Amortization expense for the next 5 years is estimated to be approximately $42 per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Segment Information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90"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includes the retail and foodservice businesses in the U.S. and Canada. The segment includes the following products: </w:t>
      </w:r>
      <w:r>
        <w:rPr>
          <w:rFonts w:ascii="Times New Roman" w:cs="Times New Roman" w:eastAsia="Times New Roman" w:hAnsi="Times New Roman"/>
          <w:sz w:val="18"/>
          <w:szCs w:val="18"/>
          <w:i w:val="1"/>
          <w:iCs w:val="1"/>
          <w:color w:val="auto"/>
        </w:rPr>
        <w:t xml:space="preserve">Campbell’s </w:t>
      </w:r>
      <w:r>
        <w:rPr>
          <w:rFonts w:ascii="Times New Roman" w:cs="Times New Roman" w:eastAsia="Times New Roman" w:hAnsi="Times New Roman"/>
          <w:sz w:val="18"/>
          <w:szCs w:val="18"/>
          <w:color w:val="auto"/>
        </w:rPr>
        <w:t>condensed and ready-to-serve soups;</w:t>
      </w:r>
      <w:r>
        <w:rPr>
          <w:rFonts w:ascii="Times New Roman" w:cs="Times New Roman" w:eastAsia="Times New Roman" w:hAnsi="Times New Roman"/>
          <w:sz w:val="18"/>
          <w:szCs w:val="18"/>
          <w:i w:val="1"/>
          <w:iCs w:val="1"/>
          <w:color w:val="auto"/>
        </w:rPr>
        <w:t xml:space="preserve"> Swanson </w:t>
      </w:r>
      <w:r>
        <w:rPr>
          <w:rFonts w:ascii="Times New Roman" w:cs="Times New Roman" w:eastAsia="Times New Roman" w:hAnsi="Times New Roman"/>
          <w:sz w:val="18"/>
          <w:szCs w:val="18"/>
          <w:color w:val="auto"/>
        </w:rPr>
        <w:t>broth and stocks;</w:t>
      </w:r>
      <w:r>
        <w:rPr>
          <w:rFonts w:ascii="Times New Roman" w:cs="Times New Roman" w:eastAsia="Times New Roman" w:hAnsi="Times New Roman"/>
          <w:sz w:val="18"/>
          <w:szCs w:val="18"/>
          <w:i w:val="1"/>
          <w:iCs w:val="1"/>
          <w:color w:val="auto"/>
        </w:rPr>
        <w:t xml:space="preserve"> Pacific Foods </w:t>
      </w:r>
      <w:r>
        <w:rPr>
          <w:rFonts w:ascii="Times New Roman" w:cs="Times New Roman" w:eastAsia="Times New Roman" w:hAnsi="Times New Roman"/>
          <w:sz w:val="18"/>
          <w:szCs w:val="18"/>
          <w:color w:val="auto"/>
        </w:rPr>
        <w:t>broth, soups and non-dairy beverages;</w:t>
      </w:r>
      <w:r>
        <w:rPr>
          <w:rFonts w:ascii="Times New Roman" w:cs="Times New Roman" w:eastAsia="Times New Roman" w:hAnsi="Times New Roman"/>
          <w:sz w:val="18"/>
          <w:szCs w:val="18"/>
          <w:i w:val="1"/>
          <w:iCs w:val="1"/>
          <w:color w:val="auto"/>
        </w:rPr>
        <w:t xml:space="preserve"> Prego </w:t>
      </w:r>
      <w:r>
        <w:rPr>
          <w:rFonts w:ascii="Times New Roman" w:cs="Times New Roman" w:eastAsia="Times New Roman" w:hAnsi="Times New Roman"/>
          <w:sz w:val="18"/>
          <w:szCs w:val="18"/>
          <w:color w:val="auto"/>
        </w:rPr>
        <w:t>pasta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baby food and snacks;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w:t>
      </w:r>
    </w:p>
    <w:p>
      <w:pPr>
        <w:spacing w:after="0" w:line="5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 U.S. retail, including </w:t>
      </w:r>
      <w:r>
        <w:rPr>
          <w:rFonts w:ascii="Times New Roman" w:cs="Times New Roman" w:eastAsia="Times New Roman" w:hAnsi="Times New Roman"/>
          <w:sz w:val="18"/>
          <w:szCs w:val="18"/>
          <w:i w:val="1"/>
          <w:iCs w:val="1"/>
          <w:color w:val="auto"/>
        </w:rPr>
        <w:t>Milano</w:t>
      </w:r>
      <w:r>
        <w:rPr>
          <w:rFonts w:ascii="Times New Roman" w:cs="Times New Roman" w:eastAsia="Times New Roman" w:hAnsi="Times New Roman"/>
          <w:sz w:val="18"/>
          <w:szCs w:val="18"/>
          <w:color w:val="auto"/>
        </w:rPr>
        <w:t xml:space="preserve"> cookies and </w:t>
      </w:r>
      <w:r>
        <w:rPr>
          <w:rFonts w:ascii="Times New Roman" w:cs="Times New Roman" w:eastAsia="Times New Roman" w:hAnsi="Times New Roman"/>
          <w:sz w:val="18"/>
          <w:szCs w:val="18"/>
          <w:i w:val="1"/>
          <w:iCs w:val="1"/>
          <w:color w:val="auto"/>
        </w:rPr>
        <w:t xml:space="preserve">Goldfish </w:t>
      </w:r>
      <w:r>
        <w:rPr>
          <w:rFonts w:ascii="Times New Roman" w:cs="Times New Roman" w:eastAsia="Times New Roman" w:hAnsi="Times New Roman"/>
          <w:sz w:val="18"/>
          <w:szCs w:val="18"/>
          <w:color w:val="auto"/>
        </w:rPr>
        <w:t>crackers; and</w:t>
      </w:r>
      <w:r>
        <w:rPr>
          <w:rFonts w:ascii="Times New Roman" w:cs="Times New Roman" w:eastAsia="Times New Roman" w:hAnsi="Times New Roman"/>
          <w:sz w:val="18"/>
          <w:szCs w:val="18"/>
          <w:i w:val="1"/>
          <w:iCs w:val="1"/>
          <w:color w:val="auto"/>
        </w:rPr>
        <w:t xml:space="preserve"> Snyder’s of Hanover </w:t>
      </w:r>
      <w:r>
        <w:rPr>
          <w:rFonts w:ascii="Times New Roman" w:cs="Times New Roman" w:eastAsia="Times New Roman" w:hAnsi="Times New Roman"/>
          <w:sz w:val="18"/>
          <w:szCs w:val="18"/>
          <w:color w:val="auto"/>
        </w:rPr>
        <w:t>pretzels,</w:t>
      </w:r>
      <w:r>
        <w:rPr>
          <w:rFonts w:ascii="Times New Roman" w:cs="Times New Roman" w:eastAsia="Times New Roman" w:hAnsi="Times New Roman"/>
          <w:sz w:val="18"/>
          <w:szCs w:val="18"/>
          <w:i w:val="1"/>
          <w:iCs w:val="1"/>
          <w:color w:val="auto"/>
        </w:rPr>
        <w:t xml:space="preserve"> Lance </w:t>
      </w:r>
      <w:r>
        <w:rPr>
          <w:rFonts w:ascii="Times New Roman" w:cs="Times New Roman" w:eastAsia="Times New Roman" w:hAnsi="Times New Roman"/>
          <w:sz w:val="18"/>
          <w:szCs w:val="18"/>
          <w:color w:val="auto"/>
        </w:rPr>
        <w:t>sandwich crackers,</w:t>
      </w:r>
      <w:r>
        <w:rPr>
          <w:rFonts w:ascii="Times New Roman" w:cs="Times New Roman" w:eastAsia="Times New Roman" w:hAnsi="Times New Roman"/>
          <w:sz w:val="18"/>
          <w:szCs w:val="18"/>
          <w:i w:val="1"/>
          <w:iCs w:val="1"/>
          <w:color w:val="auto"/>
        </w:rPr>
        <w:t xml:space="preserve"> Cape Cod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Kettle Brand </w:t>
      </w:r>
      <w:r>
        <w:rPr>
          <w:rFonts w:ascii="Times New Roman" w:cs="Times New Roman" w:eastAsia="Times New Roman" w:hAnsi="Times New Roman"/>
          <w:sz w:val="18"/>
          <w:szCs w:val="18"/>
          <w:color w:val="auto"/>
        </w:rPr>
        <w:t>potato chips,</w:t>
      </w:r>
      <w:r>
        <w:rPr>
          <w:rFonts w:ascii="Times New Roman" w:cs="Times New Roman" w:eastAsia="Times New Roman" w:hAnsi="Times New Roman"/>
          <w:sz w:val="18"/>
          <w:szCs w:val="18"/>
          <w:i w:val="1"/>
          <w:iCs w:val="1"/>
          <w:color w:val="auto"/>
        </w:rPr>
        <w:t xml:space="preserve"> Late July </w:t>
      </w:r>
      <w:r>
        <w:rPr>
          <w:rFonts w:ascii="Times New Roman" w:cs="Times New Roman" w:eastAsia="Times New Roman" w:hAnsi="Times New Roman"/>
          <w:sz w:val="18"/>
          <w:szCs w:val="18"/>
          <w:color w:val="auto"/>
        </w:rPr>
        <w:t>snacks,</w:t>
      </w:r>
      <w:r>
        <w:rPr>
          <w:rFonts w:ascii="Times New Roman" w:cs="Times New Roman" w:eastAsia="Times New Roman" w:hAnsi="Times New Roman"/>
          <w:sz w:val="18"/>
          <w:szCs w:val="18"/>
          <w:i w:val="1"/>
          <w:iCs w:val="1"/>
          <w:color w:val="auto"/>
        </w:rPr>
        <w:t xml:space="preserve"> Snack Factory Pretzel Crisps, Pop Secret </w:t>
      </w:r>
      <w:r>
        <w:rPr>
          <w:rFonts w:ascii="Times New Roman" w:cs="Times New Roman" w:eastAsia="Times New Roman" w:hAnsi="Times New Roman"/>
          <w:sz w:val="18"/>
          <w:szCs w:val="18"/>
          <w:color w:val="auto"/>
        </w:rPr>
        <w:t>popcorn,</w:t>
      </w:r>
      <w:r>
        <w:rPr>
          <w:rFonts w:ascii="Times New Roman" w:cs="Times New Roman" w:eastAsia="Times New Roman" w:hAnsi="Times New Roman"/>
          <w:sz w:val="18"/>
          <w:szCs w:val="18"/>
          <w:i w:val="1"/>
          <w:iCs w:val="1"/>
          <w:color w:val="auto"/>
        </w:rPr>
        <w:t xml:space="preserve"> Emerald </w:t>
      </w:r>
      <w:r>
        <w:rPr>
          <w:rFonts w:ascii="Times New Roman" w:cs="Times New Roman" w:eastAsia="Times New Roman" w:hAnsi="Times New Roman"/>
          <w:sz w:val="18"/>
          <w:szCs w:val="18"/>
          <w:color w:val="auto"/>
        </w:rPr>
        <w:t>nuts, and other snacking products in the U.S. and Canada. The segment includes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Latin America. The segment also included the results of our European chips business, which was sold on October 11, 2019.</w:t>
      </w:r>
    </w:p>
    <w:p>
      <w:pPr>
        <w:spacing w:after="0" w:line="6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and impairment charges. Unrealized gains and losses on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8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Pr>
          <w:p>
            <w:pPr>
              <w:spacing w:after="0"/>
              <w:rPr>
                <w:sz w:val="11"/>
                <w:szCs w:val="11"/>
                <w:color w:val="auto"/>
              </w:rPr>
            </w:pPr>
          </w:p>
        </w:tc>
        <w:tc>
          <w:tcPr>
            <w:tcW w:w="1120" w:type="dxa"/>
            <w:vAlign w:val="bottom"/>
          </w:tcPr>
          <w:p>
            <w:pPr>
              <w:jc w:val="center"/>
              <w:ind w:right="116"/>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8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8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Pr>
          <w:p>
            <w:pPr>
              <w:spacing w:after="0"/>
              <w:rPr>
                <w:sz w:val="11"/>
                <w:szCs w:val="11"/>
                <w:color w:val="auto"/>
              </w:rPr>
            </w:pPr>
          </w:p>
        </w:tc>
        <w:tc>
          <w:tcPr>
            <w:tcW w:w="1120" w:type="dxa"/>
            <w:vAlign w:val="bottom"/>
          </w:tcPr>
          <w:p>
            <w:pPr>
              <w:jc w:val="center"/>
              <w:ind w:right="116"/>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340" w:hanging="332"/>
        <w:spacing w:after="0" w:line="239"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Pension benefit settlement adjustments are included in Corporate. There were settlement gains of $4 in the three-month period ended November 1, 2020. A loss of $64 on the sale of our European chips business was included in the three-month period ended October 27, 2019. Costs related to the cost savings initiatives were $5 and $8 in the three-month periods ended November 1, 2020, and October 27, 2019, respectively.</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for additional information.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color w:val="auto"/>
        </w:rPr>
        <w:t>Our net sales based on product categories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3"/>
        </w:trPr>
        <w:tc>
          <w:tcPr>
            <w:tcW w:w="8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Pr>
          <w:p>
            <w:pPr>
              <w:spacing w:after="0"/>
              <w:rPr>
                <w:sz w:val="11"/>
                <w:szCs w:val="11"/>
                <w:color w:val="auto"/>
              </w:rPr>
            </w:pPr>
          </w:p>
        </w:tc>
        <w:tc>
          <w:tcPr>
            <w:tcW w:w="1120" w:type="dxa"/>
            <w:vAlign w:val="bottom"/>
          </w:tcPr>
          <w:p>
            <w:pPr>
              <w:jc w:val="right"/>
              <w:ind w:right="215"/>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r>
      <w:tr>
        <w:trPr>
          <w:trHeight w:val="189"/>
        </w:trPr>
        <w:tc>
          <w:tcPr>
            <w:tcW w:w="8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1"/>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nuts, potato chips, tortilla chips and other salty snacks and baked products. Other simple meals include sauces and Plum products.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non-dairy beverages.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Charges and Cost Savings Initiatives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charges recorded in Earnings from continuing operations related to these initiatives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35"/>
        </w:trPr>
        <w:tc>
          <w:tcPr>
            <w:tcW w:w="67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216"/>
              <w:spacing w:after="0" w:line="135" w:lineRule="exact"/>
              <w:rPr>
                <w:sz w:val="20"/>
                <w:szCs w:val="20"/>
                <w:color w:val="auto"/>
              </w:rPr>
            </w:pPr>
            <w:r>
              <w:rPr>
                <w:rFonts w:ascii="Times New Roman" w:cs="Times New Roman" w:eastAsia="Times New Roman" w:hAnsi="Times New Roman"/>
                <w:sz w:val="14"/>
                <w:szCs w:val="14"/>
                <w:b w:val="1"/>
                <w:bCs w:val="1"/>
                <w:color w:val="auto"/>
              </w:rPr>
              <w:t>Recognized as of</w:t>
            </w:r>
          </w:p>
        </w:tc>
      </w:tr>
      <w:tr>
        <w:trPr>
          <w:trHeight w:val="189"/>
        </w:trPr>
        <w:tc>
          <w:tcPr>
            <w:tcW w:w="67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November 1, 2020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0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67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90"/>
        </w:trPr>
        <w:tc>
          <w:tcPr>
            <w:tcW w:w="96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 summary of the pre-tax costs in Earnings (loss) from discontinued operations associated with these initiatives is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2"/>
        </w:trPr>
        <w:tc>
          <w:tcPr>
            <w:tcW w:w="6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Recognized as of</w:t>
            </w:r>
          </w:p>
        </w:tc>
      </w:tr>
      <w:tr>
        <w:trPr>
          <w:trHeight w:val="189"/>
        </w:trPr>
        <w:tc>
          <w:tcPr>
            <w:tcW w:w="67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1, 2020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0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April 28, 2019, we incurred substantially all of the costs for actions associated with discontinued operations. All of the costs were cash expenditures.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costs in Earnings from continuing operations associated with the initiatives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CCEEFF"/>
            </w:tcBorders>
          </w:tcPr>
          <w:p>
            <w:pPr>
              <w:spacing w:after="0"/>
              <w:rPr>
                <w:sz w:val="16"/>
                <w:szCs w:val="16"/>
                <w:color w:val="auto"/>
              </w:rPr>
            </w:pPr>
          </w:p>
        </w:tc>
        <w:tc>
          <w:tcPr>
            <w:tcW w:w="5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5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5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30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38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total estimated pre-tax costs for actions associated with continuing operations that have been identified are approximately $700 to $730 and we expect to incur the costs through 2022. This estimate will be updated as costs for the expanded initiatives are developed.</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the costs for actions associated with continuing operations that have been identified to date to consist of the following: approximately $220 to $225 in severance pay and benefits; approximately $90 in asset impairment and accelerated depreciation; and approximately $390 to $415 in implementation costs and other related costs. We expect these pre-tax costs to be associated with our segments as follows: Meals &amp; Beverages - approximately 32%; Snacks - approximately 44%; and Corporate - approximately 24%.</w:t>
      </w:r>
    </w:p>
    <w:p>
      <w:pPr>
        <w:spacing w:after="0" w:line="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Of the aggregate $700 to $730 of pre-tax costs associated with continuing operations identified to date, we expect approximately $595 to $625 will be cash expenditures. In addition, we expect to invest approximately $455 in capital expenditures through 2022, of which we invested $351 as of November 1, 2020. The capital expenditures primarily relate to a U.S. warehouse optimization project, improvement of quality, safety and cost structure across the Snyder’s-Lance manufacturing network, implementation of an SAP enterprise-resource planning system for Snyder's-Lance, optimization of information technology infrastructure and applications, transition of production of the Toronto manufacturing facility to our U.S. thermal plants, insourcing of manufacturing for certain simple meal products, and optimization of the Snyder’s-Lance warehouse and distribution network.</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associated with continuing operations at November 1, 2020,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40" w:type="dxa"/>
            <w:vAlign w:val="bottom"/>
          </w:tcPr>
          <w:p>
            <w:pPr>
              <w:spacing w:after="0"/>
              <w:rPr>
                <w:sz w:val="11"/>
                <w:szCs w:val="11"/>
                <w:color w:val="auto"/>
              </w:rPr>
            </w:pPr>
          </w:p>
        </w:tc>
        <w:tc>
          <w:tcPr>
            <w:tcW w:w="108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8"/>
              </w:rPr>
              <w:t>Costs</w:t>
            </w:r>
            <w:r>
              <w:rPr>
                <w:rFonts w:ascii="Times New Roman" w:cs="Times New Roman" w:eastAsia="Times New Roman" w:hAnsi="Times New Roman"/>
                <w:sz w:val="18"/>
                <w:szCs w:val="18"/>
                <w:b w:val="1"/>
                <w:bCs w:val="1"/>
                <w:color w:val="auto"/>
                <w:w w:val="98"/>
                <w:vertAlign w:val="superscript"/>
              </w:rPr>
              <w:t>(2)</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Accrued balance at August 2, 2020</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2021 charges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2021 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Accrued balance at November 1, 2020</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3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spacing w:after="0" w:line="6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80" w:type="dxa"/>
            <w:vAlign w:val="bottom"/>
          </w:tcPr>
          <w:p>
            <w:pPr>
              <w:spacing w:after="0"/>
              <w:rPr>
                <w:sz w:val="11"/>
                <w:szCs w:val="11"/>
                <w:color w:val="auto"/>
              </w:rPr>
            </w:pPr>
          </w:p>
        </w:tc>
        <w:tc>
          <w:tcPr>
            <w:tcW w:w="1640" w:type="dxa"/>
            <w:vAlign w:val="bottom"/>
            <w:gridSpan w:val="3"/>
          </w:tcPr>
          <w:p>
            <w:pPr>
              <w:ind w:left="320"/>
              <w:spacing w:after="0" w:line="134"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 (EPS)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periods ended November 1, 2020 and October 27, 2019, excludes approximately 1 million stock options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Pension and Postretirement Benefits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net benefit expense (income)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8"/>
        </w:trPr>
        <w:tc>
          <w:tcPr>
            <w:tcW w:w="42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220" w:type="dxa"/>
            <w:vAlign w:val="bottom"/>
            <w:tcBorders>
              <w:bottom w:val="single" w:sz="8" w:color="auto"/>
            </w:tcBorders>
          </w:tcPr>
          <w:p>
            <w:pPr>
              <w:spacing w:after="0"/>
              <w:rPr>
                <w:sz w:val="16"/>
                <w:szCs w:val="16"/>
                <w:color w:val="auto"/>
              </w:rPr>
            </w:pPr>
          </w:p>
        </w:tc>
      </w:tr>
      <w:tr>
        <w:trPr>
          <w:trHeight w:val="129"/>
        </w:trPr>
        <w:tc>
          <w:tcPr>
            <w:tcW w:w="4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jc w:val="right"/>
              <w:ind w:right="375"/>
              <w:spacing w:after="0" w:line="129" w:lineRule="exact"/>
              <w:rPr>
                <w:sz w:val="20"/>
                <w:szCs w:val="20"/>
                <w:color w:val="auto"/>
              </w:rPr>
            </w:pPr>
            <w:r>
              <w:rPr>
                <w:rFonts w:ascii="Times New Roman" w:cs="Times New Roman" w:eastAsia="Times New Roman" w:hAnsi="Times New Roman"/>
                <w:sz w:val="14"/>
                <w:szCs w:val="14"/>
                <w:b w:val="1"/>
                <w:bCs w:val="1"/>
                <w:color w:val="auto"/>
              </w:rPr>
              <w:t>October 27,</w:t>
            </w:r>
          </w:p>
        </w:tc>
      </w:tr>
      <w:tr>
        <w:trPr>
          <w:trHeight w:val="189"/>
        </w:trPr>
        <w:tc>
          <w:tcPr>
            <w:tcW w:w="42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2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gains</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4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settlement gains of $4 for three-month period ended November 1, 2020 resulted from the level of lump sum distributions associated with a U.S. pension plan and a Canadian pension plan. The settlement gain of $1 for the three-month period ended October 27, 2019 resulted from the level of lump sum distributions associated with a Canadian pension plan.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periodic pension benefit expense (income) associated with discontinued operations was not material for the three-month period ended October 27,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46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4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10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76</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4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line="238"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labor and other overhead in our service contracts with embedded leases.</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lease cost in the three-month period ended October 27, 2019, included $2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Pr>
          <w:p>
            <w:pPr>
              <w:spacing w:after="0"/>
              <w:rPr>
                <w:sz w:val="11"/>
                <w:szCs w:val="11"/>
                <w:color w:val="auto"/>
              </w:rPr>
            </w:pPr>
          </w:p>
        </w:tc>
        <w:tc>
          <w:tcPr>
            <w:tcW w:w="1080" w:type="dxa"/>
            <w:vAlign w:val="bottom"/>
          </w:tcPr>
          <w:p>
            <w:pPr>
              <w:jc w:val="center"/>
              <w:ind w:right="157"/>
              <w:spacing w:after="0" w:line="134"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629"/>
        </w:trPr>
        <w:tc>
          <w:tcPr>
            <w:tcW w:w="5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Pr>
          <w:p>
            <w:pPr>
              <w:spacing w:after="0"/>
              <w:rPr>
                <w:sz w:val="11"/>
                <w:szCs w:val="11"/>
                <w:color w:val="auto"/>
              </w:rPr>
            </w:pPr>
          </w:p>
        </w:tc>
        <w:tc>
          <w:tcPr>
            <w:tcW w:w="1080" w:type="dxa"/>
            <w:vAlign w:val="bottom"/>
          </w:tcPr>
          <w:p>
            <w:pPr>
              <w:jc w:val="center"/>
              <w:ind w:right="157"/>
              <w:spacing w:after="0" w:line="134"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3"/>
        </w:trPr>
        <w:tc>
          <w:tcPr>
            <w:tcW w:w="8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Pr>
          <w:p>
            <w:pPr>
              <w:spacing w:after="0"/>
              <w:rPr>
                <w:sz w:val="11"/>
                <w:szCs w:val="11"/>
                <w:color w:val="auto"/>
              </w:rPr>
            </w:pPr>
          </w:p>
        </w:tc>
        <w:tc>
          <w:tcPr>
            <w:tcW w:w="1120" w:type="dxa"/>
            <w:vAlign w:val="bottom"/>
          </w:tcPr>
          <w:p>
            <w:pPr>
              <w:jc w:val="right"/>
              <w:ind w:right="215"/>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r>
      <w:tr>
        <w:trPr>
          <w:trHeight w:val="189"/>
        </w:trPr>
        <w:tc>
          <w:tcPr>
            <w:tcW w:w="8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divested with businesses sold: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8"/>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November 1, 2020, or August 2, 2020.</w:t>
      </w:r>
    </w:p>
    <w:p>
      <w:pPr>
        <w:spacing w:after="0" w:line="5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also exposed to credit risk from our customers. During 2020, our largest customer accounted for approximately 21% of consolidated net sales from continuing operations. Our five largest customers accounted for approximately 44% of our consolidated net sales from continuing operations in 2020.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exchange risk related to third-party transactions and intercompany transactions, including intercompany debt. Principal currencies hedged include the Canadian dollar and, prior to the sale of Arnott's and other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international operations, the Australian dollar.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for periods consistent with the underlying debt. The notional amount of foreign exchange forward contracts accounted for as cash-flow hedges was $124 at November 1, 2020, and $164 at August 2, 2020.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$26 at November 1, 2020, and $19 at August 2, 2020.</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interest expense over the life of the debt. The change in fair value on undesignated instruments is recorded in interest expense. There were no forward starting interest rate swaps or treasury rate lock contracts outstanding as of November 1, 2020, or August 2, 2020.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cocoa, aluminum, soybean meal and corn. Commodity futures, options, and swap contracts are either designated as cash-flow hedging instruments or are undesignated. We hedge a portion of commodity requirements for periods typically up to 18 months. There were no commodity contracts accounted for as cash-flow hedges as of November 1, 2020, or August 2, 2020. The notional amount of commodity contracts not designated as accounting hedges was $116 at November 1, 2020, and $137 at August 2, 2020.</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$13 as of November 1, 2020, and $34 as of August 2, 2020.</w:t>
      </w:r>
    </w:p>
    <w:p>
      <w:pPr>
        <w:spacing w:after="0" w:line="58" w:lineRule="exact"/>
        <w:rPr>
          <w:sz w:val="20"/>
          <w:szCs w:val="20"/>
          <w:color w:val="auto"/>
        </w:rPr>
      </w:pPr>
    </w:p>
    <w:p>
      <w:pPr>
        <w:ind w:right="2020" w:firstLine="324"/>
        <w:spacing w:after="0" w:line="352" w:lineRule="auto"/>
        <w:rPr>
          <w:sz w:val="20"/>
          <w:szCs w:val="20"/>
          <w:color w:val="auto"/>
        </w:rPr>
      </w:pPr>
      <w:r>
        <w:rPr>
          <w:rFonts w:ascii="Times New Roman" w:cs="Times New Roman" w:eastAsia="Times New Roman" w:hAnsi="Times New Roman"/>
          <w:sz w:val="18"/>
          <w:szCs w:val="18"/>
          <w:color w:val="auto"/>
        </w:rPr>
        <w:t xml:space="preserve">Unrealized gains (losses) and settlements are included in Cost of products sold in our Consolidated Statements of Earnings. </w:t>
      </w:r>
      <w:r>
        <w:rPr>
          <w:rFonts w:ascii="Times New Roman" w:cs="Times New Roman" w:eastAsia="Times New Roman" w:hAnsi="Times New Roman"/>
          <w:sz w:val="18"/>
          <w:szCs w:val="18"/>
          <w:b w:val="1"/>
          <w:bCs w:val="1"/>
          <w:i w:val="1"/>
          <w:iCs w:val="1"/>
          <w:color w:val="auto"/>
        </w:rPr>
        <w:t>Equity Price Risk</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$22 as of November 1, 2020, and August 2, 2020.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2020, and August 2,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8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40" w:type="dxa"/>
            <w:vAlign w:val="bottom"/>
            <w:tcBorders>
              <w:top w:val="single" w:sz="8" w:color="auto"/>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compensation derivative contracts</w:t>
            </w:r>
          </w:p>
        </w:tc>
        <w:tc>
          <w:tcPr>
            <w:tcW w:w="4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4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3"/>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4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4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4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November 1, 2020, and August 2, 2020, would be adjusted as detailed in the following table:</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1"/>
                <w:szCs w:val="11"/>
                <w:color w:val="auto"/>
              </w:rPr>
            </w:pPr>
          </w:p>
        </w:tc>
        <w:tc>
          <w:tcPr>
            <w:tcW w:w="11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2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The cash margin account balance was not material at November 1, 2020, and $8 at August 2, 2020, which was included in Other 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for the three-month periods ended November 1, 2020, and October 27, 2019, in other comprehensive income (loss) (OCI) and the Consolidated Statements of Earnings: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gridSpan w:val="4"/>
          </w:tcPr>
          <w:p>
            <w:pPr>
              <w:ind w:left="640"/>
              <w:spacing w:after="0" w:line="147" w:lineRule="exact"/>
              <w:rPr>
                <w:sz w:val="20"/>
                <w:szCs w:val="20"/>
                <w:color w:val="auto"/>
              </w:rPr>
            </w:pPr>
            <w:r>
              <w:rPr>
                <w:rFonts w:ascii="Times New Roman" w:cs="Times New Roman" w:eastAsia="Times New Roman" w:hAnsi="Times New Roman"/>
                <w:sz w:val="14"/>
                <w:szCs w:val="14"/>
                <w:b w:val="1"/>
                <w:bCs w:val="1"/>
                <w:color w:val="auto"/>
              </w:rPr>
              <w:t>Total Cash-Flow Hedge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Cash-Flow Hedges</w:t>
            </w:r>
          </w:p>
        </w:tc>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380" w:type="dxa"/>
            <w:vAlign w:val="bottom"/>
          </w:tcPr>
          <w:p>
            <w:pPr>
              <w:spacing w:after="0"/>
              <w:rPr>
                <w:sz w:val="11"/>
                <w:szCs w:val="11"/>
                <w:color w:val="auto"/>
              </w:rPr>
            </w:pPr>
          </w:p>
        </w:tc>
        <w:tc>
          <w:tcPr>
            <w:tcW w:w="1180" w:type="dxa"/>
            <w:vAlign w:val="bottom"/>
          </w:tcPr>
          <w:p>
            <w:pPr>
              <w:jc w:val="right"/>
              <w:ind w:right="335"/>
              <w:spacing w:after="0" w:line="129"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4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8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Location in Earnings</w:t>
            </w:r>
          </w:p>
        </w:tc>
        <w:tc>
          <w:tcPr>
            <w:tcW w:w="1180" w:type="dxa"/>
            <w:vAlign w:val="bottom"/>
            <w:tcBorders>
              <w:bottom w:val="single" w:sz="8" w:color="CCEEFF"/>
            </w:tcBorders>
            <w:gridSpan w:val="2"/>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Pr>
          <w:p>
            <w:pPr>
              <w:spacing w:after="0"/>
              <w:rPr>
                <w:sz w:val="15"/>
                <w:szCs w:val="15"/>
                <w:color w:val="auto"/>
              </w:rPr>
            </w:pPr>
          </w:p>
        </w:tc>
        <w:tc>
          <w:tcPr>
            <w:tcW w:w="28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Earnings (loss) from</w:t>
            </w:r>
          </w:p>
        </w:tc>
        <w:tc>
          <w:tcPr>
            <w:tcW w:w="14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$3.</w:t>
      </w:r>
    </w:p>
    <w:p>
      <w:pPr>
        <w:spacing w:after="0" w:line="104" w:lineRule="exact"/>
        <w:rPr>
          <w:sz w:val="20"/>
          <w:szCs w:val="20"/>
          <w:color w:val="auto"/>
        </w:rPr>
      </w:pPr>
    </w:p>
    <w:p>
      <w:pPr>
        <w:jc w:val="both"/>
        <w:ind w:right="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shows the effect of our derivative instruments designated as cash-flow hedges for the three-month periods ended November 1, 2020, and October 27, 2019, in the Consolidated Statements of Earnings:</w:t>
      </w: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5"/>
          </w:tcPr>
          <w:p>
            <w:pPr>
              <w:ind w:left="46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20" w:type="dxa"/>
            <w:vAlign w:val="bottom"/>
          </w:tcPr>
          <w:p>
            <w:pPr>
              <w:spacing w:after="0"/>
              <w:rPr>
                <w:sz w:val="11"/>
                <w:szCs w:val="11"/>
                <w:color w:val="auto"/>
              </w:rPr>
            </w:pPr>
          </w:p>
        </w:tc>
        <w:tc>
          <w:tcPr>
            <w:tcW w:w="1860" w:type="dxa"/>
            <w:vAlign w:val="bottom"/>
            <w:gridSpan w:val="4"/>
          </w:tcPr>
          <w:p>
            <w:pPr>
              <w:jc w:val="center"/>
              <w:ind w:right="57"/>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89"/>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35"/>
        </w:trPr>
        <w:tc>
          <w:tcPr>
            <w:tcW w:w="7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center"/>
              <w:ind w:left="64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Cash Flow Hedges: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 of (gain) loss reclassified from OCI to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71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 excluded from effectiveness testing recognized in earnings using an amortization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approach</w:t>
            </w:r>
          </w:p>
        </w:tc>
        <w:tc>
          <w:tcPr>
            <w:tcW w:w="14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for the three-month periods ended November 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2019, in the Consolidated Statements of Earnings:</w:t>
      </w:r>
    </w:p>
    <w:p>
      <w:pPr>
        <w:spacing w:after="0" w:line="17"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Amount of (Gain) Loss Recognized in Earnings on</w:t>
      </w: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13335</wp:posOffset>
            </wp:positionV>
            <wp:extent cx="2160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2160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Hedges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Commodity derivative contracts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 compensation derivative contracts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(gain) loss at end of quarter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60" w:type="dxa"/>
            <w:vAlign w:val="bottom"/>
          </w:tcPr>
          <w:p>
            <w:pPr>
              <w:spacing w:after="0"/>
              <w:rPr>
                <w:sz w:val="13"/>
                <w:szCs w:val="13"/>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80" w:type="dxa"/>
            <w:vAlign w:val="bottom"/>
          </w:tcPr>
          <w:p>
            <w:pPr>
              <w:spacing w:after="0"/>
              <w:rPr>
                <w:sz w:val="13"/>
                <w:szCs w:val="13"/>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October 27,</w:t>
            </w:r>
          </w:p>
        </w:tc>
      </w:tr>
      <w:tr>
        <w:trPr>
          <w:trHeight w:val="189"/>
        </w:trPr>
        <w:tc>
          <w:tcPr>
            <w:tcW w:w="30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260" w:type="dxa"/>
            <w:vAlign w:val="bottom"/>
          </w:tcPr>
          <w:p>
            <w:pPr>
              <w:spacing w:after="0"/>
              <w:rPr>
                <w:sz w:val="16"/>
                <w:szCs w:val="16"/>
                <w:color w:val="auto"/>
              </w:rPr>
            </w:pPr>
          </w:p>
        </w:tc>
        <w:tc>
          <w:tcPr>
            <w:tcW w:w="13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4"/>
        </w:trPr>
        <w:tc>
          <w:tcPr>
            <w:tcW w:w="2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6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-479425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-187960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-779145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420"/>
          </w:cols>
          <w:pgMar w:left="320" w:top="985" w:right="3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9" w:name="page20"/>
    <w:bookmarkEnd w:id="19"/>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financial assets and liabilities that are measured at fair value on a recurring basis as of November 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2020, consistent with the fair value hierarchy: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11"/>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9"/>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gridSpan w:val="11"/>
            <w:vMerge w:val="restart"/>
          </w:tcPr>
          <w:p>
            <w:pPr>
              <w:jc w:val="center"/>
              <w:ind w:left="497"/>
              <w:spacing w:after="0" w:line="135" w:lineRule="exact"/>
              <w:rPr>
                <w:sz w:val="20"/>
                <w:szCs w:val="20"/>
                <w:color w:val="auto"/>
              </w:rPr>
            </w:pPr>
            <w:r>
              <w:rPr>
                <w:rFonts w:ascii="Times New Roman" w:cs="Times New Roman" w:eastAsia="Times New Roman" w:hAnsi="Times New Roman"/>
                <w:sz w:val="14"/>
                <w:szCs w:val="14"/>
                <w:b w:val="1"/>
                <w:bCs w:val="1"/>
                <w:color w:val="auto"/>
              </w:rPr>
              <w:t>November 1, 2020 Using</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gridSpan w:val="7"/>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August 2, 2020 Using</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gridSpan w:val="11"/>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2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November 1,</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8"/>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260"/>
              <w:spacing w:after="0" w:line="108" w:lineRule="exact"/>
              <w:rPr>
                <w:sz w:val="20"/>
                <w:szCs w:val="20"/>
                <w:color w:val="auto"/>
              </w:rPr>
            </w:pPr>
            <w:r>
              <w:rPr>
                <w:rFonts w:ascii="Times New Roman" w:cs="Times New Roman" w:eastAsia="Times New Roman" w:hAnsi="Times New Roman"/>
                <w:sz w:val="12"/>
                <w:szCs w:val="12"/>
                <w:b w:val="1"/>
                <w:bCs w:val="1"/>
                <w:color w:val="auto"/>
              </w:rPr>
              <w:t>August 2,</w:t>
            </w: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7"/>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3"/>
              </w:rPr>
              <w:t>Assets</w:t>
            </w:r>
          </w:p>
        </w:tc>
        <w:tc>
          <w:tcPr>
            <w:tcW w:w="1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3"/>
                <w:szCs w:val="23"/>
                <w:color w:val="auto"/>
                <w:vertAlign w:val="superscript"/>
              </w:rPr>
              <w:t>(1)</w:t>
            </w:r>
          </w:p>
        </w:tc>
        <w:tc>
          <w:tcPr>
            <w:tcW w:w="1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gridSpan w:val="4"/>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w w:val="99"/>
              </w:rPr>
              <w:t>Commodity derivative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Total assets at fair value</w:t>
            </w: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11"/>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gridSpan w:val="11"/>
            <w:vMerge w:val="restart"/>
          </w:tcPr>
          <w:p>
            <w:pPr>
              <w:jc w:val="center"/>
              <w:ind w:left="537"/>
              <w:spacing w:after="0" w:line="135" w:lineRule="exact"/>
              <w:rPr>
                <w:sz w:val="20"/>
                <w:szCs w:val="20"/>
                <w:color w:val="auto"/>
              </w:rPr>
            </w:pPr>
            <w:r>
              <w:rPr>
                <w:rFonts w:ascii="Times New Roman" w:cs="Times New Roman" w:eastAsia="Times New Roman" w:hAnsi="Times New Roman"/>
                <w:sz w:val="14"/>
                <w:szCs w:val="14"/>
                <w:b w:val="1"/>
                <w:bCs w:val="1"/>
                <w:color w:val="auto"/>
              </w:rPr>
              <w:t>November 1, 2020 Using</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gridSpan w:val="6"/>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August 2, 2020 Using</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gridSpan w:val="11"/>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9"/>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0" w:type="dxa"/>
            <w:vAlign w:val="bottom"/>
            <w:gridSpan w:val="8"/>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November 1,</w:t>
            </w: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9"/>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August 2,</w:t>
            </w: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8"/>
            <w:vMerge w:val="continue"/>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40" w:type="dxa"/>
            <w:vAlign w:val="bottom"/>
            <w:tcBorders>
              <w:right w:val="single" w:sz="8" w:color="CCEEFF"/>
            </w:tcBorders>
          </w:tcPr>
          <w:p>
            <w:pPr>
              <w:spacing w:after="0"/>
              <w:rPr>
                <w:sz w:val="14"/>
                <w:szCs w:val="14"/>
                <w:color w:val="auto"/>
              </w:rPr>
            </w:pPr>
          </w:p>
        </w:tc>
        <w:tc>
          <w:tcPr>
            <w:tcW w:w="174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3"/>
                <w:szCs w:val="23"/>
                <w:color w:val="auto"/>
                <w:vertAlign w:val="superscript"/>
              </w:rPr>
              <w:t>(1)</w:t>
            </w:r>
          </w:p>
        </w:tc>
        <w:tc>
          <w:tcPr>
            <w:tcW w:w="1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gridSpan w:val="4"/>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17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w w:val="98"/>
              </w:rPr>
              <w:t>Commodity derivative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3"/>
                <w:szCs w:val="23"/>
                <w:color w:val="auto"/>
                <w:vertAlign w:val="superscript"/>
              </w:rPr>
              <w:t>(4)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CCEEFF"/>
            </w:tcBorders>
          </w:tcPr>
          <w:p>
            <w:pPr>
              <w:spacing w:after="0"/>
              <w:rPr>
                <w:sz w:val="13"/>
                <w:szCs w:val="13"/>
                <w:color w:val="auto"/>
              </w:rPr>
            </w:pPr>
          </w:p>
        </w:tc>
        <w:tc>
          <w:tcPr>
            <w:tcW w:w="17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liabilities at fair</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60" w:type="dxa"/>
            <w:vAlign w:val="bottom"/>
            <w:gridSpan w:val="5"/>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value</w:t>
            </w:r>
          </w:p>
        </w:tc>
        <w:tc>
          <w:tcPr>
            <w:tcW w:w="14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60" w:type="dxa"/>
            <w:vAlign w:val="bottom"/>
            <w:gridSpan w:val="5"/>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4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30" w:lineRule="auto"/>
        <w:tabs>
          <w:tab w:leader="none" w:pos="32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ind w:left="320" w:hanging="312"/>
        <w:spacing w:after="0" w:line="196"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LIBOR and equity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for the three-month periods ended November 1, 2020, and October 27, 2019:</w:t>
      </w:r>
    </w:p>
    <w:tbl>
      <w:tblPr>
        <w:tblLayout w:type="fixed"/>
        <w:tblInd w:w="0" w:type="dxa"/>
        <w:tblCellMar>
          <w:top w:w="0" w:type="dxa"/>
          <w:left w:w="0" w:type="dxa"/>
          <w:bottom w:w="0" w:type="dxa"/>
          <w:right w:w="0" w:type="dxa"/>
        </w:tblCellMar>
      </w:tblPr>
      <w:tr>
        <w:trPr>
          <w:trHeight w:val="195"/>
        </w:trPr>
        <w:tc>
          <w:tcPr>
            <w:tcW w:w="8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2019</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9"/>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55" w:lineRule="exact"/>
        <w:rPr>
          <w:sz w:val="20"/>
          <w:szCs w:val="20"/>
          <w:color w:val="auto"/>
        </w:rPr>
      </w:pPr>
    </w:p>
    <w:p>
      <w:pPr>
        <w:jc w:val="both"/>
        <w:ind w:left="340" w:hanging="332"/>
        <w:spacing w:after="0" w:line="241"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represented investments in equity securities that were not readily marketable and were accounted for under the fair value option. The investments were funded by Acre Venture Partners, L.P. (Acre), a limited partnership in which we were the sole limited partner. Fair value was based on analyzing recent transactions and transactions of comparable companies, and the discounted cash flow method. In addition, allocation methods, including the option pricing method, were used in distributing fair value among various equity holders according to rights and preferences. We entered into an agreement to sell our interest in Acre on April 26, 2020, and completed the sale on May 8, 2020.</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equivalents were $200 at November 1, 2020, and $157 at August 2, 2020. Cash equivalents represent fair value as these highly liquid investments have an original maturity of three months or less. Fair value of cash equivalents is based on Level 2 inputs.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short- and long-term debt was $6,635 at November 1, 2020, and $6,995 at August 2, 2020. The carrying value was $6,080 at November 1, 2020, and $6,196 at August 2, 2020. The fair value of long-term debt is principally estimated using Level 2 inputs based on quoted market prices or pricing models using current market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Repurchases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November 1, 2020.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2021, we issued time-lapse restricted stock units, unrestricted stock and TSR performance restricted stock units. We have not issued stock options, FCF performance restricted stock units, or EPS performance restricted stock units in 2021.</w:t>
      </w:r>
    </w:p>
    <w:p>
      <w:pPr>
        <w:spacing w:after="0" w:line="58"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tbl>
      <w:tblPr>
        <w:tblLayout w:type="fixed"/>
        <w:tblInd w:w="0" w:type="dxa"/>
        <w:tblCellMar>
          <w:top w:w="0" w:type="dxa"/>
          <w:left w:w="0" w:type="dxa"/>
          <w:bottom w:w="0" w:type="dxa"/>
          <w:right w:w="0" w:type="dxa"/>
        </w:tblCellMar>
      </w:tblPr>
      <w:tr>
        <w:trPr>
          <w:trHeight w:val="195"/>
        </w:trPr>
        <w:tc>
          <w:tcPr>
            <w:tcW w:w="8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3"/>
        </w:trPr>
        <w:tc>
          <w:tcPr>
            <w:tcW w:w="8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Pr>
          <w:p>
            <w:pPr>
              <w:spacing w:after="0"/>
              <w:rPr>
                <w:sz w:val="11"/>
                <w:szCs w:val="11"/>
                <w:color w:val="auto"/>
              </w:rPr>
            </w:pPr>
          </w:p>
        </w:tc>
        <w:tc>
          <w:tcPr>
            <w:tcW w:w="1080" w:type="dxa"/>
            <w:vAlign w:val="bottom"/>
          </w:tcPr>
          <w:p>
            <w:pPr>
              <w:jc w:val="right"/>
              <w:ind w:right="199"/>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r>
      <w:tr>
        <w:trPr>
          <w:trHeight w:val="189"/>
        </w:trPr>
        <w:tc>
          <w:tcPr>
            <w:tcW w:w="8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8"/>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pre-tax stock-based compensation expense and tax-related benefits recognized in Earnings (loss) from discontinued operations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4"/>
        </w:trPr>
        <w:tc>
          <w:tcPr>
            <w:tcW w:w="45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159"/>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r>
      <w:tr>
        <w:trPr>
          <w:trHeight w:val="189"/>
        </w:trPr>
        <w:tc>
          <w:tcPr>
            <w:tcW w:w="452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5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5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65"/>
        </w:trPr>
        <w:tc>
          <w:tcPr>
            <w:tcW w:w="4520" w:type="dxa"/>
            <w:vAlign w:val="bottom"/>
          </w:tcPr>
          <w:p>
            <w:pPr>
              <w:spacing w:after="0"/>
              <w:rPr>
                <w:sz w:val="24"/>
                <w:szCs w:val="24"/>
                <w:color w:val="auto"/>
              </w:rPr>
            </w:pPr>
          </w:p>
        </w:tc>
        <w:tc>
          <w:tcPr>
            <w:tcW w:w="5320" w:type="dxa"/>
            <w:vAlign w:val="bottom"/>
          </w:tcPr>
          <w:p>
            <w:pPr>
              <w:jc w:val="right"/>
              <w:ind w:right="403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November 1, 2020:</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7"/>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397"/>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1"/>
                <w:szCs w:val="11"/>
                <w:color w:val="auto"/>
              </w:rPr>
            </w:pPr>
          </w:p>
        </w:tc>
        <w:tc>
          <w:tcPr>
            <w:tcW w:w="1260" w:type="dxa"/>
            <w:vAlign w:val="bottom"/>
          </w:tcPr>
          <w:p>
            <w:pPr>
              <w:jc w:val="center"/>
              <w:ind w:right="221"/>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2,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November 1,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November 1, 2020</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7"/>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48.74</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
              <w:spacing w:after="0" w:line="203"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 period ended October 27, 2019 was not material. We measured the fair value of stock options using the Black-Scholes option pricing model.</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expense stock options on a straight-line basis over the vesting period, except for awards issued to retirement eligible participants, which we expense on an accelerated basis. As of November 1, 2020, total remaining unearned compensation related to nonvested stock options was $1, which will be amortized over the weighted-average remaining service period of 1.2 years.</w:t>
      </w:r>
    </w:p>
    <w:p>
      <w:pPr>
        <w:spacing w:after="0" w:line="54"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summarizes time-lapse restricted stock units, EPS performance restricted stock units and FCF performance restricted stock units as of November 1, 2020:</w:t>
      </w:r>
    </w:p>
    <w:tbl>
      <w:tblPr>
        <w:tblLayout w:type="fixed"/>
        <w:tblInd w:w="0" w:type="dxa"/>
        <w:tblCellMar>
          <w:top w:w="0" w:type="dxa"/>
          <w:left w:w="0" w:type="dxa"/>
          <w:bottom w:w="0" w:type="dxa"/>
          <w:right w:w="0" w:type="dxa"/>
        </w:tblCellMar>
      </w:tblPr>
      <w:tr>
        <w:trPr>
          <w:trHeight w:val="147"/>
        </w:trPr>
        <w:tc>
          <w:tcPr>
            <w:tcW w:w="7600" w:type="dxa"/>
            <w:vAlign w:val="bottom"/>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28"/>
        </w:trPr>
        <w:tc>
          <w:tcPr>
            <w:tcW w:w="7600" w:type="dxa"/>
            <w:vAlign w:val="bottom"/>
          </w:tcPr>
          <w:p>
            <w:pPr>
              <w:spacing w:after="0"/>
              <w:rPr>
                <w:sz w:val="11"/>
                <w:szCs w:val="11"/>
                <w:color w:val="auto"/>
              </w:rPr>
            </w:pPr>
          </w:p>
        </w:tc>
        <w:tc>
          <w:tcPr>
            <w:tcW w:w="17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2, 2020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November 1, 2020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expensed EPS performance restricted stock units on a graded-vesting basis, except for awards issued to retirement-eligible participants, which we expensed on an accelerated basis. The actual number of EPS performance restricted stock units issued at the vesting date was either 0% or 100% of the initial grant, depending on actual performance achieved. We estimated expense based on the number of awards expected to vest. As of November 1, 2020, there were no EPS performance target grants outstanding.</w:t>
      </w:r>
    </w:p>
    <w:p>
      <w:pPr>
        <w:spacing w:after="0" w:line="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2019, we issued approximately 388 thousand FCF performance restricted stock units for which vesting is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will be averaged at the end 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is based upon the quoted price of our stock at the date of grant. We expense FCF performance restricted stock units over the requisite service period of each objective. As of November 1, 2020, we have granted all of the issued FCF performance restricted stock units, which are included in the table above. There were 246 thousand FCF performance target grants outstanding at November 1, 2020, with a weighted-average grant-date fair value of $44.10.</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November 1, 2020, total remaining unearned compensation related to nonvested time-lapse restricted stock units and FCF performance restricted units was $60, which will be amortized over the weighted-average remaining service period of 1.9 years. The fair value of restricted stock units vested during the three-month periods ended November 1, 2020, and October 27,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2019, was $34, and $30, respectively. The weighted-average grant-date fair value of the restricted stock units granted during the three-month period ended October 27, 2019 was $46.79.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November 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29"/>
        </w:trPr>
        <w:tc>
          <w:tcPr>
            <w:tcW w:w="7800" w:type="dxa"/>
            <w:vAlign w:val="bottom"/>
          </w:tcPr>
          <w:p>
            <w:pPr>
              <w:spacing w:after="0"/>
              <w:rPr>
                <w:sz w:val="11"/>
                <w:szCs w:val="11"/>
                <w:color w:val="auto"/>
              </w:rPr>
            </w:pPr>
          </w:p>
        </w:tc>
        <w:tc>
          <w:tcPr>
            <w:tcW w:w="1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2, 2020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November 1,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Assumptions used in the Monte Carlo simulation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2.85%</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29.99%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27.01%</w:t>
            </w:r>
          </w:p>
        </w:tc>
      </w:tr>
      <w:tr>
        <w:trPr>
          <w:trHeight w:val="238"/>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November 1, 2020, total remaining unearned compensation related to TSR performance restricted stock units was $41, which will be amortized over the weighted-average remaining service period of 2.2 years. In the first quarter of 2021, recipients of TSR performance restricted stock units earned 50% of the initial grants based upon our TSR ranking in a performance peer group during a three-year period ended July 31, 2020. In the first quarter of 2020, recipients of TSR performance restricted stock units earned 0% of the initial grants based upon our TSR ranking in a performance peer group during a three-year period ended July 26, 2019. The fair value of TSR performance restricted stock units vested during the three-month period ended November 1, 2020 was $11. The grant-date fair value of the TSR performance restricted stock units granted during 2020 was $63.06.</w:t>
      </w:r>
    </w:p>
    <w:p>
      <w:pPr>
        <w:spacing w:after="0" w:line="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excess tax benefits of $1 in the three-month periods ended November 1, 2020 and October 27, 2019 on the exercise of stock options and vested restricted stock were presented as cash flows from operating activities. Cash received from the exercise of stock options was $1 for the three-month period ended October 27, 2019 and is reflected in cash flows from financing activities in the Consolidated Statements of Cash Flows.</w:t>
      </w:r>
    </w:p>
    <w:p>
      <w:pPr>
        <w:spacing w:after="0" w:line="131" w:lineRule="exact"/>
        <w:rPr>
          <w:sz w:val="20"/>
          <w:szCs w:val="20"/>
          <w:color w:val="auto"/>
        </w:rPr>
      </w:pPr>
    </w:p>
    <w:p>
      <w:pPr>
        <w:ind w:right="8420" w:firstLine="8"/>
        <w:spacing w:after="0" w:line="383" w:lineRule="auto"/>
        <w:tabs>
          <w:tab w:leader="none" w:pos="27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January 7, 2019, three purported shareholder class action lawsuits pending in the United States District Court for the District of New Jersey (the Court) were consolidated under the caption, </w:t>
      </w:r>
      <w:r>
        <w:rPr>
          <w:rFonts w:ascii="Times New Roman" w:cs="Times New Roman" w:eastAsia="Times New Roman" w:hAnsi="Times New Roman"/>
          <w:sz w:val="18"/>
          <w:szCs w:val="18"/>
          <w:i w:val="1"/>
          <w:iCs w:val="1"/>
          <w:color w:val="auto"/>
        </w:rPr>
        <w:t>In re Campbell Soup Company Securities Litigation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consolidated complaint seeks unspecified monetary damages and other relief. On April 30, 2019, the defendants filed a motion to dismiss the consolidated complaint, which the Court granted on November 30, 2020, with leave to amend the complaint. We are vigorously defending against the Action.</w:t>
      </w:r>
    </w:p>
    <w:p>
      <w:pPr>
        <w:spacing w:after="0" w:line="5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November 1, 2020.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Supplemental Financial Statement Data</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200" w:type="dxa"/>
            <w:vAlign w:val="bottom"/>
          </w:tcPr>
          <w:p>
            <w:pPr>
              <w:spacing w:after="0"/>
              <w:rPr>
                <w:sz w:val="24"/>
                <w:szCs w:val="24"/>
                <w:color w:val="auto"/>
              </w:rPr>
            </w:pPr>
          </w:p>
        </w:tc>
        <w:tc>
          <w:tcPr>
            <w:tcW w:w="9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48"/>
        </w:trPr>
        <w:tc>
          <w:tcPr>
            <w:tcW w:w="87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
        </w:trPr>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8780" w:type="dxa"/>
            <w:vAlign w:val="bottom"/>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878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 2019</w:t>
            </w:r>
          </w:p>
        </w:tc>
        <w:tc>
          <w:tcPr>
            <w:tcW w:w="0" w:type="dxa"/>
            <w:vAlign w:val="bottom"/>
          </w:tcPr>
          <w:p>
            <w:pPr>
              <w:spacing w:after="0"/>
              <w:rPr>
                <w:sz w:val="1"/>
                <w:szCs w:val="1"/>
                <w:color w:val="auto"/>
              </w:rPr>
            </w:pPr>
          </w:p>
        </w:tc>
      </w:tr>
      <w:tr>
        <w:trPr>
          <w:trHeight w:val="210"/>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income other than the service cost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settlement gains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losses</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Loss on sale of business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0"/>
          <w:szCs w:val="20"/>
          <w:b w:val="1"/>
          <w:bCs w:val="1"/>
          <w:i w:val="1"/>
          <w:iCs w:val="1"/>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-137160</wp:posOffset>
            </wp:positionV>
            <wp:extent cx="15601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2"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3 for additional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November 1, 2020, we had a committed revolving credit facility totaling $1,850 scheduled to mature on December 9, 2021. The facility remained unused at November 1, 2020, except for $1 of standby letters of credit that we issued under it. On November 2, 2020, we replaced the current facility with a new $1,850 committed revolving facility that matures on November 2, 2023. The new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right="396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2, 2020, including but not limited to "Part I - Item 1A. Risk Factors" and "Part II - Item 7. Management's Discussion and Analysis of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We have reflected the results of operations of the Kelsen business and the Arnott’s and other international operations (collectively referred to as Campbell International) as discontinued operations in the Consolidated Statements of Earnings. These businesses were historically included in the Snacks reportable segment. In addition, on October 11, 2019, we completed the sale of our European chips business. The results of the European chips business through the date of sale were reflected in continuing operations within the Snacks reportable segment. See Notes 3 and 6 to the Consolidated Financial Statements for additional information on these divestitures and reportable segments.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40"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We have been actively monitoring the impact of COVID-19 on all aspects of our business. During the first quarter of 2021, we continued to experience higher sales for our retail products in both our Meals &amp; Beverages and Snacks segments, especially in retail chains and large grocery supermarkets. This result is attributable to a change in retail demand, as consumers have significantly increased their current food purchases for at-home consumption, which has more than offset the declines in our foodservice products. We are also benefiting from favorable product mix. We expect that these trends will continue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through our second quarter of 2021 in response to the continued spread of COVID-19. However, the recent higher sales trends of our retail products may lessen or reverse in the coming months if customers or consumers alter their purchasing habits.</w:t>
      </w:r>
    </w:p>
    <w:p>
      <w:pPr>
        <w:spacing w:after="0" w:line="194"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8"/>
          <w:szCs w:val="18"/>
          <w:color w:val="auto"/>
        </w:rPr>
        <w:t>With the current increased demand for our retail products, we have made changes in our supply chain network to increase overall production, including modifying production schedules and temporarily adjusting product mix. In addition, we have also adjusted the timing of some of our promotional spending. In the quarter, we continued to experience higher costs in certain areas such as employee compensation costs, as well as costs associated with health screenings, temperature checks and enhanced cleaning and sanitation protocols to protect our employees and product quality standards, which may continue or increase. All of our production operations currently remain open and none have experienced significant disruptions or labor reductions related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COVID-19. We are benefiting overall from increased product demand as we leverage our supply chain assets. There has been limited disruption to our</w:t>
      </w:r>
    </w:p>
    <w:p>
      <w:pPr>
        <w:spacing w:after="0" w:line="2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supply chain network to date, including supply of our ingredients, packaging or other sourced materials. However, we continue to monitor the potential impact of the COVID-19 pandemic, and we cannot predict the ultimate impact on our suppliers, distributors or manufacturers. In addition, we were, and may continue to be, unable to fulfill all orders we receive from our customers.</w:t>
      </w:r>
    </w:p>
    <w:p>
      <w:pPr>
        <w:spacing w:after="0" w:line="20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The impact of COVID-19 remains uncertain and ultimately will be dictated by the length and severity of the pandemic; the federal, state and local government actions taken in response; the macroeconomic environment; and the availability and widespread distribution and use of a safe and effective vaccine. We will continue to evaluate the extent to which COVID-19 will impact our business, consolidated results of operations and financial condition.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0"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7% in 2021 to $2,340 million, due to gains in Meals &amp; Beverages and Snacks, partially offset by the impact of the divestiture of the European chips business. As a result of COVID-19, net sales accelerated across our portfolio in the first quarter of 2021 with increased demand of food purchases for at-home consumption.</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increased to 34.7% in 2021 from 33.8% a year ago. The increase was primarily due to lower levels of promotional spending and favorable product mix, offset partly by higher net supply chain costs as productivity improvements and improved operating leverage were more than offset by cost inflation, other supply chain costs and COVID-19 related costs.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decreased to $55 million in 2021 from $80 million in 2020, primarily due to lower levels of debt.</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from continuing operations per share were $1.02 in 2021, compared to $.56 a year ago. The current and prior year included expenses of $.01 and $.22 per share, respectively, from items impacting comparability as discussed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6" w:lineRule="exact"/>
        <w:rPr>
          <w:sz w:val="20"/>
          <w:szCs w:val="20"/>
          <w:color w:val="auto"/>
        </w:rPr>
      </w:pPr>
    </w:p>
    <w:p>
      <w:pPr>
        <w:jc w:val="both"/>
        <w:ind w:left="660" w:hanging="328"/>
        <w:spacing w:after="0" w:line="25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first quarter of 2021, we recorded a pre-tax restructuring charge of $1 million and implementation costs and other related costs of $4 million in Administrative expenses and $1 million in Cost of products sold (aggregate impact of $5 million after tax, or $.02 per share) related to these initiatives. In the first quarter of 2020, we recorded a pre-tax restructuring charge of $3 million and implementation costs and other related costs of $8 million in Administrative expenses (aggregate impact of $8 million after tax, or $.03 per share) related to these initiatives. See Note 7 to the Consolidated Financial Statements and "Restructuring Charges and Cost Savings Initiatives" for additional information;</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2021, we recognized pre-tax pension settlement gains in Other expenses / (income) of $4 million ($3 million after tax, or $.01 per share) associated with U.S. and Canadian pension plans. The settlements resulted from the level of lump sum distributions from the plans' assets; and</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2020, we recorded a loss in Other expenses / (income) of $64 million ($60 million after tax, or $.20 per share) on the sale of our European chips business.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Discontinued Operations</w:t>
      </w:r>
    </w:p>
    <w:p>
      <w:pPr>
        <w:spacing w:after="0" w:line="106"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2020, we incurred pre-tax charges of $51 million ($27 million after tax, or $.09 per share) associated with the sale of the Kelsen business and the planned divestiture of the Arnott's and other international operations.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October 27,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EPS</w:t>
            </w: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3"/>
                <w:szCs w:val="13"/>
                <w:color w:val="auto"/>
              </w:rPr>
            </w:pPr>
          </w:p>
        </w:tc>
        <w:tc>
          <w:tcPr>
            <w:tcW w:w="800" w:type="dxa"/>
            <w:vAlign w:val="bottom"/>
          </w:tcPr>
          <w:p>
            <w:pPr>
              <w:jc w:val="right"/>
              <w:ind w:right="273"/>
              <w:spacing w:after="0" w:line="158"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5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(loss) from discontinued operations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settlement gains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Charges associated with divestiture</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Impact of items on Earnings from continuing operations</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items on Earnings (loss) from discontinued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5" w:lineRule="auto"/>
        <w:tabs>
          <w:tab w:leader="none" w:pos="30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Sum of the individual amounts may not add due to rounding.</w:t>
      </w:r>
    </w:p>
    <w:p>
      <w:pPr>
        <w:spacing w:after="0" w:line="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Earnings from continuing operations were $309 million ($1.02 per share) in 2021, compared to $169 million ($.56 per share) in 2020. After adjusting for items impacting comparability, earnings from continuing operations increased reflecting sales volume gains, an improved gross profit performance and lower interest expense, partially offset by increased administrative expenses.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"Discontinued Operations"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DISCUSSION AND ANALYSIS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80" w:type="dxa"/>
            <w:vAlign w:val="bottom"/>
          </w:tcPr>
          <w:p>
            <w:pPr>
              <w:spacing w:after="0"/>
              <w:rPr>
                <w:sz w:val="11"/>
                <w:szCs w:val="11"/>
                <w:color w:val="auto"/>
              </w:rPr>
            </w:pP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18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18"/>
                <w:szCs w:val="18"/>
                <w:b w:val="1"/>
                <w:bCs w:val="1"/>
                <w:color w:val="auto"/>
                <w:vertAlign w:val="superscript"/>
              </w:rPr>
              <w:t>(2)</w:t>
            </w:r>
          </w:p>
        </w:tc>
        <w:tc>
          <w:tcPr>
            <w:tcW w:w="200" w:type="dxa"/>
            <w:vAlign w:val="bottom"/>
          </w:tcPr>
          <w:p>
            <w:pPr>
              <w:spacing w:after="0"/>
              <w:rPr>
                <w:sz w:val="18"/>
                <w:szCs w:val="18"/>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Snacks</w:t>
            </w:r>
            <w:r>
              <w:rPr>
                <w:rFonts w:ascii="Times New Roman" w:cs="Times New Roman" w:eastAsia="Times New Roman" w:hAnsi="Times New Roman"/>
                <w:sz w:val="18"/>
                <w:szCs w:val="18"/>
                <w:b w:val="1"/>
                <w:bCs w:val="1"/>
                <w:color w:val="auto"/>
                <w:vertAlign w:val="superscript"/>
              </w:rPr>
              <w:t>(2)</w:t>
            </w:r>
          </w:p>
        </w:tc>
        <w:tc>
          <w:tcPr>
            <w:tcW w:w="14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3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right="415"/>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right="315"/>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32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(Increased) / decreased promotional spending</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415"/>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3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20" w:type="dxa"/>
            <w:vAlign w:val="bottom"/>
          </w:tcPr>
          <w:p>
            <w:pPr>
              <w:jc w:val="center"/>
              <w:ind w:right="3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center"/>
              <w:ind w:right="415"/>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center"/>
              <w:ind w:right="315"/>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revenue reductions from trade and consumer coupon redemption programs.</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07" w:lineRule="auto"/>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Meals &amp; Beverages, sales increased 12% primarily due to gains across U.S. retail products, including gains in U.S. soup, inclusive of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soups and broths,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pasta and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as well as gains in Canada, partially offset by declines in foodservice. Volume increased in U.S. retail and Canada driven by COVID-19, with increased demand of food purchases for at-home consumption in the first quarter of 2021. Foodservice sales were negatively impacted by shifts in consumer behavior and continued COVID-19 related restrictions. Sales of U.S. soup increased 21% due to retailers rebuilding inventory for the upcoming soup season, in-market gains in condensed soups and broth and moderated promotional spending.</w:t>
      </w:r>
    </w:p>
    <w:p>
      <w:pPr>
        <w:spacing w:after="0" w:line="6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Snacks, sales increased 1%. Excluding the impact of the European chips divestiture, sales increased driven by lower levels of promotional spending and volume gains reflecting increased demand of food purchases for at-home consumption, as well as base business performance. The sales increase reflects gains in fresh bakery products,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w:t>
      </w:r>
      <w:r>
        <w:rPr>
          <w:rFonts w:ascii="Times New Roman" w:cs="Times New Roman" w:eastAsia="Times New Roman" w:hAnsi="Times New Roman"/>
          <w:sz w:val="18"/>
          <w:szCs w:val="18"/>
          <w:i w:val="1"/>
          <w:iCs w:val="1"/>
          <w:color w:val="auto"/>
        </w:rPr>
        <w:t>Pop Secret</w:t>
      </w:r>
      <w:r>
        <w:rPr>
          <w:rFonts w:ascii="Times New Roman" w:cs="Times New Roman" w:eastAsia="Times New Roman" w:hAnsi="Times New Roman"/>
          <w:sz w:val="18"/>
          <w:szCs w:val="18"/>
          <w:color w:val="auto"/>
        </w:rPr>
        <w:t xml:space="preserve"> popcorn, Pepperidge Farm cookies and </w:t>
      </w:r>
      <w:r>
        <w:rPr>
          <w:rFonts w:ascii="Times New Roman" w:cs="Times New Roman" w:eastAsia="Times New Roman" w:hAnsi="Times New Roman"/>
          <w:sz w:val="18"/>
          <w:szCs w:val="18"/>
          <w:i w:val="1"/>
          <w:iCs w:val="1"/>
          <w:color w:val="auto"/>
        </w:rPr>
        <w:t>Snack Factory Pretzel Crisps,</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Kettle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Brand </w:t>
      </w:r>
      <w:r>
        <w:rPr>
          <w:rFonts w:ascii="Times New Roman" w:cs="Times New Roman" w:eastAsia="Times New Roman" w:hAnsi="Times New Roman"/>
          <w:sz w:val="18"/>
          <w:szCs w:val="18"/>
          <w:color w:val="auto"/>
        </w:rPr>
        <w:t>potato chips, partially offset by declines in</w:t>
      </w:r>
      <w:r>
        <w:rPr>
          <w:rFonts w:ascii="Times New Roman" w:cs="Times New Roman" w:eastAsia="Times New Roman" w:hAnsi="Times New Roman"/>
          <w:sz w:val="18"/>
          <w:szCs w:val="18"/>
          <w:i w:val="1"/>
          <w:iCs w:val="1"/>
          <w:color w:val="auto"/>
        </w:rPr>
        <w:t xml:space="preserve"> Lance </w:t>
      </w:r>
      <w:r>
        <w:rPr>
          <w:rFonts w:ascii="Times New Roman" w:cs="Times New Roman" w:eastAsia="Times New Roman" w:hAnsi="Times New Roman"/>
          <w:sz w:val="18"/>
          <w:szCs w:val="18"/>
          <w:color w:val="auto"/>
        </w:rPr>
        <w:t>sandwich crackers. Sales of</w:t>
      </w:r>
      <w:r>
        <w:rPr>
          <w:rFonts w:ascii="Times New Roman" w:cs="Times New Roman" w:eastAsia="Times New Roman" w:hAnsi="Times New Roman"/>
          <w:sz w:val="18"/>
          <w:szCs w:val="18"/>
          <w:i w:val="1"/>
          <w:iCs w:val="1"/>
          <w:color w:val="auto"/>
        </w:rPr>
        <w:t xml:space="preserve"> Goldfish </w:t>
      </w:r>
      <w:r>
        <w:rPr>
          <w:rFonts w:ascii="Times New Roman" w:cs="Times New Roman" w:eastAsia="Times New Roman" w:hAnsi="Times New Roman"/>
          <w:sz w:val="18"/>
          <w:szCs w:val="18"/>
          <w:color w:val="auto"/>
        </w:rPr>
        <w:t>crackers were relatively flat in the quarter as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for family size products was offset by reduced away-from-home consumption.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$75 million in 2021 from 2020. As a percent of sales, gross profit was 34.7% in 2021 and 33.8% in 2020.</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0.9 percentage-point increase in gross profit percentage was due to the following factors: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28"/>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level of promotional spending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1.3</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0.3</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restructuring-related costs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(0.1)</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(0.1)</w:t>
            </w:r>
          </w:p>
        </w:tc>
      </w:tr>
      <w:tr>
        <w:trPr>
          <w:trHeight w:val="230"/>
        </w:trPr>
        <w:tc>
          <w:tcPr>
            <w:tcW w:w="9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w:t>
            </w: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0.9%</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41" w:lineRule="exact"/>
        <w:rPr>
          <w:sz w:val="20"/>
          <w:szCs w:val="20"/>
          <w:color w:val="auto"/>
        </w:rPr>
      </w:pPr>
    </w:p>
    <w:p>
      <w:pPr>
        <w:ind w:left="340" w:hanging="332"/>
        <w:spacing w:after="0" w:line="22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0.7 from the benefit of operating leverage and cost savings initiatives, which was more than offset by cost inflation and other factors, including the impact of COVID-19.</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8.9% in 2021 compared to 9.4% in 2020. Marketing and selling expenses increased 1% in 2021 from 2020. The increase was primarily due to higher advertising and consumer promotion expenses (approximately 7 percentage points), partially offset by increased benefits from cost savings initiatives (approximately 3 percentage points); lower costs related to marketing overhead (approximately 1 percentage point) and lower selling expenses (approximately 1 percentage point). The increase in advertising and consumer promotion expenses was primarily in Meals &amp; Beverages due to increased support of U.S. soup.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Administrative expenses as a percent of sales were 6.0% in 2021 compared to 6.1% in 2020. Administrative expenses increased 5% in 2021 from 2020. The increase was primarily due to higher benefit costs (approximately 5 percentage points); higher general administrative costs and inflation (approximately 4 percentage points) and higher stock-based compensation (approximately 2 percentage points), partially offset by increased benefits from cost savings initiatives (approximately 3 percentage points) and lower costs associated with cost savings initiatives (approximately 3 percentage points).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was $18 million in 2021 compared to other expenses of $56 million in 2020. Other income in 2021 included pension settlement gains of $4 million associated with U.S. and Canadian pension plans. Other expenses in 2020 included a loss of $64 million on the sale of our European chips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operating earnings increased 16% in 2021 from 2020.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1"/>
                <w:szCs w:val="11"/>
                <w:color w:val="auto"/>
              </w:rPr>
            </w:pPr>
          </w:p>
        </w:tc>
        <w:tc>
          <w:tcPr>
            <w:tcW w:w="130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1"/>
                <w:szCs w:val="11"/>
                <w:color w:val="auto"/>
              </w:rPr>
            </w:pPr>
          </w:p>
        </w:tc>
        <w:tc>
          <w:tcPr>
            <w:tcW w:w="1180" w:type="dxa"/>
            <w:vAlign w:val="bottom"/>
          </w:tcPr>
          <w:p>
            <w:pPr>
              <w:jc w:val="right"/>
              <w:ind w:right="255"/>
              <w:spacing w:after="0" w:line="134"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1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125</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to the Consolidated Financial Statements for additional information on restructuring charges.</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earnings from Meals &amp; Beverages increased 18%. The increase was primarily due to sales volume gains and improved gross profit performance, partially offset by increased marketing investment. Gross profit performance was impacted by lower levels of promotional spending and favorable product mix, as productivity improvements and improved operating leverage were offset by higher other supply chain costs, cost inflation and COVID-19 related costs.</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earnings from Snacks increased 11%. The increase was primarily due to lower selling expenses, lower marketing support and sales volume gains, partially offset by increased administrative expenses. Gross profit performance was consistent with the prior year as lower levels of promotional spending were offset by higher net supply chain costs as productivity improvements, cost savings initiatives and improved operating leverage were more than offset by cost inflation and COVID-19 related costs.</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Corporate in 2021 included pension settlement gains of $4 million associated with U.S. and Canadian pension plans and costs of $5 million related to costs savings initiatives. Corporate in 2020 included a loss of $64 million from the sale of the European chips business and costs of $8 million related to cost savings initiatives. Excluding these amounts, the remaining decrease in expenses primarily reflects losses on investments in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decreased to $55 million in 2021 from $80 million in 2020, primarily due to lower levels of debt.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was 23.9% in 2021 and 28.7% in 2020. The higher effective tax rate in 2020 was primarily due to the tax benefit of $4 million we recognized on a $64 million loss on the sale of the European chips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Cost Savings Initiatives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charges recorded in Earnings from continuing operations related to these initiatives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2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56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 summary of the pre-tax costs in Earnings (loss) from discontinued operations associated with these initiatives is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7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April 28, 2019, we incurred substantially all of the costs for actions associated with discontinued operations. All of the costs were cash expenditures.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costs in Earnings from continuing operations associated with these initiatives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3"/>
                <w:szCs w:val="13"/>
                <w:color w:val="auto"/>
              </w:rPr>
            </w:pPr>
          </w:p>
        </w:tc>
        <w:tc>
          <w:tcPr>
            <w:tcW w:w="13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9"/>
        </w:trPr>
        <w:tc>
          <w:tcPr>
            <w:tcW w:w="96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estimated pre-tax costs for actions associated with continuing operations that have been identified are approximately $700 million to $730 million. This estimate will be updated as costs for the expanded initiatives are developed.</w:t>
      </w:r>
    </w:p>
    <w:p>
      <w:pPr>
        <w:spacing w:after="0" w:line="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the costs for actions associated with continuing operations that have been identified to date to consist of the following: approximately $220 million to $225 million in severance pay and benefits; approximately $90 million in asset impairment and accelerated depreciation; and approximately $390 million to $415 million in implementation costs and other related costs. We expect these pre-tax costs to be associated with our segments as follows: Meals &amp; Beverages - approximately 32%; Snacks - approximately 44%; and Corporate - approximately 24%.</w:t>
      </w:r>
    </w:p>
    <w:p>
      <w:pPr>
        <w:spacing w:after="0" w:line="5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Of the aggregate $700 million to $730 million of pre-tax costs associated with continuing operations identified to date, we expect approximately $595 million to $625 million will be cash expenditures. In addition, we expect to invest approximately $455 million in capital expenditures through 2022, of which we invested $351 million as of November 1, 2020. The capital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primarily relate to a U.S. warehouse optimization project, improvement of quality, safety and cost structure across the Snyder’s-Lance manufacturing network, implementation of an SAP enterprise-resource planning system for Snyder's-Lance, optimization of information technology infrastructure and applications, transition of production of the Toronto manufacturing facility to our U.S. thermal plants, insourcing of manufacturing for certain simple meal products, and optimization of the Snyder’s-Lance warehouse and distribution network.</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incur the costs for the actions associated with continuing operations that have been identified to date through 2022 and to fund the costs through cash flows from operations and short-term borrowings.</w:t>
      </w:r>
    </w:p>
    <w:p>
      <w:pPr>
        <w:spacing w:after="0" w:line="4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We expect the initiatives for actions associated with continuing operations that have been identified to date to generate pre-tax savings of approximately $800 million to $810 million in 2021, and once all phases are implemented, to generate annual ongoing savings of approximately $850 million by the end of 2022. In the three-month period ended November 1, 2020, we generated an additional $15 million of pre-tax savings. The annual pre-tax savings associated with continuing operations generated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28, 2019</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August 2, 2015</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savings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initiatives for actions associated with discontinued operations generated pre-tax savings of over $90 million in 2019 and $60 million in 2018.</w:t>
      </w:r>
    </w:p>
    <w:p>
      <w:pPr>
        <w:spacing w:after="0" w:line="90"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189"/>
        </w:trPr>
        <w:tc>
          <w:tcPr>
            <w:tcW w:w="8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7 to the Consolidated Financial Statements for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completed the sale of our Kelsen business on September 23, 2019, for $322 million. We also completed the Arnott's and other international operations on December 23, 2019, for $2,286 million. The purchase price was subject to certain post-closing adjustments, which resulted in $4 million of additional proceeds in the third quarter of 2020.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ectPr>
          <w:pgSz w:w="11900" w:h="16838" w:orient="portrait"/>
          <w:cols w:equalWidth="0" w:num="1">
            <w:col w:w="11240"/>
          </w:cols>
          <w:pgMar w:left="320" w:top="985" w:right="339" w:bottom="1440" w:gutter="0" w:footer="0" w:header="0"/>
        </w:sectPr>
      </w:pP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of Campbell International were as follows:</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before taxes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Taxes on earnings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right="4041"/>
        <w:spacing w:after="0" w:line="303" w:lineRule="auto"/>
        <w:rPr>
          <w:sz w:val="20"/>
          <w:szCs w:val="20"/>
          <w:color w:val="auto"/>
        </w:rPr>
      </w:pPr>
      <w:r>
        <w:rPr>
          <w:rFonts w:ascii="Times New Roman" w:cs="Times New Roman" w:eastAsia="Times New Roman" w:hAnsi="Times New Roman"/>
          <w:sz w:val="17"/>
          <w:szCs w:val="17"/>
          <w:color w:val="auto"/>
        </w:rPr>
        <w:t>Loss on sale of business / costs associated with selling the businesses Tax benefit on loss of sale / costs associated with selling the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848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4" w:lineRule="exact"/>
        <w:rPr>
          <w:sz w:val="20"/>
          <w:szCs w:val="20"/>
          <w:color w:val="auto"/>
        </w:rPr>
      </w:pPr>
    </w:p>
    <w:p>
      <w:pPr>
        <w:ind w:left="139"/>
        <w:spacing w:after="0"/>
        <w:rPr>
          <w:sz w:val="20"/>
          <w:szCs w:val="20"/>
          <w:color w:val="auto"/>
        </w:rPr>
      </w:pPr>
      <w:r>
        <w:rPr>
          <w:rFonts w:ascii="Times New Roman" w:cs="Times New Roman" w:eastAsia="Times New Roman" w:hAnsi="Times New Roman"/>
          <w:sz w:val="14"/>
          <w:szCs w:val="14"/>
          <w:b w:val="1"/>
          <w:bCs w:val="1"/>
          <w:color w:val="auto"/>
        </w:rPr>
        <w:t>October 27, 2019</w:t>
      </w:r>
    </w:p>
    <w:p>
      <w:pPr>
        <w:spacing w:after="0" w:line="48" w:lineRule="exact"/>
        <w:rPr>
          <w:sz w:val="20"/>
          <w:szCs w:val="20"/>
          <w:color w:val="auto"/>
        </w:rPr>
      </w:pPr>
    </w:p>
    <w:p>
      <w:pPr>
        <w:ind w:left="979" w:hanging="979"/>
        <w:spacing w:after="0"/>
        <w:tabs>
          <w:tab w:leader="none" w:pos="9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483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00" w:lineRule="exact"/>
        <w:rPr>
          <w:sz w:val="20"/>
          <w:szCs w:val="20"/>
          <w:color w:val="auto"/>
        </w:rPr>
      </w:pPr>
    </w:p>
    <w:p>
      <w:pPr>
        <w:ind w:left="1059" w:hanging="1059"/>
        <w:spacing w:after="0"/>
        <w:tabs>
          <w:tab w:leader="none" w:pos="10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7" w:lineRule="exact"/>
        <w:rPr>
          <w:rFonts w:ascii="Times New Roman" w:cs="Times New Roman" w:eastAsia="Times New Roman" w:hAnsi="Times New Roman"/>
          <w:sz w:val="18"/>
          <w:szCs w:val="18"/>
          <w:color w:val="auto"/>
        </w:rPr>
      </w:pPr>
    </w:p>
    <w:p>
      <w:pPr>
        <w:ind w:left="10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ind w:left="999"/>
        <w:spacing w:after="0"/>
        <w:rPr>
          <w:sz w:val="20"/>
          <w:szCs w:val="20"/>
          <w:color w:val="auto"/>
        </w:rPr>
      </w:pPr>
      <w:r>
        <w:rPr>
          <w:rFonts w:ascii="Times New Roman" w:cs="Times New Roman" w:eastAsia="Times New Roman" w:hAnsi="Times New Roman"/>
          <w:sz w:val="18"/>
          <w:szCs w:val="18"/>
          <w:color w:val="auto"/>
        </w:rPr>
        <w:t>(51)</w:t>
      </w:r>
    </w:p>
    <w:p>
      <w:pPr>
        <w:spacing w:after="0" w:line="23" w:lineRule="exact"/>
        <w:rPr>
          <w:sz w:val="20"/>
          <w:szCs w:val="20"/>
          <w:color w:val="auto"/>
        </w:rPr>
      </w:pPr>
    </w:p>
    <w:p>
      <w:pPr>
        <w:ind w:left="999"/>
        <w:spacing w:after="0"/>
        <w:rPr>
          <w:sz w:val="20"/>
          <w:szCs w:val="20"/>
          <w:color w:val="auto"/>
        </w:rPr>
      </w:pPr>
      <w:r>
        <w:rPr>
          <w:rFonts w:ascii="Times New Roman" w:cs="Times New Roman" w:eastAsia="Times New Roman" w:hAnsi="Times New Roman"/>
          <w:sz w:val="18"/>
          <w:szCs w:val="18"/>
          <w:color w:val="auto"/>
        </w:rPr>
        <w:t>(24)</w:t>
      </w:r>
    </w:p>
    <w:p>
      <w:pPr>
        <w:spacing w:after="0" w:line="31" w:lineRule="exact"/>
        <w:rPr>
          <w:sz w:val="20"/>
          <w:szCs w:val="20"/>
          <w:color w:val="auto"/>
        </w:rPr>
      </w:pPr>
    </w:p>
    <w:p>
      <w:pPr>
        <w:ind w:left="1079" w:hanging="1079"/>
        <w:spacing w:after="0"/>
        <w:tabs>
          <w:tab w:leader="none" w:pos="10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483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01" w:space="720"/>
            <w:col w:w="1319"/>
          </w:cols>
          <w:pgMar w:left="320" w:top="9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generated cash flows from operations of $180 million in 2021, compared to $182 million in 2020. The decline in 2021 was primarily due to changes in working capital, primarily accounts payable and accrued liabilities, partially offset by higher cash earnings.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 assets are less than current liabilities as a result of our level of current maturities of long-term debt and short-term borrowings and our focus to lower core working capital requirements. We had negative working capital of $443 million as of November 1, 2020, and $690 million as of August 2, 2020. Total debt maturing within one year was $1,084 million as of November 1, 2020, and $1,202 million as of August 2, 2020.</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Capital expenditures were $74 million in 2021 and $98 million in 2020. The decline was due to capital expenditures associated with discontinued operations in 2020. Capital expenditures are expected to total approximately $350 million in 2021. Capital expenditures in the first quarter of 2021 included the implementation of an SAP enterprise-resource planning system for Snyder's-Lance, chip capacity expansion projects, a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 capacity expansion project, and a </w:t>
      </w:r>
      <w:r>
        <w:rPr>
          <w:rFonts w:ascii="Times New Roman" w:cs="Times New Roman" w:eastAsia="Times New Roman" w:hAnsi="Times New Roman"/>
          <w:sz w:val="18"/>
          <w:szCs w:val="18"/>
          <w:i w:val="1"/>
          <w:iCs w:val="1"/>
          <w:color w:val="auto"/>
        </w:rPr>
        <w:t>Milano</w:t>
      </w:r>
      <w:r>
        <w:rPr>
          <w:rFonts w:ascii="Times New Roman" w:cs="Times New Roman" w:eastAsia="Times New Roman" w:hAnsi="Times New Roman"/>
          <w:sz w:val="18"/>
          <w:szCs w:val="18"/>
          <w:color w:val="auto"/>
        </w:rPr>
        <w:t xml:space="preserve"> cookie capacity expansion project.</w:t>
      </w:r>
    </w:p>
    <w:p>
      <w:pPr>
        <w:spacing w:after="0" w:line="5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completed the sale of our Kelsen business on September 23, 2019, for $322 million. On September 30, 2019, we repaid $399 million of our senior unsecured term loan facility using net proceeds from the Kelsen sale and the issuance of commercial paper. In addition, on October 11, 2019, we completed the sale of our European chips business for £63 million, or $77 million.</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Dividend payments were $108 million in 2021 and $107 million in 2020. The regular quarterly dividend paid on our capital stock was $0.35 per share in each of 2021 and 2020. On December 9, 2020, the Board of Directors approved an increase in the regular quarterly dividend from $0.35 per share to $0.37 per share, or 6%. They then declared a regular quarterly dividend of $0.37 per share payable on February 1, 2021 to shareholders of record at the close of business on January 9, 2021.</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suspended our share repurchases as of the second quarter of 2018. See Note 13 to the Consolidated Financial Statements for additional information.</w:t>
      </w:r>
    </w:p>
    <w:p>
      <w:pPr>
        <w:spacing w:after="0" w:line="1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2019, we repaid and terminated the AUD $335 million, or $227 million, balance outstanding under our single-draw syndicated facility. The repayment was funded through the issuance of commercial paper.</w:t>
      </w:r>
    </w:p>
    <w:p>
      <w:pPr>
        <w:spacing w:after="0" w:line="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November 1, 2020, we had $1,084 million of short-term borrowings due within one year, of which $160 million was comprised of commercial paper borrowings. As of November 1, 2020, we issued $38 million of standby letters of credit. We had a committed revolving credit facility totaling $1,850 million scheduled to mature on December 9, 2021. The facility remained unused at November 1, 2020, except for $1 million of standby letters of credit that we issued under it. On November 2, 2020, we replaced the current facility with a new $1,850 million committed revolving facility that matures on November 2, 2023. The new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94"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2, 2020 (2020 Annual Report on Form 10-K). The accounting policies we used in preparing these financial statements are substantially consistent with those we applied in our 2020 Annual Report on Form 10-K. Our significant accounting estimates are described in Management’s Discussion and Analysis included in the 2020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2020 Annual Report on Form 10-K, could affect our actual results and could cause such results to vary materially from those expressed in any forward-looking statements made by, or on behalf of, us:</w:t>
      </w:r>
    </w:p>
    <w:p>
      <w:pPr>
        <w:spacing w:after="0" w:line="41"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maintaining our market share position in soup;</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ability to pay such indebtedness;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and associated responses to the COVID-19 pandemic on our business, suppliers, customers, consumers and employees;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the impacts of the COVID-19 pandemic, as well as fluctuations in the supply of and inflation in energy and raw and packaging materials cost;</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 or breach of our or our vendors' information technology systems;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tax rates, interest rates, debt and equity markets, inflation rates, economic conditions, law, regulation and other external factors; and</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2020 Annual Report on Form 10-K. There have been no significant changes in our portfolio of financial instruments or market risk exposures from the 2020 year-end.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1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November 1, 2020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1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November 1, 2020.</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reportable legal proceedings is contained in Note 15 to the Consolidated Financial Statements and incorporated herein by reference.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320" w:type="dxa"/>
            <w:vAlign w:val="bottom"/>
            <w:gridSpan w:val="4"/>
          </w:tcPr>
          <w:p>
            <w:pPr>
              <w:ind w:left="192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1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Three-Year Credit Agreement, dated November 2, 2020, by and among Campbell Soup Company, the Eligible Subsidiaries party thereto</w:t>
              </w:r>
            </w:hyperlink>
          </w:p>
        </w:tc>
      </w:tr>
      <w:tr>
        <w:trPr>
          <w:trHeight w:val="156"/>
        </w:trPr>
        <w:tc>
          <w:tcPr>
            <w:tcW w:w="1100" w:type="dxa"/>
            <w:vAlign w:val="bottom"/>
          </w:tcPr>
          <w:p>
            <w:pPr>
              <w:spacing w:after="0"/>
              <w:rPr>
                <w:sz w:val="13"/>
                <w:szCs w:val="13"/>
                <w:color w:val="auto"/>
              </w:rPr>
            </w:pPr>
          </w:p>
        </w:tc>
        <w:tc>
          <w:tcPr>
            <w:tcW w:w="982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from time to time, JPMorgan Chase Bank, N.A., as administrative agent, and the other lenders named therein, incorporated by reference</w:t>
              </w:r>
            </w:hyperlink>
          </w:p>
        </w:tc>
        <w:tc>
          <w:tcPr>
            <w:tcW w:w="240" w:type="dxa"/>
            <w:vAlign w:val="bottom"/>
            <w:gridSpan w:val="2"/>
          </w:tcPr>
          <w:p>
            <w:pPr>
              <w:ind w:left="20"/>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to</w:t>
              </w:r>
            </w:hyperlink>
          </w:p>
        </w:tc>
      </w:tr>
      <w:tr>
        <w:trPr>
          <w:trHeight w:val="156"/>
        </w:trPr>
        <w:tc>
          <w:tcPr>
            <w:tcW w:w="1100" w:type="dxa"/>
            <w:vAlign w:val="bottom"/>
          </w:tcPr>
          <w:p>
            <w:pPr>
              <w:spacing w:after="0"/>
              <w:rPr>
                <w:sz w:val="13"/>
                <w:szCs w:val="13"/>
                <w:color w:val="auto"/>
              </w:rPr>
            </w:pPr>
          </w:p>
        </w:tc>
        <w:tc>
          <w:tcPr>
            <w:tcW w:w="99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Registrant's Current Report on Form 8-K (SEC file number 1-3822) filed with the SEC on November 2, 2020.</w:t>
              </w:r>
            </w:hyperlink>
          </w:p>
        </w:tc>
        <w:tc>
          <w:tcPr>
            <w:tcW w:w="80" w:type="dxa"/>
            <w:vAlign w:val="bottom"/>
          </w:tcPr>
          <w:p>
            <w:pPr>
              <w:spacing w:after="0"/>
              <w:rPr>
                <w:sz w:val="13"/>
                <w:szCs w:val="13"/>
                <w:color w:val="auto"/>
              </w:rPr>
            </w:pPr>
          </w:p>
        </w:tc>
      </w:tr>
      <w:tr>
        <w:trPr>
          <w:trHeight w:val="39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920" w:type="dxa"/>
            <w:vAlign w:val="bottom"/>
            <w:tcBorders>
              <w:top w:val="single" w:sz="8" w:color="0000FF"/>
            </w:tcBorders>
            <w:gridSpan w:val="3"/>
          </w:tcPr>
          <w:p>
            <w:pPr>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2021 Non-Employee Director Fees.</w:t>
              </w:r>
            </w:hyperlink>
          </w:p>
        </w:tc>
        <w:tc>
          <w:tcPr>
            <w:tcW w:w="2140" w:type="dxa"/>
            <w:vAlign w:val="bottom"/>
            <w:gridSpan w:val="3"/>
          </w:tcPr>
          <w:p>
            <w:pPr>
              <w:spacing w:after="0"/>
              <w:rPr>
                <w:sz w:val="24"/>
                <w:szCs w:val="24"/>
                <w:color w:val="auto"/>
              </w:rPr>
            </w:pP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gridSpan w:val="6"/>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 xml:space="preserve">Certification of Mark </w:t>
              </w:r>
              <w:r>
                <w:rPr>
                  <w:rFonts w:ascii="Times New Roman" w:cs="Times New Roman" w:eastAsia="Times New Roman" w:hAnsi="Times New Roman"/>
                  <w:sz w:val="18"/>
                  <w:szCs w:val="18"/>
                  <w:u w:val="single" w:color="auto"/>
                  <w:color w:val="0000FF"/>
                </w:rPr>
                <w:t>A. Clouse pursuant to Rule 13a-14(a).</w:t>
              </w:r>
            </w:hyperlink>
          </w:p>
        </w:tc>
      </w:tr>
      <w:tr>
        <w:trPr>
          <w:trHeight w:val="20"/>
        </w:trPr>
        <w:tc>
          <w:tcPr>
            <w:tcW w:w="11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60" w:type="dxa"/>
            <w:vAlign w:val="bottom"/>
            <w:gridSpan w:val="6"/>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 xml:space="preserve">Certification of Mick J. </w:t>
              </w:r>
              <w:r>
                <w:rPr>
                  <w:rFonts w:ascii="Times New Roman" w:cs="Times New Roman" w:eastAsia="Times New Roman" w:hAnsi="Times New Roman"/>
                  <w:sz w:val="18"/>
                  <w:szCs w:val="18"/>
                  <w:u w:val="single" w:color="auto"/>
                  <w:color w:val="0000FF"/>
                </w:rPr>
                <w:t>Beekhuizen pursuant to Rule 13a-14(a).</w:t>
              </w:r>
            </w:hyperlink>
          </w:p>
        </w:tc>
      </w:tr>
      <w:tr>
        <w:trPr>
          <w:trHeight w:val="20"/>
        </w:trPr>
        <w:tc>
          <w:tcPr>
            <w:tcW w:w="11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r>
      <w:tr>
        <w:trPr>
          <w:trHeight w:val="3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6"/>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u w:val="single" w:color="auto"/>
                  <w:color w:val="0000FF"/>
                </w:rPr>
                <w:t>Certification of Mark A. Clouse pursuant to 18 U.S.C. Section 1350</w:t>
              </w:r>
              <w:r>
                <w:rPr>
                  <w:rFonts w:ascii="Times New Roman" w:cs="Times New Roman" w:eastAsia="Times New Roman" w:hAnsi="Times New Roman"/>
                  <w:sz w:val="18"/>
                  <w:szCs w:val="18"/>
                  <w:color w:val="0000FF"/>
                </w:rPr>
                <w:t>.</w:t>
              </w:r>
            </w:hyperlink>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60" w:type="dxa"/>
            <w:vAlign w:val="bottom"/>
            <w:gridSpan w:val="6"/>
          </w:tcPr>
          <w:p>
            <w:pPr>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 xml:space="preserve">Certification of Mick J. </w:t>
              </w:r>
              <w:r>
                <w:rPr>
                  <w:rFonts w:ascii="Times New Roman" w:cs="Times New Roman" w:eastAsia="Times New Roman" w:hAnsi="Times New Roman"/>
                  <w:sz w:val="18"/>
                  <w:szCs w:val="18"/>
                  <w:u w:val="single" w:color="auto"/>
                  <w:color w:val="0000FF"/>
                </w:rPr>
                <w:t>Beekhuizen pursuant to 18 U.S.C. Section 1350</w:t>
              </w:r>
            </w:hyperlink>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r>
      <w:tr>
        <w:trPr>
          <w:trHeight w:val="29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on the Interactive Data File because its XBRL tags are embedded</w:t>
            </w:r>
          </w:p>
        </w:tc>
      </w:tr>
      <w:tr>
        <w:trPr>
          <w:trHeight w:val="234"/>
        </w:trPr>
        <w:tc>
          <w:tcPr>
            <w:tcW w:w="1100" w:type="dxa"/>
            <w:vAlign w:val="bottom"/>
          </w:tcPr>
          <w:p>
            <w:pPr>
              <w:spacing w:after="0"/>
              <w:rPr>
                <w:sz w:val="20"/>
                <w:szCs w:val="20"/>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1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90" w:lineRule="exact"/>
        <w:rPr>
          <w:sz w:val="20"/>
          <w:szCs w:val="20"/>
          <w:color w:val="auto"/>
        </w:rPr>
      </w:pPr>
    </w:p>
    <w:p>
      <w:pPr>
        <w:ind w:left="-20" w:right="2040" w:firstLine="26"/>
        <w:spacing w:after="0" w:line="563" w:lineRule="auto"/>
        <w:tabs>
          <w:tab w:leader="none" w:pos="10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 *This exhibit is a management contract or compensatory plan or arrangement.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891" w:right="399" w:bottom="1440" w:gutter="0" w:footer="0" w:header="0"/>
        </w:sectPr>
      </w:pPr>
    </w:p>
    <w:bookmarkStart w:id="34" w:name="page35"/>
    <w:bookmarkEnd w:id="3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2020</w:t>
      </w:r>
    </w:p>
    <w:p>
      <w:pPr>
        <w:spacing w:after="0" w:line="4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1718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1718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887" w:right="459" w:bottom="1440" w:gutter="0" w:footer="0" w:header="0"/>
        </w:sectPr>
      </w:pPr>
    </w:p>
    <w:bookmarkStart w:id="35" w:name="page36"/>
    <w:bookmarkEnd w:id="35"/>
    <w:p>
      <w:pPr>
        <w:ind w:left="714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CAMPBELL SOUP COMPANY</w:t>
      </w:r>
    </w:p>
    <w:p>
      <w:pPr>
        <w:spacing w:after="0" w:line="24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u w:val="single" w:color="auto"/>
          <w:color w:val="auto"/>
        </w:rPr>
        <w:t>Non-Employee Director Compensation for Calendar 2021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Board and Committee Retainer for Calendar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$119,000 shall be paid in cash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$144,500 shall be paid in shares of Campbell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Retainers for Board Chair, Committee Chairs and Audit Committee Members</w:t>
      </w:r>
    </w:p>
    <w:p>
      <w:pPr>
        <w:spacing w:after="0" w:line="24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In addition to the above Board and Committee retainer, the following amounts shall be paid 50% in cash and 50% in shares of Campbell stock:</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$350,000</w:t>
            </w:r>
          </w:p>
        </w:tc>
        <w:tc>
          <w:tcPr>
            <w:tcW w:w="5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Chair of the Board</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$25,000</w:t>
            </w:r>
          </w:p>
        </w:tc>
        <w:tc>
          <w:tcPr>
            <w:tcW w:w="5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Audit Committee chair</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$20,000</w:t>
            </w:r>
          </w:p>
        </w:tc>
        <w:tc>
          <w:tcPr>
            <w:tcW w:w="5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Compensation and Organization Committee chair</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$15,000</w:t>
            </w:r>
          </w:p>
        </w:tc>
        <w:tc>
          <w:tcPr>
            <w:tcW w:w="5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Finance Committee chair</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$15,000</w:t>
            </w:r>
          </w:p>
        </w:tc>
        <w:tc>
          <w:tcPr>
            <w:tcW w:w="5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Governance Committee chair</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$7,500</w:t>
            </w:r>
          </w:p>
        </w:tc>
        <w:tc>
          <w:tcPr>
            <w:tcW w:w="570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8"/>
              </w:rPr>
              <w:t>Audit Committee members (excluding the Audit Committee chair)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retainers will be paid quarterly in arrears. Prior to the beginning of a calendar year, a non-employee director may elect to (i) receive shares of Campbell stock in lieu of the cash portion of any retainer (such election to be made in 10% increments) and/or (ii) defer all or a portion of any cash or stock retainer in accordance with the terms and conditions of the Campbell Soup Company Supplemental Retirement Plan.</w:t>
      </w:r>
    </w:p>
    <w:p>
      <w:pPr>
        <w:sectPr>
          <w:pgSz w:w="11900" w:h="16838" w:orient="portrait"/>
          <w:cols w:equalWidth="0" w:num="1">
            <w:col w:w="11060"/>
          </w:cols>
          <w:pgMar w:left="320" w:top="1409" w:right="5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71" w:lineRule="exact"/>
        <w:rPr>
          <w:sz w:val="20"/>
          <w:szCs w:val="20"/>
          <w:color w:val="auto"/>
        </w:rPr>
      </w:pPr>
    </w:p>
    <w:p>
      <w:pPr>
        <w:ind w:left="400" w:hanging="190"/>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71" w:lineRule="exact"/>
        <w:rPr>
          <w:rFonts w:ascii="Times New Roman" w:cs="Times New Roman" w:eastAsia="Times New Roman" w:hAnsi="Times New Roman"/>
          <w:sz w:val="18"/>
          <w:szCs w:val="18"/>
          <w:color w:val="auto"/>
        </w:rPr>
      </w:pPr>
    </w:p>
    <w:p>
      <w:pPr>
        <w:ind w:right="260" w:firstLine="210"/>
        <w:spacing w:after="0" w:line="282" w:lineRule="auto"/>
        <w:tabs>
          <w:tab w:leader="none" w:pos="3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40" w:firstLine="210"/>
        <w:spacing w:after="0" w:line="282" w:lineRule="auto"/>
        <w:tabs>
          <w:tab w:leader="none" w:pos="3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210"/>
        <w:spacing w:after="0" w:line="266" w:lineRule="auto"/>
        <w:tabs>
          <w:tab w:leader="none" w:pos="3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right="440" w:firstLine="453"/>
        <w:spacing w:after="0" w:line="266" w:lineRule="auto"/>
        <w:tabs>
          <w:tab w:leader="none" w:pos="63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40" w:firstLine="453"/>
        <w:spacing w:after="0" w:line="282" w:lineRule="auto"/>
        <w:tabs>
          <w:tab w:leader="none" w:pos="63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80" w:firstLine="210"/>
        <w:spacing w:after="0" w:line="282" w:lineRule="auto"/>
        <w:tabs>
          <w:tab w:leader="none" w:pos="3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340" w:firstLine="453"/>
        <w:spacing w:after="0" w:line="282" w:lineRule="auto"/>
        <w:tabs>
          <w:tab w:leader="none" w:pos="63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300" w:firstLine="453"/>
        <w:spacing w:after="0" w:line="282" w:lineRule="auto"/>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239" w:lineRule="exact"/>
        <w:rPr>
          <w:sz w:val="20"/>
          <w:szCs w:val="20"/>
          <w:color w:val="auto"/>
        </w:rPr>
      </w:pPr>
    </w:p>
    <w:p>
      <w:pPr>
        <w:ind w:left="4160"/>
        <w:spacing w:after="0"/>
        <w:tabs>
          <w:tab w:leader="none" w:pos="460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7" w:lineRule="exact"/>
        <w:rPr>
          <w:sz w:val="20"/>
          <w:szCs w:val="20"/>
          <w:color w:val="auto"/>
        </w:rPr>
      </w:pPr>
    </w:p>
    <w:tbl>
      <w:tblPr>
        <w:tblLayout w:type="fixed"/>
        <w:tblInd w:w="460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71" w:lineRule="exact"/>
        <w:rPr>
          <w:sz w:val="20"/>
          <w:szCs w:val="20"/>
          <w:color w:val="auto"/>
        </w:rPr>
      </w:pPr>
    </w:p>
    <w:p>
      <w:pPr>
        <w:ind w:left="400" w:hanging="190"/>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71" w:lineRule="exact"/>
        <w:rPr>
          <w:rFonts w:ascii="Times New Roman" w:cs="Times New Roman" w:eastAsia="Times New Roman" w:hAnsi="Times New Roman"/>
          <w:sz w:val="18"/>
          <w:szCs w:val="18"/>
          <w:color w:val="auto"/>
        </w:rPr>
      </w:pPr>
    </w:p>
    <w:p>
      <w:pPr>
        <w:ind w:right="260" w:firstLine="210"/>
        <w:spacing w:after="0" w:line="282" w:lineRule="auto"/>
        <w:tabs>
          <w:tab w:leader="none" w:pos="3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40" w:firstLine="210"/>
        <w:spacing w:after="0" w:line="282" w:lineRule="auto"/>
        <w:tabs>
          <w:tab w:leader="none" w:pos="3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210"/>
        <w:spacing w:after="0" w:line="266" w:lineRule="auto"/>
        <w:tabs>
          <w:tab w:leader="none" w:pos="3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right="440" w:firstLine="453"/>
        <w:spacing w:after="0" w:line="266" w:lineRule="auto"/>
        <w:tabs>
          <w:tab w:leader="none" w:pos="6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40" w:firstLine="453"/>
        <w:spacing w:after="0" w:line="282" w:lineRule="auto"/>
        <w:tabs>
          <w:tab w:leader="none" w:pos="6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80" w:firstLine="210"/>
        <w:spacing w:after="0" w:line="282" w:lineRule="auto"/>
        <w:tabs>
          <w:tab w:leader="none" w:pos="3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340" w:firstLine="453"/>
        <w:spacing w:after="0" w:line="282" w:lineRule="auto"/>
        <w:tabs>
          <w:tab w:leader="none" w:pos="6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300" w:firstLine="453"/>
        <w:spacing w:after="0" w:line="282" w:lineRule="auto"/>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50" w:lineRule="exact"/>
        <w:rPr>
          <w:sz w:val="20"/>
          <w:szCs w:val="20"/>
          <w:color w:val="auto"/>
        </w:rPr>
      </w:pPr>
    </w:p>
    <w:p>
      <w:pPr>
        <w:ind w:left="4140"/>
        <w:spacing w:after="0"/>
        <w:tabs>
          <w:tab w:leader="none" w:pos="456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18"/>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Mick J. Beekhuizen</w:t>
            </w:r>
          </w:p>
        </w:tc>
      </w:t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6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200"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November 1, 2020 (the “Report”), I, Mark A. Clouse, President and Chief Executive Officer of the Company, hereby certify, pursuant to 18 U.S.C. Section 1350, as adopted pursuant to Section 906 of the Sarbanes-Oxley Act of 2002, that, to my knowledge:</w:t>
      </w:r>
    </w:p>
    <w:p>
      <w:pPr>
        <w:spacing w:after="0" w:line="122" w:lineRule="exact"/>
        <w:rPr>
          <w:sz w:val="20"/>
          <w:szCs w:val="20"/>
          <w:color w:val="auto"/>
        </w:rPr>
      </w:pPr>
    </w:p>
    <w:p>
      <w:pPr>
        <w:ind w:left="700" w:hanging="247"/>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50" w:lineRule="exact"/>
        <w:rPr>
          <w:sz w:val="20"/>
          <w:szCs w:val="20"/>
          <w:color w:val="auto"/>
        </w:rPr>
      </w:pPr>
    </w:p>
    <w:p>
      <w:pPr>
        <w:ind w:left="4140"/>
        <w:spacing w:after="0"/>
        <w:tabs>
          <w:tab w:leader="none" w:pos="456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18"/>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320"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November 1, 2020 (the “Report”), I, Mick J. Beekhuizen, Executive Vice President and Chief Financial Officer of the Company, hereby certify, pursuant to 18 U.S.C. Section 1350, as adopted pursuant to Section 906 of the Sarbanes-Oxley Act of 2002, that, to my knowledge:</w:t>
      </w:r>
    </w:p>
    <w:p>
      <w:pPr>
        <w:spacing w:after="0" w:line="122" w:lineRule="exact"/>
        <w:rPr>
          <w:sz w:val="20"/>
          <w:szCs w:val="20"/>
          <w:color w:val="auto"/>
        </w:rPr>
      </w:pPr>
    </w:p>
    <w:p>
      <w:pPr>
        <w:ind w:left="700" w:hanging="247"/>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50"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Mick J. Beekhuizen</w:t>
            </w:r>
          </w:p>
        </w:tc>
      </w:tr>
      <w:tr>
        <w:trPr>
          <w:trHeight w:val="229"/>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680" w:type="dxa"/>
            <w:vAlign w:val="bottom"/>
          </w:tcPr>
          <w:p>
            <w:pPr>
              <w:spacing w:after="0"/>
              <w:rPr>
                <w:sz w:val="20"/>
                <w:szCs w:val="20"/>
                <w:color w:val="auto"/>
              </w:rPr>
            </w:pP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9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2"/>
    </w:lvl>
  </w:abstractNum>
  <w:abstractNum w:abstractNumId="1">
    <w:nsid w:val="7C83E458"/>
    <w:multiLevelType w:val="hybridMultilevel"/>
    <w:lvl w:ilvl="0">
      <w:lvlJc w:val="left"/>
      <w:lvlText w:val="%1."/>
      <w:numFmt w:val="decimal"/>
      <w:start w:val="3"/>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5"/>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1"/>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4" Type="http://schemas.openxmlformats.org/officeDocument/2006/relationships/hyperlink" Target="https://www.sec.gov/Archives/edgar/data/16732/000119312520283951/d94086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2020-12-09T06:44:19Z</dcterms:created>
  <dcterms:modified xsi:type="dcterms:W3CDTF">2020-12-09T06:44:19Z</dcterms:modified>
</cp:coreProperties>
</file>