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jc w:val="center"/>
        <w:spacing w:after="0"/>
        <w:rPr>
          <w:sz w:val="20"/>
          <w:szCs w:val="20"/>
          <w:color w:val="auto"/>
        </w:rPr>
      </w:pPr>
      <w:r>
        <w:rPr>
          <w:rFonts w:ascii="Arial" w:cs="Arial" w:eastAsia="Arial" w:hAnsi="Arial"/>
          <w:sz w:val="27"/>
          <w:szCs w:val="27"/>
          <w:b w:val="1"/>
          <w:bCs w:val="1"/>
          <w:color w:val="auto"/>
        </w:rPr>
        <w:t>Form 10-K</w:t>
      </w:r>
    </w:p>
    <w:p>
      <w:pPr>
        <w:spacing w:after="0" w:line="16" w:lineRule="exact"/>
        <w:rPr>
          <w:sz w:val="24"/>
          <w:szCs w:val="24"/>
          <w:color w:val="auto"/>
        </w:rPr>
      </w:pPr>
    </w:p>
    <w:p>
      <w:pPr>
        <w:ind w:left="388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_________________________________________________________________________________</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ANNUAL REPORT PURSUANT TO SECTION 13 OR 15(d)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OF THE SECURITIES EXCHANGE ACT OF 1934</w:t>
      </w:r>
    </w:p>
    <w:p>
      <w:pPr>
        <w:sectPr>
          <w:pgSz w:w="11900" w:h="16838" w:orient="portrait"/>
          <w:cols w:equalWidth="0" w:num="1">
            <w:col w:w="11240"/>
          </w:cols>
          <w:pgMar w:left="320" w:top="644" w:right="339" w:bottom="1440" w:gutter="0" w:footer="0" w:header="0"/>
        </w:sectPr>
      </w:pPr>
    </w:p>
    <w:p>
      <w:pPr>
        <w:spacing w:after="0" w:line="14" w:lineRule="exact"/>
        <w:rPr>
          <w:sz w:val="24"/>
          <w:szCs w:val="24"/>
          <w:color w:val="auto"/>
        </w:rPr>
      </w:pPr>
    </w:p>
    <w:p>
      <w:pPr>
        <w:jc w:val="center"/>
        <w:ind w:right="4600"/>
        <w:spacing w:after="0"/>
        <w:rPr>
          <w:sz w:val="20"/>
          <w:szCs w:val="20"/>
          <w:color w:val="auto"/>
        </w:rPr>
      </w:pPr>
      <w:r>
        <w:rPr>
          <w:rFonts w:ascii="Arial" w:cs="Arial" w:eastAsia="Arial" w:hAnsi="Arial"/>
          <w:sz w:val="15"/>
          <w:szCs w:val="15"/>
          <w:b w:val="1"/>
          <w:bCs w:val="1"/>
          <w:color w:val="auto"/>
        </w:rPr>
        <w:t>For the Fiscal Year Ended</w:t>
      </w:r>
    </w:p>
    <w:p>
      <w:pPr>
        <w:spacing w:after="0" w:line="50" w:lineRule="exact"/>
        <w:rPr>
          <w:sz w:val="24"/>
          <w:szCs w:val="24"/>
          <w:color w:val="auto"/>
        </w:rPr>
      </w:pPr>
    </w:p>
    <w:p>
      <w:pPr>
        <w:jc w:val="center"/>
        <w:ind w:right="4600"/>
        <w:spacing w:after="0"/>
        <w:rPr>
          <w:sz w:val="20"/>
          <w:szCs w:val="20"/>
          <w:color w:val="auto"/>
        </w:rPr>
      </w:pPr>
      <w:r>
        <w:rPr>
          <w:rFonts w:ascii="Arial" w:cs="Arial" w:eastAsia="Arial" w:hAnsi="Arial"/>
          <w:sz w:val="17"/>
          <w:szCs w:val="17"/>
          <w:b w:val="1"/>
          <w:bCs w:val="1"/>
          <w:color w:val="auto"/>
        </w:rPr>
        <w:t>July 30, 2023</w:t>
      </w:r>
    </w:p>
    <w:p>
      <w:pPr>
        <w:spacing w:after="0" w:line="20" w:lineRule="exact"/>
        <w:rPr>
          <w:sz w:val="24"/>
          <w:szCs w:val="24"/>
          <w:color w:val="auto"/>
        </w:rPr>
      </w:pPr>
      <w:r>
        <w:rPr>
          <w:sz w:val="24"/>
          <w:szCs w:val="24"/>
          <w:color w:val="auto"/>
        </w:rPr>
        <w:br w:type="column"/>
      </w:r>
    </w:p>
    <w:p>
      <w:pPr>
        <w:jc w:val="center"/>
        <w:ind w:right="720"/>
        <w:spacing w:after="0"/>
        <w:rPr>
          <w:sz w:val="20"/>
          <w:szCs w:val="20"/>
          <w:color w:val="auto"/>
        </w:rPr>
      </w:pPr>
      <w:r>
        <w:rPr>
          <w:rFonts w:ascii="Arial" w:cs="Arial" w:eastAsia="Arial" w:hAnsi="Arial"/>
          <w:sz w:val="15"/>
          <w:szCs w:val="15"/>
          <w:b w:val="1"/>
          <w:bCs w:val="1"/>
          <w:color w:val="auto"/>
        </w:rPr>
        <w:t>Commission File Number</w:t>
      </w:r>
    </w:p>
    <w:p>
      <w:pPr>
        <w:spacing w:after="0" w:line="50" w:lineRule="exact"/>
        <w:rPr>
          <w:sz w:val="24"/>
          <w:szCs w:val="24"/>
          <w:color w:val="auto"/>
        </w:rPr>
      </w:pPr>
    </w:p>
    <w:p>
      <w:pPr>
        <w:jc w:val="center"/>
        <w:ind w:right="720"/>
        <w:spacing w:after="0"/>
        <w:rPr>
          <w:sz w:val="20"/>
          <w:szCs w:val="20"/>
          <w:color w:val="auto"/>
        </w:rPr>
      </w:pPr>
      <w:r>
        <w:rPr>
          <w:rFonts w:ascii="Arial" w:cs="Arial" w:eastAsia="Arial" w:hAnsi="Arial"/>
          <w:sz w:val="17"/>
          <w:szCs w:val="17"/>
          <w:b w:val="1"/>
          <w:bCs w:val="1"/>
          <w:color w:val="auto"/>
        </w:rPr>
        <w:t>1-3822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-2613660</wp:posOffset>
            </wp:positionH>
            <wp:positionV relativeFrom="paragraph">
              <wp:posOffset>73025</wp:posOffset>
            </wp:positionV>
            <wp:extent cx="1406525" cy="514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6525" cy="51498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7920" w:space="720"/>
            <w:col w:w="2600"/>
          </w:cols>
          <w:pgMar w:left="320" w:top="644"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CAMPBELL SOUP COMPANY</w:t>
      </w:r>
    </w:p>
    <w:p>
      <w:pPr>
        <w:sectPr>
          <w:pgSz w:w="11900" w:h="16838" w:orient="portrait"/>
          <w:cols w:equalWidth="0" w:num="1">
            <w:col w:w="11240"/>
          </w:cols>
          <w:pgMar w:left="320" w:top="644" w:right="339" w:bottom="1440" w:gutter="0" w:footer="0" w:header="0"/>
          <w:type w:val="continuous"/>
        </w:sectPr>
      </w:pPr>
    </w:p>
    <w:p>
      <w:pPr>
        <w:spacing w:after="0" w:line="77" w:lineRule="exact"/>
        <w:rPr>
          <w:sz w:val="24"/>
          <w:szCs w:val="24"/>
          <w:color w:val="auto"/>
        </w:rPr>
      </w:pPr>
    </w:p>
    <w:p>
      <w:pPr>
        <w:jc w:val="center"/>
        <w:ind w:right="740"/>
        <w:spacing w:after="0"/>
        <w:rPr>
          <w:sz w:val="20"/>
          <w:szCs w:val="20"/>
          <w:color w:val="auto"/>
        </w:rPr>
      </w:pPr>
      <w:r>
        <w:rPr>
          <w:rFonts w:ascii="Arial" w:cs="Arial" w:eastAsia="Arial" w:hAnsi="Arial"/>
          <w:sz w:val="17"/>
          <w:szCs w:val="17"/>
          <w:b w:val="1"/>
          <w:bCs w:val="1"/>
          <w:color w:val="auto"/>
        </w:rPr>
        <w:t>New Jersey</w:t>
      </w:r>
    </w:p>
    <w:p>
      <w:pPr>
        <w:spacing w:after="0" w:line="29" w:lineRule="exact"/>
        <w:rPr>
          <w:sz w:val="24"/>
          <w:szCs w:val="24"/>
          <w:color w:val="auto"/>
        </w:rPr>
      </w:pPr>
    </w:p>
    <w:p>
      <w:pPr>
        <w:jc w:val="center"/>
        <w:ind w:right="740"/>
        <w:spacing w:after="0"/>
        <w:rPr>
          <w:sz w:val="20"/>
          <w:szCs w:val="20"/>
          <w:color w:val="auto"/>
        </w:rPr>
      </w:pPr>
      <w:r>
        <w:rPr>
          <w:rFonts w:ascii="Arial" w:cs="Arial" w:eastAsia="Arial" w:hAnsi="Arial"/>
          <w:sz w:val="16"/>
          <w:szCs w:val="16"/>
          <w:i w:val="1"/>
          <w:iCs w:val="1"/>
          <w:color w:val="auto"/>
        </w:rPr>
        <w:t>State of Incorporation</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jc w:val="center"/>
        <w:ind w:right="1700"/>
        <w:spacing w:after="0"/>
        <w:rPr>
          <w:sz w:val="20"/>
          <w:szCs w:val="20"/>
          <w:color w:val="auto"/>
        </w:rPr>
      </w:pPr>
      <w:r>
        <w:rPr>
          <w:rFonts w:ascii="Arial" w:cs="Arial" w:eastAsia="Arial" w:hAnsi="Arial"/>
          <w:sz w:val="17"/>
          <w:szCs w:val="17"/>
          <w:b w:val="1"/>
          <w:bCs w:val="1"/>
          <w:color w:val="auto"/>
        </w:rPr>
        <w:t>21-0419870</w:t>
      </w:r>
    </w:p>
    <w:p>
      <w:pPr>
        <w:spacing w:after="0" w:line="29" w:lineRule="exact"/>
        <w:rPr>
          <w:sz w:val="24"/>
          <w:szCs w:val="24"/>
          <w:color w:val="auto"/>
        </w:rPr>
      </w:pPr>
    </w:p>
    <w:p>
      <w:pPr>
        <w:jc w:val="center"/>
        <w:ind w:right="1700"/>
        <w:spacing w:after="0"/>
        <w:rPr>
          <w:sz w:val="20"/>
          <w:szCs w:val="20"/>
          <w:color w:val="auto"/>
        </w:rPr>
      </w:pPr>
      <w:r>
        <w:rPr>
          <w:rFonts w:ascii="Arial" w:cs="Arial" w:eastAsia="Arial" w:hAnsi="Arial"/>
          <w:sz w:val="15"/>
          <w:szCs w:val="15"/>
          <w:i w:val="1"/>
          <w:iCs w:val="1"/>
          <w:color w:val="auto"/>
        </w:rPr>
        <w:t>I.R.S. Employer Identification No.</w:t>
      </w:r>
    </w:p>
    <w:p>
      <w:pPr>
        <w:spacing w:after="0" w:line="117" w:lineRule="exact"/>
        <w:rPr>
          <w:sz w:val="24"/>
          <w:szCs w:val="24"/>
          <w:color w:val="auto"/>
        </w:rPr>
      </w:pPr>
    </w:p>
    <w:p>
      <w:pPr>
        <w:sectPr>
          <w:pgSz w:w="11900" w:h="16838" w:orient="portrait"/>
          <w:cols w:equalWidth="0" w:num="2">
            <w:col w:w="6480" w:space="720"/>
            <w:col w:w="4040"/>
          </w:cols>
          <w:pgMar w:left="320" w:top="644" w:right="33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1 Campbell Place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Camden, New Jersey 08103-1799</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i w:val="1"/>
          <w:iCs w:val="1"/>
          <w:color w:val="auto"/>
        </w:rPr>
        <w:t>Principal Executive Offices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Telephone Number: (856) 342-4800</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registered pursuant to Section 12(b) of the Act:</w:t>
      </w:r>
    </w:p>
    <w:p>
      <w:pPr>
        <w:sectPr>
          <w:pgSz w:w="11900" w:h="16838" w:orient="portrait"/>
          <w:cols w:equalWidth="0" w:num="1">
            <w:col w:w="11240"/>
          </w:cols>
          <w:pgMar w:left="320" w:top="644" w:right="339" w:bottom="1440" w:gutter="0" w:footer="0" w:header="0"/>
          <w:type w:val="continuous"/>
        </w:sectPr>
      </w:pPr>
    </w:p>
    <w:p>
      <w:pPr>
        <w:spacing w:after="0" w:line="55" w:lineRule="exact"/>
        <w:rPr>
          <w:sz w:val="24"/>
          <w:szCs w:val="24"/>
          <w:color w:val="auto"/>
        </w:rPr>
      </w:pPr>
    </w:p>
    <w:p>
      <w:pPr>
        <w:jc w:val="center"/>
        <w:ind w:left="220"/>
        <w:spacing w:after="0"/>
        <w:rPr>
          <w:sz w:val="20"/>
          <w:szCs w:val="20"/>
          <w:color w:val="auto"/>
        </w:rPr>
      </w:pPr>
      <w:r>
        <w:rPr>
          <w:rFonts w:ascii="Arial" w:cs="Arial" w:eastAsia="Arial" w:hAnsi="Arial"/>
          <w:sz w:val="17"/>
          <w:szCs w:val="17"/>
          <w:b w:val="1"/>
          <w:bCs w:val="1"/>
          <w:color w:val="auto"/>
        </w:rPr>
        <w:t>Title of Each Class</w:t>
      </w:r>
    </w:p>
    <w:p>
      <w:pPr>
        <w:spacing w:after="0" w:line="29" w:lineRule="exact"/>
        <w:rPr>
          <w:sz w:val="24"/>
          <w:szCs w:val="24"/>
          <w:color w:val="auto"/>
        </w:rPr>
      </w:pPr>
    </w:p>
    <w:p>
      <w:pPr>
        <w:jc w:val="center"/>
        <w:ind w:left="220"/>
        <w:spacing w:after="0"/>
        <w:rPr>
          <w:sz w:val="20"/>
          <w:szCs w:val="20"/>
          <w:color w:val="auto"/>
        </w:rPr>
      </w:pPr>
      <w:r>
        <w:rPr>
          <w:rFonts w:ascii="Arial" w:cs="Arial" w:eastAsia="Arial" w:hAnsi="Arial"/>
          <w:sz w:val="15"/>
          <w:szCs w:val="15"/>
          <w:color w:val="auto"/>
        </w:rPr>
        <w:t>Capital Stock, par value $.0375</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jc w:val="center"/>
        <w:ind w:right="380"/>
        <w:spacing w:after="0"/>
        <w:rPr>
          <w:sz w:val="20"/>
          <w:szCs w:val="20"/>
          <w:color w:val="auto"/>
        </w:rPr>
      </w:pPr>
      <w:r>
        <w:rPr>
          <w:rFonts w:ascii="Arial" w:cs="Arial" w:eastAsia="Arial" w:hAnsi="Arial"/>
          <w:sz w:val="15"/>
          <w:szCs w:val="15"/>
          <w:b w:val="1"/>
          <w:bCs w:val="1"/>
          <w:color w:val="auto"/>
        </w:rPr>
        <w:t>Trading Symbol</w:t>
      </w:r>
    </w:p>
    <w:p>
      <w:pPr>
        <w:spacing w:after="0" w:line="52" w:lineRule="exact"/>
        <w:rPr>
          <w:sz w:val="24"/>
          <w:szCs w:val="24"/>
          <w:color w:val="auto"/>
        </w:rPr>
      </w:pPr>
    </w:p>
    <w:p>
      <w:pPr>
        <w:jc w:val="center"/>
        <w:ind w:right="380"/>
        <w:spacing w:after="0"/>
        <w:rPr>
          <w:sz w:val="20"/>
          <w:szCs w:val="20"/>
          <w:color w:val="auto"/>
        </w:rPr>
      </w:pPr>
      <w:r>
        <w:rPr>
          <w:rFonts w:ascii="Arial" w:cs="Arial" w:eastAsia="Arial" w:hAnsi="Arial"/>
          <w:sz w:val="17"/>
          <w:szCs w:val="17"/>
          <w:color w:val="auto"/>
        </w:rPr>
        <w:t>CPB</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jc w:val="center"/>
        <w:ind w:right="58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52"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New York Stock Exchange</w:t>
      </w:r>
    </w:p>
    <w:p>
      <w:pPr>
        <w:spacing w:after="0" w:line="172" w:lineRule="exact"/>
        <w:rPr>
          <w:sz w:val="24"/>
          <w:szCs w:val="24"/>
          <w:color w:val="auto"/>
        </w:rPr>
      </w:pPr>
    </w:p>
    <w:p>
      <w:pPr>
        <w:sectPr>
          <w:pgSz w:w="11900" w:h="16838" w:orient="portrait"/>
          <w:cols w:equalWidth="0" w:num="3">
            <w:col w:w="4300" w:space="720"/>
            <w:col w:w="1560" w:space="720"/>
            <w:col w:w="3940"/>
          </w:cols>
          <w:pgMar w:left="320" w:top="644" w:right="33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Securities registered pursuant to Section 12(g) of the Act: None</w:t>
      </w:r>
    </w:p>
    <w:p>
      <w:pPr>
        <w:spacing w:after="0" w:line="71" w:lineRule="exact"/>
        <w:rPr>
          <w:sz w:val="24"/>
          <w:szCs w:val="24"/>
          <w:color w:val="auto"/>
        </w:rPr>
      </w:pPr>
    </w:p>
    <w:p>
      <w:pPr>
        <w:ind w:left="320" w:right="2820"/>
        <w:spacing w:after="0" w:line="265"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333333"/>
        </w:rPr>
        <w:t>☐</w:t>
      </w:r>
      <w:r>
        <w:rPr>
          <w:rFonts w:ascii="Arial" w:cs="Arial" w:eastAsia="Arial" w:hAnsi="Arial"/>
          <w:sz w:val="14"/>
          <w:szCs w:val="14"/>
          <w:color w:val="auto"/>
        </w:rPr>
        <w:t xml:space="preserve"> No Indicate by check mark if the registrant is not required to file reports pursuant to Section 13 or 15(d) of the Act. </w:t>
      </w:r>
      <w:r>
        <w:rPr>
          <w:rFonts w:ascii="MS PGothic" w:cs="MS PGothic" w:eastAsia="MS PGothic" w:hAnsi="MS PGothic"/>
          <w:sz w:val="14"/>
          <w:szCs w:val="14"/>
          <w:color w:val="333333"/>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52" w:lineRule="exact"/>
        <w:rPr>
          <w:sz w:val="24"/>
          <w:szCs w:val="24"/>
          <w:color w:val="auto"/>
        </w:rPr>
      </w:pPr>
    </w:p>
    <w:p>
      <w:pPr>
        <w:jc w:val="both"/>
        <w:ind w:firstLine="309"/>
        <w:spacing w:after="0" w:line="20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333333"/>
        </w:rPr>
        <w:t>☐</w:t>
      </w:r>
      <w:r>
        <w:rPr>
          <w:rFonts w:ascii="Arial" w:cs="Arial" w:eastAsia="Arial" w:hAnsi="Arial"/>
          <w:sz w:val="14"/>
          <w:szCs w:val="14"/>
          <w:color w:val="auto"/>
        </w:rPr>
        <w:t xml:space="preserve"> No</w:t>
      </w:r>
    </w:p>
    <w:p>
      <w:pPr>
        <w:spacing w:after="0" w:line="51" w:lineRule="exact"/>
        <w:rPr>
          <w:sz w:val="24"/>
          <w:szCs w:val="24"/>
          <w:color w:val="auto"/>
        </w:rPr>
      </w:pPr>
    </w:p>
    <w:p>
      <w:pPr>
        <w:jc w:val="both"/>
        <w:ind w:firstLine="309"/>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333333"/>
        </w:rPr>
        <w:t>☐</w:t>
      </w:r>
      <w:r>
        <w:rPr>
          <w:rFonts w:ascii="Arial" w:cs="Arial" w:eastAsia="Arial" w:hAnsi="Arial"/>
          <w:sz w:val="15"/>
          <w:szCs w:val="15"/>
          <w:color w:val="auto"/>
        </w:rPr>
        <w:t xml:space="preserve"> No</w:t>
      </w:r>
    </w:p>
    <w:p>
      <w:pPr>
        <w:spacing w:after="0" w:line="51" w:lineRule="exact"/>
        <w:rPr>
          <w:sz w:val="24"/>
          <w:szCs w:val="24"/>
          <w:color w:val="auto"/>
        </w:rPr>
      </w:pPr>
    </w:p>
    <w:p>
      <w:pPr>
        <w:jc w:val="both"/>
        <w:ind w:firstLine="309"/>
        <w:spacing w:after="0" w:line="32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1740" w:type="dxa"/>
        <w:tblCellMar>
          <w:top w:w="0" w:type="dxa"/>
          <w:left w:w="0" w:type="dxa"/>
          <w:bottom w:w="0" w:type="dxa"/>
          <w:right w:w="0" w:type="dxa"/>
        </w:tblCellMar>
      </w:tblPr>
      <w:tr>
        <w:trPr>
          <w:trHeight w:val="270"/>
        </w:trPr>
        <w:tc>
          <w:tcPr>
            <w:tcW w:w="220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1460" w:type="dxa"/>
            <w:vAlign w:val="bottom"/>
          </w:tcPr>
          <w:p>
            <w:pPr>
              <w:ind w:left="520"/>
              <w:spacing w:after="0" w:line="151" w:lineRule="exact"/>
              <w:rPr>
                <w:sz w:val="20"/>
                <w:szCs w:val="20"/>
                <w:color w:val="auto"/>
              </w:rPr>
            </w:pPr>
            <w:r>
              <w:rPr>
                <w:rFonts w:ascii="MS PGothic" w:cs="MS PGothic" w:eastAsia="MS PGothic" w:hAnsi="MS PGothic"/>
                <w:sz w:val="15"/>
                <w:szCs w:val="15"/>
                <w:color w:val="auto"/>
              </w:rPr>
              <w:t>☑</w:t>
            </w:r>
          </w:p>
        </w:tc>
        <w:tc>
          <w:tcPr>
            <w:tcW w:w="2900" w:type="dxa"/>
            <w:vAlign w:val="bottom"/>
          </w:tcPr>
          <w:p>
            <w:pPr>
              <w:ind w:left="800"/>
              <w:spacing w:after="0"/>
              <w:rPr>
                <w:sz w:val="20"/>
                <w:szCs w:val="20"/>
                <w:color w:val="auto"/>
              </w:rPr>
            </w:pPr>
            <w:r>
              <w:rPr>
                <w:rFonts w:ascii="Arial" w:cs="Arial" w:eastAsia="Arial" w:hAnsi="Arial"/>
                <w:sz w:val="15"/>
                <w:szCs w:val="15"/>
                <w:color w:val="auto"/>
              </w:rPr>
              <w:t>Accelerated filer</w:t>
            </w:r>
          </w:p>
        </w:tc>
        <w:tc>
          <w:tcPr>
            <w:tcW w:w="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6"/>
        </w:trPr>
        <w:tc>
          <w:tcPr>
            <w:tcW w:w="2200" w:type="dxa"/>
            <w:vAlign w:val="bottom"/>
          </w:tcPr>
          <w:p>
            <w:pPr>
              <w:spacing w:after="0"/>
              <w:rPr>
                <w:sz w:val="20"/>
                <w:szCs w:val="20"/>
                <w:color w:val="auto"/>
              </w:rPr>
            </w:pPr>
            <w:r>
              <w:rPr>
                <w:rFonts w:ascii="Arial" w:cs="Arial" w:eastAsia="Arial" w:hAnsi="Arial"/>
                <w:sz w:val="15"/>
                <w:szCs w:val="15"/>
                <w:color w:val="auto"/>
              </w:rPr>
              <w:t>Non-accelerated filer</w:t>
            </w:r>
          </w:p>
        </w:tc>
        <w:tc>
          <w:tcPr>
            <w:tcW w:w="1460" w:type="dxa"/>
            <w:vAlign w:val="bottom"/>
          </w:tcPr>
          <w:p>
            <w:pPr>
              <w:ind w:left="520"/>
              <w:spacing w:after="0" w:line="151" w:lineRule="exact"/>
              <w:rPr>
                <w:sz w:val="20"/>
                <w:szCs w:val="20"/>
                <w:color w:val="auto"/>
              </w:rPr>
            </w:pPr>
            <w:r>
              <w:rPr>
                <w:rFonts w:ascii="MS PGothic" w:cs="MS PGothic" w:eastAsia="MS PGothic" w:hAnsi="MS PGothic"/>
                <w:sz w:val="15"/>
                <w:szCs w:val="15"/>
                <w:color w:val="auto"/>
              </w:rPr>
              <w:t>☐</w:t>
            </w:r>
          </w:p>
        </w:tc>
        <w:tc>
          <w:tcPr>
            <w:tcW w:w="2900" w:type="dxa"/>
            <w:vAlign w:val="bottom"/>
          </w:tcPr>
          <w:p>
            <w:pPr>
              <w:ind w:left="800"/>
              <w:spacing w:after="0"/>
              <w:rPr>
                <w:sz w:val="20"/>
                <w:szCs w:val="20"/>
                <w:color w:val="auto"/>
              </w:rPr>
            </w:pPr>
            <w:r>
              <w:rPr>
                <w:rFonts w:ascii="Arial" w:cs="Arial" w:eastAsia="Arial" w:hAnsi="Arial"/>
                <w:sz w:val="15"/>
                <w:szCs w:val="15"/>
                <w:color w:val="auto"/>
              </w:rPr>
              <w:t>Smaller reporting company</w:t>
            </w:r>
          </w:p>
        </w:tc>
        <w:tc>
          <w:tcPr>
            <w:tcW w:w="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9"/>
        </w:trPr>
        <w:tc>
          <w:tcPr>
            <w:tcW w:w="220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1460" w:type="dxa"/>
            <w:vAlign w:val="bottom"/>
          </w:tcPr>
          <w:p>
            <w:pPr>
              <w:ind w:left="520"/>
              <w:spacing w:after="0" w:line="151" w:lineRule="exact"/>
              <w:rPr>
                <w:sz w:val="20"/>
                <w:szCs w:val="20"/>
                <w:color w:val="auto"/>
              </w:rPr>
            </w:pPr>
            <w:r>
              <w:rPr>
                <w:rFonts w:ascii="MS PGothic" w:cs="MS PGothic" w:eastAsia="MS PGothic" w:hAnsi="MS PGothic"/>
                <w:sz w:val="15"/>
                <w:szCs w:val="15"/>
                <w:color w:val="auto"/>
              </w:rPr>
              <w:t>☐</w:t>
            </w:r>
          </w:p>
        </w:tc>
        <w:tc>
          <w:tcPr>
            <w:tcW w:w="2900" w:type="dxa"/>
            <w:vAlign w:val="bottom"/>
          </w:tcPr>
          <w:p>
            <w:pPr>
              <w:spacing w:after="0"/>
              <w:rPr>
                <w:sz w:val="22"/>
                <w:szCs w:val="22"/>
                <w:color w:val="auto"/>
              </w:rPr>
            </w:pPr>
          </w:p>
        </w:tc>
        <w:tc>
          <w:tcPr>
            <w:tcW w:w="540" w:type="dxa"/>
            <w:vAlign w:val="bottom"/>
          </w:tcPr>
          <w:p>
            <w:pPr>
              <w:spacing w:after="0"/>
              <w:rPr>
                <w:sz w:val="22"/>
                <w:szCs w:val="22"/>
                <w:color w:val="auto"/>
              </w:rPr>
            </w:pPr>
          </w:p>
        </w:tc>
      </w:tr>
    </w:tbl>
    <w:p>
      <w:pPr>
        <w:spacing w:after="0" w:line="154" w:lineRule="exact"/>
        <w:rPr>
          <w:sz w:val="24"/>
          <w:szCs w:val="24"/>
          <w:color w:val="auto"/>
        </w:rPr>
      </w:pPr>
    </w:p>
    <w:p>
      <w:pPr>
        <w:jc w:val="both"/>
        <w:ind w:firstLine="309"/>
        <w:spacing w:after="0" w:line="200"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333333"/>
        </w:rPr>
        <w:t>☐</w:t>
      </w:r>
    </w:p>
    <w:p>
      <w:pPr>
        <w:spacing w:after="0" w:line="51" w:lineRule="exact"/>
        <w:rPr>
          <w:sz w:val="24"/>
          <w:szCs w:val="24"/>
          <w:color w:val="auto"/>
        </w:rPr>
      </w:pPr>
    </w:p>
    <w:p>
      <w:pPr>
        <w:jc w:val="both"/>
        <w:ind w:firstLine="309"/>
        <w:spacing w:after="0" w:line="200"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51" w:lineRule="exact"/>
        <w:rPr>
          <w:sz w:val="24"/>
          <w:szCs w:val="24"/>
          <w:color w:val="auto"/>
        </w:rPr>
      </w:pPr>
    </w:p>
    <w:p>
      <w:pPr>
        <w:jc w:val="both"/>
        <w:ind w:firstLine="309"/>
        <w:spacing w:after="0" w:line="207" w:lineRule="exact"/>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333333"/>
        </w:rPr>
        <w:t>☐</w:t>
      </w:r>
    </w:p>
    <w:p>
      <w:pPr>
        <w:spacing w:after="0" w:line="51" w:lineRule="exact"/>
        <w:rPr>
          <w:sz w:val="24"/>
          <w:szCs w:val="24"/>
          <w:color w:val="auto"/>
        </w:rPr>
      </w:pPr>
    </w:p>
    <w:p>
      <w:pPr>
        <w:jc w:val="both"/>
        <w:ind w:firstLine="309"/>
        <w:spacing w:after="0" w:line="200"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333333"/>
        </w:rPr>
        <w:t>☐</w:t>
      </w:r>
    </w:p>
    <w:p>
      <w:pPr>
        <w:spacing w:after="0" w:line="11" w:lineRule="exact"/>
        <w:rPr>
          <w:sz w:val="24"/>
          <w:szCs w:val="24"/>
          <w:color w:val="auto"/>
        </w:rPr>
      </w:pPr>
    </w:p>
    <w:p>
      <w:pPr>
        <w:ind w:left="320"/>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w:t>
      </w:r>
      <w:r>
        <w:rPr>
          <w:rFonts w:ascii="MS PGothic" w:cs="MS PGothic" w:eastAsia="MS PGothic" w:hAnsi="MS PGothic"/>
          <w:sz w:val="15"/>
          <w:szCs w:val="15"/>
          <w:color w:val="333333"/>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138" w:lineRule="exact"/>
        <w:rPr>
          <w:sz w:val="24"/>
          <w:szCs w:val="24"/>
          <w:color w:val="auto"/>
        </w:rPr>
      </w:pPr>
    </w:p>
    <w:p>
      <w:pPr>
        <w:jc w:val="both"/>
        <w:ind w:firstLine="309"/>
        <w:spacing w:after="0" w:line="275" w:lineRule="auto"/>
        <w:rPr>
          <w:sz w:val="20"/>
          <w:szCs w:val="20"/>
          <w:color w:val="auto"/>
        </w:rPr>
      </w:pPr>
      <w:r>
        <w:rPr>
          <w:rFonts w:ascii="Arial" w:cs="Arial" w:eastAsia="Arial" w:hAnsi="Arial"/>
          <w:sz w:val="15"/>
          <w:szCs w:val="15"/>
          <w:color w:val="auto"/>
        </w:rPr>
        <w:t>Based on the closing price on the New York Stock Exchange on January 27, 2023 (the last business day of the registrant’s most recently completed second fiscal quarter), the aggregate market value of capital stock held by non-affiliates of the registrant was approximately $9,841,692,399. There were 297,945,220 shares of capital stock outstanding as of September 13, 2023.</w:t>
      </w:r>
    </w:p>
    <w:p>
      <w:pPr>
        <w:spacing w:after="0" w:line="51" w:lineRule="exact"/>
        <w:rPr>
          <w:sz w:val="24"/>
          <w:szCs w:val="24"/>
          <w:color w:val="auto"/>
        </w:rPr>
      </w:pPr>
    </w:p>
    <w:p>
      <w:pPr>
        <w:ind w:left="320"/>
        <w:spacing w:after="0"/>
        <w:rPr>
          <w:sz w:val="20"/>
          <w:szCs w:val="20"/>
          <w:color w:val="auto"/>
        </w:rPr>
      </w:pPr>
      <w:r>
        <w:rPr>
          <w:rFonts w:ascii="Arial" w:cs="Arial" w:eastAsia="Arial" w:hAnsi="Arial"/>
          <w:sz w:val="15"/>
          <w:szCs w:val="15"/>
          <w:color w:val="auto"/>
        </w:rPr>
        <w:t>Portions of the Registrant’s Proxy Statement for the 2023 Annual Meeting of Shareholders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389890</wp:posOffset>
            </wp:positionV>
            <wp:extent cx="716407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4680" w:type="dxa"/>
            <w:vAlign w:val="bottom"/>
          </w:tcPr>
          <w:p>
            <w:pPr>
              <w:spacing w:after="0"/>
              <w:rPr>
                <w:sz w:val="16"/>
                <w:szCs w:val="16"/>
                <w:color w:val="auto"/>
              </w:rPr>
            </w:pPr>
          </w:p>
        </w:tc>
        <w:tc>
          <w:tcPr>
            <w:tcW w:w="4520" w:type="dxa"/>
            <w:vAlign w:val="bottom"/>
            <w:gridSpan w:val="2"/>
          </w:tcPr>
          <w:p>
            <w:pPr>
              <w:spacing w:after="0"/>
              <w:rPr>
                <w:sz w:val="20"/>
                <w:szCs w:val="20"/>
                <w:color w:val="auto"/>
              </w:rPr>
            </w:pPr>
            <w:r>
              <w:rPr>
                <w:rFonts w:ascii="Arial" w:cs="Arial" w:eastAsia="Arial" w:hAnsi="Arial"/>
                <w:sz w:val="17"/>
                <w:szCs w:val="17"/>
                <w:b w:val="1"/>
                <w:bCs w:val="1"/>
                <w:color w:val="auto"/>
              </w:rPr>
              <w:t>TABLE OF CONTENTS</w:t>
            </w:r>
          </w:p>
        </w:tc>
        <w:tc>
          <w:tcPr>
            <w:tcW w:w="680" w:type="dxa"/>
            <w:vAlign w:val="bottom"/>
          </w:tcPr>
          <w:p>
            <w:pPr>
              <w:spacing w:after="0"/>
              <w:rPr>
                <w:sz w:val="16"/>
                <w:szCs w:val="16"/>
                <w:color w:val="auto"/>
              </w:rPr>
            </w:pPr>
          </w:p>
        </w:tc>
      </w:tr>
      <w:tr>
        <w:trPr>
          <w:trHeight w:val="262"/>
        </w:trPr>
        <w:tc>
          <w:tcPr>
            <w:tcW w:w="4680" w:type="dxa"/>
            <w:vAlign w:val="bottom"/>
          </w:tcPr>
          <w:p>
            <w:pPr>
              <w:spacing w:after="0"/>
              <w:rPr>
                <w:sz w:val="20"/>
                <w:szCs w:val="20"/>
                <w:color w:val="auto"/>
              </w:rPr>
            </w:pPr>
            <w:r>
              <w:rPr>
                <w:rFonts w:ascii="Arial" w:cs="Arial" w:eastAsia="Arial" w:hAnsi="Arial"/>
                <w:sz w:val="17"/>
                <w:szCs w:val="17"/>
                <w:color w:val="0000FF"/>
              </w:rPr>
              <w:t>PART I</w:t>
            </w:r>
          </w:p>
        </w:tc>
        <w:tc>
          <w:tcPr>
            <w:tcW w:w="1840" w:type="dxa"/>
            <w:vAlign w:val="bottom"/>
            <w:tcBorders>
              <w:top w:val="single" w:sz="8" w:color="auto"/>
            </w:tcBorders>
          </w:tcPr>
          <w:p>
            <w:pPr>
              <w:spacing w:after="0"/>
              <w:rPr>
                <w:sz w:val="22"/>
                <w:szCs w:val="22"/>
                <w:color w:val="auto"/>
              </w:rPr>
            </w:pPr>
          </w:p>
        </w:tc>
        <w:tc>
          <w:tcPr>
            <w:tcW w:w="268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19"/>
        </w:trPr>
        <w:tc>
          <w:tcPr>
            <w:tcW w:w="9200" w:type="dxa"/>
            <w:vAlign w:val="bottom"/>
            <w:gridSpan w:val="3"/>
          </w:tcPr>
          <w:p>
            <w:pPr>
              <w:ind w:left="660"/>
              <w:spacing w:after="0"/>
              <w:rPr>
                <w:sz w:val="20"/>
                <w:szCs w:val="20"/>
                <w:color w:val="auto"/>
              </w:rPr>
            </w:pPr>
            <w:r>
              <w:rPr>
                <w:rFonts w:ascii="Arial" w:cs="Arial" w:eastAsia="Arial" w:hAnsi="Arial"/>
                <w:sz w:val="17"/>
                <w:szCs w:val="17"/>
                <w:color w:val="0000FF"/>
              </w:rPr>
              <w:t>Item 1. Business</w:t>
            </w:r>
          </w:p>
        </w:tc>
        <w:tc>
          <w:tcPr>
            <w:tcW w:w="680" w:type="dxa"/>
            <w:vAlign w:val="bottom"/>
          </w:tcPr>
          <w:p>
            <w:pPr>
              <w:ind w:left="500"/>
              <w:spacing w:after="0"/>
              <w:rPr>
                <w:sz w:val="20"/>
                <w:szCs w:val="20"/>
                <w:color w:val="auto"/>
              </w:rPr>
            </w:pPr>
            <w:r>
              <w:rPr>
                <w:rFonts w:ascii="Arial" w:cs="Arial" w:eastAsia="Arial" w:hAnsi="Arial"/>
                <w:sz w:val="17"/>
                <w:szCs w:val="17"/>
                <w:color w:val="0000FF"/>
              </w:rPr>
              <w:t>3</w:t>
            </w:r>
          </w:p>
        </w:tc>
      </w:tr>
      <w:tr>
        <w:trPr>
          <w:trHeight w:val="219"/>
        </w:trPr>
        <w:tc>
          <w:tcPr>
            <w:tcW w:w="9200" w:type="dxa"/>
            <w:vAlign w:val="bottom"/>
            <w:gridSpan w:val="3"/>
          </w:tcPr>
          <w:p>
            <w:pPr>
              <w:ind w:left="660"/>
              <w:spacing w:after="0"/>
              <w:rPr>
                <w:sz w:val="20"/>
                <w:szCs w:val="20"/>
                <w:color w:val="auto"/>
              </w:rPr>
            </w:pPr>
            <w:r>
              <w:rPr>
                <w:rFonts w:ascii="Arial" w:cs="Arial" w:eastAsia="Arial" w:hAnsi="Arial"/>
                <w:sz w:val="17"/>
                <w:szCs w:val="17"/>
                <w:color w:val="0000FF"/>
              </w:rPr>
              <w:t>Item 1A. Risk Factors</w:t>
            </w:r>
          </w:p>
        </w:tc>
        <w:tc>
          <w:tcPr>
            <w:tcW w:w="680" w:type="dxa"/>
            <w:vAlign w:val="bottom"/>
          </w:tcPr>
          <w:p>
            <w:pPr>
              <w:ind w:left="500"/>
              <w:spacing w:after="0"/>
              <w:rPr>
                <w:sz w:val="20"/>
                <w:szCs w:val="20"/>
                <w:color w:val="auto"/>
              </w:rPr>
            </w:pPr>
            <w:r>
              <w:rPr>
                <w:rFonts w:ascii="Arial" w:cs="Arial" w:eastAsia="Arial" w:hAnsi="Arial"/>
                <w:sz w:val="17"/>
                <w:szCs w:val="17"/>
                <w:color w:val="0000FF"/>
              </w:rPr>
              <w:t>6</w:t>
            </w:r>
          </w:p>
        </w:tc>
      </w:tr>
      <w:tr>
        <w:trPr>
          <w:trHeight w:val="219"/>
        </w:trPr>
        <w:tc>
          <w:tcPr>
            <w:tcW w:w="9200" w:type="dxa"/>
            <w:vAlign w:val="bottom"/>
            <w:gridSpan w:val="3"/>
          </w:tcPr>
          <w:p>
            <w:pPr>
              <w:ind w:left="660"/>
              <w:spacing w:after="0"/>
              <w:rPr>
                <w:sz w:val="20"/>
                <w:szCs w:val="20"/>
                <w:color w:val="auto"/>
              </w:rPr>
            </w:pPr>
            <w:r>
              <w:rPr>
                <w:rFonts w:ascii="Arial" w:cs="Arial" w:eastAsia="Arial" w:hAnsi="Arial"/>
                <w:sz w:val="17"/>
                <w:szCs w:val="17"/>
                <w:color w:val="0000FF"/>
              </w:rPr>
              <w:t>Item 1B. Unresolved Staff Comments</w:t>
            </w:r>
          </w:p>
        </w:tc>
        <w:tc>
          <w:tcPr>
            <w:tcW w:w="680" w:type="dxa"/>
            <w:vAlign w:val="bottom"/>
          </w:tcPr>
          <w:p>
            <w:pPr>
              <w:ind w:left="500"/>
              <w:spacing w:after="0"/>
              <w:rPr>
                <w:sz w:val="20"/>
                <w:szCs w:val="20"/>
                <w:color w:val="auto"/>
              </w:rPr>
            </w:pPr>
            <w:r>
              <w:rPr>
                <w:rFonts w:ascii="Arial" w:cs="Arial" w:eastAsia="Arial" w:hAnsi="Arial"/>
                <w:sz w:val="17"/>
                <w:szCs w:val="17"/>
                <w:color w:val="0000FF"/>
                <w:w w:val="84"/>
              </w:rPr>
              <w:t>14</w:t>
            </w:r>
          </w:p>
        </w:tc>
      </w:tr>
      <w:tr>
        <w:trPr>
          <w:trHeight w:val="219"/>
        </w:trPr>
        <w:tc>
          <w:tcPr>
            <w:tcW w:w="9200" w:type="dxa"/>
            <w:vAlign w:val="bottom"/>
            <w:gridSpan w:val="3"/>
          </w:tcPr>
          <w:p>
            <w:pPr>
              <w:ind w:left="660"/>
              <w:spacing w:after="0"/>
              <w:rPr>
                <w:sz w:val="20"/>
                <w:szCs w:val="20"/>
                <w:color w:val="auto"/>
              </w:rPr>
            </w:pPr>
            <w:r>
              <w:rPr>
                <w:rFonts w:ascii="Arial" w:cs="Arial" w:eastAsia="Arial" w:hAnsi="Arial"/>
                <w:sz w:val="17"/>
                <w:szCs w:val="17"/>
                <w:color w:val="0000FF"/>
              </w:rPr>
              <w:t>Item 2. Properties</w:t>
            </w:r>
          </w:p>
        </w:tc>
        <w:tc>
          <w:tcPr>
            <w:tcW w:w="680" w:type="dxa"/>
            <w:vAlign w:val="bottom"/>
          </w:tcPr>
          <w:p>
            <w:pPr>
              <w:ind w:left="500"/>
              <w:spacing w:after="0"/>
              <w:rPr>
                <w:sz w:val="20"/>
                <w:szCs w:val="20"/>
                <w:color w:val="auto"/>
              </w:rPr>
            </w:pPr>
            <w:r>
              <w:rPr>
                <w:rFonts w:ascii="Arial" w:cs="Arial" w:eastAsia="Arial" w:hAnsi="Arial"/>
                <w:sz w:val="17"/>
                <w:szCs w:val="17"/>
                <w:color w:val="0000FF"/>
                <w:w w:val="84"/>
              </w:rPr>
              <w:t>14</w:t>
            </w:r>
          </w:p>
        </w:tc>
      </w:tr>
      <w:tr>
        <w:trPr>
          <w:trHeight w:val="219"/>
        </w:trPr>
        <w:tc>
          <w:tcPr>
            <w:tcW w:w="9200" w:type="dxa"/>
            <w:vAlign w:val="bottom"/>
            <w:gridSpan w:val="3"/>
          </w:tcPr>
          <w:p>
            <w:pPr>
              <w:ind w:left="660"/>
              <w:spacing w:after="0"/>
              <w:rPr>
                <w:sz w:val="20"/>
                <w:szCs w:val="20"/>
                <w:color w:val="auto"/>
              </w:rPr>
            </w:pPr>
            <w:r>
              <w:rPr>
                <w:rFonts w:ascii="Arial" w:cs="Arial" w:eastAsia="Arial" w:hAnsi="Arial"/>
                <w:sz w:val="17"/>
                <w:szCs w:val="17"/>
                <w:color w:val="0000FF"/>
              </w:rPr>
              <w:t>Item 3. Legal Proceedings</w:t>
            </w:r>
          </w:p>
        </w:tc>
        <w:tc>
          <w:tcPr>
            <w:tcW w:w="680" w:type="dxa"/>
            <w:vAlign w:val="bottom"/>
          </w:tcPr>
          <w:p>
            <w:pPr>
              <w:ind w:left="500"/>
              <w:spacing w:after="0"/>
              <w:rPr>
                <w:sz w:val="20"/>
                <w:szCs w:val="20"/>
                <w:color w:val="auto"/>
              </w:rPr>
            </w:pPr>
            <w:r>
              <w:rPr>
                <w:rFonts w:ascii="Arial" w:cs="Arial" w:eastAsia="Arial" w:hAnsi="Arial"/>
                <w:sz w:val="17"/>
                <w:szCs w:val="17"/>
                <w:color w:val="0000FF"/>
                <w:w w:val="84"/>
              </w:rPr>
              <w:t>14</w:t>
            </w:r>
          </w:p>
        </w:tc>
      </w:tr>
      <w:tr>
        <w:trPr>
          <w:trHeight w:val="219"/>
        </w:trPr>
        <w:tc>
          <w:tcPr>
            <w:tcW w:w="9200" w:type="dxa"/>
            <w:vAlign w:val="bottom"/>
            <w:gridSpan w:val="3"/>
          </w:tcPr>
          <w:p>
            <w:pPr>
              <w:ind w:left="660"/>
              <w:spacing w:after="0"/>
              <w:rPr>
                <w:sz w:val="20"/>
                <w:szCs w:val="20"/>
                <w:color w:val="auto"/>
              </w:rPr>
            </w:pPr>
            <w:r>
              <w:rPr>
                <w:rFonts w:ascii="Arial" w:cs="Arial" w:eastAsia="Arial" w:hAnsi="Arial"/>
                <w:sz w:val="17"/>
                <w:szCs w:val="17"/>
                <w:color w:val="0000FF"/>
              </w:rPr>
              <w:t>Item 4. Mine Safety Disclosures</w:t>
            </w:r>
          </w:p>
        </w:tc>
        <w:tc>
          <w:tcPr>
            <w:tcW w:w="680" w:type="dxa"/>
            <w:vAlign w:val="bottom"/>
          </w:tcPr>
          <w:p>
            <w:pPr>
              <w:ind w:left="500"/>
              <w:spacing w:after="0"/>
              <w:rPr>
                <w:sz w:val="20"/>
                <w:szCs w:val="20"/>
                <w:color w:val="auto"/>
              </w:rPr>
            </w:pPr>
            <w:r>
              <w:rPr>
                <w:rFonts w:ascii="Arial" w:cs="Arial" w:eastAsia="Arial" w:hAnsi="Arial"/>
                <w:sz w:val="17"/>
                <w:szCs w:val="17"/>
                <w:color w:val="0000FF"/>
                <w:w w:val="84"/>
              </w:rPr>
              <w:t>15</w:t>
            </w:r>
          </w:p>
        </w:tc>
      </w:tr>
      <w:tr>
        <w:trPr>
          <w:trHeight w:val="219"/>
        </w:trPr>
        <w:tc>
          <w:tcPr>
            <w:tcW w:w="9200" w:type="dxa"/>
            <w:vAlign w:val="bottom"/>
            <w:gridSpan w:val="3"/>
          </w:tcPr>
          <w:p>
            <w:pPr>
              <w:ind w:left="660"/>
              <w:spacing w:after="0"/>
              <w:rPr>
                <w:sz w:val="20"/>
                <w:szCs w:val="20"/>
                <w:color w:val="auto"/>
              </w:rPr>
            </w:pPr>
            <w:r>
              <w:rPr>
                <w:rFonts w:ascii="Arial" w:cs="Arial" w:eastAsia="Arial" w:hAnsi="Arial"/>
                <w:sz w:val="17"/>
                <w:szCs w:val="17"/>
                <w:color w:val="0000FF"/>
              </w:rPr>
              <w:t>Information about our Executive Officers</w:t>
            </w:r>
          </w:p>
        </w:tc>
        <w:tc>
          <w:tcPr>
            <w:tcW w:w="680" w:type="dxa"/>
            <w:vAlign w:val="bottom"/>
          </w:tcPr>
          <w:p>
            <w:pPr>
              <w:ind w:left="500"/>
              <w:spacing w:after="0"/>
              <w:rPr>
                <w:sz w:val="20"/>
                <w:szCs w:val="20"/>
                <w:color w:val="auto"/>
              </w:rPr>
            </w:pPr>
            <w:r>
              <w:rPr>
                <w:rFonts w:ascii="Arial" w:cs="Arial" w:eastAsia="Arial" w:hAnsi="Arial"/>
                <w:sz w:val="17"/>
                <w:szCs w:val="17"/>
                <w:color w:val="0000FF"/>
                <w:w w:val="84"/>
              </w:rPr>
              <w:t>15</w:t>
            </w:r>
          </w:p>
        </w:tc>
      </w:tr>
      <w:tr>
        <w:trPr>
          <w:trHeight w:val="219"/>
        </w:trPr>
        <w:tc>
          <w:tcPr>
            <w:tcW w:w="9200" w:type="dxa"/>
            <w:vAlign w:val="bottom"/>
            <w:gridSpan w:val="3"/>
          </w:tcPr>
          <w:p>
            <w:pPr>
              <w:spacing w:after="0"/>
              <w:rPr>
                <w:sz w:val="20"/>
                <w:szCs w:val="20"/>
                <w:color w:val="auto"/>
              </w:rPr>
            </w:pPr>
            <w:r>
              <w:rPr>
                <w:rFonts w:ascii="Arial" w:cs="Arial" w:eastAsia="Arial" w:hAnsi="Arial"/>
                <w:sz w:val="17"/>
                <w:szCs w:val="17"/>
                <w:color w:val="0000FF"/>
              </w:rPr>
              <w:t>PART II</w:t>
            </w:r>
          </w:p>
        </w:tc>
        <w:tc>
          <w:tcPr>
            <w:tcW w:w="680" w:type="dxa"/>
            <w:vAlign w:val="bottom"/>
          </w:tcPr>
          <w:p>
            <w:pPr>
              <w:spacing w:after="0"/>
              <w:rPr>
                <w:sz w:val="19"/>
                <w:szCs w:val="19"/>
                <w:color w:val="auto"/>
              </w:rPr>
            </w:pPr>
          </w:p>
        </w:tc>
      </w:tr>
      <w:tr>
        <w:trPr>
          <w:trHeight w:val="219"/>
        </w:trPr>
        <w:tc>
          <w:tcPr>
            <w:tcW w:w="9200" w:type="dxa"/>
            <w:vAlign w:val="bottom"/>
            <w:gridSpan w:val="3"/>
          </w:tcPr>
          <w:p>
            <w:pPr>
              <w:ind w:left="660"/>
              <w:spacing w:after="0"/>
              <w:rPr>
                <w:sz w:val="20"/>
                <w:szCs w:val="20"/>
                <w:color w:val="auto"/>
              </w:rPr>
            </w:pPr>
            <w:r>
              <w:rPr>
                <w:rFonts w:ascii="Arial" w:cs="Arial" w:eastAsia="Arial" w:hAnsi="Arial"/>
                <w:sz w:val="17"/>
                <w:szCs w:val="17"/>
                <w:color w:val="0000FF"/>
                <w:w w:val="96"/>
              </w:rPr>
              <w:t>Item 5. Market for Registrant’s Capital Stock, Related Shareholder Matters and Issuer Purchases of Equity Securities</w:t>
            </w:r>
          </w:p>
        </w:tc>
        <w:tc>
          <w:tcPr>
            <w:tcW w:w="680" w:type="dxa"/>
            <w:vAlign w:val="bottom"/>
          </w:tcPr>
          <w:p>
            <w:pPr>
              <w:ind w:left="500"/>
              <w:spacing w:after="0"/>
              <w:rPr>
                <w:sz w:val="20"/>
                <w:szCs w:val="20"/>
                <w:color w:val="auto"/>
              </w:rPr>
            </w:pPr>
            <w:r>
              <w:rPr>
                <w:rFonts w:ascii="Arial" w:cs="Arial" w:eastAsia="Arial" w:hAnsi="Arial"/>
                <w:sz w:val="17"/>
                <w:szCs w:val="17"/>
                <w:color w:val="0000FF"/>
                <w:w w:val="84"/>
              </w:rPr>
              <w:t>16</w:t>
            </w:r>
          </w:p>
        </w:tc>
      </w:tr>
      <w:tr>
        <w:trPr>
          <w:trHeight w:val="219"/>
        </w:trPr>
        <w:tc>
          <w:tcPr>
            <w:tcW w:w="9200" w:type="dxa"/>
            <w:vAlign w:val="bottom"/>
            <w:gridSpan w:val="3"/>
          </w:tcPr>
          <w:p>
            <w:pPr>
              <w:ind w:left="660"/>
              <w:spacing w:after="0"/>
              <w:rPr>
                <w:sz w:val="20"/>
                <w:szCs w:val="20"/>
                <w:color w:val="auto"/>
              </w:rPr>
            </w:pPr>
            <w:r>
              <w:rPr>
                <w:rFonts w:ascii="Arial" w:cs="Arial" w:eastAsia="Arial" w:hAnsi="Arial"/>
                <w:sz w:val="17"/>
                <w:szCs w:val="17"/>
                <w:color w:val="0000FF"/>
              </w:rPr>
              <w:t>Item 6. Reserved</w:t>
            </w:r>
          </w:p>
        </w:tc>
        <w:tc>
          <w:tcPr>
            <w:tcW w:w="680" w:type="dxa"/>
            <w:vAlign w:val="bottom"/>
          </w:tcPr>
          <w:p>
            <w:pPr>
              <w:ind w:left="500"/>
              <w:spacing w:after="0"/>
              <w:rPr>
                <w:sz w:val="20"/>
                <w:szCs w:val="20"/>
                <w:color w:val="auto"/>
              </w:rPr>
            </w:pPr>
            <w:r>
              <w:rPr>
                <w:rFonts w:ascii="Arial" w:cs="Arial" w:eastAsia="Arial" w:hAnsi="Arial"/>
                <w:sz w:val="17"/>
                <w:szCs w:val="17"/>
                <w:color w:val="0000FF"/>
                <w:w w:val="84"/>
              </w:rPr>
              <w:t>17</w:t>
            </w:r>
          </w:p>
        </w:tc>
      </w:tr>
      <w:tr>
        <w:trPr>
          <w:trHeight w:val="219"/>
        </w:trPr>
        <w:tc>
          <w:tcPr>
            <w:tcW w:w="9200" w:type="dxa"/>
            <w:vAlign w:val="bottom"/>
            <w:gridSpan w:val="3"/>
          </w:tcPr>
          <w:p>
            <w:pPr>
              <w:ind w:left="660"/>
              <w:spacing w:after="0"/>
              <w:rPr>
                <w:sz w:val="20"/>
                <w:szCs w:val="20"/>
                <w:color w:val="auto"/>
              </w:rPr>
            </w:pPr>
            <w:r>
              <w:rPr>
                <w:rFonts w:ascii="Arial" w:cs="Arial" w:eastAsia="Arial" w:hAnsi="Arial"/>
                <w:sz w:val="17"/>
                <w:szCs w:val="17"/>
                <w:color w:val="0000FF"/>
              </w:rPr>
              <w:t>Item 7. Management's Discussion and Analysis of Financial Condition and Results of Operations</w:t>
            </w:r>
          </w:p>
        </w:tc>
        <w:tc>
          <w:tcPr>
            <w:tcW w:w="680" w:type="dxa"/>
            <w:vAlign w:val="bottom"/>
          </w:tcPr>
          <w:p>
            <w:pPr>
              <w:ind w:left="500"/>
              <w:spacing w:after="0"/>
              <w:rPr>
                <w:sz w:val="20"/>
                <w:szCs w:val="20"/>
                <w:color w:val="auto"/>
              </w:rPr>
            </w:pPr>
            <w:r>
              <w:rPr>
                <w:rFonts w:ascii="Arial" w:cs="Arial" w:eastAsia="Arial" w:hAnsi="Arial"/>
                <w:sz w:val="17"/>
                <w:szCs w:val="17"/>
                <w:color w:val="0000FF"/>
                <w:w w:val="84"/>
              </w:rPr>
              <w:t>17</w:t>
            </w:r>
          </w:p>
        </w:tc>
      </w:tr>
      <w:tr>
        <w:trPr>
          <w:trHeight w:val="219"/>
        </w:trPr>
        <w:tc>
          <w:tcPr>
            <w:tcW w:w="9200" w:type="dxa"/>
            <w:vAlign w:val="bottom"/>
            <w:gridSpan w:val="3"/>
          </w:tcPr>
          <w:p>
            <w:pPr>
              <w:ind w:left="660"/>
              <w:spacing w:after="0"/>
              <w:rPr>
                <w:sz w:val="20"/>
                <w:szCs w:val="20"/>
                <w:color w:val="auto"/>
              </w:rPr>
            </w:pPr>
            <w:r>
              <w:rPr>
                <w:rFonts w:ascii="Arial" w:cs="Arial" w:eastAsia="Arial" w:hAnsi="Arial"/>
                <w:sz w:val="17"/>
                <w:szCs w:val="17"/>
                <w:color w:val="0000FF"/>
              </w:rPr>
              <w:t>Item 7A. Quantitative and Qualitative Disclosure about Market Risk</w:t>
            </w:r>
          </w:p>
        </w:tc>
        <w:tc>
          <w:tcPr>
            <w:tcW w:w="680" w:type="dxa"/>
            <w:vAlign w:val="bottom"/>
          </w:tcPr>
          <w:p>
            <w:pPr>
              <w:ind w:left="500"/>
              <w:spacing w:after="0"/>
              <w:rPr>
                <w:sz w:val="20"/>
                <w:szCs w:val="20"/>
                <w:color w:val="auto"/>
              </w:rPr>
            </w:pPr>
            <w:r>
              <w:rPr>
                <w:rFonts w:ascii="Arial" w:cs="Arial" w:eastAsia="Arial" w:hAnsi="Arial"/>
                <w:sz w:val="17"/>
                <w:szCs w:val="17"/>
                <w:color w:val="0000FF"/>
                <w:w w:val="84"/>
              </w:rPr>
              <w:t>32</w:t>
            </w:r>
          </w:p>
        </w:tc>
      </w:tr>
      <w:tr>
        <w:trPr>
          <w:trHeight w:val="219"/>
        </w:trPr>
        <w:tc>
          <w:tcPr>
            <w:tcW w:w="9200" w:type="dxa"/>
            <w:vAlign w:val="bottom"/>
            <w:gridSpan w:val="3"/>
          </w:tcPr>
          <w:p>
            <w:pPr>
              <w:ind w:left="660"/>
              <w:spacing w:after="0"/>
              <w:rPr>
                <w:sz w:val="20"/>
                <w:szCs w:val="20"/>
                <w:color w:val="auto"/>
              </w:rPr>
            </w:pPr>
            <w:r>
              <w:rPr>
                <w:rFonts w:ascii="Arial" w:cs="Arial" w:eastAsia="Arial" w:hAnsi="Arial"/>
                <w:sz w:val="17"/>
                <w:szCs w:val="17"/>
                <w:color w:val="0000FF"/>
              </w:rPr>
              <w:t>Item 8. Financial Statements and Supplementary Data</w:t>
            </w:r>
          </w:p>
        </w:tc>
        <w:tc>
          <w:tcPr>
            <w:tcW w:w="680" w:type="dxa"/>
            <w:vAlign w:val="bottom"/>
          </w:tcPr>
          <w:p>
            <w:pPr>
              <w:ind w:left="500"/>
              <w:spacing w:after="0"/>
              <w:rPr>
                <w:sz w:val="20"/>
                <w:szCs w:val="20"/>
                <w:color w:val="auto"/>
              </w:rPr>
            </w:pPr>
            <w:r>
              <w:rPr>
                <w:rFonts w:ascii="Arial" w:cs="Arial" w:eastAsia="Arial" w:hAnsi="Arial"/>
                <w:sz w:val="17"/>
                <w:szCs w:val="17"/>
                <w:color w:val="0000FF"/>
                <w:w w:val="84"/>
              </w:rPr>
              <w:t>33</w:t>
            </w:r>
          </w:p>
        </w:tc>
      </w:tr>
      <w:tr>
        <w:trPr>
          <w:trHeight w:val="219"/>
        </w:trPr>
        <w:tc>
          <w:tcPr>
            <w:tcW w:w="9200" w:type="dxa"/>
            <w:vAlign w:val="bottom"/>
            <w:gridSpan w:val="3"/>
          </w:tcPr>
          <w:p>
            <w:pPr>
              <w:ind w:left="660"/>
              <w:spacing w:after="0"/>
              <w:rPr>
                <w:sz w:val="20"/>
                <w:szCs w:val="20"/>
                <w:color w:val="auto"/>
              </w:rPr>
            </w:pPr>
            <w:r>
              <w:rPr>
                <w:rFonts w:ascii="Arial" w:cs="Arial" w:eastAsia="Arial" w:hAnsi="Arial"/>
                <w:sz w:val="17"/>
                <w:szCs w:val="17"/>
                <w:color w:val="0000FF"/>
              </w:rPr>
              <w:t>Item 9. Changes in and Disagreements with Accountants on Accounting and Financial Disclosure</w:t>
            </w:r>
          </w:p>
        </w:tc>
        <w:tc>
          <w:tcPr>
            <w:tcW w:w="680" w:type="dxa"/>
            <w:vAlign w:val="bottom"/>
          </w:tcPr>
          <w:p>
            <w:pPr>
              <w:ind w:left="500"/>
              <w:spacing w:after="0"/>
              <w:rPr>
                <w:sz w:val="20"/>
                <w:szCs w:val="20"/>
                <w:color w:val="auto"/>
              </w:rPr>
            </w:pPr>
            <w:r>
              <w:rPr>
                <w:rFonts w:ascii="Arial" w:cs="Arial" w:eastAsia="Arial" w:hAnsi="Arial"/>
                <w:sz w:val="17"/>
                <w:szCs w:val="17"/>
                <w:color w:val="0000FF"/>
                <w:w w:val="84"/>
              </w:rPr>
              <w:t>73</w:t>
            </w:r>
          </w:p>
        </w:tc>
      </w:tr>
      <w:tr>
        <w:trPr>
          <w:trHeight w:val="219"/>
        </w:trPr>
        <w:tc>
          <w:tcPr>
            <w:tcW w:w="9200" w:type="dxa"/>
            <w:vAlign w:val="bottom"/>
            <w:gridSpan w:val="3"/>
          </w:tcPr>
          <w:p>
            <w:pPr>
              <w:ind w:left="660"/>
              <w:spacing w:after="0"/>
              <w:rPr>
                <w:sz w:val="20"/>
                <w:szCs w:val="20"/>
                <w:color w:val="auto"/>
              </w:rPr>
            </w:pPr>
            <w:r>
              <w:rPr>
                <w:rFonts w:ascii="Arial" w:cs="Arial" w:eastAsia="Arial" w:hAnsi="Arial"/>
                <w:sz w:val="17"/>
                <w:szCs w:val="17"/>
                <w:color w:val="0000FF"/>
              </w:rPr>
              <w:t>Item 9A. Controls and Procedures</w:t>
            </w:r>
          </w:p>
        </w:tc>
        <w:tc>
          <w:tcPr>
            <w:tcW w:w="680" w:type="dxa"/>
            <w:vAlign w:val="bottom"/>
          </w:tcPr>
          <w:p>
            <w:pPr>
              <w:ind w:left="500"/>
              <w:spacing w:after="0"/>
              <w:rPr>
                <w:sz w:val="20"/>
                <w:szCs w:val="20"/>
                <w:color w:val="auto"/>
              </w:rPr>
            </w:pPr>
            <w:r>
              <w:rPr>
                <w:rFonts w:ascii="Arial" w:cs="Arial" w:eastAsia="Arial" w:hAnsi="Arial"/>
                <w:sz w:val="17"/>
                <w:szCs w:val="17"/>
                <w:color w:val="0000FF"/>
                <w:w w:val="84"/>
              </w:rPr>
              <w:t>73</w:t>
            </w:r>
          </w:p>
        </w:tc>
      </w:tr>
      <w:tr>
        <w:trPr>
          <w:trHeight w:val="219"/>
        </w:trPr>
        <w:tc>
          <w:tcPr>
            <w:tcW w:w="9200" w:type="dxa"/>
            <w:vAlign w:val="bottom"/>
            <w:gridSpan w:val="3"/>
          </w:tcPr>
          <w:p>
            <w:pPr>
              <w:ind w:left="660"/>
              <w:spacing w:after="0"/>
              <w:rPr>
                <w:sz w:val="20"/>
                <w:szCs w:val="20"/>
                <w:color w:val="auto"/>
              </w:rPr>
            </w:pPr>
            <w:r>
              <w:rPr>
                <w:rFonts w:ascii="Arial" w:cs="Arial" w:eastAsia="Arial" w:hAnsi="Arial"/>
                <w:sz w:val="17"/>
                <w:szCs w:val="17"/>
                <w:color w:val="0000FF"/>
              </w:rPr>
              <w:t>Item 9B. Other Information</w:t>
            </w:r>
          </w:p>
        </w:tc>
        <w:tc>
          <w:tcPr>
            <w:tcW w:w="680" w:type="dxa"/>
            <w:vAlign w:val="bottom"/>
          </w:tcPr>
          <w:p>
            <w:pPr>
              <w:ind w:left="500"/>
              <w:spacing w:after="0"/>
              <w:rPr>
                <w:sz w:val="20"/>
                <w:szCs w:val="20"/>
                <w:color w:val="auto"/>
              </w:rPr>
            </w:pPr>
            <w:r>
              <w:rPr>
                <w:rFonts w:ascii="Arial" w:cs="Arial" w:eastAsia="Arial" w:hAnsi="Arial"/>
                <w:sz w:val="17"/>
                <w:szCs w:val="17"/>
                <w:color w:val="0000FF"/>
                <w:w w:val="84"/>
              </w:rPr>
              <w:t>73</w:t>
            </w:r>
          </w:p>
        </w:tc>
      </w:tr>
      <w:tr>
        <w:trPr>
          <w:trHeight w:val="219"/>
        </w:trPr>
        <w:tc>
          <w:tcPr>
            <w:tcW w:w="9200" w:type="dxa"/>
            <w:vAlign w:val="bottom"/>
            <w:gridSpan w:val="3"/>
          </w:tcPr>
          <w:p>
            <w:pPr>
              <w:ind w:left="660"/>
              <w:spacing w:after="0"/>
              <w:rPr>
                <w:sz w:val="20"/>
                <w:szCs w:val="20"/>
                <w:color w:val="auto"/>
              </w:rPr>
            </w:pPr>
            <w:r>
              <w:rPr>
                <w:rFonts w:ascii="Arial" w:cs="Arial" w:eastAsia="Arial" w:hAnsi="Arial"/>
                <w:sz w:val="17"/>
                <w:szCs w:val="17"/>
                <w:color w:val="0000FF"/>
              </w:rPr>
              <w:t>Item 9C. Disclosure Regarding Foreign Jurisdictions that Prevent Inspections</w:t>
            </w:r>
          </w:p>
        </w:tc>
        <w:tc>
          <w:tcPr>
            <w:tcW w:w="680" w:type="dxa"/>
            <w:vAlign w:val="bottom"/>
          </w:tcPr>
          <w:p>
            <w:pPr>
              <w:ind w:left="500"/>
              <w:spacing w:after="0"/>
              <w:rPr>
                <w:sz w:val="20"/>
                <w:szCs w:val="20"/>
                <w:color w:val="auto"/>
              </w:rPr>
            </w:pPr>
            <w:r>
              <w:rPr>
                <w:rFonts w:ascii="Arial" w:cs="Arial" w:eastAsia="Arial" w:hAnsi="Arial"/>
                <w:sz w:val="17"/>
                <w:szCs w:val="17"/>
                <w:color w:val="0000FF"/>
                <w:w w:val="84"/>
              </w:rPr>
              <w:t>73</w:t>
            </w:r>
          </w:p>
        </w:tc>
      </w:tr>
      <w:tr>
        <w:trPr>
          <w:trHeight w:val="219"/>
        </w:trPr>
        <w:tc>
          <w:tcPr>
            <w:tcW w:w="9200" w:type="dxa"/>
            <w:vAlign w:val="bottom"/>
            <w:gridSpan w:val="3"/>
          </w:tcPr>
          <w:p>
            <w:pPr>
              <w:spacing w:after="0"/>
              <w:rPr>
                <w:sz w:val="20"/>
                <w:szCs w:val="20"/>
                <w:color w:val="auto"/>
              </w:rPr>
            </w:pPr>
            <w:r>
              <w:rPr>
                <w:rFonts w:ascii="Arial" w:cs="Arial" w:eastAsia="Arial" w:hAnsi="Arial"/>
                <w:sz w:val="17"/>
                <w:szCs w:val="17"/>
                <w:color w:val="0000FF"/>
              </w:rPr>
              <w:t>PART III</w:t>
            </w:r>
          </w:p>
        </w:tc>
        <w:tc>
          <w:tcPr>
            <w:tcW w:w="680" w:type="dxa"/>
            <w:vAlign w:val="bottom"/>
          </w:tcPr>
          <w:p>
            <w:pPr>
              <w:spacing w:after="0"/>
              <w:rPr>
                <w:sz w:val="19"/>
                <w:szCs w:val="19"/>
                <w:color w:val="auto"/>
              </w:rPr>
            </w:pPr>
          </w:p>
        </w:tc>
      </w:tr>
      <w:tr>
        <w:trPr>
          <w:trHeight w:val="219"/>
        </w:trPr>
        <w:tc>
          <w:tcPr>
            <w:tcW w:w="9200" w:type="dxa"/>
            <w:vAlign w:val="bottom"/>
            <w:gridSpan w:val="3"/>
          </w:tcPr>
          <w:p>
            <w:pPr>
              <w:ind w:left="660"/>
              <w:spacing w:after="0"/>
              <w:rPr>
                <w:sz w:val="20"/>
                <w:szCs w:val="20"/>
                <w:color w:val="auto"/>
              </w:rPr>
            </w:pPr>
            <w:r>
              <w:rPr>
                <w:rFonts w:ascii="Arial" w:cs="Arial" w:eastAsia="Arial" w:hAnsi="Arial"/>
                <w:sz w:val="17"/>
                <w:szCs w:val="17"/>
                <w:color w:val="0000FF"/>
              </w:rPr>
              <w:t>Item 10. Directors, Executive Officers and Corporate Governance</w:t>
            </w:r>
          </w:p>
        </w:tc>
        <w:tc>
          <w:tcPr>
            <w:tcW w:w="680" w:type="dxa"/>
            <w:vAlign w:val="bottom"/>
          </w:tcPr>
          <w:p>
            <w:pPr>
              <w:ind w:left="500"/>
              <w:spacing w:after="0"/>
              <w:rPr>
                <w:sz w:val="20"/>
                <w:szCs w:val="20"/>
                <w:color w:val="auto"/>
              </w:rPr>
            </w:pPr>
            <w:r>
              <w:rPr>
                <w:rFonts w:ascii="Arial" w:cs="Arial" w:eastAsia="Arial" w:hAnsi="Arial"/>
                <w:sz w:val="17"/>
                <w:szCs w:val="17"/>
                <w:color w:val="0000FF"/>
                <w:w w:val="84"/>
              </w:rPr>
              <w:t>73</w:t>
            </w:r>
          </w:p>
        </w:tc>
      </w:tr>
      <w:tr>
        <w:trPr>
          <w:trHeight w:val="219"/>
        </w:trPr>
        <w:tc>
          <w:tcPr>
            <w:tcW w:w="9200" w:type="dxa"/>
            <w:vAlign w:val="bottom"/>
            <w:gridSpan w:val="3"/>
          </w:tcPr>
          <w:p>
            <w:pPr>
              <w:ind w:left="660"/>
              <w:spacing w:after="0"/>
              <w:rPr>
                <w:sz w:val="20"/>
                <w:szCs w:val="20"/>
                <w:color w:val="auto"/>
              </w:rPr>
            </w:pPr>
            <w:r>
              <w:rPr>
                <w:rFonts w:ascii="Arial" w:cs="Arial" w:eastAsia="Arial" w:hAnsi="Arial"/>
                <w:sz w:val="17"/>
                <w:szCs w:val="17"/>
                <w:color w:val="0000FF"/>
              </w:rPr>
              <w:t>Item 11. Executive Compensation</w:t>
            </w:r>
          </w:p>
        </w:tc>
        <w:tc>
          <w:tcPr>
            <w:tcW w:w="680" w:type="dxa"/>
            <w:vAlign w:val="bottom"/>
          </w:tcPr>
          <w:p>
            <w:pPr>
              <w:ind w:left="500"/>
              <w:spacing w:after="0"/>
              <w:rPr>
                <w:sz w:val="20"/>
                <w:szCs w:val="20"/>
                <w:color w:val="auto"/>
              </w:rPr>
            </w:pPr>
            <w:r>
              <w:rPr>
                <w:rFonts w:ascii="Arial" w:cs="Arial" w:eastAsia="Arial" w:hAnsi="Arial"/>
                <w:sz w:val="17"/>
                <w:szCs w:val="17"/>
                <w:color w:val="0000FF"/>
                <w:w w:val="84"/>
              </w:rPr>
              <w:t>73</w:t>
            </w:r>
          </w:p>
        </w:tc>
      </w:tr>
      <w:tr>
        <w:trPr>
          <w:trHeight w:val="219"/>
        </w:trPr>
        <w:tc>
          <w:tcPr>
            <w:tcW w:w="9200" w:type="dxa"/>
            <w:vAlign w:val="bottom"/>
            <w:gridSpan w:val="3"/>
          </w:tcPr>
          <w:p>
            <w:pPr>
              <w:ind w:left="660"/>
              <w:spacing w:after="0"/>
              <w:rPr>
                <w:sz w:val="20"/>
                <w:szCs w:val="20"/>
                <w:color w:val="auto"/>
              </w:rPr>
            </w:pPr>
            <w:r>
              <w:rPr>
                <w:rFonts w:ascii="Arial" w:cs="Arial" w:eastAsia="Arial" w:hAnsi="Arial"/>
                <w:sz w:val="17"/>
                <w:szCs w:val="17"/>
                <w:color w:val="0000FF"/>
              </w:rPr>
              <w:t>Item 12. Security Ownership of Certain Beneficial Owners and Management and Related Shareholder Matters</w:t>
            </w:r>
          </w:p>
        </w:tc>
        <w:tc>
          <w:tcPr>
            <w:tcW w:w="680" w:type="dxa"/>
            <w:vAlign w:val="bottom"/>
          </w:tcPr>
          <w:p>
            <w:pPr>
              <w:ind w:left="500"/>
              <w:spacing w:after="0"/>
              <w:rPr>
                <w:sz w:val="20"/>
                <w:szCs w:val="20"/>
                <w:color w:val="auto"/>
              </w:rPr>
            </w:pPr>
            <w:r>
              <w:rPr>
                <w:rFonts w:ascii="Arial" w:cs="Arial" w:eastAsia="Arial" w:hAnsi="Arial"/>
                <w:sz w:val="17"/>
                <w:szCs w:val="17"/>
                <w:color w:val="0000FF"/>
                <w:w w:val="84"/>
              </w:rPr>
              <w:t>74</w:t>
            </w:r>
          </w:p>
        </w:tc>
      </w:tr>
      <w:tr>
        <w:trPr>
          <w:trHeight w:val="219"/>
        </w:trPr>
        <w:tc>
          <w:tcPr>
            <w:tcW w:w="9200" w:type="dxa"/>
            <w:vAlign w:val="bottom"/>
            <w:gridSpan w:val="3"/>
          </w:tcPr>
          <w:p>
            <w:pPr>
              <w:ind w:left="660"/>
              <w:spacing w:after="0"/>
              <w:rPr>
                <w:sz w:val="20"/>
                <w:szCs w:val="20"/>
                <w:color w:val="auto"/>
              </w:rPr>
            </w:pPr>
            <w:r>
              <w:rPr>
                <w:rFonts w:ascii="Arial" w:cs="Arial" w:eastAsia="Arial" w:hAnsi="Arial"/>
                <w:sz w:val="17"/>
                <w:szCs w:val="17"/>
                <w:color w:val="0000FF"/>
              </w:rPr>
              <w:t>Item 13. Certain Relationships and Related Transactions, and Director Independence</w:t>
            </w:r>
          </w:p>
        </w:tc>
        <w:tc>
          <w:tcPr>
            <w:tcW w:w="680" w:type="dxa"/>
            <w:vAlign w:val="bottom"/>
          </w:tcPr>
          <w:p>
            <w:pPr>
              <w:ind w:left="500"/>
              <w:spacing w:after="0"/>
              <w:rPr>
                <w:sz w:val="20"/>
                <w:szCs w:val="20"/>
                <w:color w:val="auto"/>
              </w:rPr>
            </w:pPr>
            <w:r>
              <w:rPr>
                <w:rFonts w:ascii="Arial" w:cs="Arial" w:eastAsia="Arial" w:hAnsi="Arial"/>
                <w:sz w:val="17"/>
                <w:szCs w:val="17"/>
                <w:color w:val="0000FF"/>
                <w:w w:val="84"/>
              </w:rPr>
              <w:t>74</w:t>
            </w:r>
          </w:p>
        </w:tc>
      </w:tr>
      <w:tr>
        <w:trPr>
          <w:trHeight w:val="219"/>
        </w:trPr>
        <w:tc>
          <w:tcPr>
            <w:tcW w:w="9200" w:type="dxa"/>
            <w:vAlign w:val="bottom"/>
            <w:gridSpan w:val="3"/>
          </w:tcPr>
          <w:p>
            <w:pPr>
              <w:ind w:left="660"/>
              <w:spacing w:after="0"/>
              <w:rPr>
                <w:sz w:val="20"/>
                <w:szCs w:val="20"/>
                <w:color w:val="auto"/>
              </w:rPr>
            </w:pPr>
            <w:r>
              <w:rPr>
                <w:rFonts w:ascii="Arial" w:cs="Arial" w:eastAsia="Arial" w:hAnsi="Arial"/>
                <w:sz w:val="17"/>
                <w:szCs w:val="17"/>
                <w:color w:val="0000FF"/>
              </w:rPr>
              <w:t>Item 14. Principal Accounting Fees and Services</w:t>
            </w:r>
          </w:p>
        </w:tc>
        <w:tc>
          <w:tcPr>
            <w:tcW w:w="680" w:type="dxa"/>
            <w:vAlign w:val="bottom"/>
          </w:tcPr>
          <w:p>
            <w:pPr>
              <w:ind w:left="500"/>
              <w:spacing w:after="0"/>
              <w:rPr>
                <w:sz w:val="20"/>
                <w:szCs w:val="20"/>
                <w:color w:val="auto"/>
              </w:rPr>
            </w:pPr>
            <w:r>
              <w:rPr>
                <w:rFonts w:ascii="Arial" w:cs="Arial" w:eastAsia="Arial" w:hAnsi="Arial"/>
                <w:sz w:val="17"/>
                <w:szCs w:val="17"/>
                <w:color w:val="0000FF"/>
                <w:w w:val="84"/>
              </w:rPr>
              <w:t>74</w:t>
            </w:r>
          </w:p>
        </w:tc>
      </w:tr>
      <w:tr>
        <w:trPr>
          <w:trHeight w:val="219"/>
        </w:trPr>
        <w:tc>
          <w:tcPr>
            <w:tcW w:w="9200" w:type="dxa"/>
            <w:vAlign w:val="bottom"/>
            <w:gridSpan w:val="3"/>
          </w:tcPr>
          <w:p>
            <w:pPr>
              <w:spacing w:after="0"/>
              <w:rPr>
                <w:sz w:val="20"/>
                <w:szCs w:val="20"/>
                <w:color w:val="auto"/>
              </w:rPr>
            </w:pPr>
            <w:r>
              <w:rPr>
                <w:rFonts w:ascii="Arial" w:cs="Arial" w:eastAsia="Arial" w:hAnsi="Arial"/>
                <w:sz w:val="17"/>
                <w:szCs w:val="17"/>
                <w:color w:val="0000FF"/>
              </w:rPr>
              <w:t>PART IV</w:t>
            </w:r>
          </w:p>
        </w:tc>
        <w:tc>
          <w:tcPr>
            <w:tcW w:w="680" w:type="dxa"/>
            <w:vAlign w:val="bottom"/>
          </w:tcPr>
          <w:p>
            <w:pPr>
              <w:spacing w:after="0"/>
              <w:rPr>
                <w:sz w:val="19"/>
                <w:szCs w:val="19"/>
                <w:color w:val="auto"/>
              </w:rPr>
            </w:pPr>
          </w:p>
        </w:tc>
      </w:tr>
      <w:tr>
        <w:trPr>
          <w:trHeight w:val="219"/>
        </w:trPr>
        <w:tc>
          <w:tcPr>
            <w:tcW w:w="9200" w:type="dxa"/>
            <w:vAlign w:val="bottom"/>
            <w:gridSpan w:val="3"/>
          </w:tcPr>
          <w:p>
            <w:pPr>
              <w:ind w:left="660"/>
              <w:spacing w:after="0"/>
              <w:rPr>
                <w:sz w:val="20"/>
                <w:szCs w:val="20"/>
                <w:color w:val="auto"/>
              </w:rPr>
            </w:pPr>
            <w:r>
              <w:rPr>
                <w:rFonts w:ascii="Arial" w:cs="Arial" w:eastAsia="Arial" w:hAnsi="Arial"/>
                <w:sz w:val="17"/>
                <w:szCs w:val="17"/>
                <w:color w:val="0000FF"/>
              </w:rPr>
              <w:t>Item 15. Exhibits and Financial Statement Schedules</w:t>
            </w:r>
          </w:p>
        </w:tc>
        <w:tc>
          <w:tcPr>
            <w:tcW w:w="680" w:type="dxa"/>
            <w:vAlign w:val="bottom"/>
          </w:tcPr>
          <w:p>
            <w:pPr>
              <w:ind w:left="500"/>
              <w:spacing w:after="0"/>
              <w:rPr>
                <w:sz w:val="20"/>
                <w:szCs w:val="20"/>
                <w:color w:val="auto"/>
              </w:rPr>
            </w:pPr>
            <w:r>
              <w:rPr>
                <w:rFonts w:ascii="Arial" w:cs="Arial" w:eastAsia="Arial" w:hAnsi="Arial"/>
                <w:sz w:val="17"/>
                <w:szCs w:val="17"/>
                <w:color w:val="0000FF"/>
                <w:w w:val="84"/>
              </w:rPr>
              <w:t>74</w:t>
            </w:r>
          </w:p>
        </w:tc>
      </w:tr>
      <w:tr>
        <w:trPr>
          <w:trHeight w:val="219"/>
        </w:trPr>
        <w:tc>
          <w:tcPr>
            <w:tcW w:w="9200" w:type="dxa"/>
            <w:vAlign w:val="bottom"/>
            <w:gridSpan w:val="3"/>
          </w:tcPr>
          <w:p>
            <w:pPr>
              <w:ind w:left="660"/>
              <w:spacing w:after="0"/>
              <w:rPr>
                <w:sz w:val="20"/>
                <w:szCs w:val="20"/>
                <w:color w:val="auto"/>
              </w:rPr>
            </w:pPr>
            <w:r>
              <w:rPr>
                <w:rFonts w:ascii="Arial" w:cs="Arial" w:eastAsia="Arial" w:hAnsi="Arial"/>
                <w:sz w:val="17"/>
                <w:szCs w:val="17"/>
                <w:color w:val="0000FF"/>
              </w:rPr>
              <w:t>Item 16. Form 10-K Summary</w:t>
            </w:r>
          </w:p>
        </w:tc>
        <w:tc>
          <w:tcPr>
            <w:tcW w:w="680" w:type="dxa"/>
            <w:vAlign w:val="bottom"/>
          </w:tcPr>
          <w:p>
            <w:pPr>
              <w:ind w:left="500"/>
              <w:spacing w:after="0"/>
              <w:rPr>
                <w:sz w:val="20"/>
                <w:szCs w:val="20"/>
                <w:color w:val="auto"/>
              </w:rPr>
            </w:pPr>
            <w:r>
              <w:rPr>
                <w:rFonts w:ascii="Arial" w:cs="Arial" w:eastAsia="Arial" w:hAnsi="Arial"/>
                <w:sz w:val="17"/>
                <w:szCs w:val="17"/>
                <w:color w:val="0000FF"/>
                <w:w w:val="84"/>
              </w:rPr>
              <w:t>75</w:t>
            </w:r>
          </w:p>
        </w:tc>
      </w:tr>
      <w:tr>
        <w:trPr>
          <w:trHeight w:val="219"/>
        </w:trPr>
        <w:tc>
          <w:tcPr>
            <w:tcW w:w="9200" w:type="dxa"/>
            <w:vAlign w:val="bottom"/>
            <w:gridSpan w:val="3"/>
          </w:tcPr>
          <w:p>
            <w:pPr>
              <w:ind w:left="660"/>
              <w:spacing w:after="0"/>
              <w:rPr>
                <w:sz w:val="20"/>
                <w:szCs w:val="20"/>
                <w:color w:val="auto"/>
              </w:rPr>
            </w:pPr>
            <w:r>
              <w:rPr>
                <w:rFonts w:ascii="Arial" w:cs="Arial" w:eastAsia="Arial" w:hAnsi="Arial"/>
                <w:sz w:val="17"/>
                <w:szCs w:val="17"/>
                <w:color w:val="0000FF"/>
              </w:rPr>
              <w:t>Index to Exhibits</w:t>
            </w:r>
          </w:p>
        </w:tc>
        <w:tc>
          <w:tcPr>
            <w:tcW w:w="680" w:type="dxa"/>
            <w:vAlign w:val="bottom"/>
          </w:tcPr>
          <w:p>
            <w:pPr>
              <w:ind w:left="500"/>
              <w:spacing w:after="0"/>
              <w:rPr>
                <w:sz w:val="20"/>
                <w:szCs w:val="20"/>
                <w:color w:val="auto"/>
              </w:rPr>
            </w:pPr>
            <w:r>
              <w:rPr>
                <w:rFonts w:ascii="Arial" w:cs="Arial" w:eastAsia="Arial" w:hAnsi="Arial"/>
                <w:sz w:val="17"/>
                <w:szCs w:val="17"/>
                <w:color w:val="0000FF"/>
                <w:w w:val="84"/>
              </w:rPr>
              <w:t>76</w:t>
            </w:r>
          </w:p>
        </w:tc>
      </w:tr>
      <w:tr>
        <w:trPr>
          <w:trHeight w:val="219"/>
        </w:trPr>
        <w:tc>
          <w:tcPr>
            <w:tcW w:w="9200" w:type="dxa"/>
            <w:vAlign w:val="bottom"/>
            <w:gridSpan w:val="3"/>
          </w:tcPr>
          <w:p>
            <w:pPr>
              <w:ind w:left="660"/>
              <w:spacing w:after="0"/>
              <w:rPr>
                <w:sz w:val="20"/>
                <w:szCs w:val="20"/>
                <w:color w:val="auto"/>
              </w:rPr>
            </w:pPr>
            <w:r>
              <w:rPr>
                <w:rFonts w:ascii="Arial" w:cs="Arial" w:eastAsia="Arial" w:hAnsi="Arial"/>
                <w:sz w:val="17"/>
                <w:szCs w:val="17"/>
                <w:color w:val="0000FF"/>
              </w:rPr>
              <w:t>Signatures</w:t>
            </w:r>
          </w:p>
        </w:tc>
        <w:tc>
          <w:tcPr>
            <w:tcW w:w="680" w:type="dxa"/>
            <w:vAlign w:val="bottom"/>
          </w:tcPr>
          <w:p>
            <w:pPr>
              <w:ind w:left="500"/>
              <w:spacing w:after="0"/>
              <w:rPr>
                <w:sz w:val="20"/>
                <w:szCs w:val="20"/>
                <w:color w:val="auto"/>
              </w:rPr>
            </w:pPr>
            <w:r>
              <w:rPr>
                <w:rFonts w:ascii="Arial" w:cs="Arial" w:eastAsia="Arial" w:hAnsi="Arial"/>
                <w:sz w:val="17"/>
                <w:szCs w:val="17"/>
                <w:color w:val="0000FF"/>
                <w:w w:val="84"/>
              </w:rPr>
              <w:t>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124460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19"/>
          </w:cols>
          <w:pgMar w:left="340" w:top="845"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PART I</w:t>
      </w:r>
    </w:p>
    <w:p>
      <w:pPr>
        <w:spacing w:after="0" w:line="94"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 "anticipate," "believe," "estimate," "expect," "intend," "plan," "pursue," "strategy," "target," "will" and similar expressions. One can also identify forward-looking statements by the fact that they do not relate strictly to historical or current facts, and may reflect anticipated cost savings or implementation of our strategic plan. These statements reflect our current plans and expectations and are based on information currently available to us. They rely on several assumptions regarding future events and estimates which could be inaccurate and which are inherently subject to risks and uncertainties. Risks and uncertainties include, but are not limited to, those discussed in "Risk Factors" and in the "Cautionary Factors That May Affect Future Results" in "Management’s Discussion and Analysis of Financial Condition and Results of Operations" in this Report. Our consolidated financial statements and the accompanying notes to the consolidated financial statements are presented in "Financial Statements and Supplementary Data" in this Report.</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Business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Company</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Unless otherwise stated, the terms "we," "us," "our" and the "company" refer to Campbell Soup Company and its consolidated subsidiaries.</w:t>
      </w:r>
    </w:p>
    <w:p>
      <w:pPr>
        <w:spacing w:after="0" w:line="10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are a manufacturer and marketer of high-quality, branded food and beverage products. We organized as a business corporation under the laws of New Jersey on November 23, 1922; however, through predecessor organizations, we trace our heritage in the food business back to 1869. Our principal executive offices are in Camden, New Jersey 08103-1799.</w:t>
      </w:r>
    </w:p>
    <w:p>
      <w:pPr>
        <w:spacing w:after="0" w:line="5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Our operations, including reportable segments are described below. Our locations, including manufacturing facilities, within each reporting segment are described in Item 2. Properties.</w:t>
      </w:r>
    </w:p>
    <w:p>
      <w:pPr>
        <w:spacing w:after="0" w:line="3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On August 7, 2023, we entered into an agreement to acquire Sovos Brands, Inc. (Sovos Brands) for $23.00 per share in cash, representing a total enterprise value of approximately $2.7 billion. The closing of the transaction is subject to customary closing conditions and termination rights, including the approval of Sovos Brands’ shareholders and regulatory approvals. We plan to finance the acquisition through the issuance of new debt. For additional information on this pending acquisition, see our Form 8-K filed with the U.S. Securities and Exchange Commission on August 7, 2023, and Note 19 to the Consolidated Financial Statements.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Reportable Segments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reportable segments are:</w:t>
      </w:r>
    </w:p>
    <w:p>
      <w:pPr>
        <w:spacing w:after="0" w:line="88" w:lineRule="exact"/>
        <w:rPr>
          <w:sz w:val="20"/>
          <w:szCs w:val="20"/>
          <w:color w:val="auto"/>
        </w:rPr>
      </w:pPr>
    </w:p>
    <w:p>
      <w:pPr>
        <w:jc w:val="both"/>
        <w:ind w:left="620" w:hanging="308"/>
        <w:spacing w:after="0" w:line="259" w:lineRule="auto"/>
        <w:tabs>
          <w:tab w:leader="none" w:pos="616"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Meals &amp; Beverages, which consists of our soup, simple meals and beverages products in retail and foodservice in the U.S. and Canada. The segment includes the following products: </w:t>
      </w:r>
      <w:r>
        <w:rPr>
          <w:rFonts w:ascii="Arial" w:cs="Arial" w:eastAsia="Arial" w:hAnsi="Arial"/>
          <w:sz w:val="17"/>
          <w:szCs w:val="17"/>
          <w:i w:val="1"/>
          <w:iCs w:val="1"/>
          <w:color w:val="auto"/>
        </w:rPr>
        <w:t>Campbell’s</w:t>
      </w:r>
      <w:r>
        <w:rPr>
          <w:rFonts w:ascii="Arial" w:cs="Arial" w:eastAsia="Arial" w:hAnsi="Arial"/>
          <w:sz w:val="17"/>
          <w:szCs w:val="17"/>
          <w:color w:val="auto"/>
        </w:rPr>
        <w:t xml:space="preserve"> condensed and ready-to-serve soups; </w:t>
      </w:r>
      <w:r>
        <w:rPr>
          <w:rFonts w:ascii="Arial" w:cs="Arial" w:eastAsia="Arial" w:hAnsi="Arial"/>
          <w:sz w:val="17"/>
          <w:szCs w:val="17"/>
          <w:i w:val="1"/>
          <w:iCs w:val="1"/>
          <w:color w:val="auto"/>
        </w:rPr>
        <w:t>Swanson</w:t>
      </w:r>
      <w:r>
        <w:rPr>
          <w:rFonts w:ascii="Arial" w:cs="Arial" w:eastAsia="Arial" w:hAnsi="Arial"/>
          <w:sz w:val="17"/>
          <w:szCs w:val="17"/>
          <w:color w:val="auto"/>
        </w:rPr>
        <w:t xml:space="preserve"> broth and stocks; </w:t>
      </w:r>
      <w:r>
        <w:rPr>
          <w:rFonts w:ascii="Arial" w:cs="Arial" w:eastAsia="Arial" w:hAnsi="Arial"/>
          <w:sz w:val="17"/>
          <w:szCs w:val="17"/>
          <w:i w:val="1"/>
          <w:iCs w:val="1"/>
          <w:color w:val="auto"/>
        </w:rPr>
        <w:t>Pacific Foods</w:t>
      </w:r>
      <w:r>
        <w:rPr>
          <w:rFonts w:ascii="Arial" w:cs="Arial" w:eastAsia="Arial" w:hAnsi="Arial"/>
          <w:sz w:val="17"/>
          <w:szCs w:val="17"/>
          <w:color w:val="auto"/>
        </w:rPr>
        <w:t xml:space="preserve"> broth, soups and non-dairy beverages; </w:t>
      </w:r>
      <w:r>
        <w:rPr>
          <w:rFonts w:ascii="Arial" w:cs="Arial" w:eastAsia="Arial" w:hAnsi="Arial"/>
          <w:sz w:val="17"/>
          <w:szCs w:val="17"/>
          <w:i w:val="1"/>
          <w:iCs w:val="1"/>
          <w:color w:val="auto"/>
        </w:rPr>
        <w:t>Prego</w:t>
      </w:r>
      <w:r>
        <w:rPr>
          <w:rFonts w:ascii="Arial" w:cs="Arial" w:eastAsia="Arial" w:hAnsi="Arial"/>
          <w:sz w:val="17"/>
          <w:szCs w:val="17"/>
          <w:color w:val="auto"/>
        </w:rPr>
        <w:t xml:space="preserve"> pasta sauces; </w:t>
      </w:r>
      <w:r>
        <w:rPr>
          <w:rFonts w:ascii="Arial" w:cs="Arial" w:eastAsia="Arial" w:hAnsi="Arial"/>
          <w:sz w:val="17"/>
          <w:szCs w:val="17"/>
          <w:i w:val="1"/>
          <w:iCs w:val="1"/>
          <w:color w:val="auto"/>
        </w:rPr>
        <w:t>Pace</w:t>
      </w:r>
      <w:r>
        <w:rPr>
          <w:rFonts w:ascii="Arial" w:cs="Arial" w:eastAsia="Arial" w:hAnsi="Arial"/>
          <w:sz w:val="17"/>
          <w:szCs w:val="17"/>
          <w:color w:val="auto"/>
        </w:rPr>
        <w:t xml:space="preserve"> Mexican sauces; </w:t>
      </w:r>
      <w:r>
        <w:rPr>
          <w:rFonts w:ascii="Arial" w:cs="Arial" w:eastAsia="Arial" w:hAnsi="Arial"/>
          <w:sz w:val="17"/>
          <w:szCs w:val="17"/>
          <w:i w:val="1"/>
          <w:iCs w:val="1"/>
          <w:color w:val="auto"/>
        </w:rPr>
        <w:t>Campbell’s</w:t>
      </w:r>
      <w:r>
        <w:rPr>
          <w:rFonts w:ascii="Arial" w:cs="Arial" w:eastAsia="Arial" w:hAnsi="Arial"/>
          <w:sz w:val="17"/>
          <w:szCs w:val="17"/>
          <w:color w:val="auto"/>
        </w:rPr>
        <w:t xml:space="preserve"> gravies, pasta, beans and dinner sauces; </w:t>
      </w:r>
      <w:r>
        <w:rPr>
          <w:rFonts w:ascii="Arial" w:cs="Arial" w:eastAsia="Arial" w:hAnsi="Arial"/>
          <w:sz w:val="17"/>
          <w:szCs w:val="17"/>
          <w:i w:val="1"/>
          <w:iCs w:val="1"/>
          <w:color w:val="auto"/>
        </w:rPr>
        <w:t>Swanson</w:t>
      </w:r>
      <w:r>
        <w:rPr>
          <w:rFonts w:ascii="Arial" w:cs="Arial" w:eastAsia="Arial" w:hAnsi="Arial"/>
          <w:sz w:val="17"/>
          <w:szCs w:val="17"/>
          <w:color w:val="auto"/>
        </w:rPr>
        <w:t xml:space="preserve"> canned poultry; </w:t>
      </w:r>
      <w:r>
        <w:rPr>
          <w:rFonts w:ascii="Arial" w:cs="Arial" w:eastAsia="Arial" w:hAnsi="Arial"/>
          <w:sz w:val="17"/>
          <w:szCs w:val="17"/>
          <w:i w:val="1"/>
          <w:iCs w:val="1"/>
          <w:color w:val="auto"/>
        </w:rPr>
        <w:t>V8</w:t>
      </w:r>
      <w:r>
        <w:rPr>
          <w:rFonts w:ascii="Arial" w:cs="Arial" w:eastAsia="Arial" w:hAnsi="Arial"/>
          <w:sz w:val="17"/>
          <w:szCs w:val="17"/>
          <w:color w:val="auto"/>
        </w:rPr>
        <w:t xml:space="preserve"> juices and beverages; and </w:t>
      </w:r>
      <w:r>
        <w:rPr>
          <w:rFonts w:ascii="Arial" w:cs="Arial" w:eastAsia="Arial" w:hAnsi="Arial"/>
          <w:sz w:val="17"/>
          <w:szCs w:val="17"/>
          <w:i w:val="1"/>
          <w:iCs w:val="1"/>
          <w:color w:val="auto"/>
        </w:rPr>
        <w:t>Campbell’s</w:t>
      </w:r>
      <w:r>
        <w:rPr>
          <w:rFonts w:ascii="Arial" w:cs="Arial" w:eastAsia="Arial" w:hAnsi="Arial"/>
          <w:sz w:val="17"/>
          <w:szCs w:val="17"/>
          <w:color w:val="auto"/>
        </w:rPr>
        <w:t xml:space="preserve"> tomato juice. The segment also includes snacking products in foodservice and Canada. The segment included the results of our Plum baby food and snacks business, which was sold on May 3, 2021; and</w:t>
      </w:r>
    </w:p>
    <w:p>
      <w:pPr>
        <w:spacing w:after="0" w:line="52" w:lineRule="exact"/>
        <w:rPr>
          <w:rFonts w:ascii="Arial" w:cs="Arial" w:eastAsia="Arial" w:hAnsi="Arial"/>
          <w:sz w:val="17"/>
          <w:szCs w:val="17"/>
          <w:color w:val="auto"/>
        </w:rPr>
      </w:pPr>
    </w:p>
    <w:p>
      <w:pPr>
        <w:jc w:val="both"/>
        <w:ind w:left="620" w:hanging="308"/>
        <w:spacing w:after="0" w:line="283" w:lineRule="auto"/>
        <w:tabs>
          <w:tab w:leader="none" w:pos="616"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Snacks, which consists of Pepperidge Farm cookies*, crackers, fresh bakery and frozen products, including </w:t>
      </w:r>
      <w:r>
        <w:rPr>
          <w:rFonts w:ascii="Arial" w:cs="Arial" w:eastAsia="Arial" w:hAnsi="Arial"/>
          <w:sz w:val="16"/>
          <w:szCs w:val="16"/>
          <w:i w:val="1"/>
          <w:iCs w:val="1"/>
          <w:color w:val="auto"/>
        </w:rPr>
        <w:t>Goldfish</w:t>
      </w:r>
      <w:r>
        <w:rPr>
          <w:rFonts w:ascii="Arial" w:cs="Arial" w:eastAsia="Arial" w:hAnsi="Arial"/>
          <w:sz w:val="16"/>
          <w:szCs w:val="16"/>
          <w:color w:val="auto"/>
        </w:rPr>
        <w:t xml:space="preserve"> crackers*, </w:t>
      </w:r>
      <w:r>
        <w:rPr>
          <w:rFonts w:ascii="Arial" w:cs="Arial" w:eastAsia="Arial" w:hAnsi="Arial"/>
          <w:sz w:val="16"/>
          <w:szCs w:val="16"/>
          <w:i w:val="1"/>
          <w:iCs w:val="1"/>
          <w:color w:val="auto"/>
        </w:rPr>
        <w:t>Snyder’s of Hanover</w:t>
      </w:r>
      <w:r>
        <w:rPr>
          <w:rFonts w:ascii="Arial" w:cs="Arial" w:eastAsia="Arial" w:hAnsi="Arial"/>
          <w:sz w:val="16"/>
          <w:szCs w:val="16"/>
          <w:color w:val="auto"/>
        </w:rPr>
        <w:t xml:space="preserve"> pretzels*, </w:t>
      </w:r>
      <w:r>
        <w:rPr>
          <w:rFonts w:ascii="Arial" w:cs="Arial" w:eastAsia="Arial" w:hAnsi="Arial"/>
          <w:sz w:val="16"/>
          <w:szCs w:val="16"/>
          <w:i w:val="1"/>
          <w:iCs w:val="1"/>
          <w:color w:val="auto"/>
        </w:rPr>
        <w:t>Lance</w:t>
      </w:r>
      <w:r>
        <w:rPr>
          <w:rFonts w:ascii="Arial" w:cs="Arial" w:eastAsia="Arial" w:hAnsi="Arial"/>
          <w:sz w:val="16"/>
          <w:szCs w:val="16"/>
          <w:color w:val="auto"/>
        </w:rPr>
        <w:t xml:space="preserve"> sandwich crackers*, </w:t>
      </w:r>
      <w:r>
        <w:rPr>
          <w:rFonts w:ascii="Arial" w:cs="Arial" w:eastAsia="Arial" w:hAnsi="Arial"/>
          <w:sz w:val="16"/>
          <w:szCs w:val="16"/>
          <w:i w:val="1"/>
          <w:iCs w:val="1"/>
          <w:color w:val="auto"/>
        </w:rPr>
        <w:t>Cape Cod</w:t>
      </w:r>
      <w:r>
        <w:rPr>
          <w:rFonts w:ascii="Arial" w:cs="Arial" w:eastAsia="Arial" w:hAnsi="Arial"/>
          <w:sz w:val="16"/>
          <w:szCs w:val="16"/>
          <w:color w:val="auto"/>
        </w:rPr>
        <w:t xml:space="preserve"> potato chips</w:t>
      </w:r>
      <w:r>
        <w:rPr>
          <w:rFonts w:ascii="Arial" w:cs="Arial" w:eastAsia="Arial" w:hAnsi="Arial"/>
          <w:sz w:val="16"/>
          <w:szCs w:val="16"/>
          <w:i w:val="1"/>
          <w:iCs w:val="1"/>
          <w:color w:val="auto"/>
        </w:rPr>
        <w:t>*, Kettle Brand</w:t>
      </w:r>
      <w:r>
        <w:rPr>
          <w:rFonts w:ascii="Arial" w:cs="Arial" w:eastAsia="Arial" w:hAnsi="Arial"/>
          <w:sz w:val="16"/>
          <w:szCs w:val="16"/>
          <w:color w:val="auto"/>
        </w:rPr>
        <w:t xml:space="preserve"> potato chips</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Late July</w:t>
      </w:r>
      <w:r>
        <w:rPr>
          <w:rFonts w:ascii="Arial" w:cs="Arial" w:eastAsia="Arial" w:hAnsi="Arial"/>
          <w:sz w:val="16"/>
          <w:szCs w:val="16"/>
          <w:color w:val="auto"/>
        </w:rPr>
        <w:t xml:space="preserve"> snacks*, </w:t>
      </w:r>
      <w:r>
        <w:rPr>
          <w:rFonts w:ascii="Arial" w:cs="Arial" w:eastAsia="Arial" w:hAnsi="Arial"/>
          <w:sz w:val="16"/>
          <w:szCs w:val="16"/>
          <w:i w:val="1"/>
          <w:iCs w:val="1"/>
          <w:color w:val="auto"/>
        </w:rPr>
        <w:t>Snack Factory</w:t>
      </w:r>
      <w:r>
        <w:rPr>
          <w:rFonts w:ascii="Arial" w:cs="Arial" w:eastAsia="Arial" w:hAnsi="Arial"/>
          <w:sz w:val="16"/>
          <w:szCs w:val="16"/>
          <w:color w:val="auto"/>
        </w:rPr>
        <w:t xml:space="preserve"> pretzel crisps*</w:t>
      </w:r>
      <w:r>
        <w:rPr>
          <w:rFonts w:ascii="Arial" w:cs="Arial" w:eastAsia="Arial" w:hAnsi="Arial"/>
          <w:sz w:val="16"/>
          <w:szCs w:val="16"/>
          <w:i w:val="1"/>
          <w:iCs w:val="1"/>
          <w:color w:val="auto"/>
        </w:rPr>
        <w:t>, Pop Secret</w:t>
      </w:r>
      <w:r>
        <w:rPr>
          <w:rFonts w:ascii="Arial" w:cs="Arial" w:eastAsia="Arial" w:hAnsi="Arial"/>
          <w:sz w:val="16"/>
          <w:szCs w:val="16"/>
          <w:color w:val="auto"/>
        </w:rPr>
        <w:t xml:space="preserve"> popcorn, and other snacking products in retail in the U.S. We refer to the * brands as our "power brands." The segment includes the retail business in Latin America. The segment included the results of our Emerald nuts business, which was sold on May 30, 2023.</w:t>
      </w:r>
    </w:p>
    <w:p>
      <w:pPr>
        <w:spacing w:after="0" w:line="46"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See Note 6 to the Consolidated Financial Statements and "Management's Discussion and Analysis of Financial Condition and Results of Operations" for additional information regarding our reportable segments.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Ingredients and Packaging</w:t>
      </w:r>
    </w:p>
    <w:p>
      <w:pPr>
        <w:spacing w:after="0" w:line="94" w:lineRule="exact"/>
        <w:rPr>
          <w:sz w:val="20"/>
          <w:szCs w:val="20"/>
          <w:color w:val="auto"/>
        </w:rPr>
      </w:pPr>
    </w:p>
    <w:p>
      <w:pPr>
        <w:jc w:val="both"/>
        <w:ind w:firstLine="309"/>
        <w:spacing w:after="0" w:line="297" w:lineRule="auto"/>
        <w:rPr>
          <w:sz w:val="20"/>
          <w:szCs w:val="20"/>
          <w:color w:val="auto"/>
        </w:rPr>
      </w:pPr>
      <w:r>
        <w:rPr>
          <w:rFonts w:ascii="Arial" w:cs="Arial" w:eastAsia="Arial" w:hAnsi="Arial"/>
          <w:sz w:val="15"/>
          <w:szCs w:val="15"/>
          <w:color w:val="auto"/>
        </w:rPr>
        <w:t>The ingredients and packaging materials required for the manufacture of our food and beverage products are purchased from various suppliers, substantially all of which are located in North America. During 2023, we continued to experience significantly elevated commodity and supply chain costs including the costs of labor, raw materials, energy, fuel, packaging materials and other inputs necessary for the production and distribution of our products. In addition, many of these items are subject to price fluctuations from a number of factors, including but not limited to climate change, changes in crop size, cattle cycles, herd and flock disease, crop disease, crop pests, product scarcity, demand for raw materials, commodity market speculation, energy costs, currency fluctuations, supplier capacities, government-sponsored agricultural programs and other government policy, import and export requirements (including tariffs), drought and excessive rain, temperature extremes and other adverse weather events, water scarcity, scarcity of suitable agricultural land, scarcity of organic ingredients, pandemic</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124460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3" w:name="page4"/>
    <w:bookmarkEnd w:id="3"/>
    <w:p>
      <w:pPr>
        <w:jc w:val="both"/>
        <w:spacing w:after="0" w:line="297" w:lineRule="auto"/>
        <w:rPr>
          <w:sz w:val="20"/>
          <w:szCs w:val="20"/>
          <w:color w:val="auto"/>
        </w:rPr>
      </w:pPr>
      <w:r>
        <w:rPr>
          <w:rFonts w:ascii="Arial" w:cs="Arial" w:eastAsia="Arial" w:hAnsi="Arial"/>
          <w:sz w:val="15"/>
          <w:szCs w:val="15"/>
          <w:color w:val="auto"/>
        </w:rPr>
        <w:t>illness (such as the COVID-19 pandemic), geopolitical conflicts (including the ongoing conflict between Russia and Ukraine), environmental and other sustainability regulations and other factors that may be beyond our control. To help reduce some of this price volatility, we use a combination of purchase orders, short- and long-term contracts, inventory management practices and various commodity risk management tools for most of our ingredients and packaging. Ingredient inventories are generally at a peak during the late fall and decline during the winter and spring. Since many ingredients of suitable quality are available in sufficient quantities only during certain seasons, we make commitments for the purchase of such ingredients in their respective seasons. Although we are unable to predict the impact of our ability to source these ingredients and packaging materials in the future, we expect these supply pressures to continue throughout 2024. As 2023 progressed, we experienced some moderation in input cost inflation, and we expect modestly elevated levels of inflation to continue into 2024.</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Customers</w:t>
      </w:r>
    </w:p>
    <w:p>
      <w:pPr>
        <w:spacing w:after="0" w:line="107"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In most of our markets, sales and merchandising activities are conducted through our own sales force and/or third-party brokers and distribution partners. Our products are generally resold to consumers through retail food chains, mass discounters, mass merchandisers, club stores, convenience stores, drug stores, dollar stores, e-commerce and other retail, commercial and non-commercial establishments. Our Snacks segment has a direct-store-delivery distribution model that uses independent contractor distributors.</w:t>
      </w:r>
    </w:p>
    <w:p>
      <w:pPr>
        <w:spacing w:after="0" w:line="64"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Our five largest customers accounted for approximately 47% of our consolidated net sales in 2023 and 2022 and 46% in 2021. Our largest customer, Wal-Mart Stores, Inc. and its affiliates, accounted for approximately 22% of our consolidated net sales in 2023 and 2022 and 21% in 2021. Both of our reportable segments sold products to Wal-Mart Stores, Inc. or its affiliates. No other customer accounted for 10% or more of our consolidated net sales.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Trademarks and Technology</w:t>
      </w:r>
    </w:p>
    <w:p>
      <w:pPr>
        <w:spacing w:after="0" w:line="107"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 xml:space="preserve">As of September 13, 2023, we owned over 2,600 trademark registrations and applications in over 150 countries. We believe our trademarks are of material importance to our business. Although the laws vary by jurisdiction, trademarks generally are valid as long as they are in use and/or their registrations are properly maintained and have not been found to have become generic. Trademark registrations generally can be renewed indefinitely as long as the trademarks are in use. We believe that our principal brands, including </w:t>
      </w:r>
      <w:r>
        <w:rPr>
          <w:rFonts w:ascii="Arial" w:cs="Arial" w:eastAsia="Arial" w:hAnsi="Arial"/>
          <w:sz w:val="17"/>
          <w:szCs w:val="17"/>
          <w:i w:val="1"/>
          <w:iCs w:val="1"/>
          <w:color w:val="auto"/>
        </w:rPr>
        <w:t>Campbell's</w:t>
      </w:r>
      <w:r>
        <w:rPr>
          <w:rFonts w:ascii="Arial" w:cs="Arial" w:eastAsia="Arial" w:hAnsi="Arial"/>
          <w:sz w:val="17"/>
          <w:szCs w:val="17"/>
          <w:color w:val="auto"/>
        </w:rPr>
        <w:t xml:space="preserve">, </w:t>
      </w:r>
      <w:r>
        <w:rPr>
          <w:rFonts w:ascii="Arial" w:cs="Arial" w:eastAsia="Arial" w:hAnsi="Arial"/>
          <w:sz w:val="17"/>
          <w:szCs w:val="17"/>
          <w:i w:val="1"/>
          <w:iCs w:val="1"/>
          <w:color w:val="auto"/>
        </w:rPr>
        <w:t>Cape Cod</w:t>
      </w:r>
      <w:r>
        <w:rPr>
          <w:rFonts w:ascii="Arial" w:cs="Arial" w:eastAsia="Arial" w:hAnsi="Arial"/>
          <w:sz w:val="17"/>
          <w:szCs w:val="17"/>
          <w:color w:val="auto"/>
        </w:rPr>
        <w:t xml:space="preserve">, </w:t>
      </w:r>
      <w:r>
        <w:rPr>
          <w:rFonts w:ascii="Arial" w:cs="Arial" w:eastAsia="Arial" w:hAnsi="Arial"/>
          <w:sz w:val="17"/>
          <w:szCs w:val="17"/>
          <w:i w:val="1"/>
          <w:iCs w:val="1"/>
          <w:color w:val="auto"/>
        </w:rPr>
        <w:t>Chunky</w:t>
      </w:r>
      <w:r>
        <w:rPr>
          <w:rFonts w:ascii="Arial" w:cs="Arial" w:eastAsia="Arial" w:hAnsi="Arial"/>
          <w:sz w:val="17"/>
          <w:szCs w:val="17"/>
          <w:color w:val="auto"/>
        </w:rPr>
        <w:t xml:space="preserve">, </w:t>
      </w:r>
      <w:r>
        <w:rPr>
          <w:rFonts w:ascii="Arial" w:cs="Arial" w:eastAsia="Arial" w:hAnsi="Arial"/>
          <w:sz w:val="17"/>
          <w:szCs w:val="17"/>
          <w:i w:val="1"/>
          <w:iCs w:val="1"/>
          <w:color w:val="auto"/>
        </w:rPr>
        <w:t>Goldfish</w:t>
      </w:r>
      <w:r>
        <w:rPr>
          <w:rFonts w:ascii="Arial" w:cs="Arial" w:eastAsia="Arial" w:hAnsi="Arial"/>
          <w:sz w:val="17"/>
          <w:szCs w:val="17"/>
          <w:color w:val="auto"/>
        </w:rPr>
        <w:t xml:space="preserve">, </w:t>
      </w:r>
      <w:r>
        <w:rPr>
          <w:rFonts w:ascii="Arial" w:cs="Arial" w:eastAsia="Arial" w:hAnsi="Arial"/>
          <w:sz w:val="17"/>
          <w:szCs w:val="17"/>
          <w:i w:val="1"/>
          <w:iCs w:val="1"/>
          <w:color w:val="auto"/>
        </w:rPr>
        <w:t>Kettle Brand</w:t>
      </w:r>
      <w:r>
        <w:rPr>
          <w:rFonts w:ascii="Arial" w:cs="Arial" w:eastAsia="Arial" w:hAnsi="Arial"/>
          <w:sz w:val="17"/>
          <w:szCs w:val="17"/>
          <w:color w:val="auto"/>
        </w:rPr>
        <w:t xml:space="preserve">, </w:t>
      </w:r>
      <w:r>
        <w:rPr>
          <w:rFonts w:ascii="Arial" w:cs="Arial" w:eastAsia="Arial" w:hAnsi="Arial"/>
          <w:sz w:val="17"/>
          <w:szCs w:val="17"/>
          <w:i w:val="1"/>
          <w:iCs w:val="1"/>
          <w:color w:val="auto"/>
        </w:rPr>
        <w:t>Lance</w:t>
      </w:r>
      <w:r>
        <w:rPr>
          <w:rFonts w:ascii="Arial" w:cs="Arial" w:eastAsia="Arial" w:hAnsi="Arial"/>
          <w:sz w:val="17"/>
          <w:szCs w:val="17"/>
          <w:color w:val="auto"/>
        </w:rPr>
        <w:t xml:space="preserve">, </w:t>
      </w:r>
      <w:r>
        <w:rPr>
          <w:rFonts w:ascii="Arial" w:cs="Arial" w:eastAsia="Arial" w:hAnsi="Arial"/>
          <w:sz w:val="17"/>
          <w:szCs w:val="17"/>
          <w:i w:val="1"/>
          <w:iCs w:val="1"/>
          <w:color w:val="auto"/>
        </w:rPr>
        <w:t>Late July</w:t>
      </w:r>
      <w:r>
        <w:rPr>
          <w:rFonts w:ascii="Arial" w:cs="Arial" w:eastAsia="Arial" w:hAnsi="Arial"/>
          <w:sz w:val="17"/>
          <w:szCs w:val="17"/>
          <w:color w:val="auto"/>
        </w:rPr>
        <w:t xml:space="preserve">, </w:t>
      </w:r>
      <w:r>
        <w:rPr>
          <w:rFonts w:ascii="Arial" w:cs="Arial" w:eastAsia="Arial" w:hAnsi="Arial"/>
          <w:sz w:val="17"/>
          <w:szCs w:val="17"/>
          <w:i w:val="1"/>
          <w:iCs w:val="1"/>
          <w:color w:val="auto"/>
        </w:rPr>
        <w:t>Milano</w:t>
      </w:r>
      <w:r>
        <w:rPr>
          <w:rFonts w:ascii="Arial" w:cs="Arial" w:eastAsia="Arial" w:hAnsi="Arial"/>
          <w:sz w:val="17"/>
          <w:szCs w:val="17"/>
          <w:color w:val="auto"/>
        </w:rPr>
        <w:t xml:space="preserve">, </w:t>
      </w:r>
      <w:r>
        <w:rPr>
          <w:rFonts w:ascii="Arial" w:cs="Arial" w:eastAsia="Arial" w:hAnsi="Arial"/>
          <w:sz w:val="17"/>
          <w:szCs w:val="17"/>
          <w:i w:val="1"/>
          <w:iCs w:val="1"/>
          <w:color w:val="auto"/>
        </w:rPr>
        <w:t>Pace</w:t>
      </w:r>
      <w:r>
        <w:rPr>
          <w:rFonts w:ascii="Arial" w:cs="Arial" w:eastAsia="Arial" w:hAnsi="Arial"/>
          <w:sz w:val="17"/>
          <w:szCs w:val="17"/>
          <w:color w:val="auto"/>
        </w:rPr>
        <w:t xml:space="preserve">, </w:t>
      </w:r>
      <w:r>
        <w:rPr>
          <w:rFonts w:ascii="Arial" w:cs="Arial" w:eastAsia="Arial" w:hAnsi="Arial"/>
          <w:sz w:val="17"/>
          <w:szCs w:val="17"/>
          <w:i w:val="1"/>
          <w:iCs w:val="1"/>
          <w:color w:val="auto"/>
        </w:rPr>
        <w:t>Pacific Foods</w:t>
      </w:r>
      <w:r>
        <w:rPr>
          <w:rFonts w:ascii="Arial" w:cs="Arial" w:eastAsia="Arial" w:hAnsi="Arial"/>
          <w:sz w:val="17"/>
          <w:szCs w:val="17"/>
          <w:color w:val="auto"/>
        </w:rPr>
        <w:t xml:space="preserve">, </w:t>
      </w:r>
      <w:r>
        <w:rPr>
          <w:rFonts w:ascii="Arial" w:cs="Arial" w:eastAsia="Arial" w:hAnsi="Arial"/>
          <w:sz w:val="17"/>
          <w:szCs w:val="17"/>
          <w:i w:val="1"/>
          <w:iCs w:val="1"/>
          <w:color w:val="auto"/>
        </w:rPr>
        <w:t>Pepperidge</w:t>
      </w:r>
      <w:r>
        <w:rPr>
          <w:rFonts w:ascii="Arial" w:cs="Arial" w:eastAsia="Arial" w:hAnsi="Arial"/>
          <w:sz w:val="17"/>
          <w:szCs w:val="17"/>
          <w:color w:val="auto"/>
        </w:rPr>
        <w:t xml:space="preserve"> </w:t>
      </w:r>
      <w:r>
        <w:rPr>
          <w:rFonts w:ascii="Arial" w:cs="Arial" w:eastAsia="Arial" w:hAnsi="Arial"/>
          <w:sz w:val="17"/>
          <w:szCs w:val="17"/>
          <w:i w:val="1"/>
          <w:iCs w:val="1"/>
          <w:color w:val="auto"/>
        </w:rPr>
        <w:t>Farm</w:t>
      </w:r>
      <w:r>
        <w:rPr>
          <w:rFonts w:ascii="Arial" w:cs="Arial" w:eastAsia="Arial" w:hAnsi="Arial"/>
          <w:sz w:val="17"/>
          <w:szCs w:val="17"/>
          <w:color w:val="auto"/>
        </w:rPr>
        <w:t>,</w:t>
      </w:r>
      <w:r>
        <w:rPr>
          <w:rFonts w:ascii="Arial" w:cs="Arial" w:eastAsia="Arial" w:hAnsi="Arial"/>
          <w:sz w:val="17"/>
          <w:szCs w:val="17"/>
          <w:i w:val="1"/>
          <w:iCs w:val="1"/>
          <w:color w:val="auto"/>
        </w:rPr>
        <w:t xml:space="preserve"> Pop Secret</w:t>
      </w:r>
      <w:r>
        <w:rPr>
          <w:rFonts w:ascii="Arial" w:cs="Arial" w:eastAsia="Arial" w:hAnsi="Arial"/>
          <w:sz w:val="17"/>
          <w:szCs w:val="17"/>
          <w:color w:val="auto"/>
        </w:rPr>
        <w:t>,</w:t>
      </w:r>
      <w:r>
        <w:rPr>
          <w:rFonts w:ascii="Arial" w:cs="Arial" w:eastAsia="Arial" w:hAnsi="Arial"/>
          <w:sz w:val="17"/>
          <w:szCs w:val="17"/>
          <w:i w:val="1"/>
          <w:iCs w:val="1"/>
          <w:color w:val="auto"/>
        </w:rPr>
        <w:t xml:space="preserve"> Prego</w:t>
      </w:r>
      <w:r>
        <w:rPr>
          <w:rFonts w:ascii="Arial" w:cs="Arial" w:eastAsia="Arial" w:hAnsi="Arial"/>
          <w:sz w:val="17"/>
          <w:szCs w:val="17"/>
          <w:color w:val="auto"/>
        </w:rPr>
        <w:t>,</w:t>
      </w:r>
      <w:r>
        <w:rPr>
          <w:rFonts w:ascii="Arial" w:cs="Arial" w:eastAsia="Arial" w:hAnsi="Arial"/>
          <w:sz w:val="17"/>
          <w:szCs w:val="17"/>
          <w:i w:val="1"/>
          <w:iCs w:val="1"/>
          <w:color w:val="auto"/>
        </w:rPr>
        <w:t xml:space="preserve"> Snack Factory</w:t>
      </w:r>
      <w:r>
        <w:rPr>
          <w:rFonts w:ascii="Arial" w:cs="Arial" w:eastAsia="Arial" w:hAnsi="Arial"/>
          <w:sz w:val="17"/>
          <w:szCs w:val="17"/>
          <w:color w:val="auto"/>
        </w:rPr>
        <w:t>,</w:t>
      </w:r>
      <w:r>
        <w:rPr>
          <w:rFonts w:ascii="Arial" w:cs="Arial" w:eastAsia="Arial" w:hAnsi="Arial"/>
          <w:sz w:val="17"/>
          <w:szCs w:val="17"/>
          <w:i w:val="1"/>
          <w:iCs w:val="1"/>
          <w:color w:val="auto"/>
        </w:rPr>
        <w:t xml:space="preserve"> Snyder's of Hanover</w:t>
      </w:r>
      <w:r>
        <w:rPr>
          <w:rFonts w:ascii="Arial" w:cs="Arial" w:eastAsia="Arial" w:hAnsi="Arial"/>
          <w:sz w:val="17"/>
          <w:szCs w:val="17"/>
          <w:color w:val="auto"/>
        </w:rPr>
        <w:t>,</w:t>
      </w:r>
      <w:r>
        <w:rPr>
          <w:rFonts w:ascii="Arial" w:cs="Arial" w:eastAsia="Arial" w:hAnsi="Arial"/>
          <w:sz w:val="17"/>
          <w:szCs w:val="17"/>
          <w:i w:val="1"/>
          <w:iCs w:val="1"/>
          <w:color w:val="auto"/>
        </w:rPr>
        <w:t xml:space="preserve"> Spaghettios</w:t>
      </w:r>
      <w:r>
        <w:rPr>
          <w:rFonts w:ascii="Arial" w:cs="Arial" w:eastAsia="Arial" w:hAnsi="Arial"/>
          <w:sz w:val="17"/>
          <w:szCs w:val="17"/>
          <w:color w:val="auto"/>
        </w:rPr>
        <w:t>,</w:t>
      </w:r>
      <w:r>
        <w:rPr>
          <w:rFonts w:ascii="Arial" w:cs="Arial" w:eastAsia="Arial" w:hAnsi="Arial"/>
          <w:sz w:val="17"/>
          <w:szCs w:val="17"/>
          <w:i w:val="1"/>
          <w:iCs w:val="1"/>
          <w:color w:val="auto"/>
        </w:rPr>
        <w:t xml:space="preserve"> Swanson</w:t>
      </w:r>
      <w:r>
        <w:rPr>
          <w:rFonts w:ascii="Arial" w:cs="Arial" w:eastAsia="Arial" w:hAnsi="Arial"/>
          <w:sz w:val="17"/>
          <w:szCs w:val="17"/>
          <w:color w:val="auto"/>
        </w:rPr>
        <w:t>, and</w:t>
      </w:r>
      <w:r>
        <w:rPr>
          <w:rFonts w:ascii="Arial" w:cs="Arial" w:eastAsia="Arial" w:hAnsi="Arial"/>
          <w:sz w:val="17"/>
          <w:szCs w:val="17"/>
          <w:i w:val="1"/>
          <w:iCs w:val="1"/>
          <w:color w:val="auto"/>
        </w:rPr>
        <w:t xml:space="preserve"> V8</w:t>
      </w:r>
      <w:r>
        <w:rPr>
          <w:rFonts w:ascii="Arial" w:cs="Arial" w:eastAsia="Arial" w:hAnsi="Arial"/>
          <w:sz w:val="17"/>
          <w:szCs w:val="17"/>
          <w:color w:val="auto"/>
        </w:rPr>
        <w:t>, are protected by trademark law in the major markets where they are</w:t>
      </w:r>
      <w:r>
        <w:rPr>
          <w:rFonts w:ascii="Arial" w:cs="Arial" w:eastAsia="Arial" w:hAnsi="Arial"/>
          <w:sz w:val="17"/>
          <w:szCs w:val="17"/>
          <w:i w:val="1"/>
          <w:iCs w:val="1"/>
          <w:color w:val="auto"/>
        </w:rPr>
        <w:t xml:space="preserve"> </w:t>
      </w:r>
      <w:r>
        <w:rPr>
          <w:rFonts w:ascii="Arial" w:cs="Arial" w:eastAsia="Arial" w:hAnsi="Arial"/>
          <w:sz w:val="17"/>
          <w:szCs w:val="17"/>
          <w:color w:val="auto"/>
        </w:rPr>
        <w:t>used.</w:t>
      </w:r>
    </w:p>
    <w:p>
      <w:pPr>
        <w:spacing w:after="0" w:line="66" w:lineRule="exact"/>
        <w:rPr>
          <w:sz w:val="20"/>
          <w:szCs w:val="20"/>
          <w:color w:val="auto"/>
        </w:rPr>
      </w:pPr>
    </w:p>
    <w:p>
      <w:pPr>
        <w:jc w:val="both"/>
        <w:ind w:firstLine="309"/>
        <w:spacing w:after="0" w:line="250" w:lineRule="auto"/>
        <w:rPr>
          <w:sz w:val="20"/>
          <w:szCs w:val="20"/>
          <w:color w:val="auto"/>
        </w:rPr>
      </w:pPr>
      <w:r>
        <w:rPr>
          <w:rFonts w:ascii="Arial" w:cs="Arial" w:eastAsia="Arial" w:hAnsi="Arial"/>
          <w:sz w:val="17"/>
          <w:szCs w:val="17"/>
          <w:color w:val="auto"/>
        </w:rPr>
        <w:t>Although we own a number of valuable patents, we do not regard any segment of our business as being dependent upon any single patent or group of related patents. In addition, we own copyrights, both registered and unregistered, proprietary trade secrets, technology, know-how, processes and other intellectual property rights that are not registered.</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07" w:lineRule="exact"/>
        <w:rPr>
          <w:sz w:val="20"/>
          <w:szCs w:val="20"/>
          <w:color w:val="auto"/>
        </w:rPr>
      </w:pPr>
    </w:p>
    <w:p>
      <w:pPr>
        <w:jc w:val="both"/>
        <w:ind w:firstLine="386"/>
        <w:spacing w:after="0" w:line="279" w:lineRule="auto"/>
        <w:rPr>
          <w:sz w:val="20"/>
          <w:szCs w:val="20"/>
          <w:color w:val="auto"/>
        </w:rPr>
      </w:pPr>
      <w:r>
        <w:rPr>
          <w:rFonts w:ascii="Arial" w:cs="Arial" w:eastAsia="Arial" w:hAnsi="Arial"/>
          <w:sz w:val="16"/>
          <w:szCs w:val="16"/>
          <w:color w:val="auto"/>
        </w:rPr>
        <w:t>We operate in a highly competitive industry and experience competition in all of our categories. This competition arises from numerous competitors of varying sizes across multiple food and beverage categories, and includes producers of private label products, as well as other branded food and beverage manufacturers. Private label products are generally sold at lower prices than branded products. Competitors market and sell their products through traditional retailers and e-commerce. All of these competitors vie for trade merchandising support and consumer dollars. The number of competitors cannot be reliably estimated. Our principal areas of competition are brand recognition, taste, nutritional value, price, promotion, innovation, shelf space and customer service.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Expenditures</w:t>
      </w:r>
    </w:p>
    <w:p>
      <w:pPr>
        <w:spacing w:after="0" w:line="81" w:lineRule="exact"/>
        <w:rPr>
          <w:sz w:val="20"/>
          <w:szCs w:val="20"/>
          <w:color w:val="auto"/>
        </w:rPr>
      </w:pPr>
    </w:p>
    <w:p>
      <w:pPr>
        <w:jc w:val="both"/>
        <w:ind w:firstLine="309"/>
        <w:spacing w:after="0" w:line="245" w:lineRule="auto"/>
        <w:rPr>
          <w:sz w:val="20"/>
          <w:szCs w:val="20"/>
          <w:color w:val="auto"/>
        </w:rPr>
      </w:pPr>
      <w:r>
        <w:rPr>
          <w:rFonts w:ascii="Arial" w:cs="Arial" w:eastAsia="Arial" w:hAnsi="Arial"/>
          <w:sz w:val="17"/>
          <w:szCs w:val="17"/>
          <w:color w:val="auto"/>
        </w:rPr>
        <w:t>During 2023, our aggregate capital expenditures were $370 million. We expect to spend approximately $440 million for capital projects in 2024. Major capital projects based on planned spend in 2024 include capacity expansions and a new production line for our Snacks business, network optimization for our Meals &amp; Beverages business, upgrades of assets across both segments of the business, and enhancements to our headquarters in Camden, New Jersey relating to our Snacks office consolidation.</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94"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The manufacture and sale of consumer food products is highly regulated. In the U.S., our activities are subject to regulation by various federal government agencies, including the Food and Drug Administration, the Department of Agriculture, the Federal Trade Commission, the Department of Labor, the Department of Commerce, the Occupational Safety and Health Administration and the Environmental Protection Agency, as well as various state and local agencies. Our business is also regulated by similar agencies outside of the U.S. Additionally, we are subject to data privacy and security regulations, tax and securities regulations, accounting and reporting standards, and other financial laws and regulations. We believe that we are in compliance with current laws and regulations in all material respects and do not expect that continued compliance with such laws and regulations will have a material effect on capital expenditures, earnings or our competitive position.</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124460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Environmental Matters</w:t>
      </w:r>
    </w:p>
    <w:p>
      <w:pPr>
        <w:spacing w:after="0" w:line="94" w:lineRule="exact"/>
        <w:rPr>
          <w:sz w:val="20"/>
          <w:szCs w:val="20"/>
          <w:color w:val="auto"/>
        </w:rPr>
      </w:pPr>
    </w:p>
    <w:p>
      <w:pPr>
        <w:jc w:val="both"/>
        <w:ind w:firstLine="309"/>
        <w:spacing w:after="0" w:line="297" w:lineRule="auto"/>
        <w:rPr>
          <w:sz w:val="20"/>
          <w:szCs w:val="20"/>
          <w:color w:val="auto"/>
        </w:rPr>
      </w:pPr>
      <w:r>
        <w:rPr>
          <w:rFonts w:ascii="Arial" w:cs="Arial" w:eastAsia="Arial" w:hAnsi="Arial"/>
          <w:sz w:val="15"/>
          <w:szCs w:val="15"/>
          <w:color w:val="auto"/>
        </w:rPr>
        <w:t>We have requirements for the operation and design of our facilities that meet or exceed applicable environmental rules and regulations. Of our $370 million in capital expenditures made during 2023, approximately $18 million were for compliance with environmental laws and regulations in the U.S. We further estimate that approximately $20 million of the capital expenditures anticipated during 2024 will be for compliance with U.S. environmental laws and regulations. We believe that the continued compliance with existing environmental laws and regulations (both within the U.S. and elsewhere) will not have a material effect on capital expenditures, earnings or our competitive position. In addition, we continue to monitor existing and pending environmental laws and regulations within the U.S. and elsewhere relating to climate change and greenhouse gas emissions. While the impact of these laws and regulations cannot be predicted with certainty, we do not believe that compliance with these laws and regulations will have a material effect on capital expenditures, earnings or our competitive position.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107"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Demand for soup products is seasonal, with the fall and winter months usually accounting for the highest sales volume. Demand for our other products is generally evenly distributed throughout the year.</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 Management</w:t>
      </w:r>
    </w:p>
    <w:p>
      <w:pPr>
        <w:spacing w:after="0" w:line="94"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6"/>
          <w:szCs w:val="16"/>
          <w:color w:val="auto"/>
        </w:rPr>
        <w:t xml:space="preserve">One of the core pillars of our strategic plan is to build a winning team and culture. To do this, we are committed to building a company where everyone can be real, and feel safe, valued and supported to do their best work. We believe that our employees are the driving force behind our success and prioritize attracting, developing and retaining diverse, world-class talent and creating an inclusive culture that embodies our purpose: </w:t>
      </w:r>
      <w:r>
        <w:rPr>
          <w:rFonts w:ascii="Arial" w:cs="Arial" w:eastAsia="Arial" w:hAnsi="Arial"/>
          <w:sz w:val="16"/>
          <w:szCs w:val="16"/>
          <w:i w:val="1"/>
          <w:iCs w:val="1"/>
          <w:color w:val="auto"/>
        </w:rPr>
        <w:t>Connecting people through food they love</w:t>
      </w:r>
      <w:r>
        <w:rPr>
          <w:rFonts w:ascii="Arial" w:cs="Arial" w:eastAsia="Arial" w:hAnsi="Arial"/>
          <w:sz w:val="16"/>
          <w:szCs w:val="16"/>
          <w:color w:val="auto"/>
        </w:rPr>
        <w:t xml:space="preserve">. In 2023, we approved a plan to bring together all of our corporate team members from our Snacks offices in Charlotte, North Carolina and Norwalk, Connecticut to our headquarters in Camden, New Jersey. This move is intended to foster closer collaboration and enhance decision-making, thereby improving our ability to execute our business strategy. We have also recently introduced a new Employee Value Proposition, </w:t>
      </w:r>
      <w:r>
        <w:rPr>
          <w:rFonts w:ascii="Arial" w:cs="Arial" w:eastAsia="Arial" w:hAnsi="Arial"/>
          <w:sz w:val="16"/>
          <w:szCs w:val="16"/>
          <w:i w:val="1"/>
          <w:iCs w:val="1"/>
          <w:color w:val="auto"/>
        </w:rPr>
        <w:t>Make history with Campbell’s,</w:t>
      </w:r>
      <w:r>
        <w:rPr>
          <w:rFonts w:ascii="Arial" w:cs="Arial" w:eastAsia="Arial" w:hAnsi="Arial"/>
          <w:sz w:val="16"/>
          <w:szCs w:val="16"/>
          <w:color w:val="auto"/>
        </w:rPr>
        <w:t xml:space="preserve"> to enhance our focus on building a winning team and culture. On July 30, 2023, we had approximately 14,500 employees.</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Training, Development and Engagement</w:t>
      </w:r>
    </w:p>
    <w:p>
      <w:pPr>
        <w:spacing w:after="0" w:line="101"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We invest in our employees through training and development programs. We have partnered with leading online content experts and have recently increased internal learning development to expand our catalog of courses and support our culture of continuous learning. A suite of training and education programs are available to employees ranging from role-specific training to education on soft skills to assist them with enhancing their careers through continuous learning. Through objective-setting, individual development plans, learning opportunities, feedback and coaching, employees are encouraged to continue their professional growth. Our education programs allow employees to focus on timely and topical development areas including leadership, management excellence, functional capabilities and inclusion and diversity. We communicate frequently and transparently with our employees through regular company-wide and business unit check-ins, and we conduct employee engagement surveys that provide our employees with an opportunity to share anonymous feedback with management in a variety of areas including confidence in leadership, growth and career opportunities, available resources and overall engagement. These surveys allow our leaders to develop action plans for their business units as well as the broader organization.</w:t>
      </w:r>
    </w:p>
    <w:p>
      <w:pPr>
        <w:spacing w:after="0" w:line="41" w:lineRule="exact"/>
        <w:rPr>
          <w:sz w:val="20"/>
          <w:szCs w:val="20"/>
          <w:color w:val="auto"/>
        </w:rPr>
      </w:pPr>
    </w:p>
    <w:p>
      <w:pPr>
        <w:jc w:val="both"/>
        <w:ind w:firstLine="309"/>
        <w:spacing w:after="0" w:line="348" w:lineRule="auto"/>
        <w:rPr>
          <w:sz w:val="20"/>
          <w:szCs w:val="20"/>
          <w:color w:val="auto"/>
        </w:rPr>
      </w:pPr>
      <w:r>
        <w:rPr>
          <w:rFonts w:ascii="Arial" w:cs="Arial" w:eastAsia="Arial" w:hAnsi="Arial"/>
          <w:sz w:val="15"/>
          <w:szCs w:val="15"/>
          <w:color w:val="auto"/>
        </w:rPr>
        <w:t>Our Campbell Employee Experience enhances the foundational moments that are key to an employee's career at our company - from the candidate experience and onboarding through career advancement - to help our employees thrive at work, with the goal of building an inclusive, engaging and high-performing culture.</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Inclusion and Diversity</w:t>
      </w:r>
    </w:p>
    <w:p>
      <w:pPr>
        <w:spacing w:after="0" w:line="10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We believe that having an inclusive and diverse culture strengthens our ability to recruit and develop talent and allows all employees to thrive and succeed. Diversity of input and perspectives is an essential part of our strategic plan to build a winning team and culture, and we believe one key to success is attracting and retaining a diverse workforce that reflects our consumers of today and tomorrow. Our commitment to inclusion and diversity (I&amp;D) is based on three guiding pillars:</w:t>
      </w:r>
    </w:p>
    <w:p>
      <w:pPr>
        <w:spacing w:after="0" w:line="51" w:lineRule="exact"/>
        <w:rPr>
          <w:sz w:val="20"/>
          <w:szCs w:val="20"/>
          <w:color w:val="auto"/>
        </w:rPr>
      </w:pPr>
    </w:p>
    <w:p>
      <w:pPr>
        <w:ind w:left="620" w:hanging="308"/>
        <w:spacing w:after="0"/>
        <w:tabs>
          <w:tab w:leader="none" w:pos="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Capabilities - providing resources and tools to employees to build capabilities to build a winning team and culture and to drive systemic change;</w:t>
      </w:r>
    </w:p>
    <w:p>
      <w:pPr>
        <w:spacing w:after="0" w:line="112" w:lineRule="exact"/>
        <w:rPr>
          <w:rFonts w:ascii="Arial" w:cs="Arial" w:eastAsia="Arial" w:hAnsi="Arial"/>
          <w:sz w:val="16"/>
          <w:szCs w:val="16"/>
          <w:color w:val="auto"/>
        </w:rPr>
      </w:pPr>
    </w:p>
    <w:p>
      <w:pPr>
        <w:ind w:left="620" w:hanging="308"/>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Advocacy - strengthening ally networks by supporting our employees, our partners and the communities where we live and work; and</w:t>
      </w:r>
    </w:p>
    <w:p>
      <w:pPr>
        <w:spacing w:after="0" w:line="100"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2"/>
        </w:numPr>
        <w:rPr>
          <w:rFonts w:ascii="Arial" w:cs="Arial" w:eastAsia="Arial" w:hAnsi="Arial"/>
          <w:sz w:val="17"/>
          <w:szCs w:val="17"/>
          <w:color w:val="auto"/>
        </w:rPr>
      </w:pPr>
      <w:r>
        <w:rPr>
          <w:rFonts w:ascii="Arial" w:cs="Arial" w:eastAsia="Arial" w:hAnsi="Arial"/>
          <w:sz w:val="17"/>
          <w:szCs w:val="17"/>
          <w:color w:val="auto"/>
        </w:rPr>
        <w:t>Accountability - having individual, management and organizational accountability and transparency about our progress on building an inclusive and diverse culture.</w:t>
      </w:r>
    </w:p>
    <w:p>
      <w:pPr>
        <w:spacing w:after="0" w:line="3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also continue to provide I&amp;D learning experiences and foster employee resource groups to highlight issues that impact underrepresented communities.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Throughout 2023 the board of directors received regular updates from management on our inclusion and diversity efforts.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124460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5" w:name="page6"/>
    <w:bookmarkEnd w:id="5"/>
    <w:p>
      <w:pPr>
        <w:ind w:left="320"/>
        <w:spacing w:after="0"/>
        <w:rPr>
          <w:sz w:val="20"/>
          <w:szCs w:val="20"/>
          <w:color w:val="auto"/>
        </w:rPr>
      </w:pPr>
      <w:r>
        <w:rPr>
          <w:rFonts w:ascii="Arial" w:cs="Arial" w:eastAsia="Arial" w:hAnsi="Arial"/>
          <w:sz w:val="17"/>
          <w:szCs w:val="17"/>
          <w:i w:val="1"/>
          <w:iCs w:val="1"/>
          <w:color w:val="auto"/>
        </w:rPr>
        <w:t>Wellness and Safety</w:t>
      </w:r>
    </w:p>
    <w:p>
      <w:pPr>
        <w:spacing w:after="0" w:line="75"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Our employees' health, safety and well-being are our top priorities. We promote a strong culture of safety and prioritize keeping all our employees, contractors and visitors safe. To accomplish this, we employ comprehensive health, safety and environment management policies and standards throughout the organization. In addition, we strive to continuously improve our work processes, tools and metrics to reduce workplace injuries and enhance safety.</w:t>
      </w:r>
    </w:p>
    <w:p>
      <w:pPr>
        <w:spacing w:after="0" w:line="55"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We provide a workplace that develops, supports and motivates our people. Our Resources for Living program provides information, education tools and resources to help support our employees' physical, financial, social and emotional well-being. As part of this focus on well-being, we emphasize the need for our employees to embrace healthy lifestyles and we offer a variety of wellness education opportunities for our employees. We continue to modernize our workspaces and have established a hybrid work policy to allow office-based employees to work remotely several days per week.</w:t>
      </w:r>
    </w:p>
    <w:p>
      <w:pPr>
        <w:spacing w:after="0" w:line="34"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Total Rewards</w:t>
      </w:r>
    </w:p>
    <w:p>
      <w:pPr>
        <w:spacing w:after="0" w:line="101"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We provide market-based competitive compensation through our salary, annual incentive and long-term incentive programs, and a robust benefits package that promotes the overall well-being of our employees. We provide a variety of resources and services to help our employees plan for retirement and provide a 401(k) plan with immediate vesting. We benchmark and establish compensation structures based on competitive market data. Individual pay is based on various factors such as an employee's role, experience, job location and contributions. Performance discussions for salaried employees are conducted throughout the year to assess contributions and inform individual development plans.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Websites</w:t>
      </w:r>
    </w:p>
    <w:p>
      <w:pPr>
        <w:spacing w:after="0" w:line="94"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 xml:space="preserve">Our primary corporate website can be found at </w:t>
      </w:r>
      <w:r>
        <w:rPr>
          <w:rFonts w:ascii="Arial" w:cs="Arial" w:eastAsia="Arial" w:hAnsi="Arial"/>
          <w:sz w:val="17"/>
          <w:szCs w:val="17"/>
          <w:u w:val="single" w:color="auto"/>
          <w:color w:val="auto"/>
        </w:rPr>
        <w:t>www.campbellsoupcompany.com</w:t>
      </w:r>
      <w:r>
        <w:rPr>
          <w:rFonts w:ascii="Arial" w:cs="Arial" w:eastAsia="Arial" w:hAnsi="Arial"/>
          <w:sz w:val="17"/>
          <w:szCs w:val="17"/>
          <w:color w:val="auto"/>
        </w:rPr>
        <w:t>. We make available free of charge at the Investor portion of this website (under the "About Us—Investors—Financials—SEC Filings" caption) all of our reports (including amendments) filed or furnished pursuant to Section 13(a) or 15(d) of the Securities Exchange Act of 1934, as amended, including our annual reports on Form 10-K, our quarterly reports on Form 10-Q and our current reports on Form 8-K. These reports are made available on the website as soon as reasonably practicable after their filing with, or furnishing to, the Securities and Exchange Commission.</w:t>
      </w:r>
    </w:p>
    <w:p>
      <w:pPr>
        <w:spacing w:after="0" w:line="66"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All websites appearing in this Annual Report on Form 10-K are inactive textual references only, and the information in, or accessible through, such websites is not incorporated into this Annual Report on Form 10-K, or into any of our other filings with the Securities and Exchange Commission.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94"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In addition to the factors discussed elsewhere in this Report, the following risks and uncertainties could materially adversely affect our business, financial condition and results of operations. Although the risks are organized and described separately, many of the risks are interrelated. Additional risks and uncertainties not presently known to us or that we currently deem immaterial also may impair our business operations and financial condition.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Business and Operational Risks</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not be able to increase prices to fully offset inflationary pressures on costs, such as raw and packaging materials, labor and distribution costs.</w:t>
      </w:r>
    </w:p>
    <w:p>
      <w:pPr>
        <w:spacing w:after="0" w:line="117"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As a manufacturer of food and beverage products, we rely on plant labor, distribution resources and raw and packaging materials including tomato paste, grains, beef, poultry, dairy, vegetable oil, wheat, potatoes and other vegetables, steel, aluminum, glass, paper and resin. During 2023, we continued to experience significantly elevated commodity and supply chain costs including the costs of labor, raw materials, energy, fuel, packaging materials and other inputs necessary for the production and distribution of our products. As 2023 progressed, we experienced some moderation in input cost inflation, and we expect modestly elevated levels of inflation to continue into 2024. In addition, many of these items are subject to price fluctuations from a number of factors, including but not limited to changes in crop size, cattle cycles, herd and flock disease, crop disease, crop pests, product scarcity, demand for raw materials, commodity market speculation, energy costs, currency fluctuations, supplier capacities, government-sponsored agricultural programs and other government policy, import and export requirements (including tariffs), drought and excessive rain, temperature extremes and other adverse weather events, water scarcity, scarcity of suitable agricultural land, scarcity of organic ingredients, pandemic illness (such as the COVID-19 pandemic), geopolitical conflicts (including the ongoing conflict between Russia and Ukraine), environmental and other sustainability regulations and other factors that may be beyond our control.</w:t>
      </w:r>
    </w:p>
    <w:p>
      <w:pPr>
        <w:spacing w:after="0" w:line="58" w:lineRule="exact"/>
        <w:rPr>
          <w:sz w:val="20"/>
          <w:szCs w:val="20"/>
          <w:color w:val="auto"/>
        </w:rPr>
      </w:pPr>
    </w:p>
    <w:p>
      <w:pPr>
        <w:jc w:val="both"/>
        <w:ind w:firstLine="309"/>
        <w:spacing w:after="0" w:line="307" w:lineRule="auto"/>
        <w:rPr>
          <w:sz w:val="20"/>
          <w:szCs w:val="20"/>
          <w:color w:val="auto"/>
        </w:rPr>
      </w:pPr>
      <w:r>
        <w:rPr>
          <w:rFonts w:ascii="Arial" w:cs="Arial" w:eastAsia="Arial" w:hAnsi="Arial"/>
          <w:sz w:val="15"/>
          <w:szCs w:val="15"/>
          <w:color w:val="auto"/>
        </w:rPr>
        <w:t>We try to mitigate some or all cost increases through increases in the selling prices of, or decreases in the packaging sizes of, some of our products. Higher product prices or smaller packaging sizes may result in reductions in sales volume. Consumers may be less willing to pay a price differential for our branded products and may increasingly purchase lower-priced offerings, or may forego some purchases altogether, during an economic downturn or times of increased inflationary pressure. To the extent that price increases or packaging size decreases are not sufficient to offset these increased costs adequately or in a timely</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124460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6" w:name="page7"/>
    <w:bookmarkEnd w:id="6"/>
    <w:p>
      <w:pPr>
        <w:jc w:val="both"/>
        <w:spacing w:after="0" w:line="266" w:lineRule="auto"/>
        <w:rPr>
          <w:sz w:val="20"/>
          <w:szCs w:val="20"/>
          <w:color w:val="auto"/>
        </w:rPr>
      </w:pPr>
      <w:r>
        <w:rPr>
          <w:rFonts w:ascii="Arial" w:cs="Arial" w:eastAsia="Arial" w:hAnsi="Arial"/>
          <w:sz w:val="17"/>
          <w:szCs w:val="17"/>
          <w:color w:val="auto"/>
        </w:rPr>
        <w:t>manner, and/or if they result in significant decreases in sales volume or a shift in sales mix to lower-margin offerings, our business results and financial condition may be adversely affected. Furthermore, we may not be able to fully offset any cost increases through productivity initiatives or through our commodity hedging activity.</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Disruption to our supply chain could adversely affect our business.</w:t>
      </w:r>
    </w:p>
    <w:p>
      <w:pPr>
        <w:spacing w:after="0" w:line="107" w:lineRule="exact"/>
        <w:rPr>
          <w:sz w:val="20"/>
          <w:szCs w:val="20"/>
          <w:color w:val="auto"/>
        </w:rPr>
      </w:pPr>
    </w:p>
    <w:p>
      <w:pPr>
        <w:jc w:val="both"/>
        <w:ind w:firstLine="309"/>
        <w:spacing w:after="0" w:line="297" w:lineRule="auto"/>
        <w:rPr>
          <w:sz w:val="20"/>
          <w:szCs w:val="20"/>
          <w:color w:val="auto"/>
        </w:rPr>
      </w:pPr>
      <w:r>
        <w:rPr>
          <w:rFonts w:ascii="Arial" w:cs="Arial" w:eastAsia="Arial" w:hAnsi="Arial"/>
          <w:sz w:val="15"/>
          <w:szCs w:val="15"/>
          <w:color w:val="auto"/>
        </w:rPr>
        <w:t>Our ability to manufacture and/or sell our products may be impaired by damage or disruption to our manufacturing, warehousing or distribution capabilities, or to the capabilities of our suppliers, contract manufacturers, logistics service providers or independent distributors. This damage or disruption could result from execution issues, as well as factors that are hard to predict or beyond our control such as increased temperatures due to climate change, water stress, extreme weather events, natural disasters, product or raw material scarcity, fire, terrorism, pandemics (such as the COVID-19 pandemic), geopolitical conflicts (including the ongoing conflict between Russia and Ukraine), strikes, labor shortages, cybersecurity breaches, government shutdowns, disruptions in logistics, supplier</w:t>
      </w:r>
    </w:p>
    <w:p>
      <w:pPr>
        <w:spacing w:after="0" w:line="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capacity constraints or other events. Commodity prices continue to be volatile and have generally increased. Production of the agricultural commodities used in our business may also be adversely affected by drought and excessive rain, temperature extremes and other adverse weather events, water scarcity, scarcity of suitable agricultural land, scarcity of organic ingredients, crop size, cattle cycles, herd and flock disease, crop disease and crop pests. Failure to take adequate steps to mitigate the likelihood or potential impact of such events, or to effectively manage such events if they occur, may adversely affect our business or financial results, particularly in circumstances when a product is sourced from a single supplier or location. Disputes with significant suppliers, contract manufacturers, logistics service providers or independent distributors, including disputes regarding pricing or performance, may also adversely affect our ability to manufacture and/or sell our products, as well as our business or financial results.</w:t>
      </w:r>
    </w:p>
    <w:p>
      <w:pPr>
        <w:spacing w:after="0" w:line="5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color w:val="auto"/>
        </w:rPr>
        <w:t>Deterioration of global macroeconomic conditions, including economic recession or periods of higher inflation in key markets may adversely affect consumer spending and demand for our products.</w:t>
      </w:r>
    </w:p>
    <w:p>
      <w:pPr>
        <w:spacing w:after="0" w:line="29"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Global macroeconomic conditions can be uncertain and volatile. We have in the past been, and may continue to be, adversely affected by changes in global macroeconomic conditions, including inflation, rising interest rates, consumer spending rates, energy availability and costs, global supply chain challenges, labor shortages, geopolitical conflicts (including the ongoing conflict between Russia and Ukraine), pandemics (such as the COVID-19 pandemic) and growing recession risk. Volatility in financial markets and deterioration of global macroeconomic conditions could impact our business and results of operations in a number of ways, including but not limited to, the following:</w:t>
      </w:r>
    </w:p>
    <w:p>
      <w:pPr>
        <w:spacing w:after="0" w:line="66" w:lineRule="exact"/>
        <w:rPr>
          <w:sz w:val="20"/>
          <w:szCs w:val="20"/>
          <w:color w:val="auto"/>
        </w:rPr>
      </w:pPr>
    </w:p>
    <w:p>
      <w:pPr>
        <w:ind w:left="620" w:hanging="308"/>
        <w:spacing w:after="0" w:line="27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higher commodity prices and other increased input costs could continue due to supply chain shortages or supply chain disruptions, which may not be sufficiently mitigated by our current commodity contracts;</w:t>
      </w:r>
    </w:p>
    <w:p>
      <w:pPr>
        <w:spacing w:after="0" w:line="47" w:lineRule="exact"/>
        <w:rPr>
          <w:rFonts w:ascii="Arial" w:cs="Arial" w:eastAsia="Arial" w:hAnsi="Arial"/>
          <w:sz w:val="17"/>
          <w:szCs w:val="17"/>
          <w:color w:val="auto"/>
        </w:rPr>
      </w:pPr>
    </w:p>
    <w:p>
      <w:pPr>
        <w:ind w:left="620" w:hanging="308"/>
        <w:spacing w:after="0" w:line="311" w:lineRule="auto"/>
        <w:tabs>
          <w:tab w:leader="none" w:pos="616"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failure of third parties on which we rely, including but not limited to, those that supply our packaging, ingredients, equipment and other necessary operating materials, co-manufacturers and independent contractors, to meet their obligations to us, or significant disruptions in their ability to do so;</w:t>
      </w:r>
    </w:p>
    <w:p>
      <w:pPr>
        <w:spacing w:after="0" w:line="12" w:lineRule="exact"/>
        <w:rPr>
          <w:rFonts w:ascii="Arial" w:cs="Arial" w:eastAsia="Arial" w:hAnsi="Arial"/>
          <w:sz w:val="16"/>
          <w:szCs w:val="16"/>
          <w:color w:val="auto"/>
        </w:rPr>
      </w:pPr>
    </w:p>
    <w:p>
      <w:pPr>
        <w:ind w:left="620" w:hanging="308"/>
        <w:spacing w:after="0" w:line="27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a shift in consumer spending during periods of economic uncertainty or inflation that could result in consumers moving to private label or lower price products;</w:t>
      </w:r>
    </w:p>
    <w:p>
      <w:pPr>
        <w:spacing w:after="0" w:line="47"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a change in demand for or availability of our products, as a result of retailers, distributors, or carriers modifying their inventory, fulfillment or shipping practices;</w:t>
      </w:r>
    </w:p>
    <w:p>
      <w:pPr>
        <w:spacing w:after="0" w:line="47"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a disruption to our distribution capabilities or our distribution channels, including those of our suppliers, contract manufacturers, logistics service providers or independent distributors; and</w:t>
      </w:r>
    </w:p>
    <w:p>
      <w:pPr>
        <w:spacing w:after="0" w:line="34" w:lineRule="exact"/>
        <w:rPr>
          <w:rFonts w:ascii="Arial" w:cs="Arial" w:eastAsia="Arial" w:hAnsi="Arial"/>
          <w:sz w:val="17"/>
          <w:szCs w:val="17"/>
          <w:color w:val="auto"/>
        </w:rPr>
      </w:pPr>
    </w:p>
    <w:p>
      <w:pPr>
        <w:ind w:left="620" w:hanging="308"/>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future volatility or disruption in the capital and credit markets could negatively impact our liquidity or increase costs of borrowing;</w:t>
      </w:r>
    </w:p>
    <w:p>
      <w:pPr>
        <w:spacing w:after="0" w:line="10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and other impacts of global macroeconomic conditions could also heighten many of the other risk factors discussed in this Item 1A. Our sensitivity to global macroeconomic conditions could materially impact our business, results of operations, financial condition, and liquidity.</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intellectual property rights are valuable, and any inability to protect them could reduce the value of our products and brands.</w:t>
      </w:r>
    </w:p>
    <w:p>
      <w:pPr>
        <w:spacing w:after="0" w:line="94"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We consider our intellectual property rights, particularly our trademarks, to be a significant and valuable aspect of our business. We protect our intellectual property rights through a combination of trademark, patent, copyright and trade secret protection, contractual agreements and policing of third-party misuses of our intellectual property in traditional retail and digital environments. Our failure to obtain or adequately protect our intellectual property or any change in law that lessens or removes the current legal protections of our intellectual property may diminish our competitiveness and adversely affect our business and financial results.</w:t>
      </w:r>
    </w:p>
    <w:p>
      <w:pPr>
        <w:spacing w:after="0" w:line="66"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Competing intellectual property claims that impact our brands or products may arise unexpectedly. Any litigation or disputes regarding intellectual property may be costly and time-consuming and may divert the attention of our management and</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124460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7" w:name="page8"/>
    <w:bookmarkEnd w:id="7"/>
    <w:p>
      <w:pPr>
        <w:jc w:val="both"/>
        <w:spacing w:after="0" w:line="279" w:lineRule="auto"/>
        <w:rPr>
          <w:sz w:val="20"/>
          <w:szCs w:val="20"/>
          <w:color w:val="auto"/>
        </w:rPr>
      </w:pPr>
      <w:r>
        <w:rPr>
          <w:rFonts w:ascii="Arial" w:cs="Arial" w:eastAsia="Arial" w:hAnsi="Arial"/>
          <w:sz w:val="17"/>
          <w:szCs w:val="17"/>
          <w:color w:val="auto"/>
        </w:rPr>
        <w:t>key personnel from our business operations. We also may be subject to significant damages or injunctions against development, launch and sale of certain products. Any of these occurrences may harm our business and financial results.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results may be adversely impacted if consumers do not maintain their favorable perception of our brands.</w:t>
      </w:r>
    </w:p>
    <w:p>
      <w:pPr>
        <w:spacing w:after="0" w:line="94" w:lineRule="exact"/>
        <w:rPr>
          <w:sz w:val="20"/>
          <w:szCs w:val="20"/>
          <w:color w:val="auto"/>
        </w:rPr>
      </w:pPr>
    </w:p>
    <w:p>
      <w:pPr>
        <w:jc w:val="both"/>
        <w:ind w:firstLine="309"/>
        <w:spacing w:after="0" w:line="255" w:lineRule="auto"/>
        <w:rPr>
          <w:sz w:val="20"/>
          <w:szCs w:val="20"/>
          <w:color w:val="auto"/>
        </w:rPr>
      </w:pPr>
      <w:r>
        <w:rPr>
          <w:rFonts w:ascii="Arial" w:cs="Arial" w:eastAsia="Arial" w:hAnsi="Arial"/>
          <w:sz w:val="16"/>
          <w:szCs w:val="16"/>
          <w:color w:val="auto"/>
        </w:rPr>
        <w:t>We have a number of iconic brands with significant value. Maintaining and continually enhancing the value of these brands is critical to the success of our business. Brand value is primarily based on consumer perceptions. Success in promoting and enhancing brand value depends in large part on our ability to provide high-quality products. Brand value could diminish significantly due to a number of factors, including consumer perception that we have acted in an irresponsible manner, adverse publicity about our products, packaging, ingredients, or our environmental, social, human capital or governance practices, our failure to maintain the quality of our products, the failure of our products to deliver consistently positive consumer experiences, or the products becoming unavailable to consumers. The growing use of social and digital media by consumers increases the speed and extent that information and opinions can be shared. Negative posts or comments about us, our brands, products or packaging on social or digital media could seriously damage our brands and reputation. In addition, we might fail to appropriately target our marketing efforts, anticipate consumer preferences, or invest sufficiently in maintaining our brand image. If we do not maintain the favorable perception of our brands, our results could be adversely impacted.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adversely impacted by a disruption, failure or security breach of our information technology systems.</w:t>
      </w:r>
    </w:p>
    <w:p>
      <w:pPr>
        <w:spacing w:after="0" w:line="107"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Our information technology systems are critically important to our operations. We rely on our information technology systems (some of which are outsourced to third parties) to manage our data, communications and business processes, including our marketing, sales, manufacturing, procurement, supply chain, customer service, accounting and administrative functions and the importance of such networks and systems has increased due to an increase in our employees working remotely. If we do not obtain and effectively manage the resources and materials necessary to build, sustain and protect appropriate information technology systems, our business or financial results could be adversely impacted. Furthermore, our information technology systems are subject to attack or other security breaches (including the access to or acquisition of customer, consumer, employee or other confidential information), service disruptions or other system failures. If we are unable to prevent or adequately respond to and resolve these breaches, disruptions or failures, our operations may be impacted, and we may suffer other adverse consequences such as reputational damage, litigation, remediation costs, ransomware payments and/or penalties under various data protection laws and regulations.</w:t>
      </w:r>
    </w:p>
    <w:p>
      <w:pPr>
        <w:spacing w:after="0" w:line="55" w:lineRule="exact"/>
        <w:rPr>
          <w:sz w:val="20"/>
          <w:szCs w:val="20"/>
          <w:color w:val="auto"/>
        </w:rPr>
      </w:pPr>
    </w:p>
    <w:p>
      <w:pPr>
        <w:jc w:val="both"/>
        <w:ind w:firstLine="309"/>
        <w:spacing w:after="0" w:line="272" w:lineRule="auto"/>
        <w:rPr>
          <w:sz w:val="20"/>
          <w:szCs w:val="20"/>
          <w:color w:val="auto"/>
        </w:rPr>
      </w:pPr>
      <w:r>
        <w:rPr>
          <w:rFonts w:ascii="Arial" w:cs="Arial" w:eastAsia="Arial" w:hAnsi="Arial"/>
          <w:sz w:val="16"/>
          <w:szCs w:val="16"/>
          <w:color w:val="auto"/>
        </w:rPr>
        <w:t>To address the risks to our information technology systems and the associated costs, we maintain an information security program that includes updating technology and security policies, cyber insurance, employee awareness training, and monitoring and routine testing of our information technology systems. We believe that these preventative actions provide adequate measures of protection against security breaches and generally reduce our cybersecurity risks, however, cyber threats are constantly evolving, are becoming more frequent and more sophisticated and are being made by groups of individuals with a wide range of expertise and motives, which increases the difficulty of detecting and successfully defending against them. Additionally, continued geopolitical turmoil, including the ongoing conflict between Russia and Ukraine, has heightened the risk of cyberattacks. We have experienced threats and breaches to our data and systems and although we have not experienced a breach that had a material impact on our operations or business, there can be no assurance that these measures will prevent or limit the impact of a future incident. For example, at the end of the fourth quarter of 2023, we identified unauthorized activity on some of our information technology systems. Upon detecting the attack, we took immediate action to investigate, contain and remediate the threat, retaining the services of leading third-party cybersecurity experts and contacting federal law enforcement. The incident had a limited impact on our business operations and was not material to the company's results of operations or financial condition. In addition, the rapid evolution and increased adoption of artificial intelligence technologies may intensify our cybersecurity risks. We may incur significant costs in protecting against or remediating cyberattacks or other cyber incidents. As cyberattacks increase in frequency and magnitude around the world, we may be unable to obtain cyber insurance in the amounts and on the terms we view as appropriate and favorable for our operations.</w:t>
      </w:r>
    </w:p>
    <w:p>
      <w:pPr>
        <w:spacing w:after="0" w:line="55" w:lineRule="exact"/>
        <w:rPr>
          <w:sz w:val="20"/>
          <w:szCs w:val="20"/>
          <w:color w:val="auto"/>
        </w:rPr>
      </w:pPr>
    </w:p>
    <w:p>
      <w:pPr>
        <w:jc w:val="both"/>
        <w:ind w:firstLine="309"/>
        <w:spacing w:after="0" w:line="275" w:lineRule="auto"/>
        <w:rPr>
          <w:sz w:val="20"/>
          <w:szCs w:val="20"/>
          <w:color w:val="auto"/>
        </w:rPr>
      </w:pPr>
      <w:r>
        <w:rPr>
          <w:rFonts w:ascii="Arial" w:cs="Arial" w:eastAsia="Arial" w:hAnsi="Arial"/>
          <w:sz w:val="16"/>
          <w:szCs w:val="16"/>
          <w:color w:val="auto"/>
        </w:rPr>
        <w:t>In addition, in the event our suppliers or customers experience a breach or system failure, their businesses could be disrupted or otherwise negatively affected, which may result in a disruption in our supply chain or reduced customer orders, which would adversely affect our business and financial results. We have also outsourced several information technology support services and administrative functions to third-party service providers, and may outsource other functions in the future to achieve cost savings and efficiencies. Our information security program includes capabilities designed to evaluate and mitigate cyber risks arising from third-party service providers. We believe that these capabilities provide insights and visibility to the security posture of our third-party service providers, however, cyber threats to those organizations are beyond our control. If these service providers do not perform effectively due to breach or system failure, we may not be able to achieve the expected benefits and our business may be disrupted.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124460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auto"/>
        </w:rPr>
        <w:t>We may not be able to attract and retain the highly skilled people we need to support our business.</w:t>
      </w:r>
    </w:p>
    <w:p>
      <w:pPr>
        <w:spacing w:after="0" w:line="94" w:lineRule="exact"/>
        <w:rPr>
          <w:sz w:val="20"/>
          <w:szCs w:val="20"/>
          <w:color w:val="auto"/>
        </w:rPr>
      </w:pPr>
    </w:p>
    <w:p>
      <w:pPr>
        <w:jc w:val="both"/>
        <w:ind w:firstLine="309"/>
        <w:spacing w:after="0" w:line="299" w:lineRule="auto"/>
        <w:rPr>
          <w:sz w:val="20"/>
          <w:szCs w:val="20"/>
          <w:color w:val="auto"/>
        </w:rPr>
      </w:pPr>
      <w:r>
        <w:rPr>
          <w:rFonts w:ascii="Arial" w:cs="Arial" w:eastAsia="Arial" w:hAnsi="Arial"/>
          <w:sz w:val="15"/>
          <w:szCs w:val="15"/>
          <w:color w:val="auto"/>
        </w:rPr>
        <w:t>We depend on the skills and continued service of key personnel, including our experienced management team. In addition, our ability to achieve our strategic and operating goals depends on our ability to identify, hire, train and retain qualified individuals, including all levels of skilled labor in our manufacturing facilities. We also compete with other companies both within and outside of our industry for talented personnel, and we may lose key personnel or fail to attract, train and retain other talented personnel. Any such loss or failure may adversely affect our business or financial results. In addition, activities related to identifying, recruiting, hiring and integrating qualified individuals may require significant time and expense. We may not be able to locate suitable replacements for any key employees who leave, or offer employment to potential replacements on reasonable terms, each of which may adversely affect our business and financial results.</w:t>
      </w:r>
    </w:p>
    <w:p>
      <w:pPr>
        <w:spacing w:after="0" w:line="37"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Over the past few years, we have experienced an increasingly competitive labor market. A sustained labor shortage or increased turnover rates within our employee base, as a result of general macroeconomic factors, could lead to increased costs, such as increased overtime to meet demand and increased wage rates to attract and retain employees, and could negatively affect our ability to efficiently operate our manufacturing and distribution facilities and overall business. If we are unable to hire and retain employees capable of performing at a high-level, or if mitigation measures we may take to respond to a decrease in labor availability, such as overtime and third-party outsourcing, have unintended negative effects, our business could be adversely affected.</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we do not fully realize the expected cost savings and/or operating efficiencies associated with our strategic initiatives, our profitability could suffer.</w:t>
      </w:r>
    </w:p>
    <w:p>
      <w:pPr>
        <w:spacing w:after="0" w:line="117"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Our future success and earnings growth depend in part on our ability to achieve the appropriate cost structure and operate efficiently in the highly competitive food industry, particularly in an environment of volatile cost inputs. We continuously pursue initiatives to reduce costs and increase effectiveness. See "Management's Discussion and Analysis of Financial Condition and Results of Operations - Restructuring Charges and Cost Savings Initiatives" for additional information on these initiatives. We also regularly pursue cost productivity initiatives in procurement, manufacturing and logistics. Any failure or delay in implementing our initiatives in accordance with our plans could adversely affect our ability to meet our long-term growth and profitability expectations and could adversely affect our business. If we do not continue to effectively manage costs and achieve additional efficiencies, our competitiveness and our profitability could decrease.</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color w:val="auto"/>
        </w:rPr>
        <w:t>Our results may be adversely affected by our inability to complete or realize the projected benefits of acquisitions, divestitures and other strategic transactions.</w:t>
      </w:r>
    </w:p>
    <w:p>
      <w:pPr>
        <w:spacing w:after="0" w:line="42"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We have historically made strategic acquisitions of brands and businesses and we may undertake additional acquisitions or other strategic transactions in the future. Our ability to meet our objectives with respect to acquisitions and other strategic transactions may depend in part on our ability to identify suitable counterparties, negotiate favorable financial and other contractual terms, obtain all necessary regulatory approvals on the terms expected and complete those transactions. Potential risks also include:</w:t>
      </w:r>
    </w:p>
    <w:p>
      <w:pPr>
        <w:spacing w:after="0" w:line="51" w:lineRule="exact"/>
        <w:rPr>
          <w:sz w:val="20"/>
          <w:szCs w:val="20"/>
          <w:color w:val="auto"/>
        </w:rPr>
      </w:pPr>
    </w:p>
    <w:p>
      <w:pPr>
        <w:ind w:left="620" w:right="280" w:hanging="308"/>
        <w:spacing w:after="0" w:line="27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inability to integrate acquired businesses into our existing operations in a timely and cost-efficient manner, including implementation of enterprise-resource planning systems;</w:t>
      </w:r>
    </w:p>
    <w:p>
      <w:pPr>
        <w:spacing w:after="0" w:line="47" w:lineRule="exact"/>
        <w:rPr>
          <w:rFonts w:ascii="Arial" w:cs="Arial" w:eastAsia="Arial" w:hAnsi="Arial"/>
          <w:sz w:val="17"/>
          <w:szCs w:val="17"/>
          <w:color w:val="auto"/>
        </w:rPr>
      </w:pPr>
    </w:p>
    <w:p>
      <w:pPr>
        <w:ind w:left="620" w:hanging="308"/>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diversion of management's attention from other business concerns;</w:t>
      </w:r>
    </w:p>
    <w:p>
      <w:pPr>
        <w:spacing w:after="0" w:line="100" w:lineRule="exact"/>
        <w:rPr>
          <w:rFonts w:ascii="Arial" w:cs="Arial" w:eastAsia="Arial" w:hAnsi="Arial"/>
          <w:sz w:val="17"/>
          <w:szCs w:val="17"/>
          <w:color w:val="auto"/>
        </w:rPr>
      </w:pPr>
    </w:p>
    <w:p>
      <w:pPr>
        <w:ind w:left="620" w:hanging="308"/>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potential loss of key employees, co-manufacturers, suppliers and/or customers of acquired businesses;</w:t>
      </w:r>
    </w:p>
    <w:p>
      <w:pPr>
        <w:spacing w:after="0" w:line="87" w:lineRule="exact"/>
        <w:rPr>
          <w:rFonts w:ascii="Arial" w:cs="Arial" w:eastAsia="Arial" w:hAnsi="Arial"/>
          <w:sz w:val="17"/>
          <w:szCs w:val="17"/>
          <w:color w:val="auto"/>
        </w:rPr>
      </w:pPr>
    </w:p>
    <w:p>
      <w:pPr>
        <w:ind w:left="620" w:hanging="308"/>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assumption of unknown risks and liabilities;</w:t>
      </w:r>
    </w:p>
    <w:p>
      <w:pPr>
        <w:spacing w:after="0" w:line="100" w:lineRule="exact"/>
        <w:rPr>
          <w:rFonts w:ascii="Arial" w:cs="Arial" w:eastAsia="Arial" w:hAnsi="Arial"/>
          <w:sz w:val="17"/>
          <w:szCs w:val="17"/>
          <w:color w:val="auto"/>
        </w:rPr>
      </w:pPr>
    </w:p>
    <w:p>
      <w:pPr>
        <w:ind w:left="620" w:hanging="308"/>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inability to achieve anticipated benefits, including revenues or other operating results;</w:t>
      </w:r>
    </w:p>
    <w:p>
      <w:pPr>
        <w:spacing w:after="0" w:line="100" w:lineRule="exact"/>
        <w:rPr>
          <w:rFonts w:ascii="Arial" w:cs="Arial" w:eastAsia="Arial" w:hAnsi="Arial"/>
          <w:sz w:val="17"/>
          <w:szCs w:val="17"/>
          <w:color w:val="auto"/>
        </w:rPr>
      </w:pPr>
    </w:p>
    <w:p>
      <w:pPr>
        <w:ind w:left="620" w:hanging="308"/>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operating costs of acquired businesses may be greater than expected;</w:t>
      </w:r>
    </w:p>
    <w:p>
      <w:pPr>
        <w:spacing w:after="0" w:line="87" w:lineRule="exact"/>
        <w:rPr>
          <w:rFonts w:ascii="Arial" w:cs="Arial" w:eastAsia="Arial" w:hAnsi="Arial"/>
          <w:sz w:val="17"/>
          <w:szCs w:val="17"/>
          <w:color w:val="auto"/>
        </w:rPr>
      </w:pPr>
    </w:p>
    <w:p>
      <w:pPr>
        <w:ind w:left="620" w:hanging="308"/>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inability to promptly implement an effective control environment; and</w:t>
      </w:r>
    </w:p>
    <w:p>
      <w:pPr>
        <w:spacing w:after="0" w:line="100" w:lineRule="exact"/>
        <w:rPr>
          <w:rFonts w:ascii="Arial" w:cs="Arial" w:eastAsia="Arial" w:hAnsi="Arial"/>
          <w:sz w:val="17"/>
          <w:szCs w:val="17"/>
          <w:color w:val="auto"/>
        </w:rPr>
      </w:pPr>
    </w:p>
    <w:p>
      <w:pPr>
        <w:ind w:left="620" w:hanging="308"/>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risks inherent in entering markets or lines of business with which we have limited or no prior experience.</w:t>
      </w:r>
    </w:p>
    <w:p>
      <w:pPr>
        <w:spacing w:after="0" w:line="19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In addition, we have previously made strategic divestitures and may do so in the future. Any businesses we decide to divest in the future may depend in part on our ability to identify suitable buyers, negotiate favorable financial and other contractual terms and obtain all necessary regulatory approvals on the terms expected. Potential risks of divestitures may also include:</w:t>
      </w:r>
    </w:p>
    <w:p>
      <w:pPr>
        <w:spacing w:after="0" w:line="45" w:lineRule="exact"/>
        <w:rPr>
          <w:sz w:val="20"/>
          <w:szCs w:val="20"/>
          <w:color w:val="auto"/>
        </w:rPr>
      </w:pPr>
    </w:p>
    <w:p>
      <w:pPr>
        <w:ind w:left="620" w:hanging="308"/>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diversion of management's attention from other business concerns;</w:t>
      </w:r>
    </w:p>
    <w:p>
      <w:pPr>
        <w:spacing w:after="0" w:line="100" w:lineRule="exact"/>
        <w:rPr>
          <w:rFonts w:ascii="Arial" w:cs="Arial" w:eastAsia="Arial" w:hAnsi="Arial"/>
          <w:sz w:val="17"/>
          <w:szCs w:val="17"/>
          <w:color w:val="auto"/>
        </w:rPr>
      </w:pPr>
    </w:p>
    <w:p>
      <w:pPr>
        <w:ind w:left="620" w:hanging="308"/>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loss of key suppliers and/or customers of divested businesses;</w:t>
      </w:r>
    </w:p>
    <w:p>
      <w:pPr>
        <w:spacing w:after="0" w:line="100" w:lineRule="exact"/>
        <w:rPr>
          <w:rFonts w:ascii="Arial" w:cs="Arial" w:eastAsia="Arial" w:hAnsi="Arial"/>
          <w:sz w:val="17"/>
          <w:szCs w:val="17"/>
          <w:color w:val="auto"/>
        </w:rPr>
      </w:pPr>
    </w:p>
    <w:p>
      <w:pPr>
        <w:ind w:left="620" w:hanging="308"/>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inability to separate divested businesses or business units effectively and efficiently from our existing business operations; and</w:t>
      </w:r>
    </w:p>
    <w:p>
      <w:pPr>
        <w:spacing w:after="0" w:line="87" w:lineRule="exact"/>
        <w:rPr>
          <w:rFonts w:ascii="Arial" w:cs="Arial" w:eastAsia="Arial" w:hAnsi="Arial"/>
          <w:sz w:val="17"/>
          <w:szCs w:val="17"/>
          <w:color w:val="auto"/>
        </w:rPr>
      </w:pPr>
    </w:p>
    <w:p>
      <w:pPr>
        <w:ind w:left="620" w:hanging="308"/>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inability to reduce or eliminate associated overhead costs.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124460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9" w:name="page10"/>
    <w:bookmarkEnd w:id="9"/>
    <w:p>
      <w:pPr>
        <w:jc w:val="both"/>
        <w:ind w:firstLine="309"/>
        <w:spacing w:after="0" w:line="279" w:lineRule="auto"/>
        <w:rPr>
          <w:sz w:val="20"/>
          <w:szCs w:val="20"/>
          <w:color w:val="auto"/>
        </w:rPr>
      </w:pPr>
      <w:r>
        <w:rPr>
          <w:rFonts w:ascii="Arial" w:cs="Arial" w:eastAsia="Arial" w:hAnsi="Arial"/>
          <w:sz w:val="17"/>
          <w:szCs w:val="17"/>
          <w:color w:val="auto"/>
        </w:rPr>
        <w:t>If we are unable to complete or realize the projected benefits of future acquisitions, divestitures or other strategic transactions, our business or financial results may be adversely impacted.</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Competitive and Industry Risks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face significant competition in all our product categories, which may result in lower sales and margins.</w:t>
      </w:r>
    </w:p>
    <w:p>
      <w:pPr>
        <w:spacing w:after="0" w:line="94" w:lineRule="exact"/>
        <w:rPr>
          <w:sz w:val="20"/>
          <w:szCs w:val="20"/>
          <w:color w:val="auto"/>
        </w:rPr>
      </w:pPr>
    </w:p>
    <w:p>
      <w:pPr>
        <w:jc w:val="both"/>
        <w:ind w:firstLine="309"/>
        <w:spacing w:after="0" w:line="275" w:lineRule="auto"/>
        <w:rPr>
          <w:sz w:val="20"/>
          <w:szCs w:val="20"/>
          <w:color w:val="auto"/>
        </w:rPr>
      </w:pPr>
      <w:r>
        <w:rPr>
          <w:rFonts w:ascii="Arial" w:cs="Arial" w:eastAsia="Arial" w:hAnsi="Arial"/>
          <w:sz w:val="16"/>
          <w:szCs w:val="16"/>
          <w:color w:val="auto"/>
        </w:rPr>
        <w:t>We operate in the highly competitive food and beverage industry mainly in the North American market and experience competition in all of our categories. The principal areas of competition are brand recognition, taste, nutritional value, price, promotion, innovation, shelf space and customer service. A number of our primary competitors are larger than us and have substantial financial, marketing and other resources, and some of our competitors may spend more aggressively on advertising and promotional activities than we do. In addition, reduced barriers to entry and easier access to funding are creating new competition. A strong competitive response from one or more of these competitors to our marketplace efforts, or a continued shift towards private label offerings, particularly during periods of economic uncertainty or significant inflation, could result in us reducing prices and/or increasing promotions, increasing marketing or other expenditures, and/or losing market share, each of which may result in lower sales and margins.</w:t>
      </w:r>
    </w:p>
    <w:p>
      <w:pPr>
        <w:spacing w:after="0" w:line="57"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Our ability to compete also depends upon our ability to predict, identify, and interpret the tastes and dietary habits of consumers and to offer products that appeal to those preferences. There are inherent marketplace risks associated with new product or packaging introductions, including uncertainties about trade and consumer acceptance. If we do not succeed in offering products that consumers want to buy, our sales and market share will decrease, resulting in reduced profitability. If we are unable to accurately predict which shifts in consumer preferences will be long-lasting, or are unable to introduce new and improved products to satisfy those preferences, our sales will decline. Weak economic conditions, recessions, significant inflation and other factors, such as pandemics, could effect consumer preferences and demand. In addition, given the variety of backgrounds and identities of consumers in our consumer base, we must offer a sufficient array of products to satisfy the broad spectrum of consumer preferences. As such, we must be successful in developing innovative products across a multitude of product categories. Finally, if we fail to rapidly develop products in faster-growing and more profitable categories, we could experience reduced demand for our products, or fail to expand margins.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adversely impacted by a changing customer landscape and the increased significance of some of our customers.</w:t>
      </w:r>
    </w:p>
    <w:p>
      <w:pPr>
        <w:spacing w:after="0" w:line="107" w:lineRule="exact"/>
        <w:rPr>
          <w:sz w:val="20"/>
          <w:szCs w:val="20"/>
          <w:color w:val="auto"/>
        </w:rPr>
      </w:pPr>
    </w:p>
    <w:p>
      <w:pPr>
        <w:jc w:val="both"/>
        <w:ind w:firstLine="309"/>
        <w:spacing w:after="0" w:line="297" w:lineRule="auto"/>
        <w:rPr>
          <w:sz w:val="20"/>
          <w:szCs w:val="20"/>
          <w:color w:val="auto"/>
        </w:rPr>
      </w:pPr>
      <w:r>
        <w:rPr>
          <w:rFonts w:ascii="Arial" w:cs="Arial" w:eastAsia="Arial" w:hAnsi="Arial"/>
          <w:sz w:val="15"/>
          <w:szCs w:val="15"/>
          <w:color w:val="auto"/>
        </w:rPr>
        <w:t>Our businesses are largely concentrated in the traditional retail grocery trade, which has experienced slower growth than other retail channels, such as dollar stores, drug stores, club stores and e-commerce retailers. We expect this trend away from traditional retail grocery to alternate channels to continue in the future. These alternative retail channels may also create consumer price deflation, affecting our retail customer relationships and presenting additional challenges to increasing prices in response to commodity or other cost increases. In addition, retailers with increased buying power and negotiating strength are seeking more favorable terms, including increased promotional programs and customized products funded by their suppliers. These customers may also use more of their shelf space for their private label products, which are generally sold at lower prices than branded products. If we are unable to use our scale, marketing, product innovation and category leadership positions to respond to these customer dynamics, our business or financial results could be adversely impacted.</w:t>
      </w:r>
    </w:p>
    <w:p>
      <w:pPr>
        <w:spacing w:after="0" w:line="38"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In 2023, our five largest customers accounted for approximately 47% of our consolidated net sales, with the largest customer, Wal-Mart Stores, Inc. and its affiliates, accounting for approximately 22% of our consolidated net sales. There can be no assurance that our largest customers will continue to purchase our products in the same mix or quantities, or on the same terms as in the past. Disruption of sales to any of these customers, or to any of our other large customers, for an extended period of time could adversely affect our business or financial results.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Financial and Economic Risks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 impairment of the carrying value of goodwill or other indefinite-lived intangible assets could adversely affect our financial results and net worth.</w:t>
      </w:r>
    </w:p>
    <w:p>
      <w:pPr>
        <w:spacing w:after="0" w:line="118"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As of July 30, 2023, we had goodwill of $3.965 billion and other indefinite-lived intangible assets of $2.541 billion. Goodwill and indefinite-lived intangible assets are initially recorded at fair value and not amortized, but are tested for impairment at least annually in the fourth quarter or more frequently if impairment indicators arise. We test goodwill at the reporting unit level by comparing the carrying value of the net assets of the reporting unit, including goodwill, to the unit's fair value. Similarly, we test indefinite-lived intangible assets by comparing the fair value of the assets to their carrying values. Fair value for both goodwill and other indefinite-lived intangible assets is determined based on discounted cash flow analyses. If the carrying values of the reporting unit or indefinite-lived intangible assets exceed their fair value, the goodwill or indefinite-lived intangible assets are considered impaired. Factors that could result in an impairment include a change in revenue growth rates, operating margins, weighted average cost of capital, future economic and market conditions or assumed royalty rates. If current expectations for growth rates for sales and profits are not met, or other market factors and macroeconomic conditions were to</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116205</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10" w:name="page11"/>
    <w:bookmarkEnd w:id="10"/>
    <w:p>
      <w:pPr>
        <w:jc w:val="both"/>
        <w:spacing w:after="0" w:line="279" w:lineRule="auto"/>
        <w:rPr>
          <w:sz w:val="20"/>
          <w:szCs w:val="20"/>
          <w:color w:val="auto"/>
        </w:rPr>
      </w:pPr>
      <w:r>
        <w:rPr>
          <w:rFonts w:ascii="Arial" w:cs="Arial" w:eastAsia="Arial" w:hAnsi="Arial"/>
          <w:sz w:val="17"/>
          <w:szCs w:val="17"/>
          <w:color w:val="auto"/>
        </w:rPr>
        <w:t>change, we may be required in the future to record impairment of the carrying value of goodwill or other indefinite-lived intangible assets, which could adversely affect our financial results and net worth.</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adversely impacted by increased liabilities and costs related to our defined benefit pension plans.</w:t>
      </w:r>
    </w:p>
    <w:p>
      <w:pPr>
        <w:spacing w:after="0" w:line="107"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We sponsor a number of defined benefit pension plans for certain employees in the U.S. and certain non-U.S. locations. The major defined benefit pension plans are funded with trust assets invested in a globally diversified portfolio of securities and other investments. Changes in regulatory requirements or the market value of plan assets, investment returns, interest rates and mortality rates may affect the funded status of our defined benefit pension plans and cause volatility in the net periodic benefit cost, future funding requirements of the plans and the funded status as recorded on the balance sheet. A significant increase in our obligations, future funding requirements, or net periodic benefit costs could have a material adverse effect on our financial results.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face risks related to heightened inflation, recession, financial and credit market disruptions and other economic conditions.</w:t>
      </w:r>
    </w:p>
    <w:p>
      <w:pPr>
        <w:spacing w:after="0" w:line="94" w:lineRule="exact"/>
        <w:rPr>
          <w:sz w:val="20"/>
          <w:szCs w:val="20"/>
          <w:color w:val="auto"/>
        </w:rPr>
      </w:pPr>
    </w:p>
    <w:p>
      <w:pPr>
        <w:jc w:val="both"/>
        <w:ind w:firstLine="309"/>
        <w:spacing w:after="0" w:line="299" w:lineRule="auto"/>
        <w:rPr>
          <w:sz w:val="20"/>
          <w:szCs w:val="20"/>
          <w:color w:val="auto"/>
        </w:rPr>
      </w:pPr>
      <w:r>
        <w:rPr>
          <w:rFonts w:ascii="Arial" w:cs="Arial" w:eastAsia="Arial" w:hAnsi="Arial"/>
          <w:sz w:val="15"/>
          <w:szCs w:val="15"/>
          <w:color w:val="auto"/>
        </w:rPr>
        <w:t>Customer and consumer demand for our products may be impacted by weak economic conditions, recession, equity market volatility or other negative economic factors in the U.S. or other nations. For instance in 2023, the U.S. experienced significantly heightened inflationary pressures which we expect to continue into 2024. We may not be able to fully mitigate the impact of inflation through continued price increases, productivity initiatives and cost savings, which could have a material adverse effect on our financial results. We implemented a series of price increases in the last year in response to inflationary pressures, and although price elasticities have remained below historical levels this may not continue and result in lower sales in 2024. In addition, if the U.S. economy enters a recession in 2024, we may experience sales declines and may have to decrease prices, all of which could have a material adverse impact on our financial results.</w:t>
      </w:r>
    </w:p>
    <w:p>
      <w:pPr>
        <w:spacing w:after="0" w:line="3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Similarly, disruptions in financial and/or credit markets may impact our ability to manage normal commercial relationships with our customers, suppliers and</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creditors and might cause us to not be able to continue to have access to preferred sources of liquidity when needed or on terms we find acceptable, and our borrowing costs could increase. An economic or credit crisis could occur and impair credit availability and our ability to raise capital when needed. A disruption in the financial markets may have a negative effect on our derivative counterparties and could impair our banking or other business partners, on whom we rely for access to capital and as counterparties to our derivative contracts. In addition, changes in tax or interest rates in the U.S. or other nations, whether due to recession, economic disruptions or other reasons, may adversely impact us.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Legal and Regulatory Risks</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adversely impacted by legal and regulatory proceedings or claims.</w:t>
      </w:r>
    </w:p>
    <w:p>
      <w:pPr>
        <w:spacing w:after="0" w:line="107" w:lineRule="exact"/>
        <w:rPr>
          <w:sz w:val="20"/>
          <w:szCs w:val="20"/>
          <w:color w:val="auto"/>
        </w:rPr>
      </w:pPr>
    </w:p>
    <w:p>
      <w:pPr>
        <w:jc w:val="both"/>
        <w:ind w:firstLine="309"/>
        <w:spacing w:after="0" w:line="293" w:lineRule="auto"/>
        <w:rPr>
          <w:sz w:val="20"/>
          <w:szCs w:val="20"/>
          <w:color w:val="auto"/>
        </w:rPr>
      </w:pPr>
      <w:r>
        <w:rPr>
          <w:rFonts w:ascii="Arial" w:cs="Arial" w:eastAsia="Arial" w:hAnsi="Arial"/>
          <w:sz w:val="15"/>
          <w:szCs w:val="15"/>
          <w:color w:val="auto"/>
        </w:rPr>
        <w:t>We are a party to a variety of legal and regulatory proceedings and claims arising out of the normal course of business. See Note 17 to the Consolidated Financial Statements for information regarding reportable legal proceedings. Since these actions are inherently uncertain, there is no guarantee that we will be successful in defending ourselves against such proceedings or claims, or that our assessment of the materiality or immateriality of these matters, including any reserves taken in connection with such matters, will be consistent with the ultimate outcome of such proceedings or claims. In particular, the marketing of food products has come under increased scrutiny in recent years, and the food industry has been subject to an increasing number of proceedings and claims relating to alleged false or deceptive marketing under federal, state and foreign laws or regulations, including claims relating to the presence of heavy metals in food products. Additionally, the independent contractor distribution model, which is used in our Snacks segment, has also come under increased regulatory scrutiny. Our independent contractor distribution model has also been the subject of various class and individual lawsuits in recent years. In the event we are unable to successfully defend ourselves against these proceedings or claims, or if our assessment of the materiality of these proceedings or claims proves inaccurate, our business or financial results may be adversely affected. In addition, our reputation could be damaged by allegations made in proceedings or claims (even if untrue).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Increased regulation or changes in law could adversely affect our business or financial results.</w:t>
      </w:r>
    </w:p>
    <w:p>
      <w:pPr>
        <w:spacing w:after="0" w:line="94" w:lineRule="exact"/>
        <w:rPr>
          <w:sz w:val="20"/>
          <w:szCs w:val="20"/>
          <w:color w:val="auto"/>
        </w:rPr>
      </w:pPr>
    </w:p>
    <w:p>
      <w:pPr>
        <w:jc w:val="both"/>
        <w:ind w:firstLine="309"/>
        <w:spacing w:after="0" w:line="302" w:lineRule="auto"/>
        <w:rPr>
          <w:sz w:val="20"/>
          <w:szCs w:val="20"/>
          <w:color w:val="auto"/>
        </w:rPr>
      </w:pPr>
      <w:r>
        <w:rPr>
          <w:rFonts w:ascii="Arial" w:cs="Arial" w:eastAsia="Arial" w:hAnsi="Arial"/>
          <w:sz w:val="15"/>
          <w:szCs w:val="15"/>
          <w:color w:val="auto"/>
        </w:rPr>
        <w:t>The manufacture and marketing of food products is extensively regulated. Various laws and regulations govern the processing, packaging, storage, distribution, marketing, advertising, labeling, quality and safety of our food products, as well as the health and safety of our employees and the protection of the environment. In the U.S., we are subject to regulation by various federal government agencies, including but not limited to the Food and Drug Administration, the Department of Agriculture, the Federal Trade Commission, the Department of Labor, the Department of Commerce, the Occupational Safety and Health Administration and the Environmental Protection Agency, as well as various state and local agencies. We are also regulated by similar agencies outside the U.S.</w:t>
      </w:r>
    </w:p>
    <w:p>
      <w:pPr>
        <w:spacing w:after="0" w:line="3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Governmental and administrative bodies within the U.S. are considering a variety of tax, trade and other regulatory reforms. Trade reforms include tariffs on certain materials used in the manufacture of our products and tariffs on certain finished products. We regularly move data across national and state borders to conduct our operations and, consequently, are subject to a variety of laws and regulations in the U.S. and other jurisdictions regarding privacy, data protection, and data</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124460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11" w:name="page12"/>
    <w:bookmarkEnd w:id="11"/>
    <w:p>
      <w:pPr>
        <w:jc w:val="both"/>
        <w:spacing w:after="0" w:line="290" w:lineRule="auto"/>
        <w:rPr>
          <w:sz w:val="20"/>
          <w:szCs w:val="20"/>
          <w:color w:val="auto"/>
        </w:rPr>
      </w:pPr>
      <w:r>
        <w:rPr>
          <w:rFonts w:ascii="Arial" w:cs="Arial" w:eastAsia="Arial" w:hAnsi="Arial"/>
          <w:sz w:val="16"/>
          <w:szCs w:val="16"/>
          <w:color w:val="auto"/>
        </w:rPr>
        <w:t>security, including those related to the collection, storage, handling, use, disclosure, transfer, and security of personal data. There is significant uncertainty with respect to compliance with such privacy and data protection laws and regulations because they are continuously evolving and developing and may be interpreted and applied differently from country to country and state to state and may create inconsistent or conflicting requirements.</w:t>
      </w:r>
    </w:p>
    <w:p>
      <w:pPr>
        <w:spacing w:after="0" w:line="28"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Changes in legal or regulatory requirements (such as new food safety requirements and revised regulatory requirements for the labeling of nutrition facts, serving sizes and genetically modified ingredients), or evolving interpretations of existing legal or regulatory requirements, or an increased focus regarding environmental policies relating to climate change, regulating greenhouse gas emissions, energy policies and sustainability, may result in increased compliance cost, capital expenditures and other financial obligations that could adversely affect our business and financial results.</w:t>
      </w:r>
    </w:p>
    <w:p>
      <w:pPr>
        <w:spacing w:after="0" w:line="46"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We may suffer losses if changes to regulations require us to change the ingredients we use or how we process, package, transport, store, distribute, advertise, or label our products. Moreover, depending on the implementation of such regulatory changes, we could have increased risk for a product recall or have existing inventory become unsellable, which could materially and adversely impact our product sales, financial condition and operating results.</w:t>
      </w:r>
    </w:p>
    <w:p>
      <w:pPr>
        <w:spacing w:after="0" w:line="3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If our food products become adulterated or are mislabeled, we might need to recall those items, and we may experience product liability claims and damage to our reputation.</w:t>
      </w:r>
    </w:p>
    <w:p>
      <w:pPr>
        <w:spacing w:after="0" w:line="43"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We have in the past and we may, in the future, need to recall some of our products if they become adulterated or if they are mislabeled, and we may also be liable if the consumption of any of our products causes sickness or injury to consumers. A widespread product recall could result in significant losses due to the costs of a recall, the destruction of product inventory, and lost sales due to the unavailability of product for a period of time. We could also suffer losses from a significant adverse product liability judgment. A significant product recall or product liability claim could also result in adverse publicity, damage to our reputation, and a loss of consumer confidence in the safety and/or quality of our products, ingredients or packaging. In addition, if another company recalls or experiences negative publicity related to a product in a category in which we compete, consumers might reduce their overall consumption of products in that category.</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Climate change, or legal, regulatory or market measures to address climate change, may negatively affect our business and operations.</w:t>
      </w:r>
    </w:p>
    <w:p>
      <w:pPr>
        <w:spacing w:after="0" w:line="94"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There is growing concern that carbon dioxide and other greenhouse gases in the atmosphere may have an adverse impact on global temperatures, weather patterns, and the frequency and severity of extreme weather and natural disasters. In the event that such climate change has a negative effect on agricultural productivity, we may be subject to decreased availability or less favorable pricing for certain commodities that are necessary for our products, such as wheat, tomatoes and potatoes. Adverse weather conditions and natural disasters can reduce crop size and crop quality, which in turn could reduce our supplies of raw materials, lower recoveries of usable raw materials, increase the prices of our raw materials, increase our cost of storing and transporting our raw materials, or disrupt production schedules. We may also be subjected to decreased availability or less favorable pricing for water as a result of such change, which could impact our manufacturing and distribution operations. In addition, natural disasters and extreme weather conditions may disrupt the productivity of our facilities or the operation of our supply chain. The physical effects and transitional costs of climate change and the legal, regulatory or market initiatives to address climate change could have a negative impact on our business, financial condition, and results of operations.</w:t>
      </w:r>
    </w:p>
    <w:p>
      <w:pPr>
        <w:spacing w:after="0" w:line="54"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There is an increased focus by foreign, federal, state and local regulatory and legislative bodies regarding environmental policies relating to climate change, regulating greenhouse gas emissions (including carbon pricing, cap and trade systems or a carbon tax), energy policies, and sustainability. Increased compliance costs and expenses due to the impacts of climate change and additional legal or regulatory requirements regarding climate change that are designed to reduce or mitigate the effects of carbon dioxide and other greenhouse gas emissions on the environment may cause disruptions in, or an increase in the costs associated with, the running of our manufacturing facilities and our business, as well as increase distribution and supply chain costs. Moreover, compliance with any such legal or regulatory requirements may require us to make significant changes in our business operations and strategy, which will likely require us to devote substantial time and attention to these matters and cause us to incur additional costs. Even if we make changes to align ourselves with such legal or regulatory requirements, we may still be subject to significant penalties or potential litigation if such laws and regulations are interpreted and applied in a manner inconsistent with our practices. The effects of climate change and legal or regulatory initiatives to address climate change could have a long-term adverse impact on our business and results of operations.</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is subject to an increasing focus on sustainability matters.</w:t>
      </w:r>
    </w:p>
    <w:p>
      <w:pPr>
        <w:spacing w:after="0" w:line="94"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From time to time we establish and publicly announce goals and commitments, including reducing our impact on the environment and relating to animal welfare. For example, in 2022, we established science-based targets for Scope 1, 2 and 3 greenhouse gas emissions. Our ability to achieve any stated goal, target or objective is subject to numerous factors and conditions, many of which are outside of our control. Examples of such factors include evolving regulatory requirements affecting sustainability standards or disclosures or imposing different requirements, the pace of changes in technology, the availability of requisite financing, the availability of suppliers and products that can meet our sustainability and other standards,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124460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12" w:name="page13"/>
    <w:bookmarkEnd w:id="12"/>
    <w:p>
      <w:pPr>
        <w:jc w:val="both"/>
        <w:spacing w:after="0" w:line="256" w:lineRule="auto"/>
        <w:rPr>
          <w:sz w:val="20"/>
          <w:szCs w:val="20"/>
          <w:color w:val="auto"/>
        </w:rPr>
      </w:pPr>
      <w:r>
        <w:rPr>
          <w:rFonts w:ascii="Arial" w:cs="Arial" w:eastAsia="Arial" w:hAnsi="Arial"/>
          <w:sz w:val="17"/>
          <w:szCs w:val="17"/>
          <w:color w:val="auto"/>
        </w:rPr>
        <w:t>and changing business dynamics including acquisitions. Furthermore, standards for tracking and reporting such matters continue to evolve. Our selection of voluntary disclosure frameworks and standards, and the interpretation or application of those frameworks and standards, may change from time to time or differ from those of others. Methodologies for reporting these data may be updated and previously reported data may be adjusted to reflect improvement in availability and quality of third-party data, changing assumptions, changes in the nature and scope of our operations (including from acquisitions and divestitures), and other changes in circumstances, which could result in significant revisions to our current goals, reported progress in achieving such goals, or ability to achieve such goals in the future. If we fail to achieve, or are perceived to have failed or been delayed in achieving, or improperly report our progress toward achieving these goals and commitments, it could negatively affect consumer or customer preference for our products or investor confidence in our stock, as well as expose us to enforcement actions and litigation.</w:t>
      </w:r>
    </w:p>
    <w:p>
      <w:pPr>
        <w:spacing w:after="0" w:line="5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Additionally, we might fail to effectively address increased attention from the media, stockholders, activists and other stakeholders on climate change and related environmental sustainability matters or animal welfare goals. Such failure, or the perception that we have failed to act responsibly regarding climate change or animal welfare, whether or not valid, could result in adverse publicity and negatively affect our business and reputation.</w:t>
      </w:r>
    </w:p>
    <w:p>
      <w:pPr>
        <w:spacing w:after="0" w:line="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color w:val="auto"/>
        </w:rPr>
        <w:t>Our business, financial condition and results of operations could be adversely affected by disruptions in the global economy caused by the ongoing conflict between Russia and Ukraine.</w:t>
      </w:r>
    </w:p>
    <w:p>
      <w:pPr>
        <w:spacing w:after="0" w:line="42"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The global economy has been negatively impacted by the military conflict between Russia and Ukraine. Furthermore, governments in the U.S., United Kingdom, and European Union have each imposed export controls on certain products and financial and economic sanctions on certain industry sectors and parties in Russia. Although we have no operations in Russia or Ukraine, we have experienced shortages in materials and increased costs for transportation, energy, and raw material due in part to the negative impact of the Russia-Ukraine military conflict on the global economy. The scope and duration of the military conflict in Ukraine is uncertain, rapidly changing and hard to predict. Further escalation of geopolitical tensions related to the military conflict, including increased trade barriers or restrictions on global trade, could result in, among other things, cyberattacks, supply disruptions, lower consumer demand, and changes to foreign exchange rates and financial markets, any of which may adversely affect our business and supply chain. In addition, the effects of the ongoing conflict could also heighten many of the other risk factors discussed in this Item 1A.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 Factors Related to the Pending Sovos Brands Acquisition</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Sovos Brands acquisition is subject to certain closing conditions that, if not satisfied or waived, could delay closing or prevent it from occurring at all.</w:t>
      </w:r>
    </w:p>
    <w:p>
      <w:pPr>
        <w:spacing w:after="0" w:line="130" w:lineRule="exact"/>
        <w:rPr>
          <w:sz w:val="20"/>
          <w:szCs w:val="20"/>
          <w:color w:val="auto"/>
        </w:rPr>
      </w:pPr>
    </w:p>
    <w:p>
      <w:pPr>
        <w:jc w:val="both"/>
        <w:ind w:firstLine="309"/>
        <w:spacing w:after="0" w:line="293" w:lineRule="auto"/>
        <w:rPr>
          <w:sz w:val="20"/>
          <w:szCs w:val="20"/>
          <w:color w:val="auto"/>
        </w:rPr>
      </w:pPr>
      <w:r>
        <w:rPr>
          <w:rFonts w:ascii="Arial" w:cs="Arial" w:eastAsia="Arial" w:hAnsi="Arial"/>
          <w:sz w:val="15"/>
          <w:szCs w:val="15"/>
          <w:color w:val="auto"/>
        </w:rPr>
        <w:t>The closing of the Sovos Brands acquisition is subject to certain customary mutual conditions, including (i) the absence of any injunction or other order issued by a court of competent jurisdiction in the United States or applicable law or legal prohibition in the United States that prohibits or makes illegal the consummation of the merger, (ii) the approval of Sovos Brands’ shareholders holding at least a majority of the outstanding shares of Sovos Brands common stock entitled to vote on the adoption of the merger agreement and (iii) the expiration or termination of any waiting period (and any extension thereof) applicable to the consummation of the merger under the Hart-Scott-Rodino Antitrust Improvements Act of 1976, as amended. If the closing of the acquisition is not effective by May 7, 2024, we could be required to pay an additional $0.00182 per share per day beginning May 8, 2024 until the merger becomes effective. We and Sovos Brands may also terminate the merger agreement under certain circumstances, and we may be required, in certain circumstances, to pay a termination fee of $145 million. For additional information on the merger agreement, see our Form 8-K filed with the U.S. Securities and Exchange Commission on August 7, 2023. There are also several pending lawsuits filed by purported shareholders of Sovos Brands seeking, among other things, to enjoin the acquisition. If we do not complete the acquisition, or if the closing is significantly delayed, our business or financial results may be adversely affected.</w:t>
      </w:r>
    </w:p>
    <w:p>
      <w:pPr>
        <w:spacing w:after="0" w:line="3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color w:val="auto"/>
        </w:rPr>
        <w:t>Our obligation to complete the pending acquisition of Sovos Brands is not subject to a financing condition, and financing for the Sovos Brands acquisition may not be obtained on favorable terms, or at all.</w:t>
      </w:r>
    </w:p>
    <w:p>
      <w:pPr>
        <w:spacing w:after="0" w:line="29"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Our obligation to complete the pending acquisition of Sovos Brands is not subject to a financing condition. We intend to finance the acquisition of Sovos Brands with the issuance of new debt. There can be no assurance that we will obtain financing on terms we find acceptable and we may be required to finance a portion of the purchase price of the pending acquisition at interest rates higher than currently expected. Limitations on our ability to obtain financing, a reduction in our liquidity or an increase in our borrowing costs may adversely affect our business or financial results.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anticipated benefits of the Sovos Brands acquisition may not be fully realized.</w:t>
      </w:r>
    </w:p>
    <w:p>
      <w:pPr>
        <w:spacing w:after="0" w:line="107"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We expect that the acquisition of Sovos Brands will result in various benefits including, among other things, cost savings, cost synergies and revenue opportunities. Achieving these anticipated benefits is subject to uncertainties, including whether we integrate in an efficient and effective manner, and general competitive factors in the marketplace. Integrating Sovos Brands will be a complex, time-consuming and expensive process. We may experience unanticipated difficulties or expenses related to the integration, including:</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116205</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13" w:name="page14"/>
    <w:bookmarkEnd w:id="13"/>
    <w:p>
      <w:pPr>
        <w:ind w:left="420" w:hanging="108"/>
        <w:spacing w:after="0"/>
        <w:tabs>
          <w:tab w:leader="none" w:pos="420" w:val="left"/>
        </w:tabs>
        <w:numPr>
          <w:ilvl w:val="0"/>
          <w:numId w:val="6"/>
        </w:numPr>
        <w:rPr>
          <w:rFonts w:ascii="Arial" w:cs="Arial" w:eastAsia="Arial" w:hAnsi="Arial"/>
          <w:sz w:val="17"/>
          <w:szCs w:val="17"/>
          <w:color w:val="auto"/>
        </w:rPr>
      </w:pPr>
      <w:r>
        <w:rPr>
          <w:rFonts w:ascii="Arial" w:cs="Arial" w:eastAsia="Arial" w:hAnsi="Arial"/>
          <w:sz w:val="17"/>
          <w:szCs w:val="17"/>
          <w:color w:val="auto"/>
        </w:rPr>
        <w:t>diversion of management's attention from ongoing business concerns;</w:t>
      </w:r>
    </w:p>
    <w:p>
      <w:pPr>
        <w:spacing w:after="0" w:line="87" w:lineRule="exact"/>
        <w:rPr>
          <w:rFonts w:ascii="Arial" w:cs="Arial" w:eastAsia="Arial" w:hAnsi="Arial"/>
          <w:sz w:val="17"/>
          <w:szCs w:val="17"/>
          <w:color w:val="auto"/>
        </w:rPr>
      </w:pPr>
    </w:p>
    <w:p>
      <w:pPr>
        <w:ind w:left="420" w:hanging="108"/>
        <w:spacing w:after="0"/>
        <w:tabs>
          <w:tab w:leader="none" w:pos="42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managing a larger combined business;</w:t>
      </w:r>
    </w:p>
    <w:p>
      <w:pPr>
        <w:spacing w:after="0" w:line="100" w:lineRule="exact"/>
        <w:rPr>
          <w:rFonts w:ascii="Arial" w:cs="Arial" w:eastAsia="Arial" w:hAnsi="Arial"/>
          <w:sz w:val="17"/>
          <w:szCs w:val="17"/>
          <w:color w:val="auto"/>
        </w:rPr>
      </w:pPr>
    </w:p>
    <w:p>
      <w:pPr>
        <w:ind w:left="420" w:hanging="108"/>
        <w:spacing w:after="0"/>
        <w:tabs>
          <w:tab w:leader="none" w:pos="42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perceived adverse changes in product offerings to consumers, whether or not these changes actually occur;</w:t>
      </w:r>
    </w:p>
    <w:p>
      <w:pPr>
        <w:spacing w:after="0" w:line="100" w:lineRule="exact"/>
        <w:rPr>
          <w:rFonts w:ascii="Arial" w:cs="Arial" w:eastAsia="Arial" w:hAnsi="Arial"/>
          <w:sz w:val="17"/>
          <w:szCs w:val="17"/>
          <w:color w:val="auto"/>
        </w:rPr>
      </w:pPr>
    </w:p>
    <w:p>
      <w:pPr>
        <w:ind w:left="420" w:hanging="108"/>
        <w:spacing w:after="0"/>
        <w:tabs>
          <w:tab w:leader="none" w:pos="4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assumption of unknown risks and liabilities;</w:t>
      </w:r>
    </w:p>
    <w:p>
      <w:pPr>
        <w:spacing w:after="0" w:line="87" w:lineRule="exact"/>
        <w:rPr>
          <w:rFonts w:ascii="Arial" w:cs="Arial" w:eastAsia="Arial" w:hAnsi="Arial"/>
          <w:sz w:val="17"/>
          <w:szCs w:val="17"/>
          <w:color w:val="auto"/>
        </w:rPr>
      </w:pPr>
    </w:p>
    <w:p>
      <w:pPr>
        <w:ind w:left="420" w:hanging="108"/>
        <w:spacing w:after="0"/>
        <w:tabs>
          <w:tab w:leader="none" w:pos="4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retention of key suppliers and customers of Sovos Brands;</w:t>
      </w:r>
    </w:p>
    <w:p>
      <w:pPr>
        <w:spacing w:after="0" w:line="100" w:lineRule="exact"/>
        <w:rPr>
          <w:rFonts w:ascii="Arial" w:cs="Arial" w:eastAsia="Arial" w:hAnsi="Arial"/>
          <w:sz w:val="17"/>
          <w:szCs w:val="17"/>
          <w:color w:val="auto"/>
        </w:rPr>
      </w:pPr>
    </w:p>
    <w:p>
      <w:pPr>
        <w:ind w:left="420" w:hanging="108"/>
        <w:spacing w:after="0"/>
        <w:tabs>
          <w:tab w:leader="none" w:pos="4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attracting new business and operational relationships;</w:t>
      </w:r>
    </w:p>
    <w:p>
      <w:pPr>
        <w:spacing w:after="0" w:line="100" w:lineRule="exact"/>
        <w:rPr>
          <w:rFonts w:ascii="Arial" w:cs="Arial" w:eastAsia="Arial" w:hAnsi="Arial"/>
          <w:sz w:val="17"/>
          <w:szCs w:val="17"/>
          <w:color w:val="auto"/>
        </w:rPr>
      </w:pPr>
    </w:p>
    <w:p>
      <w:pPr>
        <w:ind w:left="420" w:hanging="108"/>
        <w:spacing w:after="0"/>
        <w:tabs>
          <w:tab w:leader="none" w:pos="42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retaining and integrating key employees and maintaining employee morale; and</w:t>
      </w:r>
    </w:p>
    <w:p>
      <w:pPr>
        <w:spacing w:after="0" w:line="87" w:lineRule="exact"/>
        <w:rPr>
          <w:rFonts w:ascii="Arial" w:cs="Arial" w:eastAsia="Arial" w:hAnsi="Arial"/>
          <w:sz w:val="17"/>
          <w:szCs w:val="17"/>
          <w:color w:val="auto"/>
        </w:rPr>
      </w:pPr>
    </w:p>
    <w:p>
      <w:pPr>
        <w:ind w:left="420" w:hanging="108"/>
        <w:spacing w:after="0"/>
        <w:tabs>
          <w:tab w:leader="none" w:pos="420" w:val="left"/>
        </w:tabs>
        <w:numPr>
          <w:ilvl w:val="0"/>
          <w:numId w:val="6"/>
        </w:numPr>
        <w:rPr>
          <w:rFonts w:ascii="Arial" w:cs="Arial" w:eastAsia="Arial" w:hAnsi="Arial"/>
          <w:sz w:val="17"/>
          <w:szCs w:val="17"/>
          <w:color w:val="auto"/>
        </w:rPr>
      </w:pPr>
      <w:r>
        <w:rPr>
          <w:rFonts w:ascii="Arial" w:cs="Arial" w:eastAsia="Arial" w:hAnsi="Arial"/>
          <w:sz w:val="17"/>
          <w:szCs w:val="17"/>
          <w:color w:val="auto"/>
        </w:rPr>
        <w:t>unforeseen expenses or delays.</w:t>
      </w:r>
    </w:p>
    <w:p>
      <w:pPr>
        <w:spacing w:after="0" w:line="101"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After the acquisition, we may seek to combine certain operations, functions, systems and processes, which we may be unsuccessful or delayed in implementing. While we have assumed that a certain level of expenses would be incurred in connection with the Sovos Brands acquisition, transaction costs, acquisition-related costs, costs for synergies and integration costs may be more than anticipated. In addition, there are many factors beyond our control and the control of Sovos Brands that could affect the total amount or the timing of these expenses. Although we expect that the elimination of duplicative costs and realization of other efficiencies related to the integration of the businesses will offset incremental costs over time, any net benefit may not be achieved in the near term or at all. The failure to effectively address any of these risks, or any other risks related to the integration of the Sovos Brands acquisition, may adversely affect our business or financial results.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1B. </w:t>
      </w:r>
      <w:r>
        <w:rPr>
          <w:rFonts w:ascii="Arial" w:cs="Arial" w:eastAsia="Arial" w:hAnsi="Arial"/>
          <w:sz w:val="17"/>
          <w:szCs w:val="17"/>
          <w:b w:val="1"/>
          <w:bCs w:val="1"/>
          <w:i w:val="1"/>
          <w:iCs w:val="1"/>
          <w:color w:val="auto"/>
        </w:rPr>
        <w:t>Unresolved Staff Comments</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Properties</w:t>
      </w:r>
    </w:p>
    <w:p>
      <w:pPr>
        <w:spacing w:after="0" w:line="107"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Our principal executive offices are company-owned and located in Camden, New Jersey. The following table sets forth our principal manufacturing facilities and the reportable segment that primarily uses each of the facilities: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80" w:type="dxa"/>
            <w:vAlign w:val="bottom"/>
          </w:tcPr>
          <w:p>
            <w:pPr>
              <w:spacing w:after="0"/>
              <w:rPr>
                <w:sz w:val="20"/>
                <w:szCs w:val="20"/>
                <w:color w:val="auto"/>
              </w:rPr>
            </w:pPr>
            <w:r>
              <w:rPr>
                <w:rFonts w:ascii="Arial" w:cs="Arial" w:eastAsia="Arial" w:hAnsi="Arial"/>
                <w:sz w:val="17"/>
                <w:szCs w:val="17"/>
                <w:b w:val="1"/>
                <w:bCs w:val="1"/>
                <w:i w:val="1"/>
                <w:iCs w:val="1"/>
                <w:color w:val="auto"/>
              </w:rPr>
              <w:t>Inside the U.S.</w:t>
            </w:r>
          </w:p>
        </w:tc>
        <w:tc>
          <w:tcPr>
            <w:tcW w:w="328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45"/>
        </w:trPr>
        <w:tc>
          <w:tcPr>
            <w:tcW w:w="3180" w:type="dxa"/>
            <w:vAlign w:val="bottom"/>
          </w:tcPr>
          <w:p>
            <w:pPr>
              <w:ind w:left="100"/>
              <w:spacing w:after="0"/>
              <w:rPr>
                <w:sz w:val="20"/>
                <w:szCs w:val="20"/>
                <w:color w:val="auto"/>
              </w:rPr>
            </w:pPr>
            <w:r>
              <w:rPr>
                <w:rFonts w:ascii="Arial" w:cs="Arial" w:eastAsia="Arial" w:hAnsi="Arial"/>
                <w:sz w:val="17"/>
                <w:szCs w:val="17"/>
                <w:b w:val="1"/>
                <w:bCs w:val="1"/>
                <w:i w:val="1"/>
                <w:iCs w:val="1"/>
                <w:color w:val="auto"/>
              </w:rPr>
              <w:t>Arizona</w:t>
            </w:r>
          </w:p>
        </w:tc>
        <w:tc>
          <w:tcPr>
            <w:tcW w:w="3280" w:type="dxa"/>
            <w:vAlign w:val="bottom"/>
          </w:tcPr>
          <w:p>
            <w:pPr>
              <w:ind w:left="860"/>
              <w:spacing w:after="0"/>
              <w:rPr>
                <w:sz w:val="20"/>
                <w:szCs w:val="20"/>
                <w:color w:val="auto"/>
              </w:rPr>
            </w:pPr>
            <w:r>
              <w:rPr>
                <w:rFonts w:ascii="Arial" w:cs="Arial" w:eastAsia="Arial" w:hAnsi="Arial"/>
                <w:sz w:val="17"/>
                <w:szCs w:val="17"/>
                <w:b w:val="1"/>
                <w:bCs w:val="1"/>
                <w:i w:val="1"/>
                <w:iCs w:val="1"/>
                <w:color w:val="auto"/>
              </w:rPr>
              <w:t>Massachusetts</w:t>
            </w:r>
          </w:p>
        </w:tc>
        <w:tc>
          <w:tcPr>
            <w:tcW w:w="2580" w:type="dxa"/>
            <w:vAlign w:val="bottom"/>
          </w:tcPr>
          <w:p>
            <w:pPr>
              <w:ind w:left="1260"/>
              <w:spacing w:after="0"/>
              <w:rPr>
                <w:sz w:val="20"/>
                <w:szCs w:val="20"/>
                <w:color w:val="auto"/>
              </w:rPr>
            </w:pPr>
            <w:r>
              <w:rPr>
                <w:rFonts w:ascii="Arial" w:cs="Arial" w:eastAsia="Arial" w:hAnsi="Arial"/>
                <w:sz w:val="17"/>
                <w:szCs w:val="17"/>
                <w:b w:val="1"/>
                <w:bCs w:val="1"/>
                <w:i w:val="1"/>
                <w:iCs w:val="1"/>
                <w:color w:val="auto"/>
              </w:rPr>
              <w:t>Pennsylvania</w:t>
            </w:r>
          </w:p>
        </w:tc>
      </w:tr>
      <w:tr>
        <w:trPr>
          <w:trHeight w:val="219"/>
        </w:trPr>
        <w:tc>
          <w:tcPr>
            <w:tcW w:w="3180" w:type="dxa"/>
            <w:vAlign w:val="bottom"/>
          </w:tcPr>
          <w:p>
            <w:pPr>
              <w:ind w:left="180"/>
              <w:spacing w:after="0"/>
              <w:rPr>
                <w:sz w:val="20"/>
                <w:szCs w:val="20"/>
                <w:color w:val="auto"/>
              </w:rPr>
            </w:pPr>
            <w:r>
              <w:rPr>
                <w:rFonts w:ascii="Arial" w:cs="Arial" w:eastAsia="Arial" w:hAnsi="Arial"/>
                <w:sz w:val="17"/>
                <w:szCs w:val="17"/>
                <w:color w:val="auto"/>
              </w:rPr>
              <w:t>Goodyear (S)</w:t>
            </w:r>
          </w:p>
        </w:tc>
        <w:tc>
          <w:tcPr>
            <w:tcW w:w="3280" w:type="dxa"/>
            <w:vAlign w:val="bottom"/>
          </w:tcPr>
          <w:p>
            <w:pPr>
              <w:ind w:left="940"/>
              <w:spacing w:after="0"/>
              <w:rPr>
                <w:sz w:val="20"/>
                <w:szCs w:val="20"/>
                <w:color w:val="auto"/>
              </w:rPr>
            </w:pPr>
            <w:r>
              <w:rPr>
                <w:rFonts w:ascii="Arial" w:cs="Arial" w:eastAsia="Arial" w:hAnsi="Arial"/>
                <w:sz w:val="17"/>
                <w:szCs w:val="17"/>
                <w:color w:val="auto"/>
              </w:rPr>
              <w:t>Hyannis (S)</w:t>
            </w:r>
          </w:p>
        </w:tc>
        <w:tc>
          <w:tcPr>
            <w:tcW w:w="2580" w:type="dxa"/>
            <w:vAlign w:val="bottom"/>
          </w:tcPr>
          <w:p>
            <w:pPr>
              <w:ind w:left="1340"/>
              <w:spacing w:after="0"/>
              <w:rPr>
                <w:sz w:val="20"/>
                <w:szCs w:val="20"/>
                <w:color w:val="auto"/>
              </w:rPr>
            </w:pPr>
            <w:r>
              <w:rPr>
                <w:rFonts w:ascii="Arial" w:cs="Arial" w:eastAsia="Arial" w:hAnsi="Arial"/>
                <w:sz w:val="17"/>
                <w:szCs w:val="17"/>
                <w:color w:val="auto"/>
              </w:rPr>
              <w:t>Denver (S)</w:t>
            </w:r>
          </w:p>
        </w:tc>
      </w:tr>
      <w:tr>
        <w:trPr>
          <w:trHeight w:val="219"/>
        </w:trPr>
        <w:tc>
          <w:tcPr>
            <w:tcW w:w="3180" w:type="dxa"/>
            <w:vAlign w:val="bottom"/>
          </w:tcPr>
          <w:p>
            <w:pPr>
              <w:ind w:left="100"/>
              <w:spacing w:after="0"/>
              <w:rPr>
                <w:sz w:val="20"/>
                <w:szCs w:val="20"/>
                <w:color w:val="auto"/>
              </w:rPr>
            </w:pPr>
            <w:r>
              <w:rPr>
                <w:rFonts w:ascii="Arial" w:cs="Arial" w:eastAsia="Arial" w:hAnsi="Arial"/>
                <w:sz w:val="17"/>
                <w:szCs w:val="17"/>
                <w:b w:val="1"/>
                <w:bCs w:val="1"/>
                <w:i w:val="1"/>
                <w:iCs w:val="1"/>
                <w:color w:val="auto"/>
              </w:rPr>
              <w:t>California</w:t>
            </w:r>
          </w:p>
        </w:tc>
        <w:tc>
          <w:tcPr>
            <w:tcW w:w="3280" w:type="dxa"/>
            <w:vAlign w:val="bottom"/>
          </w:tcPr>
          <w:p>
            <w:pPr>
              <w:ind w:left="860"/>
              <w:spacing w:after="0"/>
              <w:rPr>
                <w:sz w:val="20"/>
                <w:szCs w:val="20"/>
                <w:color w:val="auto"/>
              </w:rPr>
            </w:pPr>
            <w:r>
              <w:rPr>
                <w:rFonts w:ascii="Arial" w:cs="Arial" w:eastAsia="Arial" w:hAnsi="Arial"/>
                <w:sz w:val="17"/>
                <w:szCs w:val="17"/>
                <w:b w:val="1"/>
                <w:bCs w:val="1"/>
                <w:i w:val="1"/>
                <w:iCs w:val="1"/>
                <w:color w:val="auto"/>
              </w:rPr>
              <w:t>North Carolina</w:t>
            </w:r>
          </w:p>
        </w:tc>
        <w:tc>
          <w:tcPr>
            <w:tcW w:w="2580" w:type="dxa"/>
            <w:vAlign w:val="bottom"/>
          </w:tcPr>
          <w:p>
            <w:pPr>
              <w:ind w:left="1340"/>
              <w:spacing w:after="0"/>
              <w:rPr>
                <w:sz w:val="20"/>
                <w:szCs w:val="20"/>
                <w:color w:val="auto"/>
              </w:rPr>
            </w:pPr>
            <w:r>
              <w:rPr>
                <w:rFonts w:ascii="Arial" w:cs="Arial" w:eastAsia="Arial" w:hAnsi="Arial"/>
                <w:sz w:val="17"/>
                <w:szCs w:val="17"/>
                <w:color w:val="auto"/>
                <w:w w:val="94"/>
              </w:rPr>
              <w:t>Downingtown (S)</w:t>
            </w:r>
          </w:p>
        </w:tc>
      </w:tr>
      <w:tr>
        <w:trPr>
          <w:trHeight w:val="219"/>
        </w:trPr>
        <w:tc>
          <w:tcPr>
            <w:tcW w:w="3180" w:type="dxa"/>
            <w:vAlign w:val="bottom"/>
          </w:tcPr>
          <w:p>
            <w:pPr>
              <w:ind w:left="180"/>
              <w:spacing w:after="0"/>
              <w:rPr>
                <w:sz w:val="20"/>
                <w:szCs w:val="20"/>
                <w:color w:val="auto"/>
              </w:rPr>
            </w:pPr>
            <w:r>
              <w:rPr>
                <w:rFonts w:ascii="Arial" w:cs="Arial" w:eastAsia="Arial" w:hAnsi="Arial"/>
                <w:sz w:val="17"/>
                <w:szCs w:val="17"/>
                <w:color w:val="auto"/>
              </w:rPr>
              <w:t>Dixon (MB)</w:t>
            </w:r>
          </w:p>
        </w:tc>
        <w:tc>
          <w:tcPr>
            <w:tcW w:w="3280" w:type="dxa"/>
            <w:vAlign w:val="bottom"/>
          </w:tcPr>
          <w:p>
            <w:pPr>
              <w:ind w:left="940"/>
              <w:spacing w:after="0"/>
              <w:rPr>
                <w:sz w:val="20"/>
                <w:szCs w:val="20"/>
                <w:color w:val="auto"/>
              </w:rPr>
            </w:pPr>
            <w:r>
              <w:rPr>
                <w:rFonts w:ascii="Arial" w:cs="Arial" w:eastAsia="Arial" w:hAnsi="Arial"/>
                <w:sz w:val="17"/>
                <w:szCs w:val="17"/>
                <w:color w:val="auto"/>
              </w:rPr>
              <w:t>Charlotte (S)</w:t>
            </w:r>
          </w:p>
        </w:tc>
        <w:tc>
          <w:tcPr>
            <w:tcW w:w="2580" w:type="dxa"/>
            <w:vAlign w:val="bottom"/>
          </w:tcPr>
          <w:p>
            <w:pPr>
              <w:ind w:left="1340"/>
              <w:spacing w:after="0"/>
              <w:rPr>
                <w:sz w:val="20"/>
                <w:szCs w:val="20"/>
                <w:color w:val="auto"/>
              </w:rPr>
            </w:pPr>
            <w:r>
              <w:rPr>
                <w:rFonts w:ascii="Arial" w:cs="Arial" w:eastAsia="Arial" w:hAnsi="Arial"/>
                <w:sz w:val="17"/>
                <w:szCs w:val="17"/>
                <w:color w:val="auto"/>
              </w:rPr>
              <w:t>Hanover (S)</w:t>
            </w:r>
          </w:p>
        </w:tc>
      </w:tr>
      <w:tr>
        <w:trPr>
          <w:trHeight w:val="219"/>
        </w:trPr>
        <w:tc>
          <w:tcPr>
            <w:tcW w:w="3180" w:type="dxa"/>
            <w:vAlign w:val="bottom"/>
          </w:tcPr>
          <w:p>
            <w:pPr>
              <w:ind w:left="180"/>
              <w:spacing w:after="0"/>
              <w:rPr>
                <w:sz w:val="20"/>
                <w:szCs w:val="20"/>
                <w:color w:val="auto"/>
              </w:rPr>
            </w:pPr>
            <w:r>
              <w:rPr>
                <w:rFonts w:ascii="Arial" w:cs="Arial" w:eastAsia="Arial" w:hAnsi="Arial"/>
                <w:sz w:val="17"/>
                <w:szCs w:val="17"/>
                <w:color w:val="auto"/>
              </w:rPr>
              <w:t>Stockton (MB)</w:t>
            </w:r>
          </w:p>
        </w:tc>
        <w:tc>
          <w:tcPr>
            <w:tcW w:w="3280" w:type="dxa"/>
            <w:vAlign w:val="bottom"/>
          </w:tcPr>
          <w:p>
            <w:pPr>
              <w:ind w:left="940"/>
              <w:spacing w:after="0"/>
              <w:rPr>
                <w:sz w:val="20"/>
                <w:szCs w:val="20"/>
                <w:color w:val="auto"/>
              </w:rPr>
            </w:pPr>
            <w:r>
              <w:rPr>
                <w:rFonts w:ascii="Arial" w:cs="Arial" w:eastAsia="Arial" w:hAnsi="Arial"/>
                <w:sz w:val="17"/>
                <w:szCs w:val="17"/>
                <w:color w:val="auto"/>
              </w:rPr>
              <w:t>Maxton (MB)</w:t>
            </w:r>
          </w:p>
        </w:tc>
        <w:tc>
          <w:tcPr>
            <w:tcW w:w="2580" w:type="dxa"/>
            <w:vAlign w:val="bottom"/>
          </w:tcPr>
          <w:p>
            <w:pPr>
              <w:ind w:left="1260"/>
              <w:spacing w:after="0"/>
              <w:rPr>
                <w:sz w:val="20"/>
                <w:szCs w:val="20"/>
                <w:color w:val="auto"/>
              </w:rPr>
            </w:pPr>
            <w:r>
              <w:rPr>
                <w:rFonts w:ascii="Arial" w:cs="Arial" w:eastAsia="Arial" w:hAnsi="Arial"/>
                <w:sz w:val="17"/>
                <w:szCs w:val="17"/>
                <w:b w:val="1"/>
                <w:bCs w:val="1"/>
                <w:i w:val="1"/>
                <w:iCs w:val="1"/>
                <w:color w:val="auto"/>
              </w:rPr>
              <w:t>Texas</w:t>
            </w:r>
          </w:p>
        </w:tc>
      </w:tr>
      <w:tr>
        <w:trPr>
          <w:trHeight w:val="219"/>
        </w:trPr>
        <w:tc>
          <w:tcPr>
            <w:tcW w:w="3180" w:type="dxa"/>
            <w:vAlign w:val="bottom"/>
          </w:tcPr>
          <w:p>
            <w:pPr>
              <w:ind w:left="100"/>
              <w:spacing w:after="0"/>
              <w:rPr>
                <w:sz w:val="20"/>
                <w:szCs w:val="20"/>
                <w:color w:val="auto"/>
              </w:rPr>
            </w:pPr>
            <w:r>
              <w:rPr>
                <w:rFonts w:ascii="Arial" w:cs="Arial" w:eastAsia="Arial" w:hAnsi="Arial"/>
                <w:sz w:val="17"/>
                <w:szCs w:val="17"/>
                <w:b w:val="1"/>
                <w:bCs w:val="1"/>
                <w:i w:val="1"/>
                <w:iCs w:val="1"/>
                <w:color w:val="auto"/>
              </w:rPr>
              <w:t>Connecticut</w:t>
            </w:r>
          </w:p>
        </w:tc>
        <w:tc>
          <w:tcPr>
            <w:tcW w:w="3280" w:type="dxa"/>
            <w:vAlign w:val="bottom"/>
          </w:tcPr>
          <w:p>
            <w:pPr>
              <w:ind w:left="860"/>
              <w:spacing w:after="0"/>
              <w:rPr>
                <w:sz w:val="20"/>
                <w:szCs w:val="20"/>
                <w:color w:val="auto"/>
              </w:rPr>
            </w:pPr>
            <w:r>
              <w:rPr>
                <w:rFonts w:ascii="Arial" w:cs="Arial" w:eastAsia="Arial" w:hAnsi="Arial"/>
                <w:sz w:val="17"/>
                <w:szCs w:val="17"/>
                <w:b w:val="1"/>
                <w:bCs w:val="1"/>
                <w:i w:val="1"/>
                <w:iCs w:val="1"/>
                <w:color w:val="auto"/>
              </w:rPr>
              <w:t>Ohio</w:t>
            </w:r>
          </w:p>
        </w:tc>
        <w:tc>
          <w:tcPr>
            <w:tcW w:w="2580" w:type="dxa"/>
            <w:vAlign w:val="bottom"/>
          </w:tcPr>
          <w:p>
            <w:pPr>
              <w:ind w:left="1340"/>
              <w:spacing w:after="0"/>
              <w:rPr>
                <w:sz w:val="20"/>
                <w:szCs w:val="20"/>
                <w:color w:val="auto"/>
              </w:rPr>
            </w:pPr>
            <w:r>
              <w:rPr>
                <w:rFonts w:ascii="Arial" w:cs="Arial" w:eastAsia="Arial" w:hAnsi="Arial"/>
                <w:sz w:val="17"/>
                <w:szCs w:val="17"/>
                <w:color w:val="auto"/>
              </w:rPr>
              <w:t>Paris (MB)</w:t>
            </w:r>
          </w:p>
        </w:tc>
      </w:tr>
      <w:tr>
        <w:trPr>
          <w:trHeight w:val="219"/>
        </w:trPr>
        <w:tc>
          <w:tcPr>
            <w:tcW w:w="3180" w:type="dxa"/>
            <w:vAlign w:val="bottom"/>
          </w:tcPr>
          <w:p>
            <w:pPr>
              <w:ind w:left="180"/>
              <w:spacing w:after="0"/>
              <w:rPr>
                <w:sz w:val="20"/>
                <w:szCs w:val="20"/>
                <w:color w:val="auto"/>
              </w:rPr>
            </w:pPr>
            <w:r>
              <w:rPr>
                <w:rFonts w:ascii="Arial" w:cs="Arial" w:eastAsia="Arial" w:hAnsi="Arial"/>
                <w:sz w:val="17"/>
                <w:szCs w:val="17"/>
                <w:color w:val="auto"/>
              </w:rPr>
              <w:t>Bloomfield (S)</w:t>
            </w:r>
          </w:p>
        </w:tc>
        <w:tc>
          <w:tcPr>
            <w:tcW w:w="3280" w:type="dxa"/>
            <w:vAlign w:val="bottom"/>
          </w:tcPr>
          <w:p>
            <w:pPr>
              <w:ind w:left="940"/>
              <w:spacing w:after="0"/>
              <w:rPr>
                <w:sz w:val="20"/>
                <w:szCs w:val="20"/>
                <w:color w:val="auto"/>
              </w:rPr>
            </w:pPr>
            <w:r>
              <w:rPr>
                <w:rFonts w:ascii="Arial" w:cs="Arial" w:eastAsia="Arial" w:hAnsi="Arial"/>
                <w:sz w:val="17"/>
                <w:szCs w:val="17"/>
                <w:color w:val="auto"/>
              </w:rPr>
              <w:t>Ashland (S)</w:t>
            </w:r>
          </w:p>
        </w:tc>
        <w:tc>
          <w:tcPr>
            <w:tcW w:w="2580" w:type="dxa"/>
            <w:vAlign w:val="bottom"/>
          </w:tcPr>
          <w:p>
            <w:pPr>
              <w:ind w:left="1260"/>
              <w:spacing w:after="0"/>
              <w:rPr>
                <w:sz w:val="20"/>
                <w:szCs w:val="20"/>
                <w:color w:val="auto"/>
              </w:rPr>
            </w:pPr>
            <w:r>
              <w:rPr>
                <w:rFonts w:ascii="Arial" w:cs="Arial" w:eastAsia="Arial" w:hAnsi="Arial"/>
                <w:sz w:val="17"/>
                <w:szCs w:val="17"/>
                <w:b w:val="1"/>
                <w:bCs w:val="1"/>
                <w:i w:val="1"/>
                <w:iCs w:val="1"/>
                <w:color w:val="auto"/>
              </w:rPr>
              <w:t>Utah</w:t>
            </w:r>
          </w:p>
        </w:tc>
      </w:tr>
      <w:tr>
        <w:trPr>
          <w:trHeight w:val="219"/>
        </w:trPr>
        <w:tc>
          <w:tcPr>
            <w:tcW w:w="3180" w:type="dxa"/>
            <w:vAlign w:val="bottom"/>
          </w:tcPr>
          <w:p>
            <w:pPr>
              <w:ind w:left="100"/>
              <w:spacing w:after="0"/>
              <w:rPr>
                <w:sz w:val="20"/>
                <w:szCs w:val="20"/>
                <w:color w:val="auto"/>
              </w:rPr>
            </w:pPr>
            <w:r>
              <w:rPr>
                <w:rFonts w:ascii="Arial" w:cs="Arial" w:eastAsia="Arial" w:hAnsi="Arial"/>
                <w:sz w:val="17"/>
                <w:szCs w:val="17"/>
                <w:b w:val="1"/>
                <w:bCs w:val="1"/>
                <w:i w:val="1"/>
                <w:iCs w:val="1"/>
                <w:color w:val="auto"/>
              </w:rPr>
              <w:t>Florida</w:t>
            </w:r>
          </w:p>
        </w:tc>
        <w:tc>
          <w:tcPr>
            <w:tcW w:w="3280" w:type="dxa"/>
            <w:vAlign w:val="bottom"/>
          </w:tcPr>
          <w:p>
            <w:pPr>
              <w:ind w:left="940"/>
              <w:spacing w:after="0"/>
              <w:rPr>
                <w:sz w:val="20"/>
                <w:szCs w:val="20"/>
                <w:color w:val="auto"/>
              </w:rPr>
            </w:pPr>
            <w:r>
              <w:rPr>
                <w:rFonts w:ascii="Arial" w:cs="Arial" w:eastAsia="Arial" w:hAnsi="Arial"/>
                <w:sz w:val="17"/>
                <w:szCs w:val="17"/>
                <w:color w:val="auto"/>
              </w:rPr>
              <w:t>Napoleon (MB)</w:t>
            </w:r>
          </w:p>
        </w:tc>
        <w:tc>
          <w:tcPr>
            <w:tcW w:w="2580" w:type="dxa"/>
            <w:vAlign w:val="bottom"/>
          </w:tcPr>
          <w:p>
            <w:pPr>
              <w:ind w:left="1340"/>
              <w:spacing w:after="0"/>
              <w:rPr>
                <w:sz w:val="20"/>
                <w:szCs w:val="20"/>
                <w:color w:val="auto"/>
              </w:rPr>
            </w:pPr>
            <w:r>
              <w:rPr>
                <w:rFonts w:ascii="Arial" w:cs="Arial" w:eastAsia="Arial" w:hAnsi="Arial"/>
                <w:sz w:val="17"/>
                <w:szCs w:val="17"/>
                <w:color w:val="auto"/>
              </w:rPr>
              <w:t>Richmond (S)</w:t>
            </w:r>
          </w:p>
        </w:tc>
      </w:tr>
      <w:tr>
        <w:trPr>
          <w:trHeight w:val="219"/>
        </w:trPr>
        <w:tc>
          <w:tcPr>
            <w:tcW w:w="3180" w:type="dxa"/>
            <w:vAlign w:val="bottom"/>
          </w:tcPr>
          <w:p>
            <w:pPr>
              <w:ind w:left="180"/>
              <w:spacing w:after="0"/>
              <w:rPr>
                <w:sz w:val="20"/>
                <w:szCs w:val="20"/>
                <w:color w:val="auto"/>
              </w:rPr>
            </w:pPr>
            <w:r>
              <w:rPr>
                <w:rFonts w:ascii="Arial" w:cs="Arial" w:eastAsia="Arial" w:hAnsi="Arial"/>
                <w:sz w:val="17"/>
                <w:szCs w:val="17"/>
                <w:color w:val="auto"/>
              </w:rPr>
              <w:t>Lakeland (S)</w:t>
            </w:r>
          </w:p>
        </w:tc>
        <w:tc>
          <w:tcPr>
            <w:tcW w:w="3280" w:type="dxa"/>
            <w:vAlign w:val="bottom"/>
          </w:tcPr>
          <w:p>
            <w:pPr>
              <w:ind w:left="940"/>
              <w:spacing w:after="0"/>
              <w:rPr>
                <w:sz w:val="20"/>
                <w:szCs w:val="20"/>
                <w:color w:val="auto"/>
              </w:rPr>
            </w:pPr>
            <w:r>
              <w:rPr>
                <w:rFonts w:ascii="Arial" w:cs="Arial" w:eastAsia="Arial" w:hAnsi="Arial"/>
                <w:sz w:val="17"/>
                <w:szCs w:val="17"/>
                <w:color w:val="auto"/>
              </w:rPr>
              <w:t>Willard (S)</w:t>
            </w:r>
          </w:p>
        </w:tc>
        <w:tc>
          <w:tcPr>
            <w:tcW w:w="2580" w:type="dxa"/>
            <w:vAlign w:val="bottom"/>
          </w:tcPr>
          <w:p>
            <w:pPr>
              <w:ind w:left="1260"/>
              <w:spacing w:after="0"/>
              <w:rPr>
                <w:sz w:val="20"/>
                <w:szCs w:val="20"/>
                <w:color w:val="auto"/>
              </w:rPr>
            </w:pPr>
            <w:r>
              <w:rPr>
                <w:rFonts w:ascii="Arial" w:cs="Arial" w:eastAsia="Arial" w:hAnsi="Arial"/>
                <w:sz w:val="17"/>
                <w:szCs w:val="17"/>
                <w:b w:val="1"/>
                <w:bCs w:val="1"/>
                <w:i w:val="1"/>
                <w:iCs w:val="1"/>
                <w:color w:val="auto"/>
              </w:rPr>
              <w:t>Wisconsin</w:t>
            </w:r>
          </w:p>
        </w:tc>
      </w:tr>
      <w:tr>
        <w:trPr>
          <w:trHeight w:val="219"/>
        </w:trPr>
        <w:tc>
          <w:tcPr>
            <w:tcW w:w="3180" w:type="dxa"/>
            <w:vAlign w:val="bottom"/>
          </w:tcPr>
          <w:p>
            <w:pPr>
              <w:ind w:left="100"/>
              <w:spacing w:after="0"/>
              <w:rPr>
                <w:sz w:val="20"/>
                <w:szCs w:val="20"/>
                <w:color w:val="auto"/>
              </w:rPr>
            </w:pPr>
            <w:r>
              <w:rPr>
                <w:rFonts w:ascii="Arial" w:cs="Arial" w:eastAsia="Arial" w:hAnsi="Arial"/>
                <w:sz w:val="17"/>
                <w:szCs w:val="17"/>
                <w:b w:val="1"/>
                <w:bCs w:val="1"/>
                <w:i w:val="1"/>
                <w:iCs w:val="1"/>
                <w:color w:val="auto"/>
              </w:rPr>
              <w:t>Illinois</w:t>
            </w:r>
          </w:p>
        </w:tc>
        <w:tc>
          <w:tcPr>
            <w:tcW w:w="3280" w:type="dxa"/>
            <w:vAlign w:val="bottom"/>
          </w:tcPr>
          <w:p>
            <w:pPr>
              <w:ind w:left="860"/>
              <w:spacing w:after="0"/>
              <w:rPr>
                <w:sz w:val="20"/>
                <w:szCs w:val="20"/>
                <w:color w:val="auto"/>
              </w:rPr>
            </w:pPr>
            <w:r>
              <w:rPr>
                <w:rFonts w:ascii="Arial" w:cs="Arial" w:eastAsia="Arial" w:hAnsi="Arial"/>
                <w:sz w:val="17"/>
                <w:szCs w:val="17"/>
                <w:b w:val="1"/>
                <w:bCs w:val="1"/>
                <w:i w:val="1"/>
                <w:iCs w:val="1"/>
                <w:color w:val="auto"/>
              </w:rPr>
              <w:t>Oregon</w:t>
            </w:r>
          </w:p>
        </w:tc>
        <w:tc>
          <w:tcPr>
            <w:tcW w:w="2580" w:type="dxa"/>
            <w:vAlign w:val="bottom"/>
          </w:tcPr>
          <w:p>
            <w:pPr>
              <w:ind w:left="1340"/>
              <w:spacing w:after="0"/>
              <w:rPr>
                <w:sz w:val="20"/>
                <w:szCs w:val="20"/>
                <w:color w:val="auto"/>
              </w:rPr>
            </w:pPr>
            <w:r>
              <w:rPr>
                <w:rFonts w:ascii="Arial" w:cs="Arial" w:eastAsia="Arial" w:hAnsi="Arial"/>
                <w:sz w:val="17"/>
                <w:szCs w:val="17"/>
                <w:color w:val="auto"/>
              </w:rPr>
              <w:t>Beloit (S)</w:t>
            </w:r>
          </w:p>
        </w:tc>
      </w:tr>
      <w:tr>
        <w:trPr>
          <w:trHeight w:val="219"/>
        </w:trPr>
        <w:tc>
          <w:tcPr>
            <w:tcW w:w="3180" w:type="dxa"/>
            <w:vAlign w:val="bottom"/>
          </w:tcPr>
          <w:p>
            <w:pPr>
              <w:ind w:left="180"/>
              <w:spacing w:after="0"/>
              <w:rPr>
                <w:sz w:val="20"/>
                <w:szCs w:val="20"/>
                <w:color w:val="auto"/>
              </w:rPr>
            </w:pPr>
            <w:r>
              <w:rPr>
                <w:rFonts w:ascii="Arial" w:cs="Arial" w:eastAsia="Arial" w:hAnsi="Arial"/>
                <w:sz w:val="17"/>
                <w:szCs w:val="17"/>
                <w:color w:val="auto"/>
              </w:rPr>
              <w:t>Downers Grove (S)</w:t>
            </w:r>
          </w:p>
        </w:tc>
        <w:tc>
          <w:tcPr>
            <w:tcW w:w="3280" w:type="dxa"/>
            <w:vAlign w:val="bottom"/>
          </w:tcPr>
          <w:p>
            <w:pPr>
              <w:ind w:left="940"/>
              <w:spacing w:after="0"/>
              <w:rPr>
                <w:sz w:val="20"/>
                <w:szCs w:val="20"/>
                <w:color w:val="auto"/>
              </w:rPr>
            </w:pPr>
            <w:r>
              <w:rPr>
                <w:rFonts w:ascii="Arial" w:cs="Arial" w:eastAsia="Arial" w:hAnsi="Arial"/>
                <w:sz w:val="17"/>
                <w:szCs w:val="17"/>
                <w:color w:val="auto"/>
              </w:rPr>
              <w:t>Salem (S)</w:t>
            </w:r>
          </w:p>
        </w:tc>
        <w:tc>
          <w:tcPr>
            <w:tcW w:w="2580" w:type="dxa"/>
            <w:vAlign w:val="bottom"/>
          </w:tcPr>
          <w:p>
            <w:pPr>
              <w:ind w:left="1340"/>
              <w:spacing w:after="0"/>
              <w:rPr>
                <w:sz w:val="20"/>
                <w:szCs w:val="20"/>
                <w:color w:val="auto"/>
              </w:rPr>
            </w:pPr>
            <w:r>
              <w:rPr>
                <w:rFonts w:ascii="Arial" w:cs="Arial" w:eastAsia="Arial" w:hAnsi="Arial"/>
                <w:sz w:val="17"/>
                <w:szCs w:val="17"/>
                <w:color w:val="auto"/>
              </w:rPr>
              <w:t>Franklin (S)</w:t>
            </w:r>
          </w:p>
        </w:tc>
      </w:tr>
      <w:tr>
        <w:trPr>
          <w:trHeight w:val="219"/>
        </w:trPr>
        <w:tc>
          <w:tcPr>
            <w:tcW w:w="3180" w:type="dxa"/>
            <w:vAlign w:val="bottom"/>
          </w:tcPr>
          <w:p>
            <w:pPr>
              <w:ind w:left="100"/>
              <w:spacing w:after="0"/>
              <w:rPr>
                <w:sz w:val="20"/>
                <w:szCs w:val="20"/>
                <w:color w:val="auto"/>
              </w:rPr>
            </w:pPr>
            <w:r>
              <w:rPr>
                <w:rFonts w:ascii="Arial" w:cs="Arial" w:eastAsia="Arial" w:hAnsi="Arial"/>
                <w:sz w:val="17"/>
                <w:szCs w:val="17"/>
                <w:b w:val="1"/>
                <w:bCs w:val="1"/>
                <w:i w:val="1"/>
                <w:iCs w:val="1"/>
                <w:color w:val="auto"/>
              </w:rPr>
              <w:t>Indiana</w:t>
            </w:r>
          </w:p>
        </w:tc>
        <w:tc>
          <w:tcPr>
            <w:tcW w:w="3280" w:type="dxa"/>
            <w:vAlign w:val="bottom"/>
          </w:tcPr>
          <w:p>
            <w:pPr>
              <w:ind w:left="940"/>
              <w:spacing w:after="0"/>
              <w:rPr>
                <w:sz w:val="20"/>
                <w:szCs w:val="20"/>
                <w:color w:val="auto"/>
              </w:rPr>
            </w:pPr>
            <w:r>
              <w:rPr>
                <w:rFonts w:ascii="Arial" w:cs="Arial" w:eastAsia="Arial" w:hAnsi="Arial"/>
                <w:sz w:val="17"/>
                <w:szCs w:val="17"/>
                <w:color w:val="auto"/>
              </w:rPr>
              <w:t>Tualatin (MB)</w:t>
            </w:r>
          </w:p>
        </w:tc>
        <w:tc>
          <w:tcPr>
            <w:tcW w:w="2580" w:type="dxa"/>
            <w:vAlign w:val="bottom"/>
          </w:tcPr>
          <w:p>
            <w:pPr>
              <w:ind w:left="1340"/>
              <w:spacing w:after="0"/>
              <w:rPr>
                <w:sz w:val="20"/>
                <w:szCs w:val="20"/>
                <w:color w:val="auto"/>
              </w:rPr>
            </w:pPr>
            <w:r>
              <w:rPr>
                <w:rFonts w:ascii="Arial" w:cs="Arial" w:eastAsia="Arial" w:hAnsi="Arial"/>
                <w:sz w:val="17"/>
                <w:szCs w:val="17"/>
                <w:color w:val="auto"/>
              </w:rPr>
              <w:t>Milwaukee (MB)</w:t>
            </w:r>
          </w:p>
        </w:tc>
      </w:tr>
      <w:tr>
        <w:trPr>
          <w:trHeight w:val="219"/>
        </w:trPr>
        <w:tc>
          <w:tcPr>
            <w:tcW w:w="3180" w:type="dxa"/>
            <w:vAlign w:val="bottom"/>
          </w:tcPr>
          <w:p>
            <w:pPr>
              <w:ind w:left="180"/>
              <w:spacing w:after="0"/>
              <w:rPr>
                <w:sz w:val="20"/>
                <w:szCs w:val="20"/>
                <w:color w:val="auto"/>
              </w:rPr>
            </w:pPr>
            <w:r>
              <w:rPr>
                <w:rFonts w:ascii="Arial" w:cs="Arial" w:eastAsia="Arial" w:hAnsi="Arial"/>
                <w:sz w:val="17"/>
                <w:szCs w:val="17"/>
                <w:color w:val="auto"/>
              </w:rPr>
              <w:t>Jeffersonville (S)</w:t>
            </w:r>
          </w:p>
        </w:tc>
        <w:tc>
          <w:tcPr>
            <w:tcW w:w="328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285"/>
        </w:trPr>
        <w:tc>
          <w:tcPr>
            <w:tcW w:w="3180" w:type="dxa"/>
            <w:vAlign w:val="bottom"/>
          </w:tcPr>
          <w:p>
            <w:pPr>
              <w:spacing w:after="0"/>
              <w:rPr>
                <w:sz w:val="20"/>
                <w:szCs w:val="20"/>
                <w:color w:val="auto"/>
              </w:rPr>
            </w:pPr>
            <w:r>
              <w:rPr>
                <w:rFonts w:ascii="Arial" w:cs="Arial" w:eastAsia="Arial" w:hAnsi="Arial"/>
                <w:sz w:val="15"/>
                <w:szCs w:val="15"/>
                <w:color w:val="auto"/>
              </w:rPr>
              <w:t>______________________________</w:t>
            </w:r>
          </w:p>
        </w:tc>
        <w:tc>
          <w:tcPr>
            <w:tcW w:w="328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06"/>
        </w:trPr>
        <w:tc>
          <w:tcPr>
            <w:tcW w:w="3180" w:type="dxa"/>
            <w:vAlign w:val="bottom"/>
          </w:tcPr>
          <w:p>
            <w:pPr>
              <w:spacing w:after="0"/>
              <w:rPr>
                <w:sz w:val="20"/>
                <w:szCs w:val="20"/>
                <w:color w:val="auto"/>
              </w:rPr>
            </w:pPr>
            <w:r>
              <w:rPr>
                <w:rFonts w:ascii="Arial" w:cs="Arial" w:eastAsia="Arial" w:hAnsi="Arial"/>
                <w:sz w:val="17"/>
                <w:szCs w:val="17"/>
                <w:color w:val="auto"/>
              </w:rPr>
              <w:t>MB - Meals &amp; Beverages</w:t>
            </w:r>
          </w:p>
        </w:tc>
        <w:tc>
          <w:tcPr>
            <w:tcW w:w="328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17"/>
        </w:trPr>
        <w:tc>
          <w:tcPr>
            <w:tcW w:w="3180" w:type="dxa"/>
            <w:vAlign w:val="bottom"/>
          </w:tcPr>
          <w:p>
            <w:pPr>
              <w:spacing w:after="0"/>
              <w:rPr>
                <w:sz w:val="20"/>
                <w:szCs w:val="20"/>
                <w:color w:val="auto"/>
              </w:rPr>
            </w:pPr>
            <w:r>
              <w:rPr>
                <w:rFonts w:ascii="Arial" w:cs="Arial" w:eastAsia="Arial" w:hAnsi="Arial"/>
                <w:sz w:val="17"/>
                <w:szCs w:val="17"/>
                <w:color w:val="auto"/>
              </w:rPr>
              <w:t>S - Snacks</w:t>
            </w:r>
          </w:p>
        </w:tc>
        <w:tc>
          <w:tcPr>
            <w:tcW w:w="3280" w:type="dxa"/>
            <w:vAlign w:val="bottom"/>
          </w:tcPr>
          <w:p>
            <w:pPr>
              <w:spacing w:after="0"/>
              <w:rPr>
                <w:sz w:val="18"/>
                <w:szCs w:val="18"/>
                <w:color w:val="auto"/>
              </w:rPr>
            </w:pPr>
          </w:p>
        </w:tc>
        <w:tc>
          <w:tcPr>
            <w:tcW w:w="2580" w:type="dxa"/>
            <w:vAlign w:val="bottom"/>
          </w:tcPr>
          <w:p>
            <w:pPr>
              <w:spacing w:after="0"/>
              <w:rPr>
                <w:sz w:val="18"/>
                <w:szCs w:val="18"/>
                <w:color w:val="auto"/>
              </w:rPr>
            </w:pPr>
          </w:p>
        </w:tc>
      </w:tr>
    </w:tbl>
    <w:p>
      <w:pPr>
        <w:spacing w:after="0" w:line="79"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Each of the foregoing manufacturing facilities is company-owned, except the Tualatin, Oregon facility, which is leased. We also maintain principal business unit offices in Charlotte, North Carolina; Doral, Florida; Hanover, Pennsylvania; Norwalk, Connecticut; Tualatin, Oregon; and Mississauga, Canada. In the second quarter of 2023, we announced plans to consolidate our Snacks offices in Charlotte, North Carolina, and Norwalk, Connecticut, into our headquarters in Camden, New Jersey.</w:t>
      </w:r>
    </w:p>
    <w:p>
      <w:pPr>
        <w:spacing w:after="0" w:line="51"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We also own and lease distribution centers across the U.S. We believe that our manufacturing and processing plants and distribution centers are well maintained and, together with facilities operated by our contract manufacturers, are generally adequate to support the current operations of the businesses.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Legal Proceedings</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Information regarding reportable legal proceedings is contained in Note 17 to the Consolidated Financial Statements and incorporated herein by reference.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124460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Mine Safety Disclosures</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about our Executive Officers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section below provides information regarding our executive officers as of September 13, 2023:</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left="60"/>
        <w:spacing w:after="0"/>
        <w:rPr>
          <w:sz w:val="20"/>
          <w:szCs w:val="20"/>
          <w:color w:val="auto"/>
        </w:rPr>
      </w:pPr>
      <w:r>
        <w:rPr>
          <w:rFonts w:ascii="Arial" w:cs="Arial" w:eastAsia="Arial" w:hAnsi="Arial"/>
          <w:sz w:val="17"/>
          <w:szCs w:val="17"/>
          <w:b w:val="1"/>
          <w:bCs w:val="1"/>
          <w:u w:val="single" w:color="auto"/>
          <w:color w:val="auto"/>
        </w:rPr>
        <w:t>Name, Present Title &amp;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122160" cy="286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2160" cy="286385"/>
                    </a:xfrm>
                    <a:prstGeom prst="rect">
                      <a:avLst/>
                    </a:prstGeom>
                    <a:noFill/>
                  </pic:spPr>
                </pic:pic>
              </a:graphicData>
            </a:graphic>
          </wp:anchor>
        </w:drawing>
      </w:r>
    </w:p>
    <w:p>
      <w:pPr>
        <w:spacing w:after="0" w:line="22" w:lineRule="exact"/>
        <w:rPr>
          <w:sz w:val="20"/>
          <w:szCs w:val="20"/>
          <w:color w:val="auto"/>
        </w:rPr>
      </w:pPr>
    </w:p>
    <w:p>
      <w:pPr>
        <w:ind w:left="20"/>
        <w:spacing w:after="0" w:line="293" w:lineRule="auto"/>
        <w:rPr>
          <w:sz w:val="20"/>
          <w:szCs w:val="20"/>
          <w:color w:val="auto"/>
        </w:rPr>
      </w:pPr>
      <w:r>
        <w:rPr>
          <w:rFonts w:ascii="Arial" w:cs="Arial" w:eastAsia="Arial" w:hAnsi="Arial"/>
          <w:sz w:val="16"/>
          <w:szCs w:val="16"/>
          <w:color w:val="auto"/>
        </w:rPr>
        <w:t>Carrie L. Anderson, Executive Vice President and Chief Financial Officer. Executive Vice President and Chief Financial Officer, Integra LifeSciences Holdings Corporation (2019-2023). Vice President and Controller, Dover Corporation (2017-2019).</w:t>
      </w:r>
    </w:p>
    <w:p>
      <w:pPr>
        <w:spacing w:after="0" w:line="1" w:lineRule="exact"/>
        <w:rPr>
          <w:sz w:val="20"/>
          <w:szCs w:val="20"/>
          <w:color w:val="auto"/>
        </w:rPr>
      </w:pPr>
    </w:p>
    <w:p>
      <w:pPr>
        <w:ind w:left="20" w:right="20"/>
        <w:spacing w:after="0" w:line="276" w:lineRule="auto"/>
        <w:rPr>
          <w:sz w:val="20"/>
          <w:szCs w:val="20"/>
          <w:color w:val="auto"/>
        </w:rPr>
      </w:pPr>
      <w:r>
        <w:rPr>
          <w:rFonts w:ascii="Arial" w:cs="Arial" w:eastAsia="Arial" w:hAnsi="Arial"/>
          <w:sz w:val="17"/>
          <w:szCs w:val="17"/>
          <w:color w:val="auto"/>
        </w:rPr>
        <w:t>Mick J. Beekhuizen, Executive Vice President and President, Meals &amp; Beverages. Executive Vice President and Chief Financial Officer (2020-2023). Executive Vice President and Chief Financial Officer, Chobani LLC (2016-2019).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7122160" cy="286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2160" cy="286385"/>
                    </a:xfrm>
                    <a:prstGeom prst="rect">
                      <a:avLst/>
                    </a:prstGeom>
                    <a:noFill/>
                  </pic:spPr>
                </pic:pic>
              </a:graphicData>
            </a:graphic>
          </wp:anchor>
        </w:drawing>
      </w:r>
    </w:p>
    <w:p>
      <w:pPr>
        <w:ind w:left="20" w:right="380"/>
        <w:spacing w:after="0" w:line="276" w:lineRule="auto"/>
        <w:rPr>
          <w:sz w:val="20"/>
          <w:szCs w:val="20"/>
          <w:color w:val="auto"/>
        </w:rPr>
      </w:pPr>
      <w:r>
        <w:rPr>
          <w:rFonts w:ascii="Arial" w:cs="Arial" w:eastAsia="Arial" w:hAnsi="Arial"/>
          <w:sz w:val="17"/>
          <w:szCs w:val="17"/>
          <w:color w:val="auto"/>
        </w:rPr>
        <w:t>Adam G. Ciongoli, Executive Vice President, General Counsel and Chief Sustainability, Corporate Responsibility and Governance Officer. We have employed Mr. Ciongoli in an executive or managerial capacity for at least five years.</w:t>
      </w:r>
    </w:p>
    <w:p>
      <w:pPr>
        <w:spacing w:after="0" w:line="1" w:lineRule="exact"/>
        <w:rPr>
          <w:sz w:val="20"/>
          <w:szCs w:val="20"/>
          <w:color w:val="auto"/>
        </w:rPr>
      </w:pPr>
    </w:p>
    <w:p>
      <w:pPr>
        <w:ind w:left="20" w:right="100"/>
        <w:spacing w:after="0" w:line="293" w:lineRule="auto"/>
        <w:rPr>
          <w:sz w:val="20"/>
          <w:szCs w:val="20"/>
          <w:color w:val="auto"/>
        </w:rPr>
      </w:pPr>
      <w:r>
        <w:rPr>
          <w:rFonts w:ascii="Arial" w:cs="Arial" w:eastAsia="Arial" w:hAnsi="Arial"/>
          <w:sz w:val="16"/>
          <w:szCs w:val="16"/>
          <w:color w:val="auto"/>
        </w:rPr>
        <w:t>Mark A. Clouse, President and Chief Executive Officer. Chief Executive Officer, Pinnacle Foods, Inc. (2016-2018). Chief Commercial Officer (2016) and Executive Vice President and Chief Growth Officer (2014-2016), Mondelez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7122160" cy="286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2160" cy="286385"/>
                    </a:xfrm>
                    <a:prstGeom prst="rect">
                      <a:avLst/>
                    </a:prstGeom>
                    <a:noFill/>
                  </pic:spPr>
                </pic:pic>
              </a:graphicData>
            </a:graphic>
          </wp:anchor>
        </w:drawing>
      </w:r>
    </w:p>
    <w:p>
      <w:pPr>
        <w:ind w:left="20" w:right="380"/>
        <w:spacing w:after="0" w:line="268" w:lineRule="auto"/>
        <w:rPr>
          <w:sz w:val="20"/>
          <w:szCs w:val="20"/>
          <w:color w:val="auto"/>
        </w:rPr>
      </w:pPr>
      <w:r>
        <w:rPr>
          <w:rFonts w:ascii="Arial" w:cs="Arial" w:eastAsia="Arial" w:hAnsi="Arial"/>
          <w:sz w:val="17"/>
          <w:szCs w:val="17"/>
          <w:color w:val="auto"/>
        </w:rPr>
        <w:t>Christopher D. Foley, Executive Vice President and President, Snacks. We have employed Mr. Foley in an executive or managerial capacity for at least five years.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Diane Johnson May, Executive Vice President and Chief Human Resources Officer. Senior Vice President, People and Culture,</w:t>
      </w:r>
    </w:p>
    <w:p>
      <w:pPr>
        <w:ind w:left="20"/>
        <w:spacing w:after="0" w:line="231" w:lineRule="auto"/>
        <w:rPr>
          <w:sz w:val="20"/>
          <w:szCs w:val="20"/>
          <w:color w:val="auto"/>
        </w:rPr>
      </w:pPr>
      <w:r>
        <w:rPr>
          <w:rFonts w:ascii="Arial" w:cs="Arial" w:eastAsia="Arial" w:hAnsi="Arial"/>
          <w:sz w:val="16"/>
          <w:szCs w:val="16"/>
          <w:color w:val="auto"/>
        </w:rPr>
        <w:t>Manpower Group (2020-2021). Executive Vice President, Chief Human Resources Officer, Brookdale Senior Living (2019-2020).</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Managing Vice President, The Deli Source, Inc. (2017-2019).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122160" cy="3600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2160" cy="36004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Daniel L. Poland, Executive Vice President and Chief Supply Chain Officer. Chief Operating Officer, KIND Snacks (2019-2021).</w:t>
      </w:r>
    </w:p>
    <w:p>
      <w:pPr>
        <w:spacing w:after="0" w:line="10" w:lineRule="exact"/>
        <w:rPr>
          <w:sz w:val="20"/>
          <w:szCs w:val="20"/>
          <w:color w:val="auto"/>
        </w:rPr>
      </w:pPr>
    </w:p>
    <w:p>
      <w:pPr>
        <w:ind w:left="20" w:right="500"/>
        <w:spacing w:after="0" w:line="227" w:lineRule="auto"/>
        <w:rPr>
          <w:sz w:val="20"/>
          <w:szCs w:val="20"/>
          <w:color w:val="auto"/>
        </w:rPr>
      </w:pPr>
      <w:r>
        <w:rPr>
          <w:rFonts w:ascii="Arial" w:cs="Arial" w:eastAsia="Arial" w:hAnsi="Arial"/>
          <w:sz w:val="17"/>
          <w:szCs w:val="17"/>
          <w:color w:val="auto"/>
        </w:rPr>
        <w:t>Executive Vice President and Chief Supply Chain Officer, Pinnacle Foods, Inc. (2018-2019). Chief Supply Chain Officer - North American Operations, Danone (2016-2017).</w:t>
      </w:r>
    </w:p>
    <w:p>
      <w:pPr>
        <w:spacing w:after="0" w:line="3" w:lineRule="exact"/>
        <w:rPr>
          <w:sz w:val="20"/>
          <w:szCs w:val="20"/>
          <w:color w:val="auto"/>
        </w:rPr>
      </w:pPr>
    </w:p>
    <w:p>
      <w:pPr>
        <w:ind w:left="20" w:right="360"/>
        <w:spacing w:after="0" w:line="245" w:lineRule="auto"/>
        <w:rPr>
          <w:sz w:val="20"/>
          <w:szCs w:val="20"/>
          <w:color w:val="auto"/>
        </w:rPr>
      </w:pPr>
      <w:r>
        <w:rPr>
          <w:rFonts w:ascii="Arial" w:cs="Arial" w:eastAsia="Arial" w:hAnsi="Arial"/>
          <w:sz w:val="17"/>
          <w:szCs w:val="17"/>
          <w:color w:val="auto"/>
        </w:rPr>
        <w:t>Anthony J. Sanzio, Executive Vice President and Chief Communications Officer. We have employed Mr. Sanzio in an executive or managerial capacity for at least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7122160" cy="2533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2160" cy="253365"/>
                    </a:xfrm>
                    <a:prstGeom prst="rect">
                      <a:avLst/>
                    </a:prstGeom>
                    <a:noFill/>
                  </pic:spPr>
                </pic:pic>
              </a:graphicData>
            </a:graphic>
          </wp:anchor>
        </w:drawing>
      </w:r>
    </w:p>
    <w:p>
      <w:pPr>
        <w:ind w:left="20" w:right="60"/>
        <w:spacing w:after="0" w:line="247" w:lineRule="auto"/>
        <w:rPr>
          <w:sz w:val="20"/>
          <w:szCs w:val="20"/>
          <w:color w:val="auto"/>
        </w:rPr>
      </w:pPr>
      <w:r>
        <w:rPr>
          <w:rFonts w:ascii="Arial" w:cs="Arial" w:eastAsia="Arial" w:hAnsi="Arial"/>
          <w:sz w:val="17"/>
          <w:szCs w:val="17"/>
          <w:color w:val="auto"/>
        </w:rPr>
        <w:t>Craig S. Slavtcheff, Executive Vice President, Chief R&amp;D and Innovation Officer. We have employed Mr. Slavtcheff in an executive or managerial capacity for at least five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Year First</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Appointed</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Executive</w:t>
      </w:r>
    </w:p>
    <w:p>
      <w:pPr>
        <w:spacing w:after="0" w:line="22"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u w:val="single" w:color="auto"/>
          <w:color w:val="auto"/>
        </w:rPr>
        <w:t>Age</w:t>
      </w:r>
      <w:r>
        <w:rPr>
          <w:sz w:val="20"/>
          <w:szCs w:val="20"/>
          <w:color w:val="auto"/>
        </w:rPr>
        <w:tab/>
      </w:r>
      <w:r>
        <w:rPr>
          <w:rFonts w:ascii="Arial" w:cs="Arial" w:eastAsia="Arial" w:hAnsi="Arial"/>
          <w:sz w:val="17"/>
          <w:szCs w:val="17"/>
          <w:b w:val="1"/>
          <w:bCs w:val="1"/>
          <w:u w:val="single" w:color="auto"/>
          <w:color w:val="auto"/>
        </w:rPr>
        <w:t>Officer</w:t>
      </w:r>
    </w:p>
    <w:p>
      <w:pPr>
        <w:spacing w:after="0" w:line="154"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7"/>
          <w:szCs w:val="17"/>
          <w:color w:val="auto"/>
        </w:rPr>
        <w:t>54</w:t>
      </w:r>
      <w:r>
        <w:rPr>
          <w:sz w:val="20"/>
          <w:szCs w:val="20"/>
          <w:color w:val="auto"/>
        </w:rPr>
        <w:tab/>
      </w:r>
      <w:r>
        <w:rPr>
          <w:rFonts w:ascii="Arial" w:cs="Arial" w:eastAsia="Arial" w:hAnsi="Arial"/>
          <w:sz w:val="17"/>
          <w:szCs w:val="17"/>
          <w:color w:val="auto"/>
        </w:rPr>
        <w:t>2023</w:t>
      </w:r>
    </w:p>
    <w:p>
      <w:pPr>
        <w:spacing w:after="0" w:line="255"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7"/>
          <w:szCs w:val="17"/>
          <w:color w:val="auto"/>
        </w:rPr>
        <w:t>47</w:t>
      </w:r>
      <w:r>
        <w:rPr>
          <w:sz w:val="20"/>
          <w:szCs w:val="20"/>
          <w:color w:val="auto"/>
        </w:rPr>
        <w:tab/>
      </w:r>
      <w:r>
        <w:rPr>
          <w:rFonts w:ascii="Arial" w:cs="Arial" w:eastAsia="Arial" w:hAnsi="Arial"/>
          <w:sz w:val="17"/>
          <w:szCs w:val="17"/>
          <w:color w:val="auto"/>
        </w:rPr>
        <w:t>2020</w:t>
      </w:r>
    </w:p>
    <w:p>
      <w:pPr>
        <w:spacing w:after="0" w:line="255"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7"/>
          <w:szCs w:val="17"/>
          <w:color w:val="auto"/>
        </w:rPr>
        <w:t>55</w:t>
      </w:r>
      <w:r>
        <w:rPr>
          <w:sz w:val="20"/>
          <w:szCs w:val="20"/>
          <w:color w:val="auto"/>
        </w:rPr>
        <w:tab/>
      </w:r>
      <w:r>
        <w:rPr>
          <w:rFonts w:ascii="Arial" w:cs="Arial" w:eastAsia="Arial" w:hAnsi="Arial"/>
          <w:sz w:val="17"/>
          <w:szCs w:val="17"/>
          <w:color w:val="auto"/>
        </w:rPr>
        <w:t>2015</w:t>
      </w:r>
    </w:p>
    <w:p>
      <w:pPr>
        <w:spacing w:after="0" w:line="255"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7"/>
          <w:szCs w:val="17"/>
          <w:color w:val="auto"/>
        </w:rPr>
        <w:t>55</w:t>
      </w:r>
      <w:r>
        <w:rPr>
          <w:sz w:val="20"/>
          <w:szCs w:val="20"/>
          <w:color w:val="auto"/>
        </w:rPr>
        <w:tab/>
      </w:r>
      <w:r>
        <w:rPr>
          <w:rFonts w:ascii="Arial" w:cs="Arial" w:eastAsia="Arial" w:hAnsi="Arial"/>
          <w:sz w:val="17"/>
          <w:szCs w:val="17"/>
          <w:color w:val="auto"/>
        </w:rPr>
        <w:t>2019</w:t>
      </w:r>
    </w:p>
    <w:p>
      <w:pPr>
        <w:spacing w:after="0" w:line="255"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7"/>
          <w:szCs w:val="17"/>
          <w:color w:val="auto"/>
        </w:rPr>
        <w:t>2019</w:t>
      </w:r>
    </w:p>
    <w:p>
      <w:pPr>
        <w:spacing w:after="0" w:line="307"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7"/>
          <w:szCs w:val="17"/>
          <w:color w:val="auto"/>
        </w:rPr>
        <w:t>65</w:t>
      </w:r>
      <w:r>
        <w:rPr>
          <w:sz w:val="20"/>
          <w:szCs w:val="20"/>
          <w:color w:val="auto"/>
        </w:rPr>
        <w:tab/>
      </w:r>
      <w:r>
        <w:rPr>
          <w:rFonts w:ascii="Arial" w:cs="Arial" w:eastAsia="Arial" w:hAnsi="Arial"/>
          <w:sz w:val="17"/>
          <w:szCs w:val="17"/>
          <w:color w:val="auto"/>
        </w:rPr>
        <w:t>2022</w:t>
      </w:r>
    </w:p>
    <w:p>
      <w:pPr>
        <w:spacing w:after="0" w:line="371"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7"/>
          <w:szCs w:val="17"/>
          <w:color w:val="auto"/>
        </w:rPr>
        <w:t>60</w:t>
      </w:r>
      <w:r>
        <w:rPr>
          <w:sz w:val="20"/>
          <w:szCs w:val="20"/>
          <w:color w:val="auto"/>
        </w:rPr>
        <w:tab/>
      </w:r>
      <w:r>
        <w:rPr>
          <w:rFonts w:ascii="Arial" w:cs="Arial" w:eastAsia="Arial" w:hAnsi="Arial"/>
          <w:sz w:val="17"/>
          <w:szCs w:val="17"/>
          <w:color w:val="auto"/>
        </w:rPr>
        <w:t>2022</w:t>
      </w:r>
    </w:p>
    <w:p>
      <w:pPr>
        <w:spacing w:after="0" w:line="294" w:lineRule="exact"/>
        <w:rPr>
          <w:sz w:val="20"/>
          <w:szCs w:val="20"/>
          <w:color w:val="auto"/>
        </w:rPr>
      </w:pPr>
    </w:p>
    <w:p>
      <w:pPr>
        <w:ind w:left="860" w:hanging="803"/>
        <w:spacing w:after="0"/>
        <w:tabs>
          <w:tab w:leader="none" w:pos="860" w:val="left"/>
        </w:tabs>
        <w:numPr>
          <w:ilvl w:val="0"/>
          <w:numId w:val="7"/>
        </w:numPr>
        <w:rPr>
          <w:rFonts w:ascii="Arial" w:cs="Arial" w:eastAsia="Arial" w:hAnsi="Arial"/>
          <w:sz w:val="17"/>
          <w:szCs w:val="17"/>
          <w:color w:val="auto"/>
        </w:rPr>
      </w:pPr>
      <w:r>
        <w:rPr>
          <w:rFonts w:ascii="Arial" w:cs="Arial" w:eastAsia="Arial" w:hAnsi="Arial"/>
          <w:sz w:val="17"/>
          <w:szCs w:val="17"/>
          <w:color w:val="auto"/>
        </w:rPr>
        <w:t>2022</w:t>
      </w:r>
    </w:p>
    <w:p>
      <w:pPr>
        <w:spacing w:after="0" w:line="203" w:lineRule="exact"/>
        <w:rPr>
          <w:rFonts w:ascii="Arial" w:cs="Arial" w:eastAsia="Arial" w:hAnsi="Arial"/>
          <w:sz w:val="17"/>
          <w:szCs w:val="17"/>
          <w:color w:val="auto"/>
        </w:rPr>
      </w:pPr>
    </w:p>
    <w:p>
      <w:pPr>
        <w:ind w:left="860" w:hanging="803"/>
        <w:spacing w:after="0"/>
        <w:tabs>
          <w:tab w:leader="none" w:pos="860" w:val="left"/>
        </w:tabs>
        <w:numPr>
          <w:ilvl w:val="0"/>
          <w:numId w:val="8"/>
        </w:numPr>
        <w:rPr>
          <w:rFonts w:ascii="Arial" w:cs="Arial" w:eastAsia="Arial" w:hAnsi="Arial"/>
          <w:sz w:val="17"/>
          <w:szCs w:val="17"/>
          <w:color w:val="auto"/>
        </w:rPr>
      </w:pPr>
      <w:r>
        <w:rPr>
          <w:rFonts w:ascii="Arial" w:cs="Arial" w:eastAsia="Arial" w:hAnsi="Arial"/>
          <w:sz w:val="17"/>
          <w:szCs w:val="17"/>
          <w:color w:val="auto"/>
        </w:rPr>
        <w:t>2019</w:t>
      </w:r>
    </w:p>
    <w:p>
      <w:pPr>
        <w:spacing w:after="0" w:line="316" w:lineRule="exact"/>
        <w:rPr>
          <w:sz w:val="20"/>
          <w:szCs w:val="20"/>
          <w:color w:val="auto"/>
        </w:rPr>
      </w:pPr>
    </w:p>
    <w:p>
      <w:pPr>
        <w:sectPr>
          <w:pgSz w:w="11900" w:h="16838" w:orient="portrait"/>
          <w:cols w:equalWidth="0" w:num="2">
            <w:col w:w="9380" w:space="260"/>
            <w:col w:w="1420"/>
          </w:cols>
          <w:pgMar w:left="320" w:top="945" w:right="51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146685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60"/>
          </w:cols>
          <w:pgMar w:left="320" w:top="945" w:right="519" w:bottom="1440" w:gutter="0" w:footer="0" w:header="0"/>
          <w:type w:val="continuous"/>
        </w:sectPr>
      </w:pPr>
    </w:p>
    <w:bookmarkStart w:id="15" w:name="page16"/>
    <w:bookmarkEnd w:id="15"/>
    <w:p>
      <w:pPr>
        <w:ind w:left="5320"/>
        <w:spacing w:after="0"/>
        <w:rPr>
          <w:sz w:val="20"/>
          <w:szCs w:val="20"/>
          <w:color w:val="auto"/>
        </w:rPr>
      </w:pPr>
      <w:r>
        <w:rPr>
          <w:rFonts w:ascii="Arial" w:cs="Arial" w:eastAsia="Arial" w:hAnsi="Arial"/>
          <w:sz w:val="17"/>
          <w:szCs w:val="17"/>
          <w:b w:val="1"/>
          <w:bCs w:val="1"/>
          <w:color w:val="auto"/>
        </w:rPr>
        <w:t>PART II</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w:t>
      </w:r>
      <w:r>
        <w:rPr>
          <w:rFonts w:ascii="Arial" w:cs="Arial" w:eastAsia="Arial" w:hAnsi="Arial"/>
          <w:sz w:val="17"/>
          <w:szCs w:val="17"/>
          <w:b w:val="1"/>
          <w:bCs w:val="1"/>
          <w:i w:val="1"/>
          <w:iCs w:val="1"/>
          <w:color w:val="auto"/>
        </w:rPr>
        <w:t>. Market for Registrant’s Capital Stock, Related Shareholder Matters and Issuer Purchases of Equity Securities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for Registrant’s Capital Stock</w:t>
      </w:r>
    </w:p>
    <w:p>
      <w:pPr>
        <w:spacing w:after="0" w:line="107"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Our capital stock is traded on the New York Stock Exchange under the symbol "CPB." On September 13, 2023, there were 297,945,220 holders of record of our capital stock.</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Return to Shareholders</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xml:space="preserve"> Performance Graph</w:t>
      </w:r>
    </w:p>
    <w:p>
      <w:pPr>
        <w:spacing w:after="0" w:line="50"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information contained in this Return to Shareholders Performance Graph section shall not be deemed to be "soliciting material" or "filed" or incorporated by reference in future filings with the Securities and Exchange Commission, or subject to the liabilities of Section 18 of the Securities Exchange Act of 1934, as amended (the Exchange Act), except to the extent we specifically incorporate it by reference into a document filed under the Securities Exchange Act of 1933, as amended (the Securities Act), or the Exchange Act.</w:t>
      </w:r>
    </w:p>
    <w:p>
      <w:pPr>
        <w:spacing w:after="0" w:line="64"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following graph compares the cumulative total shareholder return (TSR) on our stock with the cumulative total return of the Standard &amp; Poor’s 500 Stock Index (the S&amp;P 500) and the Standard &amp; Poor’s Packaged Foods Index (the S&amp;P Packaged Foods Group). The graph assumes that $100 was invested on July 27, 2018, in each of our stock, the S&amp;P 500 and the S&amp;P Packaged Foods Group, and that all dividends were reinvested. The total cumulative dollar returns shown on the graph represent the value that such investments would have had on July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1163320</wp:posOffset>
            </wp:positionH>
            <wp:positionV relativeFrom="paragraph">
              <wp:posOffset>244475</wp:posOffset>
            </wp:positionV>
            <wp:extent cx="5012690" cy="32708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12690" cy="3270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80" w:hanging="77"/>
        <w:spacing w:after="0"/>
        <w:tabs>
          <w:tab w:leader="none" w:pos="80"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Stock appreciation plus dividend reinvestment.</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3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2023</w:t>
            </w:r>
          </w:p>
        </w:tc>
        <w:tc>
          <w:tcPr>
            <w:tcW w:w="400" w:type="dxa"/>
            <w:vAlign w:val="bottom"/>
          </w:tcPr>
          <w:p>
            <w:pPr>
              <w:spacing w:after="0"/>
              <w:rPr>
                <w:sz w:val="15"/>
                <w:szCs w:val="15"/>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Campbell</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129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118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137</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1"/>
              </w:rPr>
              <w:t>132</w:t>
            </w:r>
          </w:p>
        </w:tc>
        <w:tc>
          <w:tcPr>
            <w:tcW w:w="400" w:type="dxa"/>
            <w:vAlign w:val="bottom"/>
          </w:tcPr>
          <w:p>
            <w:pPr>
              <w:spacing w:after="0"/>
              <w:rPr>
                <w:sz w:val="18"/>
                <w:szCs w:val="18"/>
                <w:color w:val="auto"/>
              </w:rPr>
            </w:pPr>
          </w:p>
        </w:tc>
      </w:tr>
      <w:tr>
        <w:trPr>
          <w:trHeight w:val="219"/>
        </w:trPr>
        <w:tc>
          <w:tcPr>
            <w:tcW w:w="5380" w:type="dxa"/>
            <w:vAlign w:val="bottom"/>
          </w:tcPr>
          <w:p>
            <w:pPr>
              <w:ind w:left="20"/>
              <w:spacing w:after="0"/>
              <w:rPr>
                <w:sz w:val="20"/>
                <w:szCs w:val="20"/>
                <w:color w:val="auto"/>
              </w:rPr>
            </w:pPr>
            <w:r>
              <w:rPr>
                <w:rFonts w:ascii="Arial" w:cs="Arial" w:eastAsia="Arial" w:hAnsi="Arial"/>
                <w:sz w:val="17"/>
                <w:szCs w:val="17"/>
                <w:color w:val="auto"/>
              </w:rPr>
              <w:t>S&amp;P 500</w:t>
            </w:r>
          </w:p>
        </w:tc>
        <w:tc>
          <w:tcPr>
            <w:tcW w:w="820" w:type="dxa"/>
            <w:vAlign w:val="bottom"/>
          </w:tcPr>
          <w:p>
            <w:pPr>
              <w:jc w:val="center"/>
              <w:spacing w:after="0"/>
              <w:rPr>
                <w:sz w:val="20"/>
                <w:szCs w:val="20"/>
                <w:color w:val="auto"/>
              </w:rPr>
            </w:pPr>
            <w:r>
              <w:rPr>
                <w:rFonts w:ascii="Arial" w:cs="Arial" w:eastAsia="Arial" w:hAnsi="Arial"/>
                <w:sz w:val="17"/>
                <w:szCs w:val="17"/>
                <w:color w:val="auto"/>
                <w:w w:val="91"/>
              </w:rPr>
              <w:t>100</w:t>
            </w:r>
          </w:p>
        </w:tc>
        <w:tc>
          <w:tcPr>
            <w:tcW w:w="1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91"/>
              </w:rPr>
              <w:t>110</w:t>
            </w:r>
          </w:p>
        </w:tc>
        <w:tc>
          <w:tcPr>
            <w:tcW w:w="1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91"/>
              </w:rPr>
              <w:t>121</w:t>
            </w:r>
          </w:p>
        </w:tc>
        <w:tc>
          <w:tcPr>
            <w:tcW w:w="1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91"/>
              </w:rPr>
              <w:t>165</w:t>
            </w: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84"/>
              </w:rPr>
              <w:t>157</w:t>
            </w: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7"/>
                <w:szCs w:val="17"/>
                <w:b w:val="1"/>
                <w:bCs w:val="1"/>
                <w:color w:val="auto"/>
                <w:w w:val="91"/>
              </w:rPr>
              <w:t>177</w:t>
            </w:r>
          </w:p>
        </w:tc>
        <w:tc>
          <w:tcPr>
            <w:tcW w:w="400" w:type="dxa"/>
            <w:vAlign w:val="bottom"/>
          </w:tcPr>
          <w:p>
            <w:pPr>
              <w:spacing w:after="0"/>
              <w:rPr>
                <w:sz w:val="19"/>
                <w:szCs w:val="19"/>
                <w:color w:val="auto"/>
              </w:rPr>
            </w:pPr>
          </w:p>
        </w:tc>
      </w:tr>
      <w:tr>
        <w:trPr>
          <w:trHeight w:val="219"/>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S&amp;P Packaged Foods Group</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110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119</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128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144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1"/>
              </w:rPr>
              <w:t>151</w:t>
            </w:r>
          </w:p>
        </w:tc>
        <w:tc>
          <w:tcPr>
            <w:tcW w:w="400" w:type="dxa"/>
            <w:vAlign w:val="bottom"/>
          </w:tcPr>
          <w:p>
            <w:pPr>
              <w:spacing w:after="0"/>
              <w:rPr>
                <w:sz w:val="19"/>
                <w:szCs w:val="19"/>
                <w:color w:val="auto"/>
              </w:rPr>
            </w:pPr>
          </w:p>
        </w:tc>
      </w:tr>
      <w:tr>
        <w:trPr>
          <w:trHeight w:val="733"/>
        </w:trPr>
        <w:tc>
          <w:tcPr>
            <w:tcW w:w="5380" w:type="dxa"/>
            <w:vAlign w:val="bottom"/>
          </w:tcPr>
          <w:p>
            <w:pPr>
              <w:spacing w:after="0"/>
              <w:rPr>
                <w:sz w:val="24"/>
                <w:szCs w:val="24"/>
                <w:color w:val="auto"/>
              </w:rPr>
            </w:pPr>
          </w:p>
        </w:tc>
        <w:tc>
          <w:tcPr>
            <w:tcW w:w="820" w:type="dxa"/>
            <w:vAlign w:val="bottom"/>
          </w:tcPr>
          <w:p>
            <w:pPr>
              <w:jc w:val="right"/>
              <w:ind w:right="418"/>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0"/>
        </w:trPr>
        <w:tc>
          <w:tcPr>
            <w:tcW w:w="538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center"/>
              <w:ind w:right="105"/>
              <w:spacing w:after="0"/>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tcPr>
          <w:p>
            <w:pPr>
              <w:jc w:val="center"/>
              <w:ind w:right="105"/>
              <w:spacing w:after="0" w:line="132" w:lineRule="exact"/>
              <w:rPr>
                <w:sz w:val="20"/>
                <w:szCs w:val="20"/>
                <w:color w:val="auto"/>
              </w:rPr>
            </w:pPr>
            <w:r>
              <w:rPr>
                <w:rFonts w:ascii="Arial" w:cs="Arial" w:eastAsia="Arial" w:hAnsi="Arial"/>
                <w:sz w:val="14"/>
                <w:szCs w:val="14"/>
                <w:b w:val="1"/>
                <w:bCs w:val="1"/>
                <w:color w:val="auto"/>
                <w:w w:val="89"/>
              </w:rPr>
              <w:t>Dollar Value of</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40" w:type="dxa"/>
            <w:vAlign w:val="bottom"/>
            <w:gridSpan w:val="2"/>
          </w:tcPr>
          <w:p>
            <w:pPr>
              <w:jc w:val="center"/>
              <w:ind w:right="380"/>
              <w:spacing w:after="0" w:line="151" w:lineRule="exact"/>
              <w:rPr>
                <w:sz w:val="20"/>
                <w:szCs w:val="20"/>
                <w:color w:val="auto"/>
              </w:rPr>
            </w:pPr>
            <w:r>
              <w:rPr>
                <w:rFonts w:ascii="Arial" w:cs="Arial" w:eastAsia="Arial" w:hAnsi="Arial"/>
                <w:sz w:val="14"/>
                <w:szCs w:val="14"/>
                <w:b w:val="1"/>
                <w:bCs w:val="1"/>
                <w:color w:val="auto"/>
                <w:w w:val="91"/>
              </w:rPr>
              <w:t>Total Number of</w:t>
            </w:r>
          </w:p>
        </w:tc>
        <w:tc>
          <w:tcPr>
            <w:tcW w:w="180" w:type="dxa"/>
            <w:vAlign w:val="bottom"/>
          </w:tcPr>
          <w:p>
            <w:pPr>
              <w:spacing w:after="0"/>
              <w:rPr>
                <w:sz w:val="13"/>
                <w:szCs w:val="13"/>
                <w:color w:val="auto"/>
              </w:rPr>
            </w:pPr>
          </w:p>
        </w:tc>
        <w:tc>
          <w:tcPr>
            <w:tcW w:w="1460" w:type="dxa"/>
            <w:vAlign w:val="bottom"/>
          </w:tcPr>
          <w:p>
            <w:pPr>
              <w:jc w:val="center"/>
              <w:ind w:right="105"/>
              <w:spacing w:after="0" w:line="151" w:lineRule="exact"/>
              <w:rPr>
                <w:sz w:val="20"/>
                <w:szCs w:val="20"/>
                <w:color w:val="auto"/>
              </w:rPr>
            </w:pPr>
            <w:r>
              <w:rPr>
                <w:rFonts w:ascii="Arial" w:cs="Arial" w:eastAsia="Arial" w:hAnsi="Arial"/>
                <w:sz w:val="14"/>
                <w:szCs w:val="14"/>
                <w:b w:val="1"/>
                <w:bCs w:val="1"/>
                <w:color w:val="auto"/>
                <w:w w:val="87"/>
              </w:rPr>
              <w:t>Shares that may yet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6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Total Number</w:t>
            </w:r>
          </w:p>
        </w:tc>
        <w:tc>
          <w:tcPr>
            <w:tcW w:w="160" w:type="dxa"/>
            <w:vAlign w:val="bottom"/>
          </w:tcPr>
          <w:p>
            <w:pPr>
              <w:spacing w:after="0"/>
              <w:rPr>
                <w:sz w:val="11"/>
                <w:szCs w:val="11"/>
                <w:color w:val="auto"/>
              </w:rPr>
            </w:pPr>
          </w:p>
        </w:tc>
        <w:tc>
          <w:tcPr>
            <w:tcW w:w="134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86"/>
              </w:rPr>
              <w:t>Average</w:t>
            </w:r>
          </w:p>
        </w:tc>
        <w:tc>
          <w:tcPr>
            <w:tcW w:w="204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5"/>
              </w:rPr>
              <w:t>Shares Purchased</w:t>
            </w:r>
          </w:p>
        </w:tc>
        <w:tc>
          <w:tcPr>
            <w:tcW w:w="180" w:type="dxa"/>
            <w:vAlign w:val="bottom"/>
          </w:tcPr>
          <w:p>
            <w:pPr>
              <w:spacing w:after="0"/>
              <w:rPr>
                <w:sz w:val="11"/>
                <w:szCs w:val="11"/>
                <w:color w:val="auto"/>
              </w:rPr>
            </w:pPr>
          </w:p>
        </w:tc>
        <w:tc>
          <w:tcPr>
            <w:tcW w:w="1460" w:type="dxa"/>
            <w:vAlign w:val="bottom"/>
          </w:tcPr>
          <w:p>
            <w:pPr>
              <w:jc w:val="center"/>
              <w:ind w:right="105"/>
              <w:spacing w:after="0" w:line="129" w:lineRule="exact"/>
              <w:rPr>
                <w:sz w:val="20"/>
                <w:szCs w:val="20"/>
                <w:color w:val="auto"/>
              </w:rPr>
            </w:pPr>
            <w:r>
              <w:rPr>
                <w:rFonts w:ascii="Arial" w:cs="Arial" w:eastAsia="Arial" w:hAnsi="Arial"/>
                <w:sz w:val="14"/>
                <w:szCs w:val="14"/>
                <w:b w:val="1"/>
                <w:bCs w:val="1"/>
                <w:color w:val="auto"/>
                <w:w w:val="87"/>
              </w:rPr>
              <w:t>be Purchased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4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88"/>
              </w:rPr>
              <w:t>as Part of Publicly</w:t>
            </w:r>
          </w:p>
        </w:tc>
        <w:tc>
          <w:tcPr>
            <w:tcW w:w="180" w:type="dxa"/>
            <w:vAlign w:val="bottom"/>
          </w:tcPr>
          <w:p>
            <w:pPr>
              <w:spacing w:after="0"/>
              <w:rPr>
                <w:sz w:val="12"/>
                <w:szCs w:val="12"/>
                <w:color w:val="auto"/>
              </w:rPr>
            </w:pPr>
          </w:p>
        </w:tc>
        <w:tc>
          <w:tcPr>
            <w:tcW w:w="1460" w:type="dxa"/>
            <w:vAlign w:val="bottom"/>
          </w:tcPr>
          <w:p>
            <w:pPr>
              <w:jc w:val="center"/>
              <w:ind w:right="105"/>
              <w:spacing w:after="0" w:line="142" w:lineRule="exact"/>
              <w:rPr>
                <w:sz w:val="20"/>
                <w:szCs w:val="20"/>
                <w:color w:val="auto"/>
              </w:rPr>
            </w:pPr>
            <w:r>
              <w:rPr>
                <w:rFonts w:ascii="Arial" w:cs="Arial" w:eastAsia="Arial" w:hAnsi="Arial"/>
                <w:sz w:val="14"/>
                <w:szCs w:val="14"/>
                <w:b w:val="1"/>
                <w:bCs w:val="1"/>
                <w:color w:val="auto"/>
                <w:w w:val="89"/>
              </w:rPr>
              <w:t>Under the Plans or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60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84"/>
              </w:rPr>
              <w:t>of Shares</w:t>
            </w:r>
          </w:p>
        </w:tc>
        <w:tc>
          <w:tcPr>
            <w:tcW w:w="160" w:type="dxa"/>
            <w:vAlign w:val="bottom"/>
          </w:tcPr>
          <w:p>
            <w:pPr>
              <w:spacing w:after="0"/>
              <w:rPr>
                <w:sz w:val="12"/>
                <w:szCs w:val="12"/>
                <w:color w:val="auto"/>
              </w:rPr>
            </w:pPr>
          </w:p>
        </w:tc>
        <w:tc>
          <w:tcPr>
            <w:tcW w:w="1340" w:type="dxa"/>
            <w:vAlign w:val="bottom"/>
            <w:gridSpan w:val="2"/>
          </w:tcPr>
          <w:p>
            <w:pPr>
              <w:jc w:val="center"/>
              <w:ind w:right="520"/>
              <w:spacing w:after="0" w:line="142" w:lineRule="exact"/>
              <w:rPr>
                <w:sz w:val="20"/>
                <w:szCs w:val="20"/>
                <w:color w:val="auto"/>
              </w:rPr>
            </w:pPr>
            <w:r>
              <w:rPr>
                <w:rFonts w:ascii="Arial" w:cs="Arial" w:eastAsia="Arial" w:hAnsi="Arial"/>
                <w:sz w:val="14"/>
                <w:szCs w:val="14"/>
                <w:b w:val="1"/>
                <w:bCs w:val="1"/>
                <w:color w:val="auto"/>
                <w:w w:val="91"/>
              </w:rPr>
              <w:t>Price Paid</w:t>
            </w:r>
          </w:p>
        </w:tc>
        <w:tc>
          <w:tcPr>
            <w:tcW w:w="204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86"/>
              </w:rPr>
              <w:t>Announced Plans or</w:t>
            </w:r>
          </w:p>
        </w:tc>
        <w:tc>
          <w:tcPr>
            <w:tcW w:w="180" w:type="dxa"/>
            <w:vAlign w:val="bottom"/>
          </w:tcPr>
          <w:p>
            <w:pPr>
              <w:spacing w:after="0"/>
              <w:rPr>
                <w:sz w:val="12"/>
                <w:szCs w:val="12"/>
                <w:color w:val="auto"/>
              </w:rPr>
            </w:pPr>
          </w:p>
        </w:tc>
        <w:tc>
          <w:tcPr>
            <w:tcW w:w="1460" w:type="dxa"/>
            <w:vAlign w:val="bottom"/>
          </w:tcPr>
          <w:p>
            <w:pPr>
              <w:jc w:val="center"/>
              <w:ind w:right="105"/>
              <w:spacing w:after="0" w:line="142" w:lineRule="exact"/>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gridSpan w:val="2"/>
            <w:vMerge w:val="continue"/>
          </w:tcPr>
          <w:p>
            <w:pPr>
              <w:spacing w:after="0"/>
              <w:rPr>
                <w:sz w:val="12"/>
                <w:szCs w:val="12"/>
                <w:color w:val="auto"/>
              </w:rPr>
            </w:pPr>
          </w:p>
        </w:tc>
        <w:tc>
          <w:tcPr>
            <w:tcW w:w="1600" w:type="dxa"/>
            <w:vAlign w:val="bottom"/>
            <w:gridSpan w:val="2"/>
          </w:tcPr>
          <w:p>
            <w:pPr>
              <w:jc w:val="center"/>
              <w:ind w:right="360"/>
              <w:spacing w:after="0" w:line="142" w:lineRule="exact"/>
              <w:rPr>
                <w:sz w:val="20"/>
                <w:szCs w:val="20"/>
                <w:color w:val="auto"/>
              </w:rPr>
            </w:pPr>
            <w:r>
              <w:rPr>
                <w:rFonts w:ascii="Arial" w:cs="Arial" w:eastAsia="Arial" w:hAnsi="Arial"/>
                <w:sz w:val="13"/>
                <w:szCs w:val="13"/>
                <w:b w:val="1"/>
                <w:bCs w:val="1"/>
                <w:color w:val="auto"/>
                <w:w w:val="91"/>
              </w:rPr>
              <w:t xml:space="preserve">Purchased </w:t>
            </w:r>
            <w:r>
              <w:rPr>
                <w:rFonts w:ascii="Arial" w:cs="Arial" w:eastAsia="Arial" w:hAnsi="Arial"/>
                <w:sz w:val="16"/>
                <w:szCs w:val="16"/>
                <w:b w:val="1"/>
                <w:bCs w:val="1"/>
                <w:color w:val="auto"/>
                <w:w w:val="91"/>
                <w:vertAlign w:val="superscript"/>
              </w:rPr>
              <w:t>(1)</w:t>
            </w:r>
          </w:p>
        </w:tc>
        <w:tc>
          <w:tcPr>
            <w:tcW w:w="160" w:type="dxa"/>
            <w:vAlign w:val="bottom"/>
          </w:tcPr>
          <w:p>
            <w:pPr>
              <w:spacing w:after="0"/>
              <w:rPr>
                <w:sz w:val="12"/>
                <w:szCs w:val="12"/>
                <w:color w:val="auto"/>
              </w:rPr>
            </w:pPr>
          </w:p>
        </w:tc>
        <w:tc>
          <w:tcPr>
            <w:tcW w:w="1340" w:type="dxa"/>
            <w:vAlign w:val="bottom"/>
            <w:gridSpan w:val="2"/>
          </w:tcPr>
          <w:p>
            <w:pPr>
              <w:jc w:val="center"/>
              <w:ind w:right="540"/>
              <w:spacing w:after="0" w:line="142" w:lineRule="exact"/>
              <w:rPr>
                <w:sz w:val="20"/>
                <w:szCs w:val="20"/>
                <w:color w:val="auto"/>
              </w:rPr>
            </w:pPr>
            <w:r>
              <w:rPr>
                <w:rFonts w:ascii="Arial" w:cs="Arial" w:eastAsia="Arial" w:hAnsi="Arial"/>
                <w:sz w:val="13"/>
                <w:szCs w:val="13"/>
                <w:b w:val="1"/>
                <w:bCs w:val="1"/>
                <w:color w:val="auto"/>
                <w:w w:val="93"/>
              </w:rPr>
              <w:t xml:space="preserve">Per Share </w:t>
            </w:r>
            <w:r>
              <w:rPr>
                <w:rFonts w:ascii="Arial" w:cs="Arial" w:eastAsia="Arial" w:hAnsi="Arial"/>
                <w:sz w:val="16"/>
                <w:szCs w:val="16"/>
                <w:b w:val="1"/>
                <w:bCs w:val="1"/>
                <w:color w:val="auto"/>
                <w:w w:val="93"/>
                <w:vertAlign w:val="superscript"/>
              </w:rPr>
              <w:t>(2)</w:t>
            </w:r>
          </w:p>
        </w:tc>
        <w:tc>
          <w:tcPr>
            <w:tcW w:w="204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1"/>
              </w:rPr>
              <w:t xml:space="preserve">Programs </w:t>
            </w:r>
            <w:r>
              <w:rPr>
                <w:rFonts w:ascii="Arial" w:cs="Arial" w:eastAsia="Arial" w:hAnsi="Arial"/>
                <w:sz w:val="8"/>
                <w:szCs w:val="8"/>
                <w:b w:val="1"/>
                <w:bCs w:val="1"/>
                <w:color w:val="auto"/>
                <w:w w:val="91"/>
              </w:rPr>
              <w:t>(3)</w:t>
            </w:r>
          </w:p>
        </w:tc>
        <w:tc>
          <w:tcPr>
            <w:tcW w:w="180" w:type="dxa"/>
            <w:vAlign w:val="bottom"/>
          </w:tcPr>
          <w:p>
            <w:pPr>
              <w:spacing w:after="0"/>
              <w:rPr>
                <w:sz w:val="12"/>
                <w:szCs w:val="12"/>
                <w:color w:val="auto"/>
              </w:rPr>
            </w:pPr>
          </w:p>
        </w:tc>
        <w:tc>
          <w:tcPr>
            <w:tcW w:w="1460" w:type="dxa"/>
            <w:vAlign w:val="bottom"/>
          </w:tcPr>
          <w:p>
            <w:pPr>
              <w:jc w:val="center"/>
              <w:ind w:right="105"/>
              <w:spacing w:after="0" w:line="142" w:lineRule="exact"/>
              <w:rPr>
                <w:sz w:val="20"/>
                <w:szCs w:val="20"/>
                <w:color w:val="auto"/>
              </w:rPr>
            </w:pPr>
            <w:r>
              <w:rPr>
                <w:rFonts w:ascii="Arial" w:cs="Arial" w:eastAsia="Arial" w:hAnsi="Arial"/>
                <w:sz w:val="13"/>
                <w:szCs w:val="13"/>
                <w:b w:val="1"/>
                <w:bCs w:val="1"/>
                <w:color w:val="auto"/>
                <w:w w:val="96"/>
              </w:rPr>
              <w:t xml:space="preserve">($ in Millions) </w:t>
            </w:r>
            <w:r>
              <w:rPr>
                <w:rFonts w:ascii="Arial" w:cs="Arial" w:eastAsia="Arial" w:hAnsi="Arial"/>
                <w:sz w:val="16"/>
                <w:szCs w:val="16"/>
                <w:b w:val="1"/>
                <w:bCs w:val="1"/>
                <w:color w:val="auto"/>
                <w:w w:val="96"/>
                <w:vertAlign w:val="superscript"/>
              </w:rPr>
              <w:t>(3)</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380" w:type="dxa"/>
            <w:vAlign w:val="bottom"/>
            <w:tcBorders>
              <w:top w:val="single" w:sz="8" w:color="auto"/>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5/1/23 - 5/31/23</w:t>
            </w:r>
          </w:p>
        </w:tc>
        <w:tc>
          <w:tcPr>
            <w:tcW w:w="16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20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w:t>
            </w:r>
          </w:p>
        </w:tc>
        <w:tc>
          <w:tcPr>
            <w:tcW w:w="0" w:type="dxa"/>
            <w:vAlign w:val="bottom"/>
          </w:tcPr>
          <w:p>
            <w:pPr>
              <w:spacing w:after="0"/>
              <w:rPr>
                <w:sz w:val="1"/>
                <w:szCs w:val="1"/>
                <w:color w:val="auto"/>
              </w:rPr>
            </w:pPr>
          </w:p>
        </w:tc>
      </w:tr>
      <w:tr>
        <w:trPr>
          <w:trHeight w:val="219"/>
        </w:trPr>
        <w:tc>
          <w:tcPr>
            <w:tcW w:w="4460" w:type="dxa"/>
            <w:vAlign w:val="bottom"/>
            <w:gridSpan w:val="3"/>
          </w:tcPr>
          <w:p>
            <w:pPr>
              <w:ind w:left="20"/>
              <w:spacing w:after="0"/>
              <w:rPr>
                <w:sz w:val="20"/>
                <w:szCs w:val="20"/>
                <w:color w:val="auto"/>
              </w:rPr>
            </w:pPr>
            <w:r>
              <w:rPr>
                <w:rFonts w:ascii="Arial" w:cs="Arial" w:eastAsia="Arial" w:hAnsi="Arial"/>
                <w:sz w:val="17"/>
                <w:szCs w:val="17"/>
                <w:b w:val="1"/>
                <w:bCs w:val="1"/>
                <w:color w:val="auto"/>
              </w:rPr>
              <w:t>6/1/23 - 6/30/23</w:t>
            </w:r>
          </w:p>
        </w:tc>
        <w:tc>
          <w:tcPr>
            <w:tcW w:w="1240" w:type="dxa"/>
            <w:vAlign w:val="bottom"/>
          </w:tcPr>
          <w:p>
            <w:pPr>
              <w:jc w:val="right"/>
              <w:ind w:right="2"/>
              <w:spacing w:after="0"/>
              <w:rPr>
                <w:sz w:val="20"/>
                <w:szCs w:val="20"/>
                <w:color w:val="auto"/>
              </w:rPr>
            </w:pPr>
            <w:r>
              <w:rPr>
                <w:rFonts w:ascii="Arial" w:cs="Arial" w:eastAsia="Arial" w:hAnsi="Arial"/>
                <w:sz w:val="17"/>
                <w:szCs w:val="17"/>
                <w:color w:val="auto"/>
              </w:rPr>
              <w:t>5,657</w:t>
            </w:r>
          </w:p>
        </w:tc>
        <w:tc>
          <w:tcPr>
            <w:tcW w:w="3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46.37</w:t>
            </w:r>
          </w:p>
        </w:tc>
        <w:tc>
          <w:tcPr>
            <w:tcW w:w="3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5,657</w:t>
            </w:r>
          </w:p>
        </w:tc>
        <w:tc>
          <w:tcPr>
            <w:tcW w:w="3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405</w:t>
            </w:r>
          </w:p>
        </w:tc>
        <w:tc>
          <w:tcPr>
            <w:tcW w:w="0" w:type="dxa"/>
            <w:vAlign w:val="bottom"/>
          </w:tcPr>
          <w:p>
            <w:pPr>
              <w:spacing w:after="0"/>
              <w:rPr>
                <w:sz w:val="1"/>
                <w:szCs w:val="1"/>
                <w:color w:val="auto"/>
              </w:rPr>
            </w:pPr>
          </w:p>
        </w:tc>
      </w:tr>
      <w:tr>
        <w:trPr>
          <w:trHeight w:val="219"/>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7/3/23 - 7/28/23</w:t>
            </w:r>
          </w:p>
        </w:tc>
        <w:tc>
          <w:tcPr>
            <w:tcW w:w="16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20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7"/>
                <w:szCs w:val="17"/>
                <w:b w:val="1"/>
                <w:bCs w:val="1"/>
                <w:color w:val="auto"/>
              </w:rPr>
              <w:t>Total</w:t>
            </w:r>
          </w:p>
        </w:tc>
        <w:tc>
          <w:tcPr>
            <w:tcW w:w="12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7"/>
                <w:szCs w:val="17"/>
                <w:color w:val="auto"/>
              </w:rPr>
              <w:t>5,657</w:t>
            </w:r>
          </w:p>
        </w:tc>
        <w:tc>
          <w:tcPr>
            <w:tcW w:w="3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46.37</w:t>
            </w:r>
          </w:p>
        </w:tc>
        <w:tc>
          <w:tcPr>
            <w:tcW w:w="380" w:type="dxa"/>
            <w:vAlign w:val="bottom"/>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5,657</w:t>
            </w:r>
          </w:p>
        </w:tc>
        <w:tc>
          <w:tcPr>
            <w:tcW w:w="3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____________________________________</w:t>
      </w:r>
    </w:p>
    <w:p>
      <w:pPr>
        <w:spacing w:after="0" w:line="32" w:lineRule="exact"/>
        <w:rPr>
          <w:sz w:val="20"/>
          <w:szCs w:val="20"/>
          <w:color w:val="auto"/>
        </w:rPr>
      </w:pPr>
    </w:p>
    <w:p>
      <w:pPr>
        <w:ind w:left="300" w:hanging="297"/>
        <w:spacing w:after="0"/>
        <w:tabs>
          <w:tab w:leader="none" w:pos="300" w:val="left"/>
        </w:tabs>
        <w:numPr>
          <w:ilvl w:val="0"/>
          <w:numId w:val="10"/>
        </w:numPr>
        <w:rPr>
          <w:rFonts w:ascii="Arial" w:cs="Arial" w:eastAsia="Arial" w:hAnsi="Arial"/>
          <w:sz w:val="22"/>
          <w:szCs w:val="22"/>
          <w:color w:val="auto"/>
          <w:vertAlign w:val="superscript"/>
        </w:rPr>
      </w:pPr>
      <w:r>
        <w:rPr>
          <w:rFonts w:ascii="Arial" w:cs="Arial" w:eastAsia="Arial" w:hAnsi="Arial"/>
          <w:sz w:val="17"/>
          <w:szCs w:val="17"/>
          <w:color w:val="auto"/>
        </w:rPr>
        <w:t>Shares purchased are as of the trade date.</w:t>
      </w:r>
    </w:p>
    <w:p>
      <w:pPr>
        <w:spacing w:after="0" w:line="54" w:lineRule="exact"/>
        <w:rPr>
          <w:rFonts w:ascii="Arial" w:cs="Arial" w:eastAsia="Arial" w:hAnsi="Arial"/>
          <w:sz w:val="22"/>
          <w:szCs w:val="22"/>
          <w:color w:val="auto"/>
          <w:vertAlign w:val="superscript"/>
        </w:rPr>
      </w:pPr>
    </w:p>
    <w:p>
      <w:pPr>
        <w:jc w:val="both"/>
        <w:ind w:left="320" w:hanging="317"/>
        <w:spacing w:after="0" w:line="229" w:lineRule="auto"/>
        <w:tabs>
          <w:tab w:leader="none" w:pos="308" w:val="left"/>
        </w:tabs>
        <w:numPr>
          <w:ilvl w:val="0"/>
          <w:numId w:val="10"/>
        </w:numPr>
        <w:rPr>
          <w:rFonts w:ascii="Arial" w:cs="Arial" w:eastAsia="Arial" w:hAnsi="Arial"/>
          <w:sz w:val="22"/>
          <w:szCs w:val="22"/>
          <w:color w:val="auto"/>
          <w:vertAlign w:val="superscript"/>
        </w:rPr>
      </w:pPr>
      <w:r>
        <w:rPr>
          <w:rFonts w:ascii="Arial" w:cs="Arial" w:eastAsia="Arial" w:hAnsi="Arial"/>
          <w:sz w:val="17"/>
          <w:szCs w:val="17"/>
          <w:color w:val="auto"/>
        </w:rPr>
        <w:t>Average price paid per share is calculated on a settlement basis and excludes commission and excise tax. As of January 1, 2023, our share repurchases in excess of issuances are subject to a 1% excise tax enacted by the Inflation Reduction Act. Any excise tax incurred is recognized as part of the cost basis of the shares acquired in the Consolidated Statements of Equity.</w:t>
      </w:r>
    </w:p>
    <w:p>
      <w:pPr>
        <w:spacing w:after="0" w:line="41" w:lineRule="exact"/>
        <w:rPr>
          <w:rFonts w:ascii="Arial" w:cs="Arial" w:eastAsia="Arial" w:hAnsi="Arial"/>
          <w:sz w:val="22"/>
          <w:szCs w:val="22"/>
          <w:color w:val="auto"/>
          <w:vertAlign w:val="superscript"/>
        </w:rPr>
      </w:pPr>
    </w:p>
    <w:p>
      <w:pPr>
        <w:jc w:val="both"/>
        <w:ind w:left="320" w:hanging="317"/>
        <w:spacing w:after="0" w:line="243" w:lineRule="auto"/>
        <w:tabs>
          <w:tab w:leader="none" w:pos="308" w:val="left"/>
        </w:tabs>
        <w:numPr>
          <w:ilvl w:val="0"/>
          <w:numId w:val="10"/>
        </w:numPr>
        <w:rPr>
          <w:rFonts w:ascii="Arial" w:cs="Arial" w:eastAsia="Arial" w:hAnsi="Arial"/>
          <w:sz w:val="22"/>
          <w:szCs w:val="22"/>
          <w:color w:val="auto"/>
          <w:vertAlign w:val="superscript"/>
        </w:rPr>
      </w:pPr>
      <w:r>
        <w:rPr>
          <w:rFonts w:ascii="Arial" w:cs="Arial" w:eastAsia="Arial" w:hAnsi="Arial"/>
          <w:sz w:val="17"/>
          <w:szCs w:val="17"/>
          <w:color w:val="auto"/>
        </w:rPr>
        <w:t>In June 2021, our Board of Directors authorized an anti-dilutive share repurchase program of up to $250 million (June 2021 program) to offset the impact of dilution from shares issued under our stock compensation programs. The June 2021 program has no expiration date, but it may be suspended or discontinued at any time. Repurchases under the June 2021 program may be made in open-market or privately negotiated transactions. 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Reserved</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7.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07"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This Management’s Discussion and Analysis of Financial Condition and Results of Operations is provided as a supplement to, and should be read in conjunction with, our consolidated financial statements and the accompanying notes to the consolidated financial statements presented in "Financial Statements and Supplementary Data," as well as the information contained in "Risk Factors."</w:t>
      </w:r>
    </w:p>
    <w:p>
      <w:pPr>
        <w:spacing w:after="0" w:line="58" w:lineRule="exact"/>
        <w:rPr>
          <w:sz w:val="20"/>
          <w:szCs w:val="20"/>
          <w:color w:val="auto"/>
        </w:rPr>
      </w:pPr>
    </w:p>
    <w:p>
      <w:pPr>
        <w:ind w:right="1360" w:firstLine="309"/>
        <w:spacing w:after="0" w:line="355" w:lineRule="auto"/>
        <w:rPr>
          <w:sz w:val="20"/>
          <w:szCs w:val="20"/>
          <w:color w:val="auto"/>
        </w:rPr>
      </w:pPr>
      <w:r>
        <w:rPr>
          <w:rFonts w:ascii="Arial" w:cs="Arial" w:eastAsia="Arial" w:hAnsi="Arial"/>
          <w:sz w:val="17"/>
          <w:szCs w:val="17"/>
          <w:color w:val="auto"/>
        </w:rPr>
        <w:t xml:space="preserve">Unless otherwise stated, the terms "we," "us," "our" and the "company" refer to Campbell Soup Company and its consolidated subsidiaries. </w:t>
      </w:r>
      <w:r>
        <w:rPr>
          <w:rFonts w:ascii="Arial" w:cs="Arial" w:eastAsia="Arial" w:hAnsi="Arial"/>
          <w:sz w:val="17"/>
          <w:szCs w:val="17"/>
          <w:b w:val="1"/>
          <w:bCs w:val="1"/>
          <w:i w:val="1"/>
          <w:iCs w:val="1"/>
          <w:color w:val="auto"/>
        </w:rPr>
        <w:t>Executive Summary</w:t>
      </w:r>
    </w:p>
    <w:p>
      <w:pPr>
        <w:spacing w:after="0" w:line="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We are a manufacturer and marketer of high-quality, branded food and beverage products. We operate in a highly competitive industry and experience competition in all of our categories.</w:t>
      </w:r>
    </w:p>
    <w:p>
      <w:pPr>
        <w:spacing w:after="0" w:line="48"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In 2023 we delivered strong growth against all of our key financial metrics, exceeding our initial expectations and advancing many of our key strategic initiatives. During 2023, we navigated through a challenging environment marked by continued supply chain pressures, particularly around high input cost inflation. Our improved supply chain execution combined with inflation-driven pricing, continued supply chain productivity improvements and cost savings initiatives partially mitigated ongoing inflationary pressures experienced in 2023.</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Strategy</w:t>
      </w:r>
    </w:p>
    <w:p>
      <w:pPr>
        <w:spacing w:after="0" w:line="101"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 xml:space="preserve">Our strategy is to unlock our full growth potential by focusing on our core brands in two divisions within North America while delivering on the promise of our purpose - </w:t>
      </w:r>
      <w:r>
        <w:rPr>
          <w:rFonts w:ascii="Arial" w:cs="Arial" w:eastAsia="Arial" w:hAnsi="Arial"/>
          <w:sz w:val="16"/>
          <w:szCs w:val="16"/>
          <w:i w:val="1"/>
          <w:iCs w:val="1"/>
          <w:color w:val="auto"/>
        </w:rPr>
        <w:t>Connecting people through food they love</w:t>
      </w:r>
      <w:r>
        <w:rPr>
          <w:rFonts w:ascii="Arial" w:cs="Arial" w:eastAsia="Arial" w:hAnsi="Arial"/>
          <w:sz w:val="16"/>
          <w:szCs w:val="16"/>
          <w:color w:val="auto"/>
        </w:rPr>
        <w:t>. Our strategic plan is based on four pillars: build a winning team and culture; accelerate profitable growth; fuel investments and margins with targeted cost savings; and deliver on the promise of our purpose all as further discussed below.</w:t>
      </w:r>
    </w:p>
    <w:p>
      <w:pPr>
        <w:spacing w:after="0" w:line="4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 xml:space="preserve">We plan to continue our focus on building a winning team and culture by driving organizational engagement, belonging and effectiveness through our new employee value proposition: </w:t>
      </w:r>
      <w:r>
        <w:rPr>
          <w:rFonts w:ascii="Arial" w:cs="Arial" w:eastAsia="Arial" w:hAnsi="Arial"/>
          <w:sz w:val="16"/>
          <w:szCs w:val="16"/>
          <w:i w:val="1"/>
          <w:iCs w:val="1"/>
          <w:color w:val="auto"/>
        </w:rPr>
        <w:t>Make history with Campbell’</w:t>
      </w:r>
      <w:r>
        <w:rPr>
          <w:rFonts w:ascii="Arial" w:cs="Arial" w:eastAsia="Arial" w:hAnsi="Arial"/>
          <w:sz w:val="16"/>
          <w:szCs w:val="16"/>
          <w:color w:val="auto"/>
        </w:rPr>
        <w:t>s, and modernizing our facilities. In 2023, we announced the consolidation of our Snacks offices in Charlotte, North Carolina and Norwalk, Connecticut into Camden, New Jersey and a $50 million investment in the Camden campus. We expect a single headquarters will accelerate our plan to build a winning team and culture by investing in our campus and our people. In addition, we plan to continue to deliver on the promise of our purpose with continued progress on our sustainability goals and strengthening our connection to the communities in which we operate.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116205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7" w:name="page18"/>
    <w:bookmarkEnd w:id="17"/>
    <w:p>
      <w:pPr>
        <w:jc w:val="both"/>
        <w:ind w:firstLine="309"/>
        <w:spacing w:after="0" w:line="266" w:lineRule="auto"/>
        <w:rPr>
          <w:sz w:val="20"/>
          <w:szCs w:val="20"/>
          <w:color w:val="auto"/>
        </w:rPr>
      </w:pPr>
      <w:r>
        <w:rPr>
          <w:rFonts w:ascii="Arial" w:cs="Arial" w:eastAsia="Arial" w:hAnsi="Arial"/>
          <w:sz w:val="17"/>
          <w:szCs w:val="17"/>
          <w:color w:val="auto"/>
        </w:rPr>
        <w:t>We believe that we can accelerate our profitable growth model by growing market share and driving integrated business planning programming throughout the company. We expect to expand into new market segments through retail execution, marketing and innovation. In addition, we expect to continue to focus on accelerating the growth of our Snacks brands while also sustaining the growth in U.S. soup and our other core brands.</w:t>
      </w:r>
    </w:p>
    <w:p>
      <w:pPr>
        <w:spacing w:after="0" w:line="58"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We also expect to fuel investments and margins by continuing to focus on effective revenue management, transforming our supply chain into a competitive advantage, and finding innovative ways to enhance our products and processes to unlock cost efficiencies and savings across the enterprise. We continue to pursue our multi-year cost savings initiatives with targeted annualized cost savings of $1 billion for continuing operations by the end of 2025, with $890 million in cost savings achieved through 2023. See "Restructuring Charges and Cost Savings Initiatives" for additional information on these initiatives.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Business Trends</w:t>
      </w:r>
    </w:p>
    <w:p>
      <w:pPr>
        <w:spacing w:after="0" w:line="8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Our businesses are being influenced by a variety of trends that we anticipate will continue in the future, including: cost inflation; changing consumer preferences; and a competitive and dynamic retail environment.</w:t>
      </w:r>
    </w:p>
    <w:p>
      <w:pPr>
        <w:spacing w:after="0" w:line="4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Our strategy is designed, in part, to capture growing consumer preferences for snacking and convenience. For example, we believe that consumers are changing their eating habits by increasing the type and frequency of snacks they consume and are continuing in-home eating behaviors that were driven by the COVID-19 pandemic.</w:t>
      </w:r>
    </w:p>
    <w:p>
      <w:pPr>
        <w:spacing w:after="0" w:line="58"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Retailers continue to use their buying power and negotiating strength to seek increased promotional programs funded by their suppliers and more favorable terms, including supplier-funded customized products. Any consolidations among retailers would continue to create large and sophisticated customers that may further this trend. Retailers also continue to grow and promote store brands that compete with branded products, especially on price.</w:t>
      </w:r>
    </w:p>
    <w:p>
      <w:pPr>
        <w:spacing w:after="0" w:line="28"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Throughout 2022 and continuing into 2023, our industry has been impacted by supply chain disruptions, commodity cost volatility, labor market issues, input cost inflation, and other global macroeconomic challenges. Throughout 2023, we have experienced some moderation in input cost inflation, and we expect modest pressures of input cost inflation to continue into 2024. We anticipate continued supply chain productivity and previously implemented pricing actions to mitigate some of the inflationary pressures, and expect such benefits to largely offset the incremental costs in 2024. We will continue to evaluate the evolving macroeconomic environment to take action to mitigate the impact on our business, consolidated results of operations and financial condition. We will also be lapping 2023 price increases, and anticipate that favorable net price realization will represent a reduced contribution to sales in 2024.</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 Developments</w:t>
      </w:r>
    </w:p>
    <w:p>
      <w:pPr>
        <w:spacing w:after="0" w:line="101"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On August 7, 2023, we entered into an agreement to acquire Sovos Brands, Inc. (Sovos Brands) for $23.00 per share in cash, representing a total enterprise value of approximately $2.7 billion. The closing of the transaction is subject to customary closing conditions and termination rights, including the approval of Sovos Brands’ shareholders and regulatory approvals. We plan to finance the acquisition through the issuance of new debt. For additional information on this pending acquisition, see our Form 8-K filed with the U.S. Securities and Exchange Commission on August 7, 2023, and Note 19 to the Consolidated Financial Statements.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 of Results</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This Summary of Results provides significant highlights from the discussion and analysis that follows.</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There were 52 weeks in 2023, 2022 and 2021.</w:t>
      </w:r>
    </w:p>
    <w:p>
      <w:pPr>
        <w:spacing w:after="0" w:line="88" w:lineRule="exact"/>
        <w:rPr>
          <w:sz w:val="20"/>
          <w:szCs w:val="20"/>
          <w:color w:val="auto"/>
        </w:rPr>
      </w:pPr>
    </w:p>
    <w:p>
      <w:pPr>
        <w:ind w:left="620" w:hanging="308"/>
        <w:spacing w:after="0" w:line="279"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Net sales increased 9% in 2023 to $9.357 billion with the benefit of favorable inflation-driven net price realization more than offsetting unfavorable volume/mix.</w:t>
      </w:r>
    </w:p>
    <w:p>
      <w:pPr>
        <w:spacing w:after="0" w:line="47" w:lineRule="exact"/>
        <w:rPr>
          <w:rFonts w:ascii="Arial" w:cs="Arial" w:eastAsia="Arial" w:hAnsi="Arial"/>
          <w:sz w:val="17"/>
          <w:szCs w:val="17"/>
          <w:color w:val="auto"/>
        </w:rPr>
      </w:pPr>
    </w:p>
    <w:p>
      <w:pPr>
        <w:jc w:val="both"/>
        <w:ind w:left="620" w:hanging="308"/>
        <w:spacing w:after="0" w:line="266"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Gross profit, as a percent of sales, increased to 31.2% in 2023 from 30.7% a year ago. The increase was primarily due to favorable net price realization, supply chain productivity improvements and mark-to-market adjustments on outstanding undesignated commodity hedges, partially offset by higher cost inflation and other supply chain costs as well as unfavorable volume/mix.</w:t>
      </w:r>
    </w:p>
    <w:p>
      <w:pPr>
        <w:spacing w:after="0" w:line="58"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Earnings per share were $2.85 in 2023, compared to $2.51 a year ago. The current year included expenses of $.15 per share and the prior year included expenses of $.34 per share from items impacting comparability as discussed below.</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Earnings attributable to Campbell Soup Company - 2023 Compared with 2022</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items impacted the comparability of net earnings and net earnings per share:</w:t>
      </w:r>
    </w:p>
    <w:p>
      <w:pPr>
        <w:spacing w:after="0" w:line="88" w:lineRule="exact"/>
        <w:rPr>
          <w:sz w:val="20"/>
          <w:szCs w:val="20"/>
          <w:color w:val="auto"/>
        </w:rPr>
      </w:pPr>
    </w:p>
    <w:p>
      <w:pPr>
        <w:ind w:left="620" w:hanging="308"/>
        <w:spacing w:after="0" w:line="311" w:lineRule="auto"/>
        <w:tabs>
          <w:tab w:leader="none" w:pos="616"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2023, we recognized actuarial gains on our pension and postretirement plans in Other expenses / (income) of $15 million ($11 million after tax, or $.04 per share). In 2022, we recognized actuarial losses in Other expenses / (income) of $44 million ($33 million after tax, or $.11 per share);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124460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18" w:name="page19"/>
    <w:bookmarkEnd w:id="18"/>
    <w:p>
      <w:pPr>
        <w:jc w:val="both"/>
        <w:ind w:left="620" w:hanging="308"/>
        <w:spacing w:after="0" w:line="290" w:lineRule="auto"/>
        <w:tabs>
          <w:tab w:leader="none" w:pos="616"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2023, we recognized gains in Cost of products sold of $21 million ($16 million after tax, or $.05 per share) associated with unrealized mark-to-market adjustments on outstanding undesignated commodity hedges. In 2022, we recognized losses in Cost of products sold of $59 million ($44 million after tax, or $.15 per share) associated with unrealized mark-to-market adjustments on outstanding undesignated commodity hedges;</w:t>
      </w:r>
    </w:p>
    <w:p>
      <w:pPr>
        <w:spacing w:after="0" w:line="28" w:lineRule="exact"/>
        <w:rPr>
          <w:rFonts w:ascii="Arial" w:cs="Arial" w:eastAsia="Arial" w:hAnsi="Arial"/>
          <w:sz w:val="16"/>
          <w:szCs w:val="16"/>
          <w:color w:val="auto"/>
        </w:rPr>
      </w:pPr>
    </w:p>
    <w:p>
      <w:pPr>
        <w:jc w:val="both"/>
        <w:ind w:left="620" w:hanging="308"/>
        <w:spacing w:after="0" w:line="299" w:lineRule="auto"/>
        <w:tabs>
          <w:tab w:leader="none" w:pos="616" w:val="left"/>
        </w:tabs>
        <w:numPr>
          <w:ilvl w:val="0"/>
          <w:numId w:val="13"/>
        </w:numPr>
        <w:rPr>
          <w:rFonts w:ascii="Arial" w:cs="Arial" w:eastAsia="Arial" w:hAnsi="Arial"/>
          <w:sz w:val="15"/>
          <w:szCs w:val="15"/>
          <w:color w:val="auto"/>
        </w:rPr>
      </w:pPr>
      <w:r>
        <w:rPr>
          <w:rFonts w:ascii="Arial" w:cs="Arial" w:eastAsia="Arial" w:hAnsi="Arial"/>
          <w:sz w:val="15"/>
          <w:szCs w:val="15"/>
          <w:color w:val="auto"/>
        </w:rPr>
        <w:t>We implemented several cost savings initiatives in recent years. In 2023, we recorded Restructuring charges of $16 million and implementation costs and other related costs of $24 million in Administrative expenses, $18 million in Cost of products sold, $5 million in Marketing and selling expenses and $3 million in Research and development expenses (aggregate impact of $50 million after tax, or $.17 per share) related to these initiatives. In 2022, we recorded Restructuring charges of $5 million and implementation costs and other related costs of $20 million in Administrative expenses, $5 million in Cost of products sold and $1 million in Marketing and selling expenses (aggregate impact of $24 million after tax, or $.08 per share) related to these initiatives. See Note 7 to the Consolidated Financial Statements and "Restructuring Charges and Cost Savings Initiatives" for additional information;</w:t>
      </w:r>
    </w:p>
    <w:p>
      <w:pPr>
        <w:spacing w:after="0" w:line="37" w:lineRule="exact"/>
        <w:rPr>
          <w:rFonts w:ascii="Arial" w:cs="Arial" w:eastAsia="Arial" w:hAnsi="Arial"/>
          <w:sz w:val="15"/>
          <w:szCs w:val="15"/>
          <w:color w:val="auto"/>
        </w:rPr>
      </w:pPr>
    </w:p>
    <w:p>
      <w:pPr>
        <w:ind w:left="620" w:hanging="308"/>
        <w:spacing w:after="0" w:line="279"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2023, we recorded a pre- and after-tax loss in Other expenses / (income) of $13 million ($.04 per share) on the sale of our Emerald nuts business, which was sold on May 30, 2023;</w:t>
      </w:r>
    </w:p>
    <w:p>
      <w:pPr>
        <w:spacing w:after="0" w:line="47"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2023, we recorded accelerated amortization expense in Other expenses / (income) of $7 million ($5 million after tax, or $.02 per share) related to customer relationship intangible assets due to the loss of certain contract manufacturing customers;</w:t>
      </w:r>
    </w:p>
    <w:p>
      <w:pPr>
        <w:spacing w:after="0" w:line="34" w:lineRule="exact"/>
        <w:rPr>
          <w:rFonts w:ascii="Arial" w:cs="Arial" w:eastAsia="Arial" w:hAnsi="Arial"/>
          <w:sz w:val="17"/>
          <w:szCs w:val="17"/>
          <w:color w:val="auto"/>
        </w:rPr>
      </w:pPr>
    </w:p>
    <w:p>
      <w:pPr>
        <w:ind w:left="620" w:hanging="308"/>
        <w:spacing w:after="0" w:line="311" w:lineRule="auto"/>
        <w:tabs>
          <w:tab w:leader="none" w:pos="616"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the first quarter of 2024, we announced our intent to acquire Sovos Brands. In 2023, we incurred transaction costs in Other expenses / (income) of $5 million ($4 million after tax, or $.01 per share) associated with the pending acquisition, which we expect to close by the end of December 2023; and</w:t>
      </w:r>
    </w:p>
    <w:p>
      <w:pPr>
        <w:spacing w:after="0" w:line="25" w:lineRule="exact"/>
        <w:rPr>
          <w:rFonts w:ascii="Arial" w:cs="Arial" w:eastAsia="Arial" w:hAnsi="Arial"/>
          <w:sz w:val="16"/>
          <w:szCs w:val="16"/>
          <w:color w:val="auto"/>
        </w:rPr>
      </w:pPr>
    </w:p>
    <w:p>
      <w:pPr>
        <w:ind w:left="620" w:hanging="308"/>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2022, we recorded a loss in Interest expense of $4 million ($3 million after tax, or $.01 per share) on the extinguishment of debt.</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items impacting comparability are summarized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rPr>
              <w:t>2023</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rPr>
              <w:t>2022</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6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 except per share amounts)</w:t>
            </w: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260"/>
              <w:spacing w:after="0" w:line="125" w:lineRule="exact"/>
              <w:rPr>
                <w:sz w:val="20"/>
                <w:szCs w:val="20"/>
                <w:color w:val="auto"/>
              </w:rPr>
            </w:pPr>
            <w:r>
              <w:rPr>
                <w:rFonts w:ascii="Arial" w:cs="Arial" w:eastAsia="Arial" w:hAnsi="Arial"/>
                <w:sz w:val="14"/>
                <w:szCs w:val="14"/>
                <w:b w:val="1"/>
                <w:bCs w:val="1"/>
                <w:color w:val="auto"/>
                <w:w w:val="90"/>
              </w:rPr>
              <w:t>Earnings</w:t>
            </w:r>
          </w:p>
        </w:tc>
        <w:tc>
          <w:tcPr>
            <w:tcW w:w="2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117"/>
              <w:spacing w:after="0" w:line="125" w:lineRule="exact"/>
              <w:rPr>
                <w:sz w:val="20"/>
                <w:szCs w:val="20"/>
                <w:color w:val="auto"/>
              </w:rPr>
            </w:pPr>
            <w:r>
              <w:rPr>
                <w:rFonts w:ascii="Arial" w:cs="Arial" w:eastAsia="Arial" w:hAnsi="Arial"/>
                <w:sz w:val="14"/>
                <w:szCs w:val="14"/>
                <w:b w:val="1"/>
                <w:bCs w:val="1"/>
                <w:color w:val="auto"/>
                <w:w w:val="92"/>
              </w:rPr>
              <w:t>EPS</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260"/>
              <w:spacing w:after="0" w:line="125" w:lineRule="exact"/>
              <w:rPr>
                <w:sz w:val="20"/>
                <w:szCs w:val="20"/>
                <w:color w:val="auto"/>
              </w:rPr>
            </w:pPr>
            <w:r>
              <w:rPr>
                <w:rFonts w:ascii="Arial" w:cs="Arial" w:eastAsia="Arial" w:hAnsi="Arial"/>
                <w:sz w:val="14"/>
                <w:szCs w:val="14"/>
                <w:b w:val="1"/>
                <w:bCs w:val="1"/>
                <w:color w:val="auto"/>
                <w:w w:val="90"/>
              </w:rPr>
              <w:t>Earnings</w:t>
            </w:r>
          </w:p>
        </w:tc>
        <w:tc>
          <w:tcPr>
            <w:tcW w:w="2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277"/>
              <w:spacing w:after="0" w:line="125" w:lineRule="exact"/>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184"/>
        </w:trPr>
        <w:tc>
          <w:tcPr>
            <w:tcW w:w="69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Impact</w:t>
            </w:r>
          </w:p>
        </w:tc>
        <w:tc>
          <w:tcPr>
            <w:tcW w:w="200" w:type="dxa"/>
            <w:vAlign w:val="bottom"/>
          </w:tcPr>
          <w:p>
            <w:pPr>
              <w:spacing w:after="0"/>
              <w:rPr>
                <w:sz w:val="16"/>
                <w:szCs w:val="16"/>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Impact</w:t>
            </w: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Impact</w:t>
            </w:r>
          </w:p>
        </w:tc>
        <w:tc>
          <w:tcPr>
            <w:tcW w:w="200" w:type="dxa"/>
            <w:vAlign w:val="bottom"/>
          </w:tcPr>
          <w:p>
            <w:pPr>
              <w:spacing w:after="0"/>
              <w:rPr>
                <w:sz w:val="16"/>
                <w:szCs w:val="16"/>
                <w:color w:val="auto"/>
              </w:rPr>
            </w:pPr>
          </w:p>
        </w:tc>
        <w:tc>
          <w:tcPr>
            <w:tcW w:w="780" w:type="dxa"/>
            <w:vAlign w:val="bottom"/>
          </w:tcPr>
          <w:p>
            <w:pPr>
              <w:jc w:val="right"/>
              <w:ind w:right="197"/>
              <w:spacing w:after="0"/>
              <w:rPr>
                <w:sz w:val="20"/>
                <w:szCs w:val="20"/>
                <w:color w:val="auto"/>
              </w:rPr>
            </w:pPr>
            <w:r>
              <w:rPr>
                <w:rFonts w:ascii="Arial" w:cs="Arial" w:eastAsia="Arial" w:hAnsi="Arial"/>
                <w:sz w:val="14"/>
                <w:szCs w:val="14"/>
                <w:b w:val="1"/>
                <w:bCs w:val="1"/>
                <w:color w:val="auto"/>
              </w:rPr>
              <w:t>Impact</w:t>
            </w:r>
          </w:p>
        </w:tc>
        <w:tc>
          <w:tcPr>
            <w:tcW w:w="0" w:type="dxa"/>
            <w:vAlign w:val="bottom"/>
          </w:tcPr>
          <w:p>
            <w:pPr>
              <w:spacing w:after="0"/>
              <w:rPr>
                <w:sz w:val="1"/>
                <w:szCs w:val="1"/>
                <w:color w:val="auto"/>
              </w:rPr>
            </w:pPr>
          </w:p>
        </w:tc>
      </w:tr>
      <w:tr>
        <w:trPr>
          <w:trHeight w:val="217"/>
        </w:trPr>
        <w:tc>
          <w:tcPr>
            <w:tcW w:w="6980" w:type="dxa"/>
            <w:vAlign w:val="bottom"/>
            <w:tcBorders>
              <w:top w:val="single" w:sz="8" w:color="CCEEFF"/>
              <w:bottom w:val="single" w:sz="8" w:color="CCEEFF"/>
            </w:tcBorders>
            <w:shd w:val="clear" w:color="auto" w:fill="CCEEFF"/>
          </w:tcPr>
          <w:p>
            <w:pPr>
              <w:ind w:left="20"/>
              <w:spacing w:after="0" w:line="192" w:lineRule="exact"/>
              <w:rPr>
                <w:sz w:val="20"/>
                <w:szCs w:val="20"/>
                <w:color w:val="auto"/>
              </w:rPr>
            </w:pPr>
            <w:r>
              <w:rPr>
                <w:rFonts w:ascii="Arial" w:cs="Arial" w:eastAsia="Arial" w:hAnsi="Arial"/>
                <w:sz w:val="17"/>
                <w:szCs w:val="17"/>
                <w:color w:val="auto"/>
              </w:rPr>
              <w:t>Net earnings attributable to Campbell Soup Company</w:t>
            </w:r>
          </w:p>
        </w:tc>
        <w:tc>
          <w:tcPr>
            <w:tcW w:w="16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b w:val="1"/>
                <w:bCs w:val="1"/>
                <w:color w:val="auto"/>
                <w:w w:val="84"/>
              </w:rPr>
              <w:t>$</w:t>
            </w:r>
          </w:p>
        </w:tc>
        <w:tc>
          <w:tcPr>
            <w:tcW w:w="82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b w:val="1"/>
                <w:bCs w:val="1"/>
                <w:color w:val="auto"/>
              </w:rPr>
              <w:t>858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4"/>
              <w:spacing w:after="0" w:line="192" w:lineRule="exact"/>
              <w:rPr>
                <w:sz w:val="20"/>
                <w:szCs w:val="20"/>
                <w:color w:val="auto"/>
              </w:rPr>
            </w:pPr>
            <w:r>
              <w:rPr>
                <w:rFonts w:ascii="Arial" w:cs="Arial" w:eastAsia="Arial" w:hAnsi="Arial"/>
                <w:sz w:val="17"/>
                <w:szCs w:val="17"/>
                <w:b w:val="1"/>
                <w:bCs w:val="1"/>
                <w:color w:val="auto"/>
                <w:w w:val="84"/>
              </w:rPr>
              <w:t>$</w:t>
            </w:r>
          </w:p>
        </w:tc>
        <w:tc>
          <w:tcPr>
            <w:tcW w:w="78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b w:val="1"/>
                <w:bCs w:val="1"/>
                <w:color w:val="auto"/>
              </w:rPr>
              <w:t>2.85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757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2.51</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Pension and postretirement actuarial gains (losses)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9"/>
        </w:trPr>
        <w:tc>
          <w:tcPr>
            <w:tcW w:w="6980" w:type="dxa"/>
            <w:vAlign w:val="bottom"/>
          </w:tcPr>
          <w:p>
            <w:pPr>
              <w:ind w:left="20"/>
              <w:spacing w:after="0"/>
              <w:rPr>
                <w:sz w:val="20"/>
                <w:szCs w:val="20"/>
                <w:color w:val="auto"/>
              </w:rPr>
            </w:pPr>
            <w:r>
              <w:rPr>
                <w:rFonts w:ascii="Arial" w:cs="Arial" w:eastAsia="Arial" w:hAnsi="Arial"/>
                <w:sz w:val="17"/>
                <w:szCs w:val="17"/>
                <w:color w:val="auto"/>
              </w:rPr>
              <w:t>Commodity mark-to-market gains (losses)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Restructuring charges, implementation costs and other related costs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19"/>
        </w:trPr>
        <w:tc>
          <w:tcPr>
            <w:tcW w:w="6980" w:type="dxa"/>
            <w:vAlign w:val="bottom"/>
          </w:tcPr>
          <w:p>
            <w:pPr>
              <w:ind w:left="20"/>
              <w:spacing w:after="0"/>
              <w:rPr>
                <w:sz w:val="20"/>
                <w:szCs w:val="20"/>
                <w:color w:val="auto"/>
              </w:rPr>
            </w:pPr>
            <w:r>
              <w:rPr>
                <w:rFonts w:ascii="Arial" w:cs="Arial" w:eastAsia="Arial" w:hAnsi="Arial"/>
                <w:sz w:val="17"/>
                <w:szCs w:val="17"/>
                <w:color w:val="auto"/>
              </w:rPr>
              <w:t>Charges associated with divestiture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Accelerated amortization</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6980" w:type="dxa"/>
            <w:vAlign w:val="bottom"/>
          </w:tcPr>
          <w:p>
            <w:pPr>
              <w:ind w:left="20"/>
              <w:spacing w:after="0"/>
              <w:rPr>
                <w:sz w:val="20"/>
                <w:szCs w:val="20"/>
                <w:color w:val="auto"/>
              </w:rPr>
            </w:pPr>
            <w:r>
              <w:rPr>
                <w:rFonts w:ascii="Arial" w:cs="Arial" w:eastAsia="Arial" w:hAnsi="Arial"/>
                <w:sz w:val="17"/>
                <w:szCs w:val="17"/>
                <w:color w:val="auto"/>
              </w:rPr>
              <w:t>Transaction costs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on debt extinguishment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12"/>
        </w:trPr>
        <w:tc>
          <w:tcPr>
            <w:tcW w:w="6980" w:type="dxa"/>
            <w:vAlign w:val="bottom"/>
          </w:tcPr>
          <w:p>
            <w:pPr>
              <w:ind w:left="20"/>
              <w:spacing w:after="0" w:line="211" w:lineRule="exact"/>
              <w:rPr>
                <w:sz w:val="20"/>
                <w:szCs w:val="20"/>
                <w:color w:val="auto"/>
              </w:rPr>
            </w:pPr>
            <w:r>
              <w:rPr>
                <w:rFonts w:ascii="Arial" w:cs="Arial" w:eastAsia="Arial" w:hAnsi="Arial"/>
                <w:sz w:val="17"/>
                <w:szCs w:val="17"/>
                <w:color w:val="auto"/>
              </w:rPr>
              <w:t>Impact of items on Net earnings</w:t>
            </w:r>
            <w:r>
              <w:rPr>
                <w:rFonts w:ascii="Arial" w:cs="Arial" w:eastAsia="Arial" w:hAnsi="Arial"/>
                <w:sz w:val="22"/>
                <w:szCs w:val="22"/>
                <w:color w:val="auto"/>
                <w:vertAlign w:val="superscript"/>
              </w:rPr>
              <w:t>(1)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__________________________________________</w:t>
      </w:r>
    </w:p>
    <w:p>
      <w:pPr>
        <w:spacing w:after="0" w:line="19" w:lineRule="exact"/>
        <w:rPr>
          <w:sz w:val="20"/>
          <w:szCs w:val="20"/>
          <w:color w:val="auto"/>
        </w:rPr>
      </w:pPr>
    </w:p>
    <w:p>
      <w:pPr>
        <w:ind w:left="300" w:hanging="297"/>
        <w:spacing w:after="0"/>
        <w:tabs>
          <w:tab w:leader="none" w:pos="300"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Sum of the individual amounts may not add due to rounding.</w:t>
      </w:r>
    </w:p>
    <w:p>
      <w:pPr>
        <w:spacing w:after="0" w:line="80"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Net earnings attributable to Campbell Soup Company were $858 million ($2.85 per share) in 2023, compared to $757 million ($2.51 per share) in 2022. After adjusting for items impacting comparability, earnings increased reflecting an improved gross profit, partially offset by higher marketing and selling expenses, higher other expenses, higher administrative expenses and a higher effective tax rate. Earnings per share benefited from a reduction in the weighted average diluted shares outstanding. Net periodic pension and postretirement benefit income excluding any actuarial gains or losses was $44 million ($33 million after tax, or $.11 per share) lower in 2023.</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Earnings attributable to Campbell Soup Company - 2022 Compared with 2021</w:t>
      </w:r>
    </w:p>
    <w:p>
      <w:pPr>
        <w:spacing w:after="0" w:line="8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In addition to the 2022 items that impacted comparability of Net earnings discussed above, the following items impacted the comparability of net earnings and net earnings per share:</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7"/>
          <w:szCs w:val="17"/>
          <w:i w:val="1"/>
          <w:iCs w:val="1"/>
          <w:u w:val="single" w:color="auto"/>
          <w:color w:val="auto"/>
        </w:rPr>
        <w:t>Continuing Operations</w:t>
      </w:r>
    </w:p>
    <w:p>
      <w:pPr>
        <w:spacing w:after="0" w:line="101" w:lineRule="exact"/>
        <w:rPr>
          <w:sz w:val="20"/>
          <w:szCs w:val="20"/>
          <w:color w:val="auto"/>
        </w:rPr>
      </w:pPr>
    </w:p>
    <w:p>
      <w:pPr>
        <w:ind w:left="620" w:hanging="308"/>
        <w:spacing w:after="0" w:line="279"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2021, we recognized actuarial gains on our pension and postretirement plans in Other expenses / (income) of $203 million ($155 million after tax, or $.51 per share);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116205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19" w:name="page20"/>
    <w:bookmarkEnd w:id="19"/>
    <w:p>
      <w:pPr>
        <w:ind w:left="620" w:hanging="308"/>
        <w:spacing w:after="0" w:line="279"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2021, we recognized gains in Cost of products sold of $50 million ($38 million after tax, or $.12 per share) associated with unrealized mark-to-market adjustments on outstanding undesignated commodity hedges;</w:t>
      </w:r>
    </w:p>
    <w:p>
      <w:pPr>
        <w:spacing w:after="0" w:line="34" w:lineRule="exact"/>
        <w:rPr>
          <w:rFonts w:ascii="Arial" w:cs="Arial" w:eastAsia="Arial" w:hAnsi="Arial"/>
          <w:sz w:val="17"/>
          <w:szCs w:val="17"/>
          <w:color w:val="auto"/>
        </w:rPr>
      </w:pPr>
    </w:p>
    <w:p>
      <w:pPr>
        <w:jc w:val="both"/>
        <w:ind w:left="620" w:hanging="308"/>
        <w:spacing w:after="0" w:line="261"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2021, we recorded Restructuring charges of $21 million and implementation costs and other related costs of $28 million in Administrative expenses, $3 million in Cost of products sold and $1 million in Marketing and selling expenses (aggregate impact of $40 million after tax, or $.13 per share) related to the cost savings initiatives discussed above. See Note 7 to the Consolidated Financial Statements and "Restructuring Charges and Cost Savings Initiatives" for additional information;</w:t>
      </w:r>
    </w:p>
    <w:p>
      <w:pPr>
        <w:spacing w:after="0" w:line="63"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2021, we recorded a loss in Other expenses / (income) of $11 million (and a gain of $3 million after tax, or $.01 per share) on the sale of our Plum baby food and snacks business; and</w:t>
      </w:r>
    </w:p>
    <w:p>
      <w:pPr>
        <w:spacing w:after="0" w:line="47"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2021, we recorded a $19 million ($.06 per share) deferred tax charge in connection with a legal entity reorganization as part of the continued integration of Snyder's-Lance, Inc. (Snyder's-Lance).</w:t>
      </w:r>
    </w:p>
    <w:p>
      <w:pPr>
        <w:spacing w:after="0" w:line="3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items impacting comparability are summarized below:</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rPr>
              <w:t>2022</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rPr>
              <w:t>2021</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 except per share amounts)</w:t>
            </w: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260"/>
              <w:spacing w:after="0" w:line="125" w:lineRule="exact"/>
              <w:rPr>
                <w:sz w:val="20"/>
                <w:szCs w:val="20"/>
                <w:color w:val="auto"/>
              </w:rPr>
            </w:pPr>
            <w:r>
              <w:rPr>
                <w:rFonts w:ascii="Arial" w:cs="Arial" w:eastAsia="Arial" w:hAnsi="Arial"/>
                <w:sz w:val="14"/>
                <w:szCs w:val="14"/>
                <w:b w:val="1"/>
                <w:bCs w:val="1"/>
                <w:color w:val="auto"/>
                <w:w w:val="90"/>
              </w:rPr>
              <w:t>Earnings</w:t>
            </w:r>
          </w:p>
        </w:tc>
        <w:tc>
          <w:tcPr>
            <w:tcW w:w="2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118"/>
              <w:spacing w:after="0" w:line="125" w:lineRule="exact"/>
              <w:rPr>
                <w:sz w:val="20"/>
                <w:szCs w:val="20"/>
                <w:color w:val="auto"/>
              </w:rPr>
            </w:pPr>
            <w:r>
              <w:rPr>
                <w:rFonts w:ascii="Arial" w:cs="Arial" w:eastAsia="Arial" w:hAnsi="Arial"/>
                <w:sz w:val="14"/>
                <w:szCs w:val="14"/>
                <w:b w:val="1"/>
                <w:bCs w:val="1"/>
                <w:color w:val="auto"/>
                <w:w w:val="92"/>
              </w:rPr>
              <w:t>EPS</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260"/>
              <w:spacing w:after="0" w:line="125" w:lineRule="exact"/>
              <w:rPr>
                <w:sz w:val="20"/>
                <w:szCs w:val="20"/>
                <w:color w:val="auto"/>
              </w:rPr>
            </w:pPr>
            <w:r>
              <w:rPr>
                <w:rFonts w:ascii="Arial" w:cs="Arial" w:eastAsia="Arial" w:hAnsi="Arial"/>
                <w:sz w:val="14"/>
                <w:szCs w:val="14"/>
                <w:b w:val="1"/>
                <w:bCs w:val="1"/>
                <w:color w:val="auto"/>
                <w:w w:val="90"/>
              </w:rPr>
              <w:t>Earnings</w:t>
            </w:r>
          </w:p>
        </w:tc>
        <w:tc>
          <w:tcPr>
            <w:tcW w:w="2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278"/>
              <w:spacing w:after="0" w:line="125" w:lineRule="exact"/>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Impact</w:t>
            </w:r>
          </w:p>
        </w:tc>
        <w:tc>
          <w:tcPr>
            <w:tcW w:w="200" w:type="dxa"/>
            <w:vAlign w:val="bottom"/>
          </w:tcPr>
          <w:p>
            <w:pPr>
              <w:spacing w:after="0"/>
              <w:rPr>
                <w:sz w:val="16"/>
                <w:szCs w:val="16"/>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Impact</w:t>
            </w: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Impact</w:t>
            </w:r>
          </w:p>
        </w:tc>
        <w:tc>
          <w:tcPr>
            <w:tcW w:w="200" w:type="dxa"/>
            <w:vAlign w:val="bottom"/>
          </w:tcPr>
          <w:p>
            <w:pPr>
              <w:spacing w:after="0"/>
              <w:rPr>
                <w:sz w:val="16"/>
                <w:szCs w:val="16"/>
                <w:color w:val="auto"/>
              </w:rPr>
            </w:pPr>
          </w:p>
        </w:tc>
        <w:tc>
          <w:tcPr>
            <w:tcW w:w="780" w:type="dxa"/>
            <w:vAlign w:val="bottom"/>
          </w:tcPr>
          <w:p>
            <w:pPr>
              <w:jc w:val="right"/>
              <w:ind w:right="198"/>
              <w:spacing w:after="0"/>
              <w:rPr>
                <w:sz w:val="20"/>
                <w:szCs w:val="20"/>
                <w:color w:val="auto"/>
              </w:rPr>
            </w:pPr>
            <w:r>
              <w:rPr>
                <w:rFonts w:ascii="Arial" w:cs="Arial" w:eastAsia="Arial" w:hAnsi="Arial"/>
                <w:sz w:val="14"/>
                <w:szCs w:val="14"/>
                <w:b w:val="1"/>
                <w:bCs w:val="1"/>
                <w:color w:val="auto"/>
              </w:rPr>
              <w:t>Impact</w:t>
            </w:r>
          </w:p>
        </w:tc>
        <w:tc>
          <w:tcPr>
            <w:tcW w:w="0" w:type="dxa"/>
            <w:vAlign w:val="bottom"/>
          </w:tcPr>
          <w:p>
            <w:pPr>
              <w:spacing w:after="0"/>
              <w:rPr>
                <w:sz w:val="1"/>
                <w:szCs w:val="1"/>
                <w:color w:val="auto"/>
              </w:rPr>
            </w:pPr>
          </w:p>
        </w:tc>
      </w:tr>
      <w:tr>
        <w:trPr>
          <w:trHeight w:val="217"/>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960" w:type="dxa"/>
            <w:vAlign w:val="bottom"/>
            <w:tcBorders>
              <w:top w:val="single" w:sz="8" w:color="CCEEFF"/>
              <w:bottom w:val="single" w:sz="8" w:color="CCEEFF"/>
            </w:tcBorders>
            <w:gridSpan w:val="2"/>
            <w:shd w:val="clear" w:color="auto" w:fill="CCEEFF"/>
          </w:tcPr>
          <w:p>
            <w:pPr>
              <w:spacing w:after="0" w:line="192" w:lineRule="exact"/>
              <w:rPr>
                <w:sz w:val="20"/>
                <w:szCs w:val="20"/>
                <w:color w:val="auto"/>
              </w:rPr>
            </w:pPr>
            <w:r>
              <w:rPr>
                <w:rFonts w:ascii="Arial" w:cs="Arial" w:eastAsia="Arial" w:hAnsi="Arial"/>
                <w:sz w:val="17"/>
                <w:szCs w:val="17"/>
                <w:color w:val="auto"/>
              </w:rPr>
              <w:t>Earnings from continuing operations attributable to Campbell Soup Company</w:t>
            </w:r>
          </w:p>
        </w:tc>
        <w:tc>
          <w:tcPr>
            <w:tcW w:w="16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757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4"/>
              <w:spacing w:after="0" w:line="192" w:lineRule="exact"/>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2.51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1,008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3.30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w w:val="91"/>
              </w:rPr>
              <w:t>Continuing operations:</w:t>
            </w:r>
          </w:p>
        </w:tc>
        <w:tc>
          <w:tcPr>
            <w:tcW w:w="53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7"/>
                <w:szCs w:val="17"/>
                <w:color w:val="auto"/>
              </w:rPr>
              <w:t>Pension and postretirement actuarial gains (losses)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155</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Commodity mark-to-market gains (losses)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7"/>
                <w:szCs w:val="17"/>
                <w:color w:val="auto"/>
              </w:rPr>
              <w:t>Restructuring charges, implementation costs and other related costs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on debt extinguishment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7"/>
                <w:szCs w:val="17"/>
                <w:color w:val="auto"/>
              </w:rPr>
              <w:t>Gain associated with divestiture</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tax charge</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960" w:type="dxa"/>
            <w:vAlign w:val="bottom"/>
            <w:gridSpan w:val="2"/>
          </w:tcPr>
          <w:p>
            <w:pPr>
              <w:spacing w:after="0" w:line="212" w:lineRule="exact"/>
              <w:rPr>
                <w:sz w:val="20"/>
                <w:szCs w:val="20"/>
                <w:color w:val="auto"/>
              </w:rPr>
            </w:pPr>
            <w:r>
              <w:rPr>
                <w:rFonts w:ascii="Arial" w:cs="Arial" w:eastAsia="Arial" w:hAnsi="Arial"/>
                <w:sz w:val="17"/>
                <w:szCs w:val="17"/>
                <w:color w:val="auto"/>
              </w:rPr>
              <w:t>Impact of items on Earnings from continuing operations</w:t>
            </w:r>
            <w:r>
              <w:rPr>
                <w:rFonts w:ascii="Arial" w:cs="Arial" w:eastAsia="Arial" w:hAnsi="Arial"/>
                <w:sz w:val="22"/>
                <w:szCs w:val="22"/>
                <w:color w:val="auto"/>
                <w:vertAlign w:val="superscript"/>
              </w:rPr>
              <w:t>(1)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137</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__________________________________________</w:t>
      </w:r>
    </w:p>
    <w:p>
      <w:pPr>
        <w:spacing w:after="0" w:line="58" w:lineRule="exact"/>
        <w:rPr>
          <w:sz w:val="20"/>
          <w:szCs w:val="20"/>
          <w:color w:val="auto"/>
        </w:rPr>
      </w:pPr>
    </w:p>
    <w:p>
      <w:pPr>
        <w:ind w:left="300" w:hanging="297"/>
        <w:spacing w:after="0"/>
        <w:tabs>
          <w:tab w:leader="none" w:pos="300"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Sum of the individual amounts may not add due to rounding.</w:t>
      </w:r>
    </w:p>
    <w:p>
      <w:pPr>
        <w:spacing w:after="0" w:line="79"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Earnings from continuing operations were $757 million ($2.51 per share) in 2022, compared to $1.008 billion ($3.30 per share) in 2021. After adjusting for items impacting comparability, earnings from continuing operations decreased reflecting lower gross profit, lower other income and higher administrative expenses, mostly offset by lower marketing and selling expenses, lower interest expense and a lower effective tax rate. Earnings per share benefited from a reduction in the weighted average diluted shares outstanding.</w:t>
      </w:r>
    </w:p>
    <w:p>
      <w:pPr>
        <w:spacing w:after="0" w:line="5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See "Discontinued Operations" for additional information.</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DISCUSSION AND ANALYSIS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An analysis of net sales by reportable segment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40" w:type="dxa"/>
            <w:vAlign w:val="bottom"/>
            <w:gridSpan w:val="4"/>
          </w:tcPr>
          <w:p>
            <w:pPr>
              <w:ind w:left="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4"/>
        </w:trPr>
        <w:tc>
          <w:tcPr>
            <w:tcW w:w="3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320" w:type="dxa"/>
            <w:vAlign w:val="bottom"/>
          </w:tcPr>
          <w:p>
            <w:pPr>
              <w:spacing w:after="0"/>
              <w:rPr>
                <w:sz w:val="2"/>
                <w:szCs w:val="2"/>
                <w:color w:val="auto"/>
              </w:rPr>
            </w:pPr>
          </w:p>
        </w:tc>
        <w:tc>
          <w:tcPr>
            <w:tcW w:w="1040" w:type="dxa"/>
            <w:vAlign w:val="bottom"/>
            <w:vMerge w:val="restart"/>
          </w:tcPr>
          <w:p>
            <w:pPr>
              <w:jc w:val="right"/>
              <w:ind w:right="45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vMerge w:val="restart"/>
          </w:tcPr>
          <w:p>
            <w:pPr>
              <w:jc w:val="right"/>
              <w:ind w:right="458"/>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vMerge w:val="restart"/>
          </w:tcPr>
          <w:p>
            <w:pPr>
              <w:jc w:val="right"/>
              <w:ind w:right="458"/>
              <w:spacing w:after="0"/>
              <w:rPr>
                <w:sz w:val="20"/>
                <w:szCs w:val="20"/>
                <w:color w:val="auto"/>
              </w:rPr>
            </w:pPr>
            <w:r>
              <w:rPr>
                <w:rFonts w:ascii="Arial" w:cs="Arial" w:eastAsia="Arial" w:hAnsi="Arial"/>
                <w:sz w:val="14"/>
                <w:szCs w:val="14"/>
                <w:b w:val="1"/>
                <w:bCs w:val="1"/>
                <w:color w:val="auto"/>
              </w:rPr>
              <w:t>2021</w:t>
            </w:r>
          </w:p>
        </w:tc>
        <w:tc>
          <w:tcPr>
            <w:tcW w:w="1160" w:type="dxa"/>
            <w:vAlign w:val="bottom"/>
            <w:gridSpan w:val="2"/>
          </w:tcPr>
          <w:p>
            <w:pPr>
              <w:spacing w:after="0"/>
              <w:rPr>
                <w:sz w:val="2"/>
                <w:szCs w:val="2"/>
                <w:color w:val="auto"/>
              </w:rPr>
            </w:pPr>
          </w:p>
        </w:tc>
        <w:tc>
          <w:tcPr>
            <w:tcW w:w="180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90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auto"/>
            </w:tcBorders>
          </w:tcPr>
          <w:p>
            <w:pPr>
              <w:jc w:val="center"/>
              <w:ind w:left="271"/>
              <w:spacing w:after="0"/>
              <w:rPr>
                <w:sz w:val="20"/>
                <w:szCs w:val="20"/>
                <w:color w:val="auto"/>
              </w:rPr>
            </w:pPr>
            <w:r>
              <w:rPr>
                <w:rFonts w:ascii="Arial" w:cs="Arial" w:eastAsia="Arial" w:hAnsi="Arial"/>
                <w:sz w:val="14"/>
                <w:szCs w:val="14"/>
                <w:b w:val="1"/>
                <w:bCs w:val="1"/>
                <w:color w:val="auto"/>
                <w:w w:val="90"/>
              </w:rPr>
              <w:t>2023/2022</w:t>
            </w:r>
          </w:p>
        </w:tc>
        <w:tc>
          <w:tcPr>
            <w:tcW w:w="3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2022/2021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Meals &amp; Beverages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4,907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4,621</w:t>
            </w:r>
          </w:p>
        </w:tc>
        <w:tc>
          <w:tcPr>
            <w:tcW w:w="1160" w:type="dxa"/>
            <w:vAlign w:val="bottom"/>
            <w:gridSpan w:val="2"/>
            <w:shd w:val="clear" w:color="auto" w:fill="CCEEFF"/>
          </w:tcPr>
          <w:p>
            <w:pPr>
              <w:jc w:val="center"/>
              <w:ind w:left="354"/>
              <w:spacing w:after="0"/>
              <w:rPr>
                <w:sz w:val="20"/>
                <w:szCs w:val="20"/>
                <w:color w:val="auto"/>
              </w:rPr>
            </w:pPr>
            <w:r>
              <w:rPr>
                <w:rFonts w:ascii="Arial" w:cs="Arial" w:eastAsia="Arial" w:hAnsi="Arial"/>
                <w:sz w:val="17"/>
                <w:szCs w:val="17"/>
                <w:color w:val="auto"/>
                <w:w w:val="84"/>
              </w:rPr>
              <w:t>7</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Snacks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4,450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3,955</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3,855</w:t>
            </w:r>
          </w:p>
        </w:tc>
        <w:tc>
          <w:tcPr>
            <w:tcW w:w="1160" w:type="dxa"/>
            <w:vAlign w:val="bottom"/>
            <w:tcBorders>
              <w:bottom w:val="single" w:sz="8" w:color="CCEEFF"/>
            </w:tcBorders>
            <w:gridSpan w:val="2"/>
          </w:tcPr>
          <w:p>
            <w:pPr>
              <w:jc w:val="center"/>
              <w:ind w:left="354"/>
              <w:spacing w:after="0"/>
              <w:rPr>
                <w:sz w:val="20"/>
                <w:szCs w:val="20"/>
                <w:color w:val="auto"/>
              </w:rPr>
            </w:pPr>
            <w:r>
              <w:rPr>
                <w:rFonts w:ascii="Arial" w:cs="Arial" w:eastAsia="Arial" w:hAnsi="Arial"/>
                <w:sz w:val="17"/>
                <w:szCs w:val="17"/>
                <w:color w:val="auto"/>
                <w:w w:val="84"/>
              </w:rPr>
              <w:t>13</w:t>
            </w:r>
          </w:p>
        </w:tc>
        <w:tc>
          <w:tcPr>
            <w:tcW w:w="1800" w:type="dxa"/>
            <w:vAlign w:val="bottom"/>
            <w:tcBorders>
              <w:bottom w:val="single" w:sz="8" w:color="CCEEFF"/>
            </w:tcBorders>
            <w:gridSpan w:val="3"/>
          </w:tcPr>
          <w:p>
            <w:pPr>
              <w:jc w:val="center"/>
              <w:ind w:left="360"/>
              <w:spacing w:after="0"/>
              <w:rPr>
                <w:sz w:val="20"/>
                <w:szCs w:val="20"/>
                <w:color w:val="auto"/>
              </w:rPr>
            </w:pPr>
            <w:r>
              <w:rPr>
                <w:rFonts w:ascii="Arial" w:cs="Arial" w:eastAsia="Arial" w:hAnsi="Arial"/>
                <w:sz w:val="17"/>
                <w:szCs w:val="17"/>
                <w:color w:val="auto"/>
                <w:w w:val="84"/>
              </w:rPr>
              <w:t>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9,357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8,562</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8,476</w:t>
            </w:r>
          </w:p>
        </w:tc>
        <w:tc>
          <w:tcPr>
            <w:tcW w:w="1160" w:type="dxa"/>
            <w:vAlign w:val="bottom"/>
            <w:tcBorders>
              <w:bottom w:val="single" w:sz="8" w:color="CCEEFF"/>
            </w:tcBorders>
            <w:gridSpan w:val="2"/>
            <w:shd w:val="clear" w:color="auto" w:fill="CCEEFF"/>
          </w:tcPr>
          <w:p>
            <w:pPr>
              <w:jc w:val="center"/>
              <w:ind w:left="354"/>
              <w:spacing w:after="0"/>
              <w:rPr>
                <w:sz w:val="20"/>
                <w:szCs w:val="20"/>
                <w:color w:val="auto"/>
              </w:rPr>
            </w:pPr>
            <w:r>
              <w:rPr>
                <w:rFonts w:ascii="Arial" w:cs="Arial" w:eastAsia="Arial" w:hAnsi="Arial"/>
                <w:sz w:val="17"/>
                <w:szCs w:val="17"/>
                <w:color w:val="auto"/>
                <w:w w:val="84"/>
              </w:rPr>
              <w:t>9</w:t>
            </w:r>
          </w:p>
        </w:tc>
        <w:tc>
          <w:tcPr>
            <w:tcW w:w="1800" w:type="dxa"/>
            <w:vAlign w:val="bottom"/>
            <w:tcBorders>
              <w:bottom w:val="single" w:sz="8" w:color="CCEEFF"/>
            </w:tcBorders>
            <w:gridSpan w:val="3"/>
            <w:shd w:val="clear" w:color="auto" w:fill="CCEEFF"/>
          </w:tcPr>
          <w:p>
            <w:pPr>
              <w:jc w:val="center"/>
              <w:ind w:left="360"/>
              <w:spacing w:after="0"/>
              <w:rPr>
                <w:sz w:val="20"/>
                <w:szCs w:val="20"/>
                <w:color w:val="auto"/>
              </w:rPr>
            </w:pPr>
            <w:r>
              <w:rPr>
                <w:rFonts w:ascii="Arial" w:cs="Arial" w:eastAsia="Arial" w:hAnsi="Arial"/>
                <w:sz w:val="17"/>
                <w:szCs w:val="17"/>
                <w:color w:val="auto"/>
                <w:w w:val="84"/>
              </w:rPr>
              <w:t>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6"/>
        </w:trPr>
        <w:tc>
          <w:tcPr>
            <w:tcW w:w="3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938"/>
              <w:spacing w:after="0"/>
              <w:rPr>
                <w:sz w:val="20"/>
                <w:szCs w:val="20"/>
                <w:color w:val="auto"/>
              </w:rPr>
            </w:pPr>
            <w:r>
              <w:rPr>
                <w:rFonts w:ascii="Arial" w:cs="Arial" w:eastAsia="Arial" w:hAnsi="Arial"/>
                <w:sz w:val="17"/>
                <w:szCs w:val="17"/>
                <w:color w:val="auto"/>
                <w:w w:val="94"/>
              </w:rPr>
              <w:t>20</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90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20" w:name="page21"/>
    <w:bookmarkEnd w:id="20"/>
    <w:p>
      <w:pPr>
        <w:ind w:left="320"/>
        <w:spacing w:after="0"/>
        <w:rPr>
          <w:sz w:val="20"/>
          <w:szCs w:val="20"/>
          <w:color w:val="auto"/>
        </w:rPr>
      </w:pPr>
      <w:r>
        <w:rPr>
          <w:rFonts w:ascii="Arial" w:cs="Arial" w:eastAsia="Arial" w:hAnsi="Arial"/>
          <w:sz w:val="17"/>
          <w:szCs w:val="17"/>
          <w:color w:val="auto"/>
        </w:rPr>
        <w:t>An analysis of percent change of net sales by reportable segment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380" w:type="dxa"/>
            <w:vAlign w:val="bottom"/>
            <w:gridSpan w:val="2"/>
          </w:tcPr>
          <w:p>
            <w:pPr>
              <w:spacing w:after="0"/>
              <w:rPr>
                <w:sz w:val="20"/>
                <w:szCs w:val="20"/>
                <w:color w:val="auto"/>
              </w:rPr>
            </w:pPr>
            <w:r>
              <w:rPr>
                <w:rFonts w:ascii="Arial" w:cs="Arial" w:eastAsia="Arial" w:hAnsi="Arial"/>
                <w:sz w:val="17"/>
                <w:szCs w:val="17"/>
                <w:b w:val="1"/>
                <w:bCs w:val="1"/>
                <w:color w:val="auto"/>
              </w:rPr>
              <w:t>2023 versus 2022</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Meals &amp; Beverages</w:t>
            </w:r>
            <w:r>
              <w:rPr>
                <w:rFonts w:ascii="Arial" w:cs="Arial" w:eastAsia="Arial" w:hAnsi="Arial"/>
                <w:sz w:val="8"/>
                <w:szCs w:val="8"/>
                <w:b w:val="1"/>
                <w:bCs w:val="1"/>
                <w:color w:val="auto"/>
                <w:w w:val="88"/>
              </w:rPr>
              <w:t>(1)</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Snacks</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40" w:type="dxa"/>
            <w:vAlign w:val="bottom"/>
            <w:tcBorders>
              <w:top w:val="single" w:sz="8" w:color="auto"/>
              <w:bottom w:val="single" w:sz="8" w:color="CCEEFF"/>
            </w:tcBorders>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Volume/mix</w:t>
            </w:r>
          </w:p>
        </w:tc>
        <w:tc>
          <w:tcPr>
            <w:tcW w:w="1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(2)%</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80" w:type="dxa"/>
            <w:vAlign w:val="bottom"/>
            <w:gridSpan w:val="2"/>
          </w:tcPr>
          <w:p>
            <w:pPr>
              <w:spacing w:after="0" w:line="219" w:lineRule="exact"/>
              <w:rPr>
                <w:sz w:val="20"/>
                <w:szCs w:val="20"/>
                <w:color w:val="auto"/>
              </w:rPr>
            </w:pPr>
            <w:r>
              <w:rPr>
                <w:rFonts w:ascii="Arial" w:cs="Arial" w:eastAsia="Arial" w:hAnsi="Arial"/>
                <w:sz w:val="17"/>
                <w:szCs w:val="17"/>
                <w:color w:val="auto"/>
              </w:rPr>
              <w:t>Net price realization</w:t>
            </w:r>
            <w:r>
              <w:rPr>
                <w:rFonts w:ascii="Arial" w:cs="Arial" w:eastAsia="Arial" w:hAnsi="Arial"/>
                <w:sz w:val="22"/>
                <w:szCs w:val="22"/>
                <w:color w:val="auto"/>
                <w:vertAlign w:val="superscript"/>
              </w:rPr>
              <w:t>(1)</w:t>
            </w:r>
          </w:p>
        </w:tc>
        <w:tc>
          <w:tcPr>
            <w:tcW w:w="1540" w:type="dxa"/>
            <w:vAlign w:val="bottom"/>
          </w:tcPr>
          <w:p>
            <w:pPr>
              <w:jc w:val="center"/>
              <w:spacing w:after="0"/>
              <w:rPr>
                <w:sz w:val="20"/>
                <w:szCs w:val="20"/>
                <w:color w:val="auto"/>
              </w:rPr>
            </w:pPr>
            <w:r>
              <w:rPr>
                <w:rFonts w:ascii="Arial" w:cs="Arial" w:eastAsia="Arial" w:hAnsi="Arial"/>
                <w:sz w:val="17"/>
                <w:szCs w:val="17"/>
                <w:color w:val="auto"/>
                <w:w w:val="94"/>
              </w:rPr>
              <w:t>12</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7"/>
                <w:szCs w:val="17"/>
                <w:color w:val="auto"/>
                <w:w w:val="94"/>
              </w:rPr>
              <w:t>15</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84"/>
              </w:rPr>
              <w:t>13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Currency</w:t>
            </w:r>
          </w:p>
        </w:tc>
        <w:tc>
          <w:tcPr>
            <w:tcW w:w="1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(1)</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7"/>
                <w:szCs w:val="17"/>
                <w:color w:val="auto"/>
              </w:rPr>
              <w:t>Divestiture</w:t>
            </w:r>
          </w:p>
        </w:tc>
        <w:tc>
          <w:tcPr>
            <w:tcW w:w="1640" w:type="dxa"/>
            <w:vAlign w:val="bottom"/>
            <w:gridSpan w:val="2"/>
          </w:tcPr>
          <w:p>
            <w:pPr>
              <w:jc w:val="center"/>
              <w:ind w:right="100"/>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center"/>
              <w:ind w:right="100"/>
              <w:spacing w:after="0"/>
              <w:rPr>
                <w:sz w:val="20"/>
                <w:szCs w:val="20"/>
                <w:color w:val="auto"/>
              </w:rPr>
            </w:pPr>
            <w:r>
              <w:rPr>
                <w:rFonts w:ascii="Arial" w:cs="Arial" w:eastAsia="Arial" w:hAnsi="Arial"/>
                <w:sz w:val="17"/>
                <w:szCs w:val="17"/>
                <w:color w:val="auto"/>
              </w:rPr>
              <w:t>—</w:t>
            </w:r>
          </w:p>
        </w:tc>
        <w:tc>
          <w:tcPr>
            <w:tcW w:w="152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514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3"/>
              </w:rPr>
              <w:t>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7"/>
              </w:rPr>
              <w:t>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3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b w:val="1"/>
                <w:bCs w:val="1"/>
                <w:color w:val="auto"/>
              </w:rPr>
              <w:t>2022 versus 2021</w:t>
            </w: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0" w:type="dxa"/>
            <w:vAlign w:val="bottom"/>
          </w:tcPr>
          <w:p>
            <w:pPr>
              <w:spacing w:after="0"/>
              <w:rPr>
                <w:sz w:val="23"/>
                <w:szCs w:val="23"/>
                <w:color w:val="auto"/>
              </w:rPr>
            </w:pPr>
          </w:p>
        </w:tc>
        <w:tc>
          <w:tcPr>
            <w:tcW w:w="6380" w:type="dxa"/>
            <w:vAlign w:val="bottom"/>
            <w:gridSpan w:val="2"/>
            <w:vMerge w:val="continue"/>
          </w:tcPr>
          <w:p>
            <w:pPr>
              <w:spacing w:after="0"/>
              <w:rPr>
                <w:sz w:val="23"/>
                <w:szCs w:val="23"/>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Meals &amp; Beverages</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Snacks</w:t>
            </w:r>
            <w:r>
              <w:rPr>
                <w:rFonts w:ascii="Arial" w:cs="Arial" w:eastAsia="Arial" w:hAnsi="Arial"/>
                <w:sz w:val="17"/>
                <w:szCs w:val="17"/>
                <w:b w:val="1"/>
                <w:bCs w:val="1"/>
                <w:color w:val="auto"/>
                <w:w w:val="82"/>
                <w:vertAlign w:val="superscript"/>
              </w:rPr>
              <w:t>(2)</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4"/>
              </w:rPr>
              <w:t>Total</w:t>
            </w:r>
            <w:r>
              <w:rPr>
                <w:rFonts w:ascii="Arial" w:cs="Arial" w:eastAsia="Arial" w:hAnsi="Arial"/>
                <w:sz w:val="17"/>
                <w:szCs w:val="17"/>
                <w:b w:val="1"/>
                <w:bCs w:val="1"/>
                <w:color w:val="auto"/>
                <w:w w:val="84"/>
                <w:vertAlign w:val="superscript"/>
              </w:rPr>
              <w:t>(2)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40" w:type="dxa"/>
            <w:vAlign w:val="bottom"/>
            <w:tcBorders>
              <w:top w:val="single" w:sz="8" w:color="auto"/>
              <w:bottom w:val="single" w:sz="8" w:color="CCEEFF"/>
            </w:tcBorders>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Volume/mix</w:t>
            </w:r>
          </w:p>
        </w:tc>
        <w:tc>
          <w:tcPr>
            <w:tcW w:w="1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(6)%</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(6)%</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80" w:type="dxa"/>
            <w:vAlign w:val="bottom"/>
            <w:gridSpan w:val="2"/>
          </w:tcPr>
          <w:p>
            <w:pPr>
              <w:spacing w:after="0" w:line="219" w:lineRule="exact"/>
              <w:rPr>
                <w:sz w:val="20"/>
                <w:szCs w:val="20"/>
                <w:color w:val="auto"/>
              </w:rPr>
            </w:pPr>
            <w:r>
              <w:rPr>
                <w:rFonts w:ascii="Arial" w:cs="Arial" w:eastAsia="Arial" w:hAnsi="Arial"/>
                <w:sz w:val="17"/>
                <w:szCs w:val="17"/>
                <w:color w:val="auto"/>
              </w:rPr>
              <w:t>Net price realization</w:t>
            </w:r>
            <w:r>
              <w:rPr>
                <w:rFonts w:ascii="Arial" w:cs="Arial" w:eastAsia="Arial" w:hAnsi="Arial"/>
                <w:sz w:val="22"/>
                <w:szCs w:val="22"/>
                <w:color w:val="auto"/>
                <w:vertAlign w:val="superscript"/>
              </w:rPr>
              <w:t>(1)</w:t>
            </w:r>
          </w:p>
        </w:tc>
        <w:tc>
          <w:tcPr>
            <w:tcW w:w="1540" w:type="dxa"/>
            <w:vAlign w:val="bottom"/>
          </w:tcPr>
          <w:p>
            <w:pPr>
              <w:jc w:val="center"/>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7"/>
                <w:szCs w:val="17"/>
                <w:color w:val="auto"/>
                <w:w w:val="84"/>
              </w:rPr>
              <w:t>8</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84"/>
              </w:rPr>
              <w:t>7</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Divestiture</w:t>
            </w:r>
          </w:p>
        </w:tc>
        <w:tc>
          <w:tcPr>
            <w:tcW w:w="1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6"/>
              </w:rPr>
              <w:t>(1)</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6"/>
              </w:rPr>
              <w:t>(1)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w:t>
            </w:r>
          </w:p>
        </w:tc>
        <w:tc>
          <w:tcPr>
            <w:tcW w:w="1540" w:type="dxa"/>
            <w:vAlign w:val="bottom"/>
          </w:tcPr>
          <w:p>
            <w:pPr>
              <w:jc w:val="center"/>
              <w:spacing w:after="0"/>
              <w:rPr>
                <w:sz w:val="20"/>
                <w:szCs w:val="20"/>
                <w:color w:val="auto"/>
              </w:rPr>
            </w:pPr>
            <w:r>
              <w:rPr>
                <w:rFonts w:ascii="Arial" w:cs="Arial" w:eastAsia="Arial" w:hAnsi="Arial"/>
                <w:sz w:val="17"/>
                <w:szCs w:val="17"/>
                <w:color w:val="auto"/>
                <w:w w:val="89"/>
              </w:rPr>
              <w:t>3%</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7"/>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__________________________________________</w:t>
      </w:r>
    </w:p>
    <w:p>
      <w:pPr>
        <w:spacing w:after="0" w:line="19" w:lineRule="exact"/>
        <w:rPr>
          <w:sz w:val="20"/>
          <w:szCs w:val="20"/>
          <w:color w:val="auto"/>
        </w:rPr>
      </w:pPr>
    </w:p>
    <w:p>
      <w:pPr>
        <w:ind w:left="300" w:hanging="297"/>
        <w:spacing w:after="0"/>
        <w:tabs>
          <w:tab w:leader="none" w:pos="300" w:val="left"/>
        </w:tabs>
        <w:numPr>
          <w:ilvl w:val="0"/>
          <w:numId w:val="18"/>
        </w:numPr>
        <w:rPr>
          <w:rFonts w:ascii="Arial" w:cs="Arial" w:eastAsia="Arial" w:hAnsi="Arial"/>
          <w:sz w:val="22"/>
          <w:szCs w:val="22"/>
          <w:color w:val="auto"/>
          <w:vertAlign w:val="superscript"/>
        </w:rPr>
      </w:pPr>
      <w:r>
        <w:rPr>
          <w:rFonts w:ascii="Arial" w:cs="Arial" w:eastAsia="Arial" w:hAnsi="Arial"/>
          <w:sz w:val="17"/>
          <w:szCs w:val="17"/>
          <w:color w:val="auto"/>
        </w:rPr>
        <w:t>Includes revenue reductions from trade promotion and consumer coupon redemption programs.</w:t>
      </w:r>
    </w:p>
    <w:p>
      <w:pPr>
        <w:spacing w:after="0" w:line="3" w:lineRule="exact"/>
        <w:rPr>
          <w:rFonts w:ascii="Arial" w:cs="Arial" w:eastAsia="Arial" w:hAnsi="Arial"/>
          <w:sz w:val="22"/>
          <w:szCs w:val="22"/>
          <w:color w:val="auto"/>
          <w:vertAlign w:val="superscript"/>
        </w:rPr>
      </w:pPr>
    </w:p>
    <w:p>
      <w:pPr>
        <w:ind w:left="300" w:hanging="297"/>
        <w:spacing w:after="0" w:line="192" w:lineRule="auto"/>
        <w:tabs>
          <w:tab w:leader="none" w:pos="300" w:val="left"/>
        </w:tabs>
        <w:numPr>
          <w:ilvl w:val="0"/>
          <w:numId w:val="18"/>
        </w:numPr>
        <w:rPr>
          <w:rFonts w:ascii="Arial" w:cs="Arial" w:eastAsia="Arial" w:hAnsi="Arial"/>
          <w:sz w:val="22"/>
          <w:szCs w:val="22"/>
          <w:color w:val="auto"/>
          <w:vertAlign w:val="superscript"/>
        </w:rPr>
      </w:pPr>
      <w:r>
        <w:rPr>
          <w:rFonts w:ascii="Arial" w:cs="Arial" w:eastAsia="Arial" w:hAnsi="Arial"/>
          <w:sz w:val="17"/>
          <w:szCs w:val="17"/>
          <w:color w:val="auto"/>
        </w:rPr>
        <w:t>Sum of the individual amounts does not add due to rounding.</w:t>
      </w:r>
    </w:p>
    <w:p>
      <w:pPr>
        <w:spacing w:after="0" w:line="80"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 xml:space="preserve">In 2023, Meals &amp; Beverages sales increased 7% primarily due to increases in U.S. retail products, including U.S. soup and </w:t>
      </w:r>
      <w:r>
        <w:rPr>
          <w:rFonts w:ascii="Arial" w:cs="Arial" w:eastAsia="Arial" w:hAnsi="Arial"/>
          <w:sz w:val="17"/>
          <w:szCs w:val="17"/>
          <w:i w:val="1"/>
          <w:iCs w:val="1"/>
          <w:color w:val="auto"/>
        </w:rPr>
        <w:t>Prego</w:t>
      </w:r>
      <w:r>
        <w:rPr>
          <w:rFonts w:ascii="Arial" w:cs="Arial" w:eastAsia="Arial" w:hAnsi="Arial"/>
          <w:sz w:val="17"/>
          <w:szCs w:val="17"/>
          <w:color w:val="auto"/>
        </w:rPr>
        <w:t xml:space="preserve"> pasta sauces, as well as gains in foodservice. Favorable net price realization was partially offset by lower volume/mix. Sales of U.S. soup increased 3% primarily due to increases in ready-to-serve soups and broth.</w:t>
      </w:r>
    </w:p>
    <w:p>
      <w:pPr>
        <w:spacing w:after="0" w:line="4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 xml:space="preserve">In 2022, Meals &amp; Beverages sales were comparable with prior year. Excluding the impact from the divestiture of the Plum baby food and snacks business, sales increased primarily due to increases in U.S. soup and foodservice, partially offset by declines in </w:t>
      </w:r>
      <w:r>
        <w:rPr>
          <w:rFonts w:ascii="Arial" w:cs="Arial" w:eastAsia="Arial" w:hAnsi="Arial"/>
          <w:sz w:val="17"/>
          <w:szCs w:val="17"/>
          <w:i w:val="1"/>
          <w:iCs w:val="1"/>
          <w:color w:val="auto"/>
        </w:rPr>
        <w:t>V8</w:t>
      </w:r>
      <w:r>
        <w:rPr>
          <w:rFonts w:ascii="Arial" w:cs="Arial" w:eastAsia="Arial" w:hAnsi="Arial"/>
          <w:sz w:val="17"/>
          <w:szCs w:val="17"/>
          <w:color w:val="auto"/>
        </w:rPr>
        <w:t xml:space="preserve"> beverages. Favorable inflation-driven net price realization was partially offset by lower volume/mix, which decreased primarily due to supply constraints driven by labor and materials availability and price elasticities. Sales of U.S. soup increased 3% due to increases in ready-to-serve soups, condensed soups and broth.</w:t>
      </w:r>
    </w:p>
    <w:p>
      <w:pPr>
        <w:spacing w:after="0" w:line="64"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 xml:space="preserve">In 2023, Snacks sales increased 13% driven by sales of our power brands which increased 17%. Sales increased due to increases in cookies and crackers, primarily </w:t>
      </w:r>
      <w:r>
        <w:rPr>
          <w:rFonts w:ascii="Arial" w:cs="Arial" w:eastAsia="Arial" w:hAnsi="Arial"/>
          <w:sz w:val="17"/>
          <w:szCs w:val="17"/>
          <w:i w:val="1"/>
          <w:iCs w:val="1"/>
          <w:color w:val="auto"/>
        </w:rPr>
        <w:t>Goldfish</w:t>
      </w:r>
      <w:r>
        <w:rPr>
          <w:rFonts w:ascii="Arial" w:cs="Arial" w:eastAsia="Arial" w:hAnsi="Arial"/>
          <w:sz w:val="17"/>
          <w:szCs w:val="17"/>
          <w:color w:val="auto"/>
        </w:rPr>
        <w:t xml:space="preserve"> crackers and </w:t>
      </w:r>
      <w:r>
        <w:rPr>
          <w:rFonts w:ascii="Arial" w:cs="Arial" w:eastAsia="Arial" w:hAnsi="Arial"/>
          <w:sz w:val="17"/>
          <w:szCs w:val="17"/>
          <w:i w:val="1"/>
          <w:iCs w:val="1"/>
          <w:color w:val="auto"/>
        </w:rPr>
        <w:t>Lance</w:t>
      </w:r>
      <w:r>
        <w:rPr>
          <w:rFonts w:ascii="Arial" w:cs="Arial" w:eastAsia="Arial" w:hAnsi="Arial"/>
          <w:sz w:val="17"/>
          <w:szCs w:val="17"/>
          <w:color w:val="auto"/>
        </w:rPr>
        <w:t xml:space="preserve"> sandwich crackers, and in salty snacks, primarily </w:t>
      </w:r>
      <w:r>
        <w:rPr>
          <w:rFonts w:ascii="Arial" w:cs="Arial" w:eastAsia="Arial" w:hAnsi="Arial"/>
          <w:sz w:val="17"/>
          <w:szCs w:val="17"/>
          <w:i w:val="1"/>
          <w:iCs w:val="1"/>
          <w:color w:val="auto"/>
        </w:rPr>
        <w:t>Snyder’s of Hanover</w:t>
      </w:r>
      <w:r>
        <w:rPr>
          <w:rFonts w:ascii="Arial" w:cs="Arial" w:eastAsia="Arial" w:hAnsi="Arial"/>
          <w:sz w:val="17"/>
          <w:szCs w:val="17"/>
          <w:color w:val="auto"/>
        </w:rPr>
        <w:t xml:space="preserve"> pretzels and </w:t>
      </w:r>
      <w:r>
        <w:rPr>
          <w:rFonts w:ascii="Arial" w:cs="Arial" w:eastAsia="Arial" w:hAnsi="Arial"/>
          <w:sz w:val="17"/>
          <w:szCs w:val="17"/>
          <w:i w:val="1"/>
          <w:iCs w:val="1"/>
          <w:color w:val="auto"/>
        </w:rPr>
        <w:t>Kettle Brand</w:t>
      </w:r>
      <w:r>
        <w:rPr>
          <w:rFonts w:ascii="Arial" w:cs="Arial" w:eastAsia="Arial" w:hAnsi="Arial"/>
          <w:sz w:val="17"/>
          <w:szCs w:val="17"/>
          <w:color w:val="auto"/>
        </w:rPr>
        <w:t xml:space="preserve"> and </w:t>
      </w:r>
      <w:r>
        <w:rPr>
          <w:rFonts w:ascii="Arial" w:cs="Arial" w:eastAsia="Arial" w:hAnsi="Arial"/>
          <w:sz w:val="17"/>
          <w:szCs w:val="17"/>
          <w:i w:val="1"/>
          <w:iCs w:val="1"/>
          <w:color w:val="auto"/>
        </w:rPr>
        <w:t>Cape Cod</w:t>
      </w:r>
      <w:r>
        <w:rPr>
          <w:rFonts w:ascii="Arial" w:cs="Arial" w:eastAsia="Arial" w:hAnsi="Arial"/>
          <w:sz w:val="17"/>
          <w:szCs w:val="17"/>
          <w:color w:val="auto"/>
        </w:rPr>
        <w:t xml:space="preserve"> potato chips. Sales benefited from favorable net price realization.</w:t>
      </w:r>
    </w:p>
    <w:p>
      <w:pPr>
        <w:spacing w:after="0" w:line="58"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 xml:space="preserve">In 2022, Snacks sales increased 3% driven by sales of our power brands which increased 7%. Sales increased due to increases in cookies and crackers, primarily </w:t>
      </w:r>
      <w:r>
        <w:rPr>
          <w:rFonts w:ascii="Arial" w:cs="Arial" w:eastAsia="Arial" w:hAnsi="Arial"/>
          <w:sz w:val="17"/>
          <w:szCs w:val="17"/>
          <w:i w:val="1"/>
          <w:iCs w:val="1"/>
          <w:color w:val="auto"/>
        </w:rPr>
        <w:t>Goldfish</w:t>
      </w:r>
      <w:r>
        <w:rPr>
          <w:rFonts w:ascii="Arial" w:cs="Arial" w:eastAsia="Arial" w:hAnsi="Arial"/>
          <w:sz w:val="17"/>
          <w:szCs w:val="17"/>
          <w:color w:val="auto"/>
        </w:rPr>
        <w:t xml:space="preserve"> crackers, and in salty snacks, primarily </w:t>
      </w:r>
      <w:r>
        <w:rPr>
          <w:rFonts w:ascii="Arial" w:cs="Arial" w:eastAsia="Arial" w:hAnsi="Arial"/>
          <w:sz w:val="17"/>
          <w:szCs w:val="17"/>
          <w:i w:val="1"/>
          <w:iCs w:val="1"/>
          <w:color w:val="auto"/>
        </w:rPr>
        <w:t>Snyder’s of Hanover</w:t>
      </w:r>
      <w:r>
        <w:rPr>
          <w:rFonts w:ascii="Arial" w:cs="Arial" w:eastAsia="Arial" w:hAnsi="Arial"/>
          <w:sz w:val="17"/>
          <w:szCs w:val="17"/>
          <w:color w:val="auto"/>
        </w:rPr>
        <w:t xml:space="preserve"> pretzels and </w:t>
      </w:r>
      <w:r>
        <w:rPr>
          <w:rFonts w:ascii="Arial" w:cs="Arial" w:eastAsia="Arial" w:hAnsi="Arial"/>
          <w:sz w:val="17"/>
          <w:szCs w:val="17"/>
          <w:i w:val="1"/>
          <w:iCs w:val="1"/>
          <w:color w:val="auto"/>
        </w:rPr>
        <w:t>Kettle Brand</w:t>
      </w:r>
      <w:r>
        <w:rPr>
          <w:rFonts w:ascii="Arial" w:cs="Arial" w:eastAsia="Arial" w:hAnsi="Arial"/>
          <w:sz w:val="17"/>
          <w:szCs w:val="17"/>
          <w:color w:val="auto"/>
        </w:rPr>
        <w:t xml:space="preserve"> potato chips which more than offset declines in </w:t>
      </w:r>
      <w:r>
        <w:rPr>
          <w:rFonts w:ascii="Arial" w:cs="Arial" w:eastAsia="Arial" w:hAnsi="Arial"/>
          <w:sz w:val="17"/>
          <w:szCs w:val="17"/>
          <w:i w:val="1"/>
          <w:iCs w:val="1"/>
          <w:color w:val="auto"/>
        </w:rPr>
        <w:t>Late July</w:t>
      </w:r>
      <w:r>
        <w:rPr>
          <w:rFonts w:ascii="Arial" w:cs="Arial" w:eastAsia="Arial" w:hAnsi="Arial"/>
          <w:sz w:val="17"/>
          <w:szCs w:val="17"/>
          <w:color w:val="auto"/>
        </w:rPr>
        <w:t xml:space="preserve"> snacks, partially offset by declines in non-core businesses. Favorable inflation-driven net price realization was partly offset by a decline in volume/mix. Volume/mix declined driven by supply constraints due to labor and materials availability and price elasticities.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Gross Profit</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Gross profit, defined as Net sales less Cost of products sold, increased by $290 million in 2023 from 2022 and decreased by $184 million in 2022 from 2021.</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As a percent of sales, gross profit was 31.2% in 2023, 30.7% in 2022 and 33.2% in 2021.</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50 basis-point increase and the 250 basis-point decrease in gross profit margin in 2023 and 2022, respectively, were due to the following factors: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640" w:type="dxa"/>
            <w:vAlign w:val="bottom"/>
          </w:tcPr>
          <w:p>
            <w:pPr>
              <w:spacing w:after="0"/>
              <w:rPr>
                <w:sz w:val="15"/>
                <w:szCs w:val="15"/>
                <w:color w:val="auto"/>
              </w:rPr>
            </w:pPr>
          </w:p>
        </w:tc>
        <w:tc>
          <w:tcPr>
            <w:tcW w:w="1760" w:type="dxa"/>
            <w:vAlign w:val="bottom"/>
            <w:gridSpan w:val="3"/>
          </w:tcPr>
          <w:p>
            <w:pPr>
              <w:ind w:left="840"/>
              <w:spacing w:after="0"/>
              <w:rPr>
                <w:sz w:val="20"/>
                <w:szCs w:val="20"/>
                <w:color w:val="auto"/>
              </w:rPr>
            </w:pPr>
            <w:r>
              <w:rPr>
                <w:rFonts w:ascii="Arial" w:cs="Arial" w:eastAsia="Arial" w:hAnsi="Arial"/>
                <w:sz w:val="14"/>
                <w:szCs w:val="14"/>
                <w:b w:val="1"/>
                <w:bCs w:val="1"/>
                <w:color w:val="auto"/>
                <w:w w:val="94"/>
              </w:rPr>
              <w:t>Margin Impact</w:t>
            </w:r>
          </w:p>
        </w:tc>
        <w:tc>
          <w:tcPr>
            <w:tcW w:w="820" w:type="dxa"/>
            <w:vAlign w:val="bottom"/>
          </w:tcPr>
          <w:p>
            <w:pPr>
              <w:spacing w:after="0"/>
              <w:rPr>
                <w:sz w:val="15"/>
                <w:szCs w:val="15"/>
                <w:color w:val="auto"/>
              </w:rPr>
            </w:pPr>
          </w:p>
        </w:tc>
      </w:tr>
      <w:tr>
        <w:trPr>
          <w:trHeight w:val="24"/>
        </w:trPr>
        <w:tc>
          <w:tcPr>
            <w:tcW w:w="86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79"/>
        </w:trPr>
        <w:tc>
          <w:tcPr>
            <w:tcW w:w="864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337"/>
              <w:spacing w:after="0"/>
              <w:rPr>
                <w:sz w:val="20"/>
                <w:szCs w:val="20"/>
                <w:color w:val="auto"/>
              </w:rPr>
            </w:pPr>
            <w:r>
              <w:rPr>
                <w:rFonts w:ascii="Arial" w:cs="Arial" w:eastAsia="Arial" w:hAnsi="Arial"/>
                <w:sz w:val="14"/>
                <w:szCs w:val="14"/>
                <w:b w:val="1"/>
                <w:bCs w:val="1"/>
                <w:color w:val="auto"/>
                <w:w w:val="89"/>
              </w:rPr>
              <w:t>2022</w:t>
            </w:r>
          </w:p>
        </w:tc>
      </w:tr>
      <w:tr>
        <w:trPr>
          <w:trHeight w:val="219"/>
        </w:trPr>
        <w:tc>
          <w:tcPr>
            <w:tcW w:w="8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price realization</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1"/>
              </w:rPr>
              <w:t>950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right="337"/>
              <w:spacing w:after="0"/>
              <w:rPr>
                <w:sz w:val="20"/>
                <w:szCs w:val="20"/>
                <w:color w:val="auto"/>
              </w:rPr>
            </w:pPr>
            <w:r>
              <w:rPr>
                <w:rFonts w:ascii="Arial" w:cs="Arial" w:eastAsia="Arial" w:hAnsi="Arial"/>
                <w:sz w:val="17"/>
                <w:szCs w:val="17"/>
                <w:color w:val="auto"/>
                <w:w w:val="84"/>
              </w:rPr>
              <w:t>540</w:t>
            </w:r>
          </w:p>
        </w:tc>
      </w:tr>
      <w:tr>
        <w:trPr>
          <w:trHeight w:val="219"/>
        </w:trPr>
        <w:tc>
          <w:tcPr>
            <w:tcW w:w="8640" w:type="dxa"/>
            <w:vAlign w:val="bottom"/>
          </w:tcPr>
          <w:p>
            <w:pPr>
              <w:ind w:left="20"/>
              <w:spacing w:after="0"/>
              <w:rPr>
                <w:sz w:val="20"/>
                <w:szCs w:val="20"/>
                <w:color w:val="auto"/>
              </w:rPr>
            </w:pPr>
            <w:r>
              <w:rPr>
                <w:rFonts w:ascii="Arial" w:cs="Arial" w:eastAsia="Arial" w:hAnsi="Arial"/>
                <w:sz w:val="17"/>
                <w:szCs w:val="17"/>
                <w:color w:val="auto"/>
              </w:rPr>
              <w:t>Productivity improvements</w:t>
            </w: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1"/>
              </w:rPr>
              <w:t>300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center"/>
              <w:ind w:right="337"/>
              <w:spacing w:after="0"/>
              <w:rPr>
                <w:sz w:val="20"/>
                <w:szCs w:val="20"/>
                <w:color w:val="auto"/>
              </w:rPr>
            </w:pPr>
            <w:r>
              <w:rPr>
                <w:rFonts w:ascii="Arial" w:cs="Arial" w:eastAsia="Arial" w:hAnsi="Arial"/>
                <w:sz w:val="17"/>
                <w:szCs w:val="17"/>
                <w:color w:val="auto"/>
                <w:w w:val="84"/>
              </w:rPr>
              <w:t>130</w:t>
            </w:r>
          </w:p>
        </w:tc>
      </w:tr>
      <w:tr>
        <w:trPr>
          <w:trHeight w:val="219"/>
        </w:trPr>
        <w:tc>
          <w:tcPr>
            <w:tcW w:w="864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Cost inflation, supply chain costs and other factors</w:t>
            </w:r>
            <w:r>
              <w:rPr>
                <w:rFonts w:ascii="Arial" w:cs="Arial" w:eastAsia="Arial" w:hAnsi="Arial"/>
                <w:sz w:val="22"/>
                <w:szCs w:val="22"/>
                <w:color w:val="auto"/>
                <w:vertAlign w:val="superscript"/>
              </w:rPr>
              <w:t>(1)</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2"/>
              </w:rPr>
              <w:t>(1,040)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right="337"/>
              <w:spacing w:after="0"/>
              <w:rPr>
                <w:sz w:val="20"/>
                <w:szCs w:val="20"/>
                <w:color w:val="auto"/>
              </w:rPr>
            </w:pPr>
            <w:r>
              <w:rPr>
                <w:rFonts w:ascii="Arial" w:cs="Arial" w:eastAsia="Arial" w:hAnsi="Arial"/>
                <w:sz w:val="17"/>
                <w:szCs w:val="17"/>
                <w:color w:val="auto"/>
                <w:w w:val="90"/>
              </w:rPr>
              <w:t>(810)</w:t>
            </w:r>
          </w:p>
        </w:tc>
      </w:tr>
      <w:tr>
        <w:trPr>
          <w:trHeight w:val="219"/>
        </w:trPr>
        <w:tc>
          <w:tcPr>
            <w:tcW w:w="8640" w:type="dxa"/>
            <w:vAlign w:val="bottom"/>
          </w:tcPr>
          <w:p>
            <w:pPr>
              <w:ind w:left="20"/>
              <w:spacing w:after="0" w:line="219" w:lineRule="exact"/>
              <w:rPr>
                <w:sz w:val="20"/>
                <w:szCs w:val="20"/>
                <w:color w:val="auto"/>
              </w:rPr>
            </w:pPr>
            <w:r>
              <w:rPr>
                <w:rFonts w:ascii="Arial" w:cs="Arial" w:eastAsia="Arial" w:hAnsi="Arial"/>
                <w:sz w:val="17"/>
                <w:szCs w:val="17"/>
                <w:color w:val="auto"/>
              </w:rPr>
              <w:t>Volume/mix</w:t>
            </w:r>
            <w:r>
              <w:rPr>
                <w:rFonts w:ascii="Arial" w:cs="Arial" w:eastAsia="Arial" w:hAnsi="Arial"/>
                <w:sz w:val="22"/>
                <w:szCs w:val="22"/>
                <w:color w:val="auto"/>
                <w:vertAlign w:val="superscript"/>
              </w:rPr>
              <w:t>(2)</w:t>
            </w: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0"/>
              </w:rPr>
              <w:t>(150)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center"/>
              <w:ind w:right="337"/>
              <w:spacing w:after="0"/>
              <w:rPr>
                <w:sz w:val="20"/>
                <w:szCs w:val="20"/>
                <w:color w:val="auto"/>
              </w:rPr>
            </w:pPr>
            <w:r>
              <w:rPr>
                <w:rFonts w:ascii="Arial" w:cs="Arial" w:eastAsia="Arial" w:hAnsi="Arial"/>
                <w:sz w:val="17"/>
                <w:szCs w:val="17"/>
                <w:color w:val="auto"/>
                <w:w w:val="90"/>
              </w:rPr>
              <w:t>(110)</w:t>
            </w:r>
          </w:p>
        </w:tc>
      </w:tr>
      <w:tr>
        <w:trPr>
          <w:trHeight w:val="219"/>
        </w:trPr>
        <w:tc>
          <w:tcPr>
            <w:tcW w:w="8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Higher restructuring-related costs</w:t>
            </w: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92"/>
              </w:rPr>
              <w:t>(10)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center"/>
              <w:ind w:right="337"/>
              <w:spacing w:after="0"/>
              <w:rPr>
                <w:sz w:val="20"/>
                <w:szCs w:val="20"/>
                <w:color w:val="auto"/>
              </w:rPr>
            </w:pPr>
            <w:r>
              <w:rPr>
                <w:rFonts w:ascii="Arial" w:cs="Arial" w:eastAsia="Arial" w:hAnsi="Arial"/>
                <w:sz w:val="17"/>
                <w:szCs w:val="17"/>
                <w:color w:val="auto"/>
                <w:w w:val="93"/>
              </w:rPr>
              <w:t>—</w:t>
            </w:r>
          </w:p>
        </w:tc>
      </w:tr>
      <w:tr>
        <w:trPr>
          <w:trHeight w:val="212"/>
        </w:trPr>
        <w:tc>
          <w:tcPr>
            <w:tcW w:w="864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4"/>
              </w:rPr>
              <w:t>50</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337"/>
              <w:spacing w:after="0"/>
              <w:rPr>
                <w:sz w:val="20"/>
                <w:szCs w:val="20"/>
                <w:color w:val="auto"/>
              </w:rPr>
            </w:pPr>
            <w:r>
              <w:rPr>
                <w:rFonts w:ascii="Arial" w:cs="Arial" w:eastAsia="Arial" w:hAnsi="Arial"/>
                <w:sz w:val="17"/>
                <w:szCs w:val="17"/>
                <w:color w:val="auto"/>
                <w:w w:val="90"/>
              </w:rPr>
              <w:t>(250)</w:t>
            </w:r>
          </w:p>
        </w:tc>
      </w:tr>
      <w:tr>
        <w:trPr>
          <w:trHeight w:val="20"/>
        </w:trPr>
        <w:tc>
          <w:tcPr>
            <w:tcW w:w="86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__________________________________________</w:t>
      </w:r>
    </w:p>
    <w:p>
      <w:pPr>
        <w:spacing w:after="0" w:line="55" w:lineRule="exact"/>
        <w:rPr>
          <w:sz w:val="20"/>
          <w:szCs w:val="20"/>
          <w:color w:val="auto"/>
        </w:rPr>
      </w:pPr>
    </w:p>
    <w:p>
      <w:pPr>
        <w:jc w:val="both"/>
        <w:ind w:left="320" w:hanging="317"/>
        <w:spacing w:after="0" w:line="234" w:lineRule="auto"/>
        <w:tabs>
          <w:tab w:leader="none" w:pos="308" w:val="left"/>
        </w:tabs>
        <w:numPr>
          <w:ilvl w:val="0"/>
          <w:numId w:val="19"/>
        </w:numPr>
        <w:rPr>
          <w:rFonts w:ascii="Arial" w:cs="Arial" w:eastAsia="Arial" w:hAnsi="Arial"/>
          <w:sz w:val="22"/>
          <w:szCs w:val="22"/>
          <w:color w:val="auto"/>
          <w:vertAlign w:val="superscript"/>
        </w:rPr>
      </w:pPr>
      <w:r>
        <w:rPr>
          <w:rFonts w:ascii="Arial" w:cs="Arial" w:eastAsia="Arial" w:hAnsi="Arial"/>
          <w:sz w:val="17"/>
          <w:szCs w:val="17"/>
          <w:color w:val="auto"/>
        </w:rPr>
        <w:t>2023 includes an estimated positive margin impact of a 90 basis-point benefit from the change in unrealized mark-to-market adjustments on outstanding undesignated commodity hedges and 10 basis points from the benefit of cost savings initiatives, which were more than offset by cost inflation and other factors. 2022 includes an estimated positive margin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116205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21" w:name="page22"/>
    <w:bookmarkEnd w:id="21"/>
    <w:p>
      <w:pPr>
        <w:ind w:left="320"/>
        <w:spacing w:after="0" w:line="279" w:lineRule="auto"/>
        <w:rPr>
          <w:sz w:val="20"/>
          <w:szCs w:val="20"/>
          <w:color w:val="auto"/>
        </w:rPr>
      </w:pPr>
      <w:r>
        <w:rPr>
          <w:rFonts w:ascii="Arial" w:cs="Arial" w:eastAsia="Arial" w:hAnsi="Arial"/>
          <w:sz w:val="17"/>
          <w:szCs w:val="17"/>
          <w:color w:val="auto"/>
        </w:rPr>
        <w:t>impact of 30 basis points from the benefit of cost savings initiatives, which was more than offset by cost inflation and other factors, including a 130 basis-point negative impact from the change in unrealized mark-to-market adjustments on outstanding undesignated commodity hedges.</w:t>
      </w:r>
    </w:p>
    <w:p>
      <w:pPr>
        <w:ind w:left="300" w:hanging="297"/>
        <w:spacing w:after="0" w:line="214" w:lineRule="auto"/>
        <w:tabs>
          <w:tab w:leader="none" w:pos="300" w:val="left"/>
        </w:tabs>
        <w:numPr>
          <w:ilvl w:val="0"/>
          <w:numId w:val="20"/>
        </w:numPr>
        <w:rPr>
          <w:rFonts w:ascii="Arial" w:cs="Arial" w:eastAsia="Arial" w:hAnsi="Arial"/>
          <w:sz w:val="22"/>
          <w:szCs w:val="22"/>
          <w:color w:val="auto"/>
          <w:vertAlign w:val="superscript"/>
        </w:rPr>
      </w:pPr>
      <w:r>
        <w:rPr>
          <w:rFonts w:ascii="Arial" w:cs="Arial" w:eastAsia="Arial" w:hAnsi="Arial"/>
          <w:sz w:val="17"/>
          <w:szCs w:val="17"/>
          <w:color w:val="auto"/>
        </w:rPr>
        <w:t>Includes the impact of operating leverage.</w:t>
      </w:r>
    </w:p>
    <w:p>
      <w:pPr>
        <w:spacing w:after="0" w:line="79" w:lineRule="exact"/>
        <w:rPr>
          <w:rFonts w:ascii="Arial" w:cs="Arial" w:eastAsia="Arial" w:hAnsi="Arial"/>
          <w:sz w:val="22"/>
          <w:szCs w:val="22"/>
          <w:color w:val="auto"/>
          <w:vertAlign w:val="superscript"/>
        </w:rPr>
      </w:pPr>
    </w:p>
    <w:p>
      <w:pPr>
        <w:spacing w:after="0"/>
        <w:rPr>
          <w:rFonts w:ascii="Arial" w:cs="Arial" w:eastAsia="Arial" w:hAnsi="Arial"/>
          <w:sz w:val="22"/>
          <w:szCs w:val="22"/>
          <w:color w:val="auto"/>
          <w:vertAlign w:val="superscript"/>
        </w:rPr>
      </w:pPr>
      <w:r>
        <w:rPr>
          <w:rFonts w:ascii="Arial" w:cs="Arial" w:eastAsia="Arial" w:hAnsi="Arial"/>
          <w:sz w:val="17"/>
          <w:szCs w:val="17"/>
          <w:b w:val="1"/>
          <w:bCs w:val="1"/>
          <w:i w:val="1"/>
          <w:iCs w:val="1"/>
          <w:color w:val="auto"/>
        </w:rPr>
        <w:t>Marketing and Selling Expenses</w:t>
      </w:r>
    </w:p>
    <w:p>
      <w:pPr>
        <w:spacing w:after="0" w:line="88"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Marketing and selling expenses as a percent of sales were 8.7% in 2023, 8.6% in 2022 and 9.6% in 2021. Marketing and selling expenses increased 10% in 2023 from 2022. The increase was primarily due to higher advertising and consumer promotion expense (approximately 7 points) and higher selling expenses (approximately 6 points), partially offset by increased benefits from cost savings initiatives (approximately 3 points). The increase in advertising and consumer promotion expense was due in part to moderated levels in the prior year from supply constraints.</w:t>
      </w:r>
    </w:p>
    <w:p>
      <w:pPr>
        <w:spacing w:after="0" w:line="64"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Marketing and selling expenses decreased 10% in 2022 from 2021. The decrease was primarily due to lower advertising and consumer promotion expense (approximately 10 points). The reduction in advertising and consumer promotion expense was primarily due to supply constraints.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Administrative Expenses</w:t>
      </w:r>
    </w:p>
    <w:p>
      <w:pPr>
        <w:spacing w:after="0" w:line="88"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Administrative expenses as a percent of sales were 7.0% in 2023, 7.2% in 2022 and 7.1% in 2021. Administrative expenses increased 6% in 2023 from 2022. The increase was primarily due to higher general administrative costs and inflation (approximately 8 points) and higher incentive compensation (approximately 2 points), partially offset by lower expenses related to the settlement of certain legal claims (approximately 4 points). Administrative expenses in 2023 included $14 million of litigation expenses related to the Plum baby food and snacks business, which we divested in May 2021.</w:t>
      </w:r>
    </w:p>
    <w:p>
      <w:pPr>
        <w:spacing w:after="0" w:line="46"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Administrative expenses increased 3% in 2022 from 2021. The increase was primarily due to expenses related to the settlement of certain legal claims (approximately 3 points) and higher general administrative costs (approximately 3 points), partially offset by increased benefits from cost savings initiatives (approximately 3 points).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Expenses / (Income)</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Other expenses in 2023 included the following:</w:t>
      </w:r>
    </w:p>
    <w:p>
      <w:pPr>
        <w:spacing w:after="0" w:line="101" w:lineRule="exact"/>
        <w:rPr>
          <w:sz w:val="20"/>
          <w:szCs w:val="20"/>
          <w:color w:val="auto"/>
        </w:rPr>
      </w:pPr>
    </w:p>
    <w:p>
      <w:pPr>
        <w:ind w:left="620" w:hanging="153"/>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$48 million of amortization of intangible assets, including accelerated amortization of $7 million;</w:t>
      </w:r>
    </w:p>
    <w:p>
      <w:pPr>
        <w:spacing w:after="0" w:line="100" w:lineRule="exact"/>
        <w:rPr>
          <w:rFonts w:ascii="Arial" w:cs="Arial" w:eastAsia="Arial" w:hAnsi="Arial"/>
          <w:sz w:val="17"/>
          <w:szCs w:val="17"/>
          <w:color w:val="auto"/>
        </w:rPr>
      </w:pPr>
    </w:p>
    <w:p>
      <w:pPr>
        <w:ind w:left="620" w:hanging="153"/>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loss of $13 million on the sale of the Emerald nuts business;</w:t>
      </w:r>
    </w:p>
    <w:p>
      <w:pPr>
        <w:spacing w:after="0" w:line="87" w:lineRule="exact"/>
        <w:rPr>
          <w:rFonts w:ascii="Arial" w:cs="Arial" w:eastAsia="Arial" w:hAnsi="Arial"/>
          <w:sz w:val="17"/>
          <w:szCs w:val="17"/>
          <w:color w:val="auto"/>
        </w:rPr>
      </w:pPr>
    </w:p>
    <w:p>
      <w:pPr>
        <w:ind w:left="620" w:hanging="153"/>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$5 million of transaction costs associated with the pending acquisition of Sovos Brands; and</w:t>
      </w:r>
    </w:p>
    <w:p>
      <w:pPr>
        <w:spacing w:after="0" w:line="100" w:lineRule="exact"/>
        <w:rPr>
          <w:rFonts w:ascii="Arial" w:cs="Arial" w:eastAsia="Arial" w:hAnsi="Arial"/>
          <w:sz w:val="17"/>
          <w:szCs w:val="17"/>
          <w:color w:val="auto"/>
        </w:rPr>
      </w:pPr>
    </w:p>
    <w:p>
      <w:pPr>
        <w:ind w:left="320" w:right="2940" w:firstLine="147"/>
        <w:spacing w:after="0" w:line="355" w:lineRule="auto"/>
        <w:tabs>
          <w:tab w:leader="none" w:pos="668" w:val="left"/>
        </w:tabs>
        <w:numPr>
          <w:ilvl w:val="0"/>
          <w:numId w:val="21"/>
        </w:numPr>
        <w:rPr>
          <w:rFonts w:ascii="Arial" w:cs="Arial" w:eastAsia="Arial" w:hAnsi="Arial"/>
          <w:sz w:val="17"/>
          <w:szCs w:val="17"/>
          <w:color w:val="auto"/>
        </w:rPr>
      </w:pPr>
      <w:r>
        <w:rPr>
          <w:rFonts w:ascii="Arial" w:cs="Arial" w:eastAsia="Arial" w:hAnsi="Arial"/>
          <w:sz w:val="17"/>
          <w:szCs w:val="17"/>
          <w:color w:val="auto"/>
        </w:rPr>
        <w:t>$35 million of net periodic benefit income, including pension and postretirement actuarial gains of $15 million. Other expenses in 2022 included the following:</w:t>
      </w:r>
    </w:p>
    <w:p>
      <w:pPr>
        <w:spacing w:after="0" w:line="1" w:lineRule="exact"/>
        <w:rPr>
          <w:rFonts w:ascii="Arial" w:cs="Arial" w:eastAsia="Arial" w:hAnsi="Arial"/>
          <w:sz w:val="17"/>
          <w:szCs w:val="17"/>
          <w:color w:val="auto"/>
        </w:rPr>
      </w:pPr>
    </w:p>
    <w:p>
      <w:pPr>
        <w:ind w:left="620" w:hanging="153"/>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$41 million of amortization of intangible assets; and</w:t>
      </w:r>
    </w:p>
    <w:p>
      <w:pPr>
        <w:spacing w:after="0" w:line="100" w:lineRule="exact"/>
        <w:rPr>
          <w:rFonts w:ascii="Arial" w:cs="Arial" w:eastAsia="Arial" w:hAnsi="Arial"/>
          <w:sz w:val="17"/>
          <w:szCs w:val="17"/>
          <w:color w:val="auto"/>
        </w:rPr>
      </w:pPr>
    </w:p>
    <w:p>
      <w:pPr>
        <w:ind w:left="320" w:right="2920" w:firstLine="147"/>
        <w:spacing w:after="0" w:line="355" w:lineRule="auto"/>
        <w:tabs>
          <w:tab w:leader="none" w:pos="625" w:val="left"/>
        </w:tabs>
        <w:numPr>
          <w:ilvl w:val="0"/>
          <w:numId w:val="21"/>
        </w:numPr>
        <w:rPr>
          <w:rFonts w:ascii="Arial" w:cs="Arial" w:eastAsia="Arial" w:hAnsi="Arial"/>
          <w:sz w:val="17"/>
          <w:szCs w:val="17"/>
          <w:color w:val="auto"/>
        </w:rPr>
      </w:pPr>
      <w:r>
        <w:rPr>
          <w:rFonts w:ascii="Arial" w:cs="Arial" w:eastAsia="Arial" w:hAnsi="Arial"/>
          <w:sz w:val="17"/>
          <w:szCs w:val="17"/>
          <w:color w:val="auto"/>
        </w:rPr>
        <w:t>$23 million of net periodic benefit income, including pension and postretirement actuarial losses of $44 million. Other income in 2021 included the following:</w:t>
      </w:r>
    </w:p>
    <w:p>
      <w:pPr>
        <w:spacing w:after="0" w:line="1" w:lineRule="exact"/>
        <w:rPr>
          <w:rFonts w:ascii="Arial" w:cs="Arial" w:eastAsia="Arial" w:hAnsi="Arial"/>
          <w:sz w:val="17"/>
          <w:szCs w:val="17"/>
          <w:color w:val="auto"/>
        </w:rPr>
      </w:pPr>
    </w:p>
    <w:p>
      <w:pPr>
        <w:ind w:left="620" w:hanging="153"/>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$285 million of net periodic benefit income, including pension and postretirement actuarial gains of $203 million;</w:t>
      </w:r>
    </w:p>
    <w:p>
      <w:pPr>
        <w:spacing w:after="0" w:line="100" w:lineRule="exact"/>
        <w:rPr>
          <w:rFonts w:ascii="Arial" w:cs="Arial" w:eastAsia="Arial" w:hAnsi="Arial"/>
          <w:sz w:val="17"/>
          <w:szCs w:val="17"/>
          <w:color w:val="auto"/>
        </w:rPr>
      </w:pPr>
    </w:p>
    <w:p>
      <w:pPr>
        <w:ind w:left="620" w:hanging="153"/>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$27 million of income from transition services fees;</w:t>
      </w:r>
    </w:p>
    <w:p>
      <w:pPr>
        <w:spacing w:after="0" w:line="87" w:lineRule="exact"/>
        <w:rPr>
          <w:rFonts w:ascii="Arial" w:cs="Arial" w:eastAsia="Arial" w:hAnsi="Arial"/>
          <w:sz w:val="17"/>
          <w:szCs w:val="17"/>
          <w:color w:val="auto"/>
        </w:rPr>
      </w:pPr>
    </w:p>
    <w:p>
      <w:pPr>
        <w:ind w:left="620" w:hanging="153"/>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$42 million of amortization of intangible assets; and</w:t>
      </w:r>
    </w:p>
    <w:p>
      <w:pPr>
        <w:spacing w:after="0" w:line="100" w:lineRule="exact"/>
        <w:rPr>
          <w:rFonts w:ascii="Arial" w:cs="Arial" w:eastAsia="Arial" w:hAnsi="Arial"/>
          <w:sz w:val="17"/>
          <w:szCs w:val="17"/>
          <w:color w:val="auto"/>
        </w:rPr>
      </w:pPr>
    </w:p>
    <w:p>
      <w:pPr>
        <w:ind w:left="620" w:hanging="153"/>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loss of $11 million on the sale of the Plum baby food and snacks business.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124460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i w:val="1"/>
          <w:iCs w:val="1"/>
          <w:color w:val="auto"/>
        </w:rPr>
        <w:t>Operating Earnings</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Segment operating earnings increased 10% in 2023 from 2022 and decreased 3% in 2022 from 2021.</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An analysis of operating earnings by segment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3"/>
          </w:tcPr>
          <w:p>
            <w:pPr>
              <w:ind w:left="6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4"/>
        </w:trPr>
        <w:tc>
          <w:tcPr>
            <w:tcW w:w="5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240" w:type="dxa"/>
            <w:vAlign w:val="bottom"/>
          </w:tcPr>
          <w:p>
            <w:pPr>
              <w:spacing w:after="0"/>
              <w:rPr>
                <w:sz w:val="2"/>
                <w:szCs w:val="2"/>
                <w:color w:val="auto"/>
              </w:rPr>
            </w:pPr>
          </w:p>
        </w:tc>
        <w:tc>
          <w:tcPr>
            <w:tcW w:w="74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2021</w:t>
            </w: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92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2023/2022</w:t>
            </w:r>
          </w:p>
        </w:tc>
        <w:tc>
          <w:tcPr>
            <w:tcW w:w="100" w:type="dxa"/>
            <w:vAlign w:val="bottom"/>
            <w:tcBorders>
              <w:top w:val="single" w:sz="8" w:color="auto"/>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2022/2021</w:t>
            </w:r>
          </w:p>
        </w:tc>
        <w:tc>
          <w:tcPr>
            <w:tcW w:w="0" w:type="dxa"/>
            <w:vAlign w:val="bottom"/>
          </w:tcPr>
          <w:p>
            <w:pPr>
              <w:spacing w:after="0"/>
              <w:rPr>
                <w:sz w:val="1"/>
                <w:szCs w:val="1"/>
                <w:color w:val="auto"/>
              </w:rPr>
            </w:pPr>
          </w:p>
        </w:tc>
      </w:tr>
      <w:tr>
        <w:trPr>
          <w:trHeight w:val="219"/>
        </w:trPr>
        <w:tc>
          <w:tcPr>
            <w:tcW w:w="5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Meals &amp; Beverages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922</w:t>
            </w:r>
          </w:p>
        </w:tc>
        <w:tc>
          <w:tcPr>
            <w:tcW w:w="106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84"/>
              </w:rPr>
              <w:t>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(5)</w:t>
            </w:r>
          </w:p>
        </w:tc>
        <w:tc>
          <w:tcPr>
            <w:tcW w:w="0" w:type="dxa"/>
            <w:vAlign w:val="bottom"/>
          </w:tcPr>
          <w:p>
            <w:pPr>
              <w:spacing w:after="0"/>
              <w:rPr>
                <w:sz w:val="1"/>
                <w:szCs w:val="1"/>
                <w:color w:val="auto"/>
              </w:rPr>
            </w:pPr>
          </w:p>
        </w:tc>
      </w:tr>
      <w:tr>
        <w:trPr>
          <w:trHeight w:val="219"/>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Snacks</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640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514</w:t>
            </w:r>
          </w:p>
        </w:tc>
        <w:tc>
          <w:tcPr>
            <w:tcW w:w="1060" w:type="dxa"/>
            <w:vAlign w:val="bottom"/>
            <w:tcBorders>
              <w:bottom w:val="single" w:sz="8" w:color="CCEEFF"/>
            </w:tcBorders>
            <w:gridSpan w:val="2"/>
          </w:tcPr>
          <w:p>
            <w:pPr>
              <w:jc w:val="center"/>
              <w:ind w:left="14"/>
              <w:spacing w:after="0"/>
              <w:rPr>
                <w:sz w:val="20"/>
                <w:szCs w:val="20"/>
                <w:color w:val="auto"/>
              </w:rPr>
            </w:pPr>
            <w:r>
              <w:rPr>
                <w:rFonts w:ascii="Arial" w:cs="Arial" w:eastAsia="Arial" w:hAnsi="Arial"/>
                <w:sz w:val="17"/>
                <w:szCs w:val="17"/>
                <w:color w:val="auto"/>
                <w:w w:val="84"/>
              </w:rPr>
              <w:t>24</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w w:val="84"/>
              </w:rPr>
              <w:t>1</w:t>
            </w:r>
          </w:p>
        </w:tc>
        <w:tc>
          <w:tcPr>
            <w:tcW w:w="0" w:type="dxa"/>
            <w:vAlign w:val="bottom"/>
          </w:tcPr>
          <w:p>
            <w:pPr>
              <w:spacing w:after="0"/>
              <w:rPr>
                <w:sz w:val="1"/>
                <w:szCs w:val="1"/>
                <w:color w:val="auto"/>
              </w:rPr>
            </w:pPr>
          </w:p>
        </w:tc>
      </w:tr>
      <w:tr>
        <w:trPr>
          <w:trHeight w:val="212"/>
        </w:trPr>
        <w:tc>
          <w:tcPr>
            <w:tcW w:w="5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1,436</w:t>
            </w:r>
          </w:p>
        </w:tc>
        <w:tc>
          <w:tcPr>
            <w:tcW w:w="106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84"/>
              </w:rPr>
              <w:t>10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(3)</w:t>
            </w:r>
          </w:p>
        </w:tc>
        <w:tc>
          <w:tcPr>
            <w:tcW w:w="0" w:type="dxa"/>
            <w:vAlign w:val="bottom"/>
          </w:tcPr>
          <w:p>
            <w:pPr>
              <w:spacing w:after="0"/>
              <w:rPr>
                <w:sz w:val="1"/>
                <w:szCs w:val="1"/>
                <w:color w:val="auto"/>
              </w:rPr>
            </w:pPr>
          </w:p>
        </w:tc>
      </w:tr>
      <w:tr>
        <w:trPr>
          <w:trHeight w:val="219"/>
        </w:trPr>
        <w:tc>
          <w:tcPr>
            <w:tcW w:w="5920" w:type="dxa"/>
            <w:vAlign w:val="bottom"/>
          </w:tcPr>
          <w:p>
            <w:pPr>
              <w:ind w:left="20"/>
              <w:spacing w:after="0"/>
              <w:rPr>
                <w:sz w:val="20"/>
                <w:szCs w:val="20"/>
                <w:color w:val="auto"/>
              </w:rPr>
            </w:pPr>
            <w:r>
              <w:rPr>
                <w:rFonts w:ascii="Arial" w:cs="Arial" w:eastAsia="Arial" w:hAnsi="Arial"/>
                <w:sz w:val="17"/>
                <w:szCs w:val="17"/>
                <w:color w:val="auto"/>
              </w:rPr>
              <w:t>Corporate income (expense)</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(206)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130</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92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Restructuring charges</w:t>
            </w:r>
            <w:r>
              <w:rPr>
                <w:rFonts w:ascii="Arial" w:cs="Arial" w:eastAsia="Arial" w:hAnsi="Arial"/>
                <w:sz w:val="22"/>
                <w:szCs w:val="22"/>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920" w:type="dxa"/>
            <w:vAlign w:val="bottom"/>
          </w:tcPr>
          <w:p>
            <w:pPr>
              <w:ind w:left="20"/>
              <w:spacing w:after="0"/>
              <w:rPr>
                <w:sz w:val="20"/>
                <w:szCs w:val="20"/>
                <w:color w:val="auto"/>
              </w:rPr>
            </w:pPr>
            <w:r>
              <w:rPr>
                <w:rFonts w:ascii="Arial" w:cs="Arial" w:eastAsia="Arial" w:hAnsi="Arial"/>
                <w:sz w:val="17"/>
                <w:szCs w:val="17"/>
                <w:color w:val="auto"/>
              </w:rPr>
              <w:t>Earnings before interest and taxes</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1,312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1,545</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__________________________________________</w:t>
      </w:r>
    </w:p>
    <w:p>
      <w:pPr>
        <w:spacing w:after="0" w:line="32" w:lineRule="exact"/>
        <w:rPr>
          <w:sz w:val="20"/>
          <w:szCs w:val="20"/>
          <w:color w:val="auto"/>
        </w:rPr>
      </w:pPr>
    </w:p>
    <w:p>
      <w:pPr>
        <w:ind w:left="300" w:hanging="297"/>
        <w:spacing w:after="0"/>
        <w:tabs>
          <w:tab w:leader="none" w:pos="300" w:val="left"/>
        </w:tabs>
        <w:numPr>
          <w:ilvl w:val="0"/>
          <w:numId w:val="22"/>
        </w:numPr>
        <w:rPr>
          <w:rFonts w:ascii="Arial" w:cs="Arial" w:eastAsia="Arial" w:hAnsi="Arial"/>
          <w:sz w:val="22"/>
          <w:szCs w:val="22"/>
          <w:color w:val="auto"/>
          <w:vertAlign w:val="superscript"/>
        </w:rPr>
      </w:pPr>
      <w:r>
        <w:rPr>
          <w:rFonts w:ascii="Arial" w:cs="Arial" w:eastAsia="Arial" w:hAnsi="Arial"/>
          <w:sz w:val="17"/>
          <w:szCs w:val="17"/>
          <w:color w:val="auto"/>
        </w:rPr>
        <w:t>See Note 7 to the Consolidated Financial Statements for additional information on restructuring charges.</w:t>
      </w:r>
    </w:p>
    <w:p>
      <w:pPr>
        <w:spacing w:after="0" w:line="67" w:lineRule="exact"/>
        <w:rPr>
          <w:sz w:val="20"/>
          <w:szCs w:val="20"/>
          <w:color w:val="auto"/>
        </w:rPr>
      </w:pPr>
    </w:p>
    <w:p>
      <w:pPr>
        <w:jc w:val="both"/>
        <w:ind w:firstLine="309"/>
        <w:spacing w:after="0" w:line="265" w:lineRule="auto"/>
        <w:rPr>
          <w:sz w:val="20"/>
          <w:szCs w:val="20"/>
          <w:color w:val="auto"/>
        </w:rPr>
      </w:pPr>
      <w:r>
        <w:rPr>
          <w:rFonts w:ascii="Arial" w:cs="Arial" w:eastAsia="Arial" w:hAnsi="Arial"/>
          <w:sz w:val="17"/>
          <w:szCs w:val="17"/>
          <w:color w:val="auto"/>
        </w:rPr>
        <w:t>Operating earnings from Meals &amp; Beverages increased 2% in 2023 versus 2022. The increase was primarily due to higher gross profit, partially offset by higher marketing and selling expenses. Gross profit margin decreased due to unfavorable volume/mix, with favorable net price realization and supply chain productivity improvements more than offsetting higher cost inflation and other supply chain costs.</w:t>
      </w:r>
    </w:p>
    <w:p>
      <w:pPr>
        <w:spacing w:after="0" w:line="60"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Operating earnings from Meals &amp; Beverages decreased 5% in 2022 versus 2021. The decrease was primarily due to lower gross profit and higher administrative expenses, partially offset by lower marketing and selling expenses. Gross profit margin declined driven by higher cost inflation and other supply chain costs as well as unfavorable volume/mix, partially offset by favorable net price realization and supply chain productivity improvements.</w:t>
      </w:r>
    </w:p>
    <w:p>
      <w:pPr>
        <w:spacing w:after="0" w:line="4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Operating earnings from Snacks increased 24% in 2023 versus 2022. The increase was primarily due to higher gross profit, partially offset by higher marketing and selling expenses. Gross profit margin increased due to favorable net price realization and supply chain productivity improvements, partially offset by higher cost inflation and other supply chain costs as well as unfavorable volume/mix.</w:t>
      </w:r>
    </w:p>
    <w:p>
      <w:pPr>
        <w:spacing w:after="0" w:line="4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Operating earnings from Snacks increased 1% in 2022 versus 2021. The increase primarily due to lower marketing and selling expenses and slightly higher gross profit, partially offset by higher administrative expenses due to the settlement of certain legal claims.</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Corporate expense in 2023 included the following:</w:t>
      </w:r>
    </w:p>
    <w:p>
      <w:pPr>
        <w:spacing w:after="0" w:line="101" w:lineRule="exact"/>
        <w:rPr>
          <w:sz w:val="20"/>
          <w:szCs w:val="20"/>
          <w:color w:val="auto"/>
        </w:rPr>
      </w:pPr>
    </w:p>
    <w:p>
      <w:pPr>
        <w:ind w:left="620" w:hanging="153"/>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costs of $50 million related to cost savings initiatives;</w:t>
      </w:r>
    </w:p>
    <w:p>
      <w:pPr>
        <w:spacing w:after="0" w:line="87" w:lineRule="exact"/>
        <w:rPr>
          <w:rFonts w:ascii="Arial" w:cs="Arial" w:eastAsia="Arial" w:hAnsi="Arial"/>
          <w:sz w:val="17"/>
          <w:szCs w:val="17"/>
          <w:color w:val="auto"/>
        </w:rPr>
      </w:pPr>
    </w:p>
    <w:p>
      <w:pPr>
        <w:ind w:left="620" w:hanging="153"/>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loss of $13 million from the sale of the Emerald nuts business;</w:t>
      </w:r>
    </w:p>
    <w:p>
      <w:pPr>
        <w:spacing w:after="0" w:line="100" w:lineRule="exact"/>
        <w:rPr>
          <w:rFonts w:ascii="Arial" w:cs="Arial" w:eastAsia="Arial" w:hAnsi="Arial"/>
          <w:sz w:val="17"/>
          <w:szCs w:val="17"/>
          <w:color w:val="auto"/>
        </w:rPr>
      </w:pPr>
    </w:p>
    <w:p>
      <w:pPr>
        <w:ind w:left="620" w:hanging="153"/>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$7 million of accelerated amortization expense;</w:t>
      </w:r>
    </w:p>
    <w:p>
      <w:pPr>
        <w:spacing w:after="0" w:line="100" w:lineRule="exact"/>
        <w:rPr>
          <w:rFonts w:ascii="Arial" w:cs="Arial" w:eastAsia="Arial" w:hAnsi="Arial"/>
          <w:sz w:val="17"/>
          <w:szCs w:val="17"/>
          <w:color w:val="auto"/>
        </w:rPr>
      </w:pPr>
    </w:p>
    <w:p>
      <w:pPr>
        <w:ind w:left="620" w:hanging="153"/>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$5 million of transaction costs associated with the pending acquisition of Sovos Brands;</w:t>
      </w:r>
    </w:p>
    <w:p>
      <w:pPr>
        <w:spacing w:after="0" w:line="87" w:lineRule="exact"/>
        <w:rPr>
          <w:rFonts w:ascii="Arial" w:cs="Arial" w:eastAsia="Arial" w:hAnsi="Arial"/>
          <w:sz w:val="17"/>
          <w:szCs w:val="17"/>
          <w:color w:val="auto"/>
        </w:rPr>
      </w:pPr>
    </w:p>
    <w:p>
      <w:pPr>
        <w:ind w:left="620" w:hanging="153"/>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$21 million of unrealized mark-to-market gains on outstanding undesignated commodity hedges; and</w:t>
      </w:r>
    </w:p>
    <w:p>
      <w:pPr>
        <w:spacing w:after="0" w:line="100" w:lineRule="exact"/>
        <w:rPr>
          <w:rFonts w:ascii="Arial" w:cs="Arial" w:eastAsia="Arial" w:hAnsi="Arial"/>
          <w:sz w:val="17"/>
          <w:szCs w:val="17"/>
          <w:color w:val="auto"/>
        </w:rPr>
      </w:pPr>
    </w:p>
    <w:p>
      <w:pPr>
        <w:ind w:left="620" w:hanging="153"/>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$15 million of pension and postretirement actuarial gains.</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Corporate expense in 2022 included the following:</w:t>
      </w:r>
    </w:p>
    <w:p>
      <w:pPr>
        <w:spacing w:after="0" w:line="88" w:lineRule="exact"/>
        <w:rPr>
          <w:sz w:val="20"/>
          <w:szCs w:val="20"/>
          <w:color w:val="auto"/>
        </w:rPr>
      </w:pPr>
    </w:p>
    <w:p>
      <w:pPr>
        <w:ind w:left="620" w:hanging="153"/>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$59 million of unrealized mark-to-market losses on outstanding undesignated commodity hedges;</w:t>
      </w:r>
    </w:p>
    <w:p>
      <w:pPr>
        <w:spacing w:after="0" w:line="100" w:lineRule="exact"/>
        <w:rPr>
          <w:rFonts w:ascii="Arial" w:cs="Arial" w:eastAsia="Arial" w:hAnsi="Arial"/>
          <w:sz w:val="17"/>
          <w:szCs w:val="17"/>
          <w:color w:val="auto"/>
        </w:rPr>
      </w:pPr>
    </w:p>
    <w:p>
      <w:pPr>
        <w:ind w:left="620" w:hanging="153"/>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$44 million of pension and postretirement actuarial losses; and</w:t>
      </w:r>
    </w:p>
    <w:p>
      <w:pPr>
        <w:spacing w:after="0" w:line="100" w:lineRule="exact"/>
        <w:rPr>
          <w:rFonts w:ascii="Arial" w:cs="Arial" w:eastAsia="Arial" w:hAnsi="Arial"/>
          <w:sz w:val="17"/>
          <w:szCs w:val="17"/>
          <w:color w:val="auto"/>
        </w:rPr>
      </w:pPr>
    </w:p>
    <w:p>
      <w:pPr>
        <w:ind w:left="620" w:hanging="153"/>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costs of $26 million related to cost savings initiatives.</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Corporate income in 2021 included the following:</w:t>
      </w:r>
    </w:p>
    <w:p>
      <w:pPr>
        <w:spacing w:after="0" w:line="101" w:lineRule="exact"/>
        <w:rPr>
          <w:sz w:val="20"/>
          <w:szCs w:val="20"/>
          <w:color w:val="auto"/>
        </w:rPr>
      </w:pPr>
    </w:p>
    <w:p>
      <w:pPr>
        <w:ind w:left="620" w:hanging="153"/>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$203 million of pension and postretirement actuarial gains;</w:t>
      </w:r>
    </w:p>
    <w:p>
      <w:pPr>
        <w:spacing w:after="0" w:line="87" w:lineRule="exact"/>
        <w:rPr>
          <w:rFonts w:ascii="Arial" w:cs="Arial" w:eastAsia="Arial" w:hAnsi="Arial"/>
          <w:sz w:val="17"/>
          <w:szCs w:val="17"/>
          <w:color w:val="auto"/>
        </w:rPr>
      </w:pPr>
    </w:p>
    <w:p>
      <w:pPr>
        <w:ind w:left="620" w:hanging="153"/>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$50 million of unrealized mark-to-market gains on outstanding undesignated commodity hedges;</w:t>
      </w:r>
    </w:p>
    <w:p>
      <w:pPr>
        <w:spacing w:after="0" w:line="100" w:lineRule="exact"/>
        <w:rPr>
          <w:rFonts w:ascii="Arial" w:cs="Arial" w:eastAsia="Arial" w:hAnsi="Arial"/>
          <w:sz w:val="17"/>
          <w:szCs w:val="17"/>
          <w:color w:val="auto"/>
        </w:rPr>
      </w:pPr>
    </w:p>
    <w:p>
      <w:pPr>
        <w:ind w:left="620" w:hanging="153"/>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costs of $32 million related to the cost savings initiatives; and</w:t>
      </w:r>
    </w:p>
    <w:p>
      <w:pPr>
        <w:spacing w:after="0" w:line="100" w:lineRule="exact"/>
        <w:rPr>
          <w:rFonts w:ascii="Arial" w:cs="Arial" w:eastAsia="Arial" w:hAnsi="Arial"/>
          <w:sz w:val="17"/>
          <w:szCs w:val="17"/>
          <w:color w:val="auto"/>
        </w:rPr>
      </w:pPr>
    </w:p>
    <w:p>
      <w:pPr>
        <w:ind w:left="620" w:hanging="153"/>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loss of $11 million from the sale of the Plum baby food and snacks business.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116205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23" w:name="page24"/>
    <w:bookmarkEnd w:id="23"/>
    <w:p>
      <w:pPr>
        <w:jc w:val="both"/>
        <w:ind w:firstLine="309"/>
        <w:spacing w:after="0" w:line="279" w:lineRule="auto"/>
        <w:rPr>
          <w:sz w:val="20"/>
          <w:szCs w:val="20"/>
          <w:color w:val="auto"/>
        </w:rPr>
      </w:pPr>
      <w:r>
        <w:rPr>
          <w:rFonts w:ascii="Arial" w:cs="Arial" w:eastAsia="Arial" w:hAnsi="Arial"/>
          <w:sz w:val="17"/>
          <w:szCs w:val="17"/>
          <w:color w:val="auto"/>
        </w:rPr>
        <w:t>Excluding these amounts, the remaining change in 2023 from 2022 was primarily due to lower net periodic pension and postretirement benefit income in the current year and higher administrative expenses, including litigation expenses related to the Plum baby food and snacks business.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0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Interest expense decreased to $188 million in 2023 from $189 million in 2022. The decrease in interest expense was primarily due to a loss on extinguishment of debt of $4 million in 2022, partially offset by higher average interest rates on the debt portfolio.</w:t>
      </w:r>
    </w:p>
    <w:p>
      <w:pPr>
        <w:spacing w:after="0" w:line="4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Interest expense decreased to $189 million in 2022 from $210 million in 2021. The decrease in interest expense was primarily due to lower levels of debt, partially offset by a loss on extinguishment of debt of $4 million in 2022.</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Taxes on Earnings</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effective tax rate was 23.9% in 2023, 22.4% in 2022 and 24.6% in 2021.</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increase in the effective tax rate in 2023 from 2022 was primarily due to the favorable impact of state income tax law changes in 2022.</w:t>
      </w:r>
    </w:p>
    <w:p>
      <w:pPr>
        <w:spacing w:after="0" w:line="8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decrease in the effective rate in 2022 from 2021 was primarily due to a $19 million deferred tax charge recognized in the second quarter of 2021 in connection with a legal entity reorganization as part of the continued integration of Snyder's-Lance and state income tax law changes.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Restructuring Charges and Cost Savings Initiatives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Multi-year Cost Savings Initiatives and Snyder's-Lance Cost Transformation Program and Integration</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7"/>
          <w:szCs w:val="17"/>
          <w:i w:val="1"/>
          <w:iCs w:val="1"/>
          <w:u w:val="single" w:color="auto"/>
          <w:color w:val="auto"/>
        </w:rPr>
        <w:t>Continuing Operations</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Beginning in fiscal 2015, we implemented initiatives to reduce costs and to streamline our organizational structure.</w:t>
      </w:r>
    </w:p>
    <w:p>
      <w:pPr>
        <w:spacing w:after="0" w:line="10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Over the years, we expanded these initiatives by continuing to optimize our supply chain and manufacturing networks, as well as our information technology infrastructure.</w:t>
      </w:r>
    </w:p>
    <w:p>
      <w:pPr>
        <w:spacing w:after="0" w:line="3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On March 26, 2018, we completed the acquisition of Snyder's-Lance. Prior to the acquisition, Snyder's-Lance launched a cost transformation program following a comprehensive review of its operations with the goal of significantly improving its financial performance. We continued to implement this program and identified opportunities for additional cost synergies as we integrated Snyder's-Lance.</w:t>
      </w:r>
    </w:p>
    <w:p>
      <w:pPr>
        <w:spacing w:after="0" w:line="58"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In 2022, we expanded these initiatives as we continue to pursue cost savings by further optimizing our supply chain and manufacturing network and through effective cost management. In the second quarter of 2023, we announced plans to consolidate our Snacks offices in Charlotte, North Carolina, and Norwalk, Connecticut, into our headquarters in Camden, New Jersey. Cost estimates for these expanded initiatives, as well as timing for certain activities, are continuing to be developed.</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 summary of charges recorded in the Consolidated Statements of Earnings related to these initiatives is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(Millions, except per share amounts)</w:t>
            </w:r>
          </w:p>
        </w:tc>
        <w:tc>
          <w:tcPr>
            <w:tcW w:w="120" w:type="dxa"/>
            <w:vAlign w:val="bottom"/>
          </w:tcPr>
          <w:p>
            <w:pPr>
              <w:spacing w:after="0"/>
              <w:rPr>
                <w:sz w:val="14"/>
                <w:szCs w:val="14"/>
                <w:color w:val="auto"/>
              </w:rPr>
            </w:pPr>
          </w:p>
        </w:tc>
        <w:tc>
          <w:tcPr>
            <w:tcW w:w="126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Recognized as of</w:t>
            </w:r>
          </w:p>
        </w:tc>
        <w:tc>
          <w:tcPr>
            <w:tcW w:w="0" w:type="dxa"/>
            <w:vAlign w:val="bottom"/>
          </w:tcPr>
          <w:p>
            <w:pPr>
              <w:spacing w:after="0"/>
              <w:rPr>
                <w:sz w:val="1"/>
                <w:szCs w:val="1"/>
                <w:color w:val="auto"/>
              </w:rPr>
            </w:pPr>
          </w:p>
        </w:tc>
      </w:tr>
      <w:tr>
        <w:trPr>
          <w:trHeight w:val="184"/>
        </w:trPr>
        <w:tc>
          <w:tcPr>
            <w:tcW w:w="54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July 30, 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Restructuring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00" w:type="dxa"/>
            <w:vAlign w:val="bottom"/>
          </w:tcPr>
          <w:p>
            <w:pPr>
              <w:ind w:left="20"/>
              <w:spacing w:after="0"/>
              <w:rPr>
                <w:sz w:val="20"/>
                <w:szCs w:val="20"/>
                <w:color w:val="auto"/>
              </w:rPr>
            </w:pPr>
            <w:r>
              <w:rPr>
                <w:rFonts w:ascii="Arial" w:cs="Arial" w:eastAsia="Arial" w:hAnsi="Arial"/>
                <w:sz w:val="17"/>
                <w:szCs w:val="17"/>
                <w:color w:val="auto"/>
              </w:rPr>
              <w:t>Administrative expenses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products sold</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400" w:type="dxa"/>
            <w:vAlign w:val="bottom"/>
          </w:tcPr>
          <w:p>
            <w:pPr>
              <w:ind w:left="20"/>
              <w:spacing w:after="0"/>
              <w:rPr>
                <w:sz w:val="20"/>
                <w:szCs w:val="20"/>
                <w:color w:val="auto"/>
              </w:rPr>
            </w:pPr>
            <w:r>
              <w:rPr>
                <w:rFonts w:ascii="Arial" w:cs="Arial" w:eastAsia="Arial" w:hAnsi="Arial"/>
                <w:sz w:val="17"/>
                <w:szCs w:val="17"/>
                <w:color w:val="auto"/>
              </w:rPr>
              <w:t>Marketing and selling expenses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 expenses</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400" w:type="dxa"/>
            <w:vAlign w:val="bottom"/>
          </w:tcPr>
          <w:p>
            <w:pPr>
              <w:ind w:left="20"/>
              <w:spacing w:after="0"/>
              <w:rPr>
                <w:sz w:val="20"/>
                <w:szCs w:val="20"/>
                <w:color w:val="auto"/>
              </w:rPr>
            </w:pPr>
            <w:r>
              <w:rPr>
                <w:rFonts w:ascii="Arial" w:cs="Arial" w:eastAsia="Arial" w:hAnsi="Arial"/>
                <w:sz w:val="17"/>
                <w:szCs w:val="17"/>
                <w:color w:val="auto"/>
              </w:rPr>
              <w:t>Total pre-tax charges</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66</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53</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791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400" w:type="dxa"/>
            <w:vAlign w:val="bottom"/>
          </w:tcPr>
          <w:p>
            <w:pPr>
              <w:ind w:left="20"/>
              <w:spacing w:after="0"/>
              <w:rPr>
                <w:sz w:val="20"/>
                <w:szCs w:val="20"/>
                <w:color w:val="auto"/>
              </w:rPr>
            </w:pPr>
            <w:r>
              <w:rPr>
                <w:rFonts w:ascii="Arial" w:cs="Arial" w:eastAsia="Arial" w:hAnsi="Arial"/>
                <w:sz w:val="17"/>
                <w:szCs w:val="17"/>
                <w:color w:val="auto"/>
              </w:rPr>
              <w:t>Aggregate after-tax impact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Per share impact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4"/>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996"/>
              <w:spacing w:after="0"/>
              <w:rPr>
                <w:sz w:val="20"/>
                <w:szCs w:val="20"/>
                <w:color w:val="auto"/>
              </w:rPr>
            </w:pPr>
            <w:r>
              <w:rPr>
                <w:rFonts w:ascii="Arial" w:cs="Arial" w:eastAsia="Arial" w:hAnsi="Arial"/>
                <w:sz w:val="17"/>
                <w:szCs w:val="17"/>
                <w:color w:val="auto"/>
                <w:w w:val="84"/>
              </w:rPr>
              <w:t>24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40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24" w:name="page25"/>
    <w:bookmarkEnd w:id="24"/>
    <w:p>
      <w:pPr>
        <w:ind w:left="320"/>
        <w:spacing w:after="0"/>
        <w:rPr>
          <w:sz w:val="20"/>
          <w:szCs w:val="20"/>
          <w:color w:val="auto"/>
        </w:rPr>
      </w:pPr>
      <w:r>
        <w:rPr>
          <w:rFonts w:ascii="Arial" w:cs="Arial" w:eastAsia="Arial" w:hAnsi="Arial"/>
          <w:sz w:val="15"/>
          <w:szCs w:val="15"/>
          <w:color w:val="auto"/>
        </w:rPr>
        <w:t>A summary of the pre-tax costs associated with these initiatives is as follows:</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wp:posOffset>
            </wp:positionV>
            <wp:extent cx="7105650" cy="147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14732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Severance pay and benefits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Asset impairment/accelerated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05650" cy="1390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13906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7"/>
          <w:szCs w:val="17"/>
          <w:color w:val="auto"/>
        </w:rPr>
        <w:t>Implementation costs and other related costs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jc w:val="center"/>
        <w:ind w:right="58"/>
        <w:spacing w:after="0"/>
        <w:rPr>
          <w:sz w:val="20"/>
          <w:szCs w:val="20"/>
          <w:color w:val="auto"/>
        </w:rPr>
      </w:pPr>
      <w:r>
        <w:rPr>
          <w:rFonts w:ascii="Arial" w:cs="Arial" w:eastAsia="Arial" w:hAnsi="Arial"/>
          <w:sz w:val="11"/>
          <w:szCs w:val="11"/>
          <w:b w:val="1"/>
          <w:bCs w:val="1"/>
          <w:color w:val="auto"/>
        </w:rPr>
        <w:t>Recognized as of July 30,</w:t>
      </w:r>
    </w:p>
    <w:p>
      <w:pPr>
        <w:spacing w:after="0" w:line="31" w:lineRule="exact"/>
        <w:rPr>
          <w:sz w:val="20"/>
          <w:szCs w:val="20"/>
          <w:color w:val="auto"/>
        </w:rPr>
      </w:pPr>
    </w:p>
    <w:p>
      <w:pPr>
        <w:jc w:val="center"/>
        <w:ind w:right="58"/>
        <w:spacing w:after="0"/>
        <w:rPr>
          <w:sz w:val="20"/>
          <w:szCs w:val="20"/>
          <w:color w:val="auto"/>
        </w:rPr>
      </w:pPr>
      <w:r>
        <w:rPr>
          <w:rFonts w:ascii="Arial" w:cs="Arial" w:eastAsia="Arial" w:hAnsi="Arial"/>
          <w:sz w:val="14"/>
          <w:szCs w:val="14"/>
          <w:b w:val="1"/>
          <w:bCs w:val="1"/>
          <w:color w:val="auto"/>
        </w:rPr>
        <w:t>2023</w:t>
      </w:r>
    </w:p>
    <w:p>
      <w:pPr>
        <w:spacing w:after="0" w:line="26" w:lineRule="exact"/>
        <w:rPr>
          <w:sz w:val="20"/>
          <w:szCs w:val="20"/>
          <w:color w:val="auto"/>
        </w:rPr>
      </w:pPr>
    </w:p>
    <w:p>
      <w:pPr>
        <w:ind w:left="1182" w:hanging="1182"/>
        <w:spacing w:after="0"/>
        <w:tabs>
          <w:tab w:leader="none" w:pos="1182" w:val="left"/>
        </w:tabs>
        <w:numPr>
          <w:ilvl w:val="0"/>
          <w:numId w:val="26"/>
        </w:numPr>
        <w:rPr>
          <w:rFonts w:ascii="Arial" w:cs="Arial" w:eastAsia="Arial" w:hAnsi="Arial"/>
          <w:sz w:val="17"/>
          <w:szCs w:val="17"/>
          <w:color w:val="auto"/>
        </w:rPr>
      </w:pPr>
      <w:r>
        <w:rPr>
          <w:rFonts w:ascii="Arial" w:cs="Arial" w:eastAsia="Arial" w:hAnsi="Arial"/>
          <w:sz w:val="17"/>
          <w:szCs w:val="17"/>
          <w:color w:val="auto"/>
        </w:rPr>
        <w:t>240</w:t>
      </w:r>
    </w:p>
    <w:p>
      <w:pPr>
        <w:spacing w:after="0" w:line="23" w:lineRule="exact"/>
        <w:rPr>
          <w:rFonts w:ascii="Arial" w:cs="Arial" w:eastAsia="Arial" w:hAnsi="Arial"/>
          <w:sz w:val="17"/>
          <w:szCs w:val="17"/>
          <w:color w:val="auto"/>
        </w:rPr>
      </w:pPr>
    </w:p>
    <w:p>
      <w:pPr>
        <w:ind w:left="1182"/>
        <w:spacing w:after="0"/>
        <w:rPr>
          <w:rFonts w:ascii="Arial" w:cs="Arial" w:eastAsia="Arial" w:hAnsi="Arial"/>
          <w:sz w:val="17"/>
          <w:szCs w:val="17"/>
          <w:color w:val="auto"/>
        </w:rPr>
      </w:pPr>
      <w:r>
        <w:rPr>
          <w:rFonts w:ascii="Arial" w:cs="Arial" w:eastAsia="Arial" w:hAnsi="Arial"/>
          <w:sz w:val="17"/>
          <w:szCs w:val="17"/>
          <w:color w:val="auto"/>
        </w:rPr>
        <w:t>106</w:t>
      </w:r>
    </w:p>
    <w:p>
      <w:pPr>
        <w:spacing w:after="0" w:line="23" w:lineRule="exact"/>
        <w:rPr>
          <w:rFonts w:ascii="Arial" w:cs="Arial" w:eastAsia="Arial" w:hAnsi="Arial"/>
          <w:sz w:val="17"/>
          <w:szCs w:val="17"/>
          <w:color w:val="auto"/>
        </w:rPr>
      </w:pPr>
    </w:p>
    <w:p>
      <w:pPr>
        <w:ind w:left="1182"/>
        <w:spacing w:after="0"/>
        <w:rPr>
          <w:rFonts w:ascii="Arial" w:cs="Arial" w:eastAsia="Arial" w:hAnsi="Arial"/>
          <w:sz w:val="17"/>
          <w:szCs w:val="17"/>
          <w:color w:val="auto"/>
        </w:rPr>
      </w:pPr>
      <w:r>
        <w:rPr>
          <w:rFonts w:ascii="Arial" w:cs="Arial" w:eastAsia="Arial" w:hAnsi="Arial"/>
          <w:sz w:val="17"/>
          <w:szCs w:val="17"/>
          <w:color w:val="auto"/>
        </w:rPr>
        <w:t>445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9728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72820" cy="8255"/>
                    </a:xfrm>
                    <a:prstGeom prst="rect">
                      <a:avLst/>
                    </a:prstGeom>
                    <a:noFill/>
                  </pic:spPr>
                </pic:pic>
              </a:graphicData>
            </a:graphic>
          </wp:anchor>
        </w:drawing>
      </w:r>
    </w:p>
    <w:p>
      <w:pPr>
        <w:spacing w:after="0" w:line="16" w:lineRule="exact"/>
        <w:rPr>
          <w:sz w:val="20"/>
          <w:szCs w:val="20"/>
          <w:color w:val="auto"/>
        </w:rPr>
      </w:pPr>
    </w:p>
    <w:p>
      <w:pPr>
        <w:ind w:left="1182" w:hanging="1182"/>
        <w:spacing w:after="0"/>
        <w:tabs>
          <w:tab w:leader="none" w:pos="1182" w:val="left"/>
        </w:tabs>
        <w:numPr>
          <w:ilvl w:val="0"/>
          <w:numId w:val="27"/>
        </w:numPr>
        <w:rPr>
          <w:rFonts w:ascii="Arial" w:cs="Arial" w:eastAsia="Arial" w:hAnsi="Arial"/>
          <w:sz w:val="17"/>
          <w:szCs w:val="17"/>
          <w:color w:val="auto"/>
        </w:rPr>
      </w:pPr>
      <w:r>
        <w:rPr>
          <w:rFonts w:ascii="Arial" w:cs="Arial" w:eastAsia="Arial" w:hAnsi="Arial"/>
          <w:sz w:val="17"/>
          <w:szCs w:val="17"/>
          <w:color w:val="auto"/>
        </w:rPr>
        <w:t>791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9728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7282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39370</wp:posOffset>
            </wp:positionV>
            <wp:extent cx="9728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72820" cy="825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8958" w:space="720"/>
            <w:col w:w="1562"/>
          </w:cols>
          <w:pgMar w:left="320" w:top="1003" w:right="339" w:bottom="1440" w:gutter="0" w:footer="0" w:header="0"/>
        </w:sectPr>
      </w:pPr>
    </w:p>
    <w:p>
      <w:pPr>
        <w:spacing w:after="0" w:line="17"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total estimated pre-tax costs for actions that have been identified are approximately $885 million to $905 million and we expect to incur the costs through 2025. These estimates will be updated as the expanded initiatives are developed.</w:t>
      </w:r>
    </w:p>
    <w:p>
      <w:pPr>
        <w:spacing w:after="0" w:line="3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We expect the costs for actions that have been identified to date to consist of the following: approximately $245 million to $250 million in severance pay and benefits; approximately $140 million in asset impairment and accelerated depreciation; and approximately $500 million to $515 million in implementation costs and other related costs. We expect these pre-tax costs to be associated with our segments as follows: Meals &amp; Beverages - approximately 32%; Snacks - approximately 43%; and Corporate - approximately 25%.</w:t>
      </w:r>
    </w:p>
    <w:p>
      <w:pPr>
        <w:spacing w:after="0" w:line="64"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Of the aggregate $885 million to $905 million of pre-tax costs identified to date, we expect approximately $705 million to $725 million will be cash expenditures. In addition, we expect to invest approximately $620 million in capital expenditures through 2025, of which we invested $467 million as of July 30, 2023. The capital expenditures primarily relate to optimization of production within our Meals &amp; Beverages manufacturing network, a U.S. warehouse optimization project, improvement of quality, safety and cost structure across the Snyder’s-Lance manufacturing network, optimization of information technology infrastructure and applications, implementation of our existing SAP enterprise-resource planning system for Snyder's-Lance, enhancements to our headquarters in Camden, New Jersey, and optimization of the Snyder’s-Lance warehouse and distribution network.</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expect to fund the costs through cash flows from operations and short-term borrowings.</w:t>
      </w:r>
    </w:p>
    <w:p>
      <w:pPr>
        <w:spacing w:after="0" w:line="8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We expect the initiatives, once all phases are implemented, to generate annual ongoing savings of approximately $1 billion by the end of 2025. As of July 30, 2023, we have generated total program-to-date pre-tax savings of $890 million.</w:t>
      </w:r>
    </w:p>
    <w:p>
      <w:pPr>
        <w:spacing w:after="0" w:line="4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Segment operating results do not include restructuring charges, implementation costs and other related costs because we evaluate segment performance excluding such charges. A summary of the pre-tax costs associated with segments is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4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360" w:type="dxa"/>
            <w:vAlign w:val="bottom"/>
          </w:tcPr>
          <w:p>
            <w:pPr>
              <w:spacing w:after="0"/>
              <w:rPr>
                <w:sz w:val="15"/>
                <w:szCs w:val="15"/>
                <w:color w:val="auto"/>
              </w:rPr>
            </w:pPr>
          </w:p>
        </w:tc>
        <w:tc>
          <w:tcPr>
            <w:tcW w:w="1180" w:type="dxa"/>
            <w:vAlign w:val="bottom"/>
          </w:tcPr>
          <w:p>
            <w:pPr>
              <w:jc w:val="right"/>
              <w:ind w:right="55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152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3"/>
              </w:rPr>
              <w:t>Costs Incurred to Date</w:t>
            </w:r>
          </w:p>
        </w:tc>
      </w:tr>
      <w:tr>
        <w:trPr>
          <w:trHeight w:val="24"/>
        </w:trPr>
        <w:tc>
          <w:tcPr>
            <w:tcW w:w="8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2"/>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Meals &amp; Beverages</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60"/>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r>
      <w:tr>
        <w:trPr>
          <w:trHeight w:val="218"/>
        </w:trPr>
        <w:tc>
          <w:tcPr>
            <w:tcW w:w="8040" w:type="dxa"/>
            <w:vAlign w:val="bottom"/>
          </w:tcPr>
          <w:p>
            <w:pPr>
              <w:ind w:left="20"/>
              <w:spacing w:after="0"/>
              <w:rPr>
                <w:sz w:val="20"/>
                <w:szCs w:val="20"/>
                <w:color w:val="auto"/>
              </w:rPr>
            </w:pPr>
            <w:r>
              <w:rPr>
                <w:rFonts w:ascii="Arial" w:cs="Arial" w:eastAsia="Arial" w:hAnsi="Arial"/>
                <w:sz w:val="17"/>
                <w:szCs w:val="17"/>
                <w:color w:val="auto"/>
              </w:rPr>
              <w:t>Snacks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345</w:t>
            </w:r>
          </w:p>
        </w:tc>
      </w:tr>
      <w:tr>
        <w:trPr>
          <w:trHeight w:val="219"/>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Corporate</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w:t>
            </w:r>
          </w:p>
        </w:tc>
      </w:tr>
      <w:tr>
        <w:trPr>
          <w:trHeight w:val="213"/>
        </w:trPr>
        <w:tc>
          <w:tcPr>
            <w:tcW w:w="8040" w:type="dxa"/>
            <w:vAlign w:val="bottom"/>
          </w:tcPr>
          <w:p>
            <w:pPr>
              <w:ind w:left="20"/>
              <w:spacing w:after="0"/>
              <w:rPr>
                <w:sz w:val="20"/>
                <w:szCs w:val="20"/>
                <w:color w:val="auto"/>
              </w:rPr>
            </w:pPr>
            <w:r>
              <w:rPr>
                <w:rFonts w:ascii="Arial" w:cs="Arial" w:eastAsia="Arial" w:hAnsi="Arial"/>
                <w:sz w:val="17"/>
                <w:szCs w:val="17"/>
                <w:color w:val="auto"/>
              </w:rPr>
              <w:t>Total</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w:t>
            </w: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ind w:right="460"/>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791</w:t>
            </w: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See Note 7 to the Consolidated Financial Statements for additional information.</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Discontinued Operations</w:t>
      </w:r>
    </w:p>
    <w:p>
      <w:pPr>
        <w:spacing w:after="0" w:line="101" w:lineRule="exact"/>
        <w:rPr>
          <w:sz w:val="20"/>
          <w:szCs w:val="20"/>
          <w:color w:val="auto"/>
        </w:rPr>
      </w:pPr>
    </w:p>
    <w:p>
      <w:pPr>
        <w:jc w:val="both"/>
        <w:ind w:firstLine="309"/>
        <w:spacing w:after="0" w:line="336" w:lineRule="auto"/>
        <w:rPr>
          <w:sz w:val="20"/>
          <w:szCs w:val="20"/>
          <w:color w:val="auto"/>
        </w:rPr>
      </w:pPr>
      <w:r>
        <w:rPr>
          <w:rFonts w:ascii="Arial" w:cs="Arial" w:eastAsia="Arial" w:hAnsi="Arial"/>
          <w:sz w:val="15"/>
          <w:szCs w:val="15"/>
          <w:color w:val="auto"/>
        </w:rPr>
        <w:t>We completed the sale of our Kelsen business on September 23, 2019, and the sale of the Arnott’s and certain other international operations on December 23, 2019. In the third quarter of 2021, we recognized a $6 million loss due to tax expense from return-to-provision adjustments related to the sale of these businesses.</w:t>
      </w: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07"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expect foreseeable liquidity and capital resource requirements to be met through anticipated cash flows from operations; long-term borrowings; short-term borrowings, which may include commercial paper; credit facilities; and cash and cash equivalents. We believe that our sources of financing will be adequate to meet our future requirements.</w:t>
      </w:r>
    </w:p>
    <w:p>
      <w:pPr>
        <w:spacing w:after="0" w:line="5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We generated cash flows from operations of $1.143 billion in 2023, compared to $1.181 billion in 2022. The decline in 2023 was primarily due to changes in working capital, partially offset by higher cash earnings.</w:t>
      </w:r>
    </w:p>
    <w:p>
      <w:pPr>
        <w:spacing w:after="0" w:line="3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We generated cash flows from operations of $1.181 billion in 2022, compared to $1.035 billion in 2021. The increase in 2022 was primarily due changes in working capital, partially offset by lower cash earnings.</w:t>
      </w:r>
    </w:p>
    <w:p>
      <w:pPr>
        <w:spacing w:after="0" w:line="4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Current assets are less than current liabilities, which include debt maturing in one year, as we focus on lowering core working capital requirements. We had negative working capital of $161 million as of July 30, 2023, and $923 million as of July 31, 2022. Total debt maturing within one year was $191 million as of July 30, 2023, and $814 million as of July 31, 2022.</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116205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25" w:name="page26"/>
    <w:bookmarkEnd w:id="25"/>
    <w:p>
      <w:pPr>
        <w:jc w:val="both"/>
        <w:ind w:firstLine="309"/>
        <w:spacing w:after="0" w:line="256" w:lineRule="auto"/>
        <w:rPr>
          <w:sz w:val="20"/>
          <w:szCs w:val="20"/>
          <w:color w:val="auto"/>
        </w:rPr>
      </w:pPr>
      <w:r>
        <w:rPr>
          <w:rFonts w:ascii="Arial" w:cs="Arial" w:eastAsia="Arial" w:hAnsi="Arial"/>
          <w:sz w:val="17"/>
          <w:szCs w:val="17"/>
          <w:color w:val="auto"/>
        </w:rPr>
        <w:t>As part of our focus to lower core working capital requirements, we have worked with our suppliers to optimize our terms and conditions, including the extension of payment terms. Our current payment terms with our suppliers, which we deem to be commercially reasonable, generally range from 0 to 120 days. We also maintain agreements with third-party administrators that allow participating suppliers to track payment obligations from us, and, at the sole discretion of the supplier, sell those payment obligations to participating financial institutions. Our obligations to our suppliers, including amounts due and scheduled payment terms, are not impacted. Supplier participation in these agreements is voluntary. We have no economic interest in a supplier’s decision to enter into these agreements and no direct financial relationship with the financial institutions. We have not pledged assets as security or provided any guarantees in connection with these arrangements. The payment of these obligations is included in cash provided by operating activities in the Consolidated Statements of Cash Flows. Amounts outstanding under these programs, which are included in Accounts payable on the Consolidated Balance Sheets, were $258 million at July 30, 2023, and $262 million at July 31, 2022.</w:t>
      </w:r>
    </w:p>
    <w:p>
      <w:pPr>
        <w:spacing w:after="0" w:line="55"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 xml:space="preserve">Capital expenditures were $370 million in 2023, $242 million in 2022 and $275 million in 2021. Capital expenditures are expected to total approximately $440 million in 2024. Capital expenditures in 2023 included chip and cracker capacity expansion for our Snacks business and a new manufacturing line for our Meals &amp; Beverages business. Capital expenditures in 2022 included improvement of the quality and cost structure of the Snyder's-Lance manufacturing network, the continued implementation of our existing SAP enterprise-resource planning system for Snyder's-Lance and cookie and cracker capacity expansion for our Snacks business. Capital expenditures in 2021 included the continued implementation of our existing SAP enterprise-resource planning system for Snyder's-Lance, chip capacity expansion projects, a </w:t>
      </w:r>
      <w:r>
        <w:rPr>
          <w:rFonts w:ascii="Arial" w:cs="Arial" w:eastAsia="Arial" w:hAnsi="Arial"/>
          <w:sz w:val="16"/>
          <w:szCs w:val="16"/>
          <w:i w:val="1"/>
          <w:iCs w:val="1"/>
          <w:color w:val="auto"/>
        </w:rPr>
        <w:t>Milano</w:t>
      </w:r>
      <w:r>
        <w:rPr>
          <w:rFonts w:ascii="Arial" w:cs="Arial" w:eastAsia="Arial" w:hAnsi="Arial"/>
          <w:sz w:val="16"/>
          <w:szCs w:val="16"/>
          <w:color w:val="auto"/>
        </w:rPr>
        <w:t xml:space="preserve"> cookie capacity expansion project and a </w:t>
      </w:r>
      <w:r>
        <w:rPr>
          <w:rFonts w:ascii="Arial" w:cs="Arial" w:eastAsia="Arial" w:hAnsi="Arial"/>
          <w:sz w:val="16"/>
          <w:szCs w:val="16"/>
          <w:i w:val="1"/>
          <w:iCs w:val="1"/>
          <w:color w:val="auto"/>
        </w:rPr>
        <w:t>Goldfish</w:t>
      </w:r>
      <w:r>
        <w:rPr>
          <w:rFonts w:ascii="Arial" w:cs="Arial" w:eastAsia="Arial" w:hAnsi="Arial"/>
          <w:sz w:val="16"/>
          <w:szCs w:val="16"/>
          <w:color w:val="auto"/>
        </w:rPr>
        <w:t xml:space="preserve"> cracker capacity expansion project.</w:t>
      </w:r>
    </w:p>
    <w:p>
      <w:pPr>
        <w:spacing w:after="0" w:line="5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In Snacks, we have a direct-store-delivery distribution model that uses independent contractor distributors. In order to maintain and expand this model, we routinely purchase and sell routes. The purchase and sale proceeds of the routes are reflected in investing activities.</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On May 3, 2021, we completed the sale of our Plum baby food and snacks business for $101 million.</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On May 30, 2023, we completed the sale of our Emerald nuts business for $41 million.</w:t>
      </w:r>
    </w:p>
    <w:p>
      <w:pPr>
        <w:spacing w:after="0" w:line="10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Dividend payments were $447 million in 2023, $451 million in 2022 and $439 million in 2021. Annual dividends declared were $1.48 per share in both 2023 and 2022 and $1.46 per share in 2021. The 2023 fourth quarter dividend was $.37 per share. The declaration of dividends is subject to the discretion of our Board and depends on various factors, including our net earnings, financial condition, cash requirements, future prospects and other factors that our Board deems relevant to its analysis and decision making.</w:t>
      </w:r>
    </w:p>
    <w:p>
      <w:pPr>
        <w:spacing w:after="0" w:line="64"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In June 2021, the Board authorized an anti-dilutive share repurchase program of up to $250 million (June 2021 program) to offset the impact of dilution from shares issued under our stock compensation programs. The June 2021 program has no expiration date, but it may be suspended or discontinued at any time. Repurchases under the anti-dilutive program may be made in open-market or privately negotiated transactions. 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 In 2023, we repurchased 2.7 million shares at a cost of $142 million. Of this amount, $68 million was used to repurchase shares pursuant to our June 2021 program and $74 million was used to repurchase share pursuant to our September 2021 program. As of July 30, 2023, approximately $104 million remained available under the June 2021 program and approximately $301 million remained under the September 2021 program. In 2022, we repurchased 3.8 million shares at a cost of $167 million. In 2021, we repurchased approximately 1 million shares at a cost of $36 million. See Note 15 to the Consolidated Financial Statements and "Market for Registrant's Capital Stock, Related Shareholder Matters and Issuer Purchases of Equity Securities" for additional information.</w:t>
      </w:r>
    </w:p>
    <w:p>
      <w:pPr>
        <w:spacing w:after="0" w:line="45"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On November 15, 2022, we entered into a delayed draw term loan credit agreement (the DDTL Credit Agreement) totaling up to $500 million scheduled to mature on November 15, 2025. Loans under the DDTL Credit Agreement bear interest at the rates specified in the DDTL Credit Agreement, which vary based on the type of loan and certain other conditions. The DDTL Credit Agreement contains customary representations and warranties, affirmative and negative covenants, including a financial covenant with respect to a minimum consolidated interest coverage ratio of consolidated adjusted EBITDA to consolidated interest expense (as each is defined in the DDTL Credit Agreement) of not less than 3.25:1.00, and events of default for credit facilities of this type. We borrowed $500 million under the DDTL Credit Agreement on March 13, 2023, and used the proceeds and cash on hand to repay the 3.65% $566 million Notes that matured on March 15, 2023.</w:t>
      </w:r>
    </w:p>
    <w:p>
      <w:pPr>
        <w:spacing w:after="0" w:line="67"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On March 4, 2022, we completed the redemption of all $450 million outstanding aggregate principal amount of our 2.50% Senior Notes due August 2, 2022. The consideration for the redemption was $453 million, including $3 million of premium. We recognized a loss of $4 million (including the $3 million of premium and other costs), which was recorded in Interest expense in the Consolidated Statement of Earnings. In addition, we paid accrued and unpaid interest on the redeemed notes through the date of settlement. We used a combination of cash on hand and short-term debt to fund the redemption.</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124460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26" w:name="page27"/>
    <w:bookmarkEnd w:id="26"/>
    <w:p>
      <w:pPr>
        <w:ind w:left="320"/>
        <w:spacing w:after="0"/>
        <w:rPr>
          <w:sz w:val="20"/>
          <w:szCs w:val="20"/>
          <w:color w:val="auto"/>
        </w:rPr>
      </w:pPr>
      <w:r>
        <w:rPr>
          <w:rFonts w:ascii="Arial" w:cs="Arial" w:eastAsia="Arial" w:hAnsi="Arial"/>
          <w:sz w:val="16"/>
          <w:szCs w:val="16"/>
          <w:color w:val="auto"/>
        </w:rPr>
        <w:t>In March 2021, we repaid our 3.30% $321 million Notes and floating rate $400 million Notes, and in May 2021, we repaid our 8.875% $200 million Notes.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The repayments were funded with available cash and commercial paper issuances.</w:t>
      </w:r>
    </w:p>
    <w:p>
      <w:pPr>
        <w:spacing w:after="0" w:line="77" w:lineRule="exact"/>
        <w:rPr>
          <w:sz w:val="20"/>
          <w:szCs w:val="20"/>
          <w:color w:val="auto"/>
        </w:rPr>
      </w:pPr>
    </w:p>
    <w:p>
      <w:pPr>
        <w:jc w:val="both"/>
        <w:ind w:firstLine="309"/>
        <w:spacing w:after="0" w:line="295" w:lineRule="auto"/>
        <w:rPr>
          <w:sz w:val="20"/>
          <w:szCs w:val="20"/>
          <w:color w:val="auto"/>
        </w:rPr>
      </w:pPr>
      <w:r>
        <w:rPr>
          <w:rFonts w:ascii="Arial" w:cs="Arial" w:eastAsia="Arial" w:hAnsi="Arial"/>
          <w:sz w:val="15"/>
          <w:szCs w:val="15"/>
          <w:color w:val="auto"/>
        </w:rPr>
        <w:t>As of July 30, 2023, we had $191 million of short-term borrowings due within one year, of which $178 million was comprised of commercial paper borrowings. As of July 30, 2023, we issued $29 million of standby letters of credit. On September 27, 2021, we entered into a committed revolving credit facility totaling $1.85 billion scheduled to mature on September 27, 2026. This facility remained unused at July 30, 2023, except for $1 million of standby letters of credit that we issued under it. The facility contains customary covenants, including a financial covenant with respect to a minimum consolidated interest coverage ratio of consolidated adjusted EBITDA to consolidated interest expense (as each is defined in the credit facility) of not less than 3.25:1.00, measured quarterly, and customary events of default for credit facilities of this type. Loans under this facility will bear interest at the rates specified in the facility, which vary based on the type of loan and certain other customary conditions. The facility supports our commercial paper program and other general corporate purposes. We expect to continue to access the commercial paper markets, bank credit lines and utilize cash flows from operations to support our short-term liquidity requirements.</w:t>
      </w:r>
    </w:p>
    <w:p>
      <w:pPr>
        <w:spacing w:after="0" w:line="42"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On April 4, 2023, we entered into an amendment to our existing revolving credit facility to replace remaining LIBOR-based benchmark rates applicable to borrowings under the revolving credit facility with SOFR-based benchmark rates, in advance of the cessation of LIBOR occurring on June 30, 2023.</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are in compliance with the covenants contained in our credit facilities and debt securities.</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 August 2023, we filed a registration statement with the Securities and Exchange Commission that registered an indeterminate amount of debt securities.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Under the registration statement we may issue debt securities from time to time, depending on market conditions.</w:t>
      </w:r>
    </w:p>
    <w:p>
      <w:pPr>
        <w:spacing w:after="0" w:line="90" w:lineRule="exact"/>
        <w:rPr>
          <w:sz w:val="20"/>
          <w:szCs w:val="20"/>
          <w:color w:val="auto"/>
        </w:rPr>
      </w:pPr>
    </w:p>
    <w:p>
      <w:pPr>
        <w:ind w:right="4740" w:firstLine="309"/>
        <w:spacing w:after="0" w:line="358" w:lineRule="auto"/>
        <w:rPr>
          <w:sz w:val="20"/>
          <w:szCs w:val="20"/>
          <w:color w:val="auto"/>
        </w:rPr>
      </w:pPr>
      <w:r>
        <w:rPr>
          <w:rFonts w:ascii="Arial" w:cs="Arial" w:eastAsia="Arial" w:hAnsi="Arial"/>
          <w:sz w:val="17"/>
          <w:szCs w:val="17"/>
          <w:color w:val="auto"/>
        </w:rPr>
        <w:t xml:space="preserve">We intend to finance the pending Sovos Brands acquisition with the issuance of new debt. </w:t>
      </w:r>
      <w:r>
        <w:rPr>
          <w:rFonts w:ascii="Arial" w:cs="Arial" w:eastAsia="Arial" w:hAnsi="Arial"/>
          <w:sz w:val="17"/>
          <w:szCs w:val="17"/>
          <w:b w:val="1"/>
          <w:bCs w:val="1"/>
          <w:color w:val="auto"/>
        </w:rPr>
        <w:t xml:space="preserve">CONTRACTUAL OBLIGATIONS AND OTHER COMMITMENTS </w:t>
      </w:r>
      <w:r>
        <w:rPr>
          <w:rFonts w:ascii="Arial" w:cs="Arial" w:eastAsia="Arial" w:hAnsi="Arial"/>
          <w:sz w:val="17"/>
          <w:szCs w:val="17"/>
          <w:b w:val="1"/>
          <w:bCs w:val="1"/>
          <w:i w:val="1"/>
          <w:iCs w:val="1"/>
          <w:color w:val="auto"/>
        </w:rPr>
        <w:t>Contractual Obligations</w:t>
      </w:r>
    </w:p>
    <w:p>
      <w:pPr>
        <w:spacing w:after="0" w:line="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have short- and long-term material cash requirements related to our contractual obligations that arise in the normal course of business. In addition to principal and interest payments on our outstanding debt obligations, our contractual obligations primarily consist of purchase commitments, lease payments and pension and postretirement benefits.</w:t>
      </w:r>
    </w:p>
    <w:p>
      <w:pPr>
        <w:spacing w:after="0" w:line="58"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See Note 12 to the Consolidated Financial Statements for a summary of our principal payments for short-term borrowings and long-term debt obligations as of July 30, 2023. Interest payments primarily for short-term borrowings and long-term debt as of July 30, 2023 are approximately as follows: $188 million in 2024; $305 million in 2025 through 2026; $218 million in 2027 through 2028; and $1.129 billion from 2029 through maturity. Interest payments are based on principal amounts and coupons or contractual rates at fiscal year end.</w:t>
      </w:r>
    </w:p>
    <w:p>
      <w:pPr>
        <w:spacing w:after="0" w:line="51"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Purchase commitments represent purchase orders and long-term purchase arrangements related to the procurement of ingredients, supplies, machinery, equipment and services. As of July 30, 2023, purchase commitments totaled approximately $1.762 billion. Approximately $1.31 billion of these purchase commitments will be settled in the ordinary course of business in the next 12 months and the balance of $452 million from 2025 through 2031.</w:t>
      </w:r>
    </w:p>
    <w:p>
      <w:pPr>
        <w:spacing w:after="0" w:line="4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See Note 10 to the Consolidated Financial Statements for a summary of our lease obligations as of July 30, 2023.</w:t>
      </w:r>
    </w:p>
    <w:p>
      <w:pPr>
        <w:spacing w:after="0" w:line="10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As of July 30, 2023, we have a pension liability of $105 million and a postretirement benefit obligation of $153 million. As of July 30, 2023, we also have a pension asset of $164 million based on the funded status of certain plans. See Note 9 to the Consolidated Financial Statements and "Critical Accounting Estimates" for further discussion of our pension and postretirement benefit obligations.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Off-Balance Sheet Arrangements and Other Commitments</w:t>
      </w:r>
    </w:p>
    <w:p>
      <w:pPr>
        <w:spacing w:after="0" w:line="10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We guarantee approximately 4,700 bank loans made to independent contractor distributors by third-party financial institutions for the purchase of distribution routes. The maximum potential amount of the future payments under existing guarantees we could be required to make is $496 million as of July 30, 2023. Our guarantees are indirectly secured by the distribution routes. We do not expect that we will be required to make material guarantee payments as a result of defaults on the bank loans guaranteed.</w:t>
      </w:r>
    </w:p>
    <w:p>
      <w:pPr>
        <w:spacing w:after="0" w:line="64"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These obligations and commitments impact our liquidity and capital resource needs. We expect foreseeable liquidity and capital resource requirements to be met through anticipated cash flows from operations; long-term borrowings; short-term borrowings, which may include commercial paper; credit facilities; and cash and cash equivalents. We believe that our sources of financing will be adequate to meet our future requirements.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116205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MARKET RISK SENSITIVITY</w:t>
      </w:r>
    </w:p>
    <w:p>
      <w:pPr>
        <w:spacing w:after="0" w:line="94" w:lineRule="exact"/>
        <w:rPr>
          <w:sz w:val="20"/>
          <w:szCs w:val="20"/>
          <w:color w:val="auto"/>
        </w:rPr>
      </w:pPr>
    </w:p>
    <w:p>
      <w:pPr>
        <w:jc w:val="both"/>
        <w:ind w:firstLine="309"/>
        <w:spacing w:after="0" w:line="295" w:lineRule="auto"/>
        <w:rPr>
          <w:sz w:val="20"/>
          <w:szCs w:val="20"/>
          <w:color w:val="auto"/>
        </w:rPr>
      </w:pPr>
      <w:r>
        <w:rPr>
          <w:rFonts w:ascii="Arial" w:cs="Arial" w:eastAsia="Arial" w:hAnsi="Arial"/>
          <w:sz w:val="15"/>
          <w:szCs w:val="15"/>
          <w:color w:val="auto"/>
        </w:rPr>
        <w:t>The principal market risks to which we are exposed are changes in foreign currency exchange rates, interest rates and commodity prices. In addition, we are exposed to equity price changes related to certain deferred compensation obligations. We manage our foreign currency exposures by utilizing foreign exchange forward contracts. We enter into foreign exchange forward contracts for periods consistent with related underlying exposures, and the contracts do not constitute positions independent of those exposures. We manage our exposure to changes in interest rates by optimizing the use of variable-rate and fixed-rate debt and we may utilize interest rate swaps in order to maintain our variable-to-total debt ratio within targeted guidelines. 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diesel fuel, natural gas, soybean oil, aluminum, cocoa, corn, soybean meal and butter. We do not enter into derivative contracts for speculative purposes and do not use leveraged instruments.</w:t>
      </w:r>
    </w:p>
    <w:p>
      <w:pPr>
        <w:spacing w:after="0" w:line="4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information below summarizes our market risks associated with significant financial instruments as of July 30, 2023. Fair values included herein have been determined based on quoted market prices or pricing models using current market rates. The information presented below should be read in conjunction with Notes 12, 13 and 14 to the Consolidated Financial Statements.</w:t>
      </w:r>
    </w:p>
    <w:p>
      <w:pPr>
        <w:spacing w:after="0" w:line="5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We are exposed to foreign currency exchange risk, primarily the Canadian dollar, related to intercompany transactions and third-party transactions. We utilize foreign exchange forward purchase and sale contracts to hedge these exposures. The notional amounts of the contracts as of July 30, 2023, and July 31, 2022, were $140 million and $153 million, respectively. The aggregate fair value of all contracts was a loss of $1 million as of July 30, 2023, and a gain of $2 million as of July 31, 2022. A hypothetical 10% fluctuation in exchange rates would impact the fair value of our outstanding foreign exchange contracts by approximately $17 million as of July 30, 2023, and July 31, 2022, which would generally be offset by inverse changes on the underlying hedged items.</w:t>
      </w:r>
    </w:p>
    <w:p>
      <w:pPr>
        <w:spacing w:after="0" w:line="38" w:lineRule="exact"/>
        <w:rPr>
          <w:sz w:val="20"/>
          <w:szCs w:val="20"/>
          <w:color w:val="auto"/>
        </w:rPr>
      </w:pPr>
    </w:p>
    <w:p>
      <w:pPr>
        <w:jc w:val="both"/>
        <w:ind w:firstLine="309"/>
        <w:spacing w:after="0" w:line="317" w:lineRule="auto"/>
        <w:rPr>
          <w:sz w:val="20"/>
          <w:szCs w:val="20"/>
          <w:color w:val="auto"/>
        </w:rPr>
      </w:pPr>
      <w:r>
        <w:rPr>
          <w:rFonts w:ascii="Arial" w:cs="Arial" w:eastAsia="Arial" w:hAnsi="Arial"/>
          <w:sz w:val="15"/>
          <w:szCs w:val="15"/>
          <w:color w:val="auto"/>
        </w:rPr>
        <w:t>As of July 30, 2023, we had outstanding variable-rate debt of $678 million with an average interest rate of 6.18%. As of July 31, 2022, we had outstanding variable-rate debt of $235 million with an average interest rate of 2.63%. A hypothetical 100-basis-point increase in average interest rates applied to our variable-rate debt balances throughout 2023 and 2022 would have increased annual interest expense in those years by approximately $4 million and $1 million, respectively.</w:t>
      </w:r>
    </w:p>
    <w:p>
      <w:pPr>
        <w:spacing w:after="0" w:line="25"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As of July 30, 2023, we had outstanding fixed-rate debt of $4.041 billion with a weighted average interest rate of 3.79%. As of July 31, 2022, we had outstanding fixed-rate debt of $4.609 billion with a weighted average interest rate of 3.76%. The fair value of fixed-rate debt was $3.615 billion as of July 30, 2023 and $4.402 billion as of July 31, 2022. As of July 30, 2023, and July 31, 2022, a hypothetical 100-basis-point increase in interest rates would decrease the fair value of our fixed-rate debt by approximately $221 million and $274 million, respectively, while a hypothetical 100-basis-point decrease in interest rates would increase the fair value of our fixed-rate debt by approximately $256 million and $318 million, respectively. The impact of market interest rate fluctuations on our long-term debt does not affect our results of operations or financial position.</w:t>
      </w:r>
    </w:p>
    <w:p>
      <w:pPr>
        <w:spacing w:after="0" w:line="66"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We enter into commodity futures, options and swap contracts, and a supply contract under which prices for certain raw materials are established based on anticipated volume requirements to reduce the volatility of price fluctuations for commodities. As of July 30, 2023, the total notional amount of the contracts was $241 million, and the aggregate fair value of these contracts was a gain of $11 million. As of July 31, 2022, the total notional amount of these contracts was $296 million, and the aggregate fair value of these contracts was a loss of $7 million. A hypothetical 10% fluctuation in commodity prices would impact the fair value of our outstanding commodity contracts by approximately $25 million as of July 30, 2023, and $30 million as of July 31, 2022, which would generally be offset by inverse changes on the underlying hedged items.</w:t>
      </w:r>
    </w:p>
    <w:p>
      <w:pPr>
        <w:spacing w:after="0" w:line="53"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We enter into swap contracts which hedge a portion of exposures relating to the total return of certain deferred compensation obligations. The notional amount of the contracts was $42 million as of July 30, 2023, and $50 million as of July 31, 2022. The fair value of these contracts was a gain of $4 million as of July 30, 2023, and a loss of $4 million as of July 31, 2022. A hypothetical 10% fluctuation in equity price changes would impact the fair value of our outstanding swap contracts by $5 million as of July 30, 2023, and July 31, 2022, which would generally be offset by inverse changes on the underlying hedged items.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107"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See Note 1 to the Consolidated Financial Statements for a discussion of significant accounting policies. The following areas all require the use of subjective or complex judgments, estimates and assumptions: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116205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8" w:name="page29"/>
    <w:bookmarkEnd w:id="28"/>
    <w:p>
      <w:pPr>
        <w:jc w:val="both"/>
        <w:ind w:firstLine="309"/>
        <w:spacing w:after="0" w:line="294" w:lineRule="auto"/>
        <w:rPr>
          <w:sz w:val="20"/>
          <w:szCs w:val="20"/>
          <w:color w:val="auto"/>
        </w:rPr>
      </w:pPr>
      <w:r>
        <w:rPr>
          <w:rFonts w:ascii="Arial" w:cs="Arial" w:eastAsia="Arial" w:hAnsi="Arial"/>
          <w:sz w:val="15"/>
          <w:szCs w:val="15"/>
          <w:i w:val="1"/>
          <w:iCs w:val="1"/>
          <w:color w:val="auto"/>
        </w:rPr>
        <w:t xml:space="preserve">Trade and consumer promotion programs — </w:t>
      </w:r>
      <w:r>
        <w:rPr>
          <w:rFonts w:ascii="Arial" w:cs="Arial" w:eastAsia="Arial" w:hAnsi="Arial"/>
          <w:sz w:val="15"/>
          <w:szCs w:val="15"/>
          <w:color w:val="auto"/>
        </w:rPr>
        <w:t>We offer various sales incentive programs to customers and consumers, such as feature price discounts, in-store</w:t>
      </w:r>
      <w:r>
        <w:rPr>
          <w:rFonts w:ascii="Arial" w:cs="Arial" w:eastAsia="Arial" w:hAnsi="Arial"/>
          <w:sz w:val="15"/>
          <w:szCs w:val="15"/>
          <w:i w:val="1"/>
          <w:iCs w:val="1"/>
          <w:color w:val="auto"/>
        </w:rPr>
        <w:t xml:space="preserve"> </w:t>
      </w:r>
      <w:r>
        <w:rPr>
          <w:rFonts w:ascii="Arial" w:cs="Arial" w:eastAsia="Arial" w:hAnsi="Arial"/>
          <w:sz w:val="15"/>
          <w:szCs w:val="15"/>
          <w:color w:val="auto"/>
        </w:rPr>
        <w:t>display incentives, cooperative advertising programs, new product introduction fees and coupons. The mix between these forms of variable consideration, which are classified as reductions in revenue and recognized upon sale, and advertising or other marketing activities, which are classified as marketing and selling expenses, fluctuates between periods based on our overall marketing plans. The measurement and recognition of the costs for trade and consumer promotion programs involves the use of judgment related to performance and redemption estimates. Estimates are made based on historical experience and other factors, including expected volume. Typically, programs that are offered have a very short duration. Historically, the difference between actual experience compared to estimated redemptions and performance has not been significant to the quarterly or annual financial statements. Differences between estimates and actual costs are recognized as a change in estimate in a subsequent period. However, actual expenses may differ if the level of redemption rates and performance were to vary from estimates. Accrued trade and consumer promotion liabilities as of July 30, 2023 and July 31, 2022 were $156 million and $141 million, respectively.</w:t>
      </w:r>
    </w:p>
    <w:p>
      <w:pPr>
        <w:spacing w:after="0" w:line="30"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i w:val="1"/>
          <w:iCs w:val="1"/>
          <w:color w:val="auto"/>
        </w:rPr>
        <w:t xml:space="preserve">Valuation of long-lived assets — </w:t>
      </w:r>
      <w:r>
        <w:rPr>
          <w:rFonts w:ascii="Arial" w:cs="Arial" w:eastAsia="Arial" w:hAnsi="Arial"/>
          <w:sz w:val="17"/>
          <w:szCs w:val="17"/>
          <w:color w:val="auto"/>
        </w:rPr>
        <w:t>Fixed assets and amortizable intangible assets are reviewed for impairment as events or changes in circumstances occur</w:t>
      </w:r>
      <w:r>
        <w:rPr>
          <w:rFonts w:ascii="Arial" w:cs="Arial" w:eastAsia="Arial" w:hAnsi="Arial"/>
          <w:sz w:val="17"/>
          <w:szCs w:val="17"/>
          <w:i w:val="1"/>
          <w:iCs w:val="1"/>
          <w:color w:val="auto"/>
        </w:rPr>
        <w:t xml:space="preserve"> </w:t>
      </w:r>
      <w:r>
        <w:rPr>
          <w:rFonts w:ascii="Arial" w:cs="Arial" w:eastAsia="Arial" w:hAnsi="Arial"/>
          <w:sz w:val="17"/>
          <w:szCs w:val="17"/>
          <w:color w:val="auto"/>
        </w:rPr>
        <w:t>indicating that the carrying value of the asset may not be recoverable. Undiscounted cash flow analyses are used to determine if the carrying amount of the asset is recoverable. If impairment is determined to exist, the loss is calculated based on estimated fair value.</w:t>
      </w:r>
    </w:p>
    <w:p>
      <w:pPr>
        <w:spacing w:after="0" w:line="5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Goodwill and intangible assets deemed to have indefinite lives are not amortized but rather are tested at least annually in the fourth quarter for impairment, or more often if events or changes in circumstances indicate that the carrying amount of the asset may be impaired.</w:t>
      </w:r>
    </w:p>
    <w:p>
      <w:pPr>
        <w:spacing w:after="0" w:line="48"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Goodwill is tested for impairment at the reporting unit level. A reporting unit represents an operating segment or a component of an operating segment. Goodwill is tested for impairment by either performing a qualitative evaluation or a quantitative test. The qualitative evaluation is an assessment of factors to determine whether it is more likely than not that the fair value of a reporting unit is less than its carrying amount, including goodwill. We may elect not to perform the qualitative assessment for some or all reporting units and perform a quantitative impairment test. Fair value is determined based on discounted cash flow analyses. The discounted estimates of future cash flows include significant management assumptions such as revenue growth rates, operating margins, weighted average costs of capital and future economic and market conditions. If the carrying value of the reporting unit exceeds fair value, goodwill is considered impaired. An impairment charge is recognized for the amount by which the carrying value of the reporting unit exceeds fair value, limited to the amount of goodwill in the reporting unit.</w:t>
      </w:r>
    </w:p>
    <w:p>
      <w:pPr>
        <w:spacing w:after="0" w:line="58" w:lineRule="exact"/>
        <w:rPr>
          <w:sz w:val="20"/>
          <w:szCs w:val="20"/>
          <w:color w:val="auto"/>
        </w:rPr>
      </w:pPr>
    </w:p>
    <w:p>
      <w:pPr>
        <w:jc w:val="both"/>
        <w:ind w:firstLine="309"/>
        <w:spacing w:after="0" w:line="317" w:lineRule="auto"/>
        <w:rPr>
          <w:sz w:val="20"/>
          <w:szCs w:val="20"/>
          <w:color w:val="auto"/>
        </w:rPr>
      </w:pPr>
      <w:r>
        <w:rPr>
          <w:rFonts w:ascii="Arial" w:cs="Arial" w:eastAsia="Arial" w:hAnsi="Arial"/>
          <w:sz w:val="15"/>
          <w:szCs w:val="15"/>
          <w:color w:val="auto"/>
        </w:rPr>
        <w:t>Indefinite-lived intangible assets are tested for impairment by comparing the fair value of the asset to the carrying value. Fair value is determined using a relief from royalty valuation method based on discounted cash flow analyses that include significant management assumptions such as revenue growth rates, weighted average costs of capital and assumed royalty rates. If the carrying value exceeds fair value, an impairment charge will be recorded to reduce the asset to fair value.</w:t>
      </w:r>
    </w:p>
    <w:p>
      <w:pPr>
        <w:spacing w:after="0" w:line="2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As of July 30, 2023, the carrying value of goodwill was $3.965 billion. Based on our assessments, all of our reporting units had fair values that significantly exceeded carrying values.</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July 30, 2023, the carrying value of indefinite-lived trademarks was $2.541 billion as detailed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72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
        </w:trPr>
        <w:tc>
          <w:tcPr>
            <w:tcW w:w="9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9"/>
        </w:trPr>
        <w:tc>
          <w:tcPr>
            <w:tcW w:w="972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Snyder's of Hanover</w:t>
            </w:r>
          </w:p>
        </w:tc>
        <w:tc>
          <w:tcPr>
            <w:tcW w:w="56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w:t>
            </w:r>
          </w:p>
        </w:tc>
      </w:tr>
      <w:tr>
        <w:trPr>
          <w:trHeight w:val="218"/>
        </w:trPr>
        <w:tc>
          <w:tcPr>
            <w:tcW w:w="9720" w:type="dxa"/>
            <w:vAlign w:val="bottom"/>
          </w:tcPr>
          <w:p>
            <w:pPr>
              <w:ind w:left="20"/>
              <w:spacing w:after="0"/>
              <w:rPr>
                <w:sz w:val="20"/>
                <w:szCs w:val="20"/>
                <w:color w:val="auto"/>
              </w:rPr>
            </w:pPr>
            <w:r>
              <w:rPr>
                <w:rFonts w:ascii="Arial" w:cs="Arial" w:eastAsia="Arial" w:hAnsi="Arial"/>
                <w:sz w:val="17"/>
                <w:szCs w:val="17"/>
                <w:i w:val="1"/>
                <w:iCs w:val="1"/>
                <w:color w:val="auto"/>
              </w:rPr>
              <w:t>Lance</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350</w:t>
            </w:r>
          </w:p>
        </w:tc>
      </w:tr>
      <w:tr>
        <w:trPr>
          <w:trHeight w:val="220"/>
        </w:trPr>
        <w:tc>
          <w:tcPr>
            <w:tcW w:w="972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Kettle Brand</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w:t>
            </w:r>
          </w:p>
        </w:tc>
      </w:tr>
      <w:tr>
        <w:trPr>
          <w:trHeight w:val="218"/>
        </w:trPr>
        <w:tc>
          <w:tcPr>
            <w:tcW w:w="9720" w:type="dxa"/>
            <w:vAlign w:val="bottom"/>
          </w:tcPr>
          <w:p>
            <w:pPr>
              <w:ind w:left="20"/>
              <w:spacing w:after="0"/>
              <w:rPr>
                <w:sz w:val="20"/>
                <w:szCs w:val="20"/>
                <w:color w:val="auto"/>
              </w:rPr>
            </w:pPr>
            <w:r>
              <w:rPr>
                <w:rFonts w:ascii="Arial" w:cs="Arial" w:eastAsia="Arial" w:hAnsi="Arial"/>
                <w:sz w:val="17"/>
                <w:szCs w:val="17"/>
                <w:i w:val="1"/>
                <w:iCs w:val="1"/>
                <w:color w:val="auto"/>
              </w:rPr>
              <w:t>Pace</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292</w:t>
            </w:r>
          </w:p>
        </w:tc>
      </w:tr>
      <w:tr>
        <w:trPr>
          <w:trHeight w:val="220"/>
        </w:trPr>
        <w:tc>
          <w:tcPr>
            <w:tcW w:w="972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Pacific Foods</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w:t>
            </w:r>
          </w:p>
        </w:tc>
      </w:tr>
      <w:tr>
        <w:trPr>
          <w:trHeight w:val="218"/>
        </w:trPr>
        <w:tc>
          <w:tcPr>
            <w:tcW w:w="9720" w:type="dxa"/>
            <w:vAlign w:val="bottom"/>
          </w:tcPr>
          <w:p>
            <w:pPr>
              <w:ind w:left="20"/>
              <w:spacing w:after="0"/>
              <w:rPr>
                <w:sz w:val="20"/>
                <w:szCs w:val="20"/>
                <w:color w:val="auto"/>
              </w:rPr>
            </w:pPr>
            <w:r>
              <w:rPr>
                <w:rFonts w:ascii="Arial" w:cs="Arial" w:eastAsia="Arial" w:hAnsi="Arial"/>
                <w:sz w:val="17"/>
                <w:szCs w:val="17"/>
                <w:i w:val="1"/>
                <w:iCs w:val="1"/>
                <w:color w:val="auto"/>
              </w:rPr>
              <w:t>Cape Cod</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187</w:t>
            </w:r>
          </w:p>
        </w:tc>
      </w:tr>
      <w:tr>
        <w:trPr>
          <w:trHeight w:val="220"/>
        </w:trPr>
        <w:tc>
          <w:tcPr>
            <w:tcW w:w="972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Various other Snacks</w:t>
            </w:r>
            <w:r>
              <w:rPr>
                <w:rFonts w:ascii="Arial" w:cs="Arial" w:eastAsia="Arial" w:hAnsi="Arial"/>
                <w:sz w:val="22"/>
                <w:szCs w:val="22"/>
                <w:color w:val="auto"/>
                <w:vertAlign w:val="superscript"/>
              </w:rPr>
              <w:t>(1)</w:t>
            </w: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494</w:t>
            </w:r>
          </w:p>
        </w:tc>
      </w:tr>
      <w:tr>
        <w:trPr>
          <w:trHeight w:val="211"/>
        </w:trPr>
        <w:tc>
          <w:tcPr>
            <w:tcW w:w="9720" w:type="dxa"/>
            <w:vAlign w:val="bottom"/>
          </w:tcPr>
          <w:p>
            <w:pPr>
              <w:ind w:left="20"/>
              <w:spacing w:after="0"/>
              <w:rPr>
                <w:sz w:val="20"/>
                <w:szCs w:val="20"/>
                <w:color w:val="auto"/>
              </w:rPr>
            </w:pPr>
            <w:r>
              <w:rPr>
                <w:rFonts w:ascii="Arial" w:cs="Arial" w:eastAsia="Arial" w:hAnsi="Arial"/>
                <w:sz w:val="17"/>
                <w:szCs w:val="17"/>
                <w:color w:val="auto"/>
              </w:rPr>
              <w:t>Total</w:t>
            </w:r>
          </w:p>
        </w:tc>
        <w:tc>
          <w:tcPr>
            <w:tcW w:w="56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2,541</w:t>
            </w:r>
          </w:p>
        </w:tc>
      </w:tr>
      <w:tr>
        <w:trPr>
          <w:trHeight w:val="20"/>
        </w:trPr>
        <w:tc>
          <w:tcPr>
            <w:tcW w:w="97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w:t>
      </w:r>
    </w:p>
    <w:p>
      <w:pPr>
        <w:spacing w:after="0" w:line="52" w:lineRule="exact"/>
        <w:rPr>
          <w:sz w:val="20"/>
          <w:szCs w:val="20"/>
          <w:color w:val="auto"/>
        </w:rPr>
      </w:pPr>
    </w:p>
    <w:p>
      <w:pPr>
        <w:ind w:left="300" w:hanging="297"/>
        <w:spacing w:after="0"/>
        <w:tabs>
          <w:tab w:leader="none" w:pos="300" w:val="left"/>
        </w:tabs>
        <w:numPr>
          <w:ilvl w:val="0"/>
          <w:numId w:val="28"/>
        </w:numPr>
        <w:rPr>
          <w:rFonts w:ascii="Arial" w:cs="Arial" w:eastAsia="Arial" w:hAnsi="Arial"/>
          <w:sz w:val="22"/>
          <w:szCs w:val="22"/>
          <w:color w:val="auto"/>
          <w:vertAlign w:val="superscript"/>
        </w:rPr>
      </w:pPr>
      <w:r>
        <w:rPr>
          <w:rFonts w:ascii="Arial" w:cs="Arial" w:eastAsia="Arial" w:hAnsi="Arial"/>
          <w:sz w:val="17"/>
          <w:szCs w:val="17"/>
          <w:color w:val="auto"/>
        </w:rPr>
        <w:t>Associated with the acquisition of Snyder's-Lance.</w:t>
      </w:r>
    </w:p>
    <w:p>
      <w:pPr>
        <w:spacing w:after="0" w:line="79"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 xml:space="preserve">As of the 2023 annual impairment testing, indefinite-lived trademarks with approximately 10% or less of excess coverage of fair value over carrying value had an aggregate carrying value of $434 million and included the </w:t>
      </w:r>
      <w:r>
        <w:rPr>
          <w:rFonts w:ascii="Arial" w:cs="Arial" w:eastAsia="Arial" w:hAnsi="Arial"/>
          <w:sz w:val="16"/>
          <w:szCs w:val="16"/>
          <w:i w:val="1"/>
          <w:iCs w:val="1"/>
          <w:color w:val="auto"/>
        </w:rPr>
        <w:t>Pacific Foods</w:t>
      </w:r>
      <w:r>
        <w:rPr>
          <w:rFonts w:ascii="Arial" w:cs="Arial" w:eastAsia="Arial" w:hAnsi="Arial"/>
          <w:sz w:val="16"/>
          <w:szCs w:val="16"/>
          <w:color w:val="auto"/>
        </w:rPr>
        <w:t xml:space="preserve"> and certain other Snacks trademarks. Although assumptions are generally interdependent and do not change in isolation, sensitivities to changes are provided below. Holding all other assumptions in our 2023 impairment testing constant, changes in the assumptions below would reduce fair value of trademarks and result in impairment charges of approximately:</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116205</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1"/>
        </w:trPr>
        <w:tc>
          <w:tcPr>
            <w:tcW w:w="9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1080" w:type="dxa"/>
            <w:vAlign w:val="bottom"/>
            <w:gridSpan w:val="3"/>
            <w:vMerge w:val="restart"/>
          </w:tcPr>
          <w:p>
            <w:pPr>
              <w:ind w:left="100"/>
              <w:spacing w:after="0"/>
              <w:rPr>
                <w:sz w:val="20"/>
                <w:szCs w:val="20"/>
                <w:color w:val="auto"/>
              </w:rPr>
            </w:pPr>
            <w:r>
              <w:rPr>
                <w:rFonts w:ascii="Arial" w:cs="Arial" w:eastAsia="Arial" w:hAnsi="Arial"/>
                <w:sz w:val="14"/>
                <w:szCs w:val="14"/>
                <w:b w:val="1"/>
                <w:bCs w:val="1"/>
                <w:i w:val="1"/>
                <w:iCs w:val="1"/>
                <w:color w:val="auto"/>
              </w:rPr>
              <w:t>Pacific Foods</w:t>
            </w:r>
          </w:p>
        </w:tc>
        <w:tc>
          <w:tcPr>
            <w:tcW w:w="980" w:type="dxa"/>
            <w:vAlign w:val="bottom"/>
            <w:gridSpan w:val="2"/>
          </w:tcPr>
          <w:p>
            <w:pPr>
              <w:jc w:val="right"/>
              <w:ind w:right="18"/>
              <w:spacing w:after="0"/>
              <w:rPr>
                <w:sz w:val="20"/>
                <w:szCs w:val="20"/>
                <w:color w:val="auto"/>
              </w:rPr>
            </w:pPr>
            <w:r>
              <w:rPr>
                <w:rFonts w:ascii="Arial" w:cs="Arial" w:eastAsia="Arial" w:hAnsi="Arial"/>
                <w:sz w:val="14"/>
                <w:szCs w:val="14"/>
                <w:b w:val="1"/>
                <w:bCs w:val="1"/>
                <w:color w:val="auto"/>
                <w:w w:val="95"/>
              </w:rPr>
              <w:t>Various other</w:t>
            </w:r>
          </w:p>
        </w:tc>
        <w:tc>
          <w:tcPr>
            <w:tcW w:w="0" w:type="dxa"/>
            <w:vAlign w:val="bottom"/>
          </w:tcPr>
          <w:p>
            <w:pPr>
              <w:spacing w:after="0"/>
              <w:rPr>
                <w:sz w:val="1"/>
                <w:szCs w:val="1"/>
                <w:color w:val="auto"/>
              </w:rPr>
            </w:pPr>
          </w:p>
        </w:tc>
      </w:tr>
      <w:tr>
        <w:trPr>
          <w:trHeight w:val="186"/>
        </w:trPr>
        <w:tc>
          <w:tcPr>
            <w:tcW w:w="9180" w:type="dxa"/>
            <w:vAlign w:val="bottom"/>
            <w:vMerge w:val="continue"/>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198"/>
              <w:spacing w:after="0"/>
              <w:rPr>
                <w:sz w:val="20"/>
                <w:szCs w:val="20"/>
                <w:color w:val="auto"/>
              </w:rPr>
            </w:pPr>
            <w:r>
              <w:rPr>
                <w:rFonts w:ascii="Arial" w:cs="Arial" w:eastAsia="Arial" w:hAnsi="Arial"/>
                <w:sz w:val="14"/>
                <w:szCs w:val="14"/>
                <w:b w:val="1"/>
                <w:bCs w:val="1"/>
                <w:color w:val="auto"/>
              </w:rPr>
              <w:t>Snacks</w:t>
            </w:r>
          </w:p>
        </w:tc>
        <w:tc>
          <w:tcPr>
            <w:tcW w:w="0" w:type="dxa"/>
            <w:vAlign w:val="bottom"/>
          </w:tcPr>
          <w:p>
            <w:pPr>
              <w:spacing w:after="0"/>
              <w:rPr>
                <w:sz w:val="1"/>
                <w:szCs w:val="1"/>
                <w:color w:val="auto"/>
              </w:rPr>
            </w:pPr>
          </w:p>
        </w:tc>
      </w:tr>
      <w:tr>
        <w:trPr>
          <w:trHeight w:val="219"/>
        </w:trPr>
        <w:tc>
          <w:tcPr>
            <w:tcW w:w="9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1% increase in the weighted-average cost of capital</w:t>
            </w:r>
          </w:p>
        </w:tc>
        <w:tc>
          <w:tcPr>
            <w:tcW w:w="420" w:type="dxa"/>
            <w:vAlign w:val="bottom"/>
            <w:tcBorders>
              <w:top w:val="single" w:sz="8" w:color="auto"/>
            </w:tcBorders>
            <w:shd w:val="clear" w:color="auto" w:fill="CCEEFF"/>
          </w:tcPr>
          <w:p>
            <w:pPr>
              <w:jc w:val="right"/>
              <w:ind w:right="238"/>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18"/>
        </w:trPr>
        <w:tc>
          <w:tcPr>
            <w:tcW w:w="9180" w:type="dxa"/>
            <w:vAlign w:val="bottom"/>
          </w:tcPr>
          <w:p>
            <w:pPr>
              <w:ind w:left="20"/>
              <w:spacing w:after="0"/>
              <w:rPr>
                <w:sz w:val="20"/>
                <w:szCs w:val="20"/>
                <w:color w:val="auto"/>
              </w:rPr>
            </w:pPr>
            <w:r>
              <w:rPr>
                <w:rFonts w:ascii="Arial" w:cs="Arial" w:eastAsia="Arial" w:hAnsi="Arial"/>
                <w:sz w:val="17"/>
                <w:szCs w:val="17"/>
                <w:color w:val="auto"/>
              </w:rPr>
              <w:t>1% reduction in revenue growth</w:t>
            </w:r>
          </w:p>
        </w:tc>
        <w:tc>
          <w:tcPr>
            <w:tcW w:w="420" w:type="dxa"/>
            <w:vAlign w:val="bottom"/>
          </w:tcPr>
          <w:p>
            <w:pPr>
              <w:jc w:val="right"/>
              <w:ind w:right="238"/>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0"/>
        </w:trPr>
        <w:tc>
          <w:tcPr>
            <w:tcW w:w="9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1% decrease in royalty rate</w:t>
            </w:r>
          </w:p>
        </w:tc>
        <w:tc>
          <w:tcPr>
            <w:tcW w:w="420" w:type="dxa"/>
            <w:vAlign w:val="bottom"/>
            <w:shd w:val="clear" w:color="auto" w:fill="CCEEFF"/>
          </w:tcPr>
          <w:p>
            <w:pPr>
              <w:jc w:val="right"/>
              <w:ind w:right="238"/>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bl>
    <w:p>
      <w:pPr>
        <w:spacing w:after="0" w:line="15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 xml:space="preserve">While the 1% changes in assumptions would not result in impairment charges on our other trademarks, some changes would reduce the excess coverage of fair value over carrying value to less than 10% for the </w:t>
      </w:r>
      <w:r>
        <w:rPr>
          <w:rFonts w:ascii="Arial" w:cs="Arial" w:eastAsia="Arial" w:hAnsi="Arial"/>
          <w:sz w:val="17"/>
          <w:szCs w:val="17"/>
          <w:i w:val="1"/>
          <w:iCs w:val="1"/>
          <w:color w:val="auto"/>
        </w:rPr>
        <w:t>Snyder's of Hanover</w:t>
      </w:r>
      <w:r>
        <w:rPr>
          <w:rFonts w:ascii="Arial" w:cs="Arial" w:eastAsia="Arial" w:hAnsi="Arial"/>
          <w:sz w:val="17"/>
          <w:szCs w:val="17"/>
          <w:color w:val="auto"/>
        </w:rPr>
        <w:t xml:space="preserve">, </w:t>
      </w:r>
      <w:r>
        <w:rPr>
          <w:rFonts w:ascii="Arial" w:cs="Arial" w:eastAsia="Arial" w:hAnsi="Arial"/>
          <w:sz w:val="17"/>
          <w:szCs w:val="17"/>
          <w:i w:val="1"/>
          <w:iCs w:val="1"/>
          <w:color w:val="auto"/>
        </w:rPr>
        <w:t>Kettle Brand</w:t>
      </w:r>
      <w:r>
        <w:rPr>
          <w:rFonts w:ascii="Arial" w:cs="Arial" w:eastAsia="Arial" w:hAnsi="Arial"/>
          <w:sz w:val="17"/>
          <w:szCs w:val="17"/>
          <w:color w:val="auto"/>
        </w:rPr>
        <w:t xml:space="preserve">, </w:t>
      </w:r>
      <w:r>
        <w:rPr>
          <w:rFonts w:ascii="Arial" w:cs="Arial" w:eastAsia="Arial" w:hAnsi="Arial"/>
          <w:sz w:val="17"/>
          <w:szCs w:val="17"/>
          <w:i w:val="1"/>
          <w:iCs w:val="1"/>
          <w:color w:val="auto"/>
        </w:rPr>
        <w:t>Cape Cod</w:t>
      </w:r>
      <w:r>
        <w:rPr>
          <w:rFonts w:ascii="Arial" w:cs="Arial" w:eastAsia="Arial" w:hAnsi="Arial"/>
          <w:sz w:val="17"/>
          <w:szCs w:val="17"/>
          <w:color w:val="auto"/>
        </w:rPr>
        <w:t xml:space="preserve"> and </w:t>
      </w:r>
      <w:r>
        <w:rPr>
          <w:rFonts w:ascii="Arial" w:cs="Arial" w:eastAsia="Arial" w:hAnsi="Arial"/>
          <w:sz w:val="17"/>
          <w:szCs w:val="17"/>
          <w:i w:val="1"/>
          <w:iCs w:val="1"/>
          <w:color w:val="auto"/>
        </w:rPr>
        <w:t>Pace</w:t>
      </w:r>
      <w:r>
        <w:rPr>
          <w:rFonts w:ascii="Arial" w:cs="Arial" w:eastAsia="Arial" w:hAnsi="Arial"/>
          <w:sz w:val="17"/>
          <w:szCs w:val="17"/>
          <w:color w:val="auto"/>
        </w:rPr>
        <w:t xml:space="preserve"> trademarks.</w:t>
      </w:r>
    </w:p>
    <w:p>
      <w:pPr>
        <w:spacing w:after="0" w:line="48"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The estimates of future cash flows used in impairment testing are made at a point in time, involve considerable management judgment, and are based upon assumptions about expected future operating performance, assumed royalty rates,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 If our assumptions change or market conditions decline, potential impairment charges could result.</w:t>
      </w:r>
    </w:p>
    <w:p>
      <w:pPr>
        <w:spacing w:after="0" w:line="5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See also Note 5 to the Consolidated Financial Statements for additional information on goodwill and intangible assets.</w:t>
      </w:r>
    </w:p>
    <w:p>
      <w:pPr>
        <w:spacing w:after="0" w:line="101"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i w:val="1"/>
          <w:iCs w:val="1"/>
          <w:color w:val="auto"/>
        </w:rPr>
        <w:t xml:space="preserve">Pension and postretirement benefits — </w:t>
      </w:r>
      <w:r>
        <w:rPr>
          <w:rFonts w:ascii="Arial" w:cs="Arial" w:eastAsia="Arial" w:hAnsi="Arial"/>
          <w:sz w:val="17"/>
          <w:szCs w:val="17"/>
          <w:color w:val="auto"/>
        </w:rPr>
        <w:t>We provide certain pension and postretirement benefits to employees and retirees. Determining the cost associated with</w:t>
      </w:r>
      <w:r>
        <w:rPr>
          <w:rFonts w:ascii="Arial" w:cs="Arial" w:eastAsia="Arial" w:hAnsi="Arial"/>
          <w:sz w:val="17"/>
          <w:szCs w:val="17"/>
          <w:i w:val="1"/>
          <w:iCs w:val="1"/>
          <w:color w:val="auto"/>
        </w:rPr>
        <w:t xml:space="preserve"> </w:t>
      </w:r>
      <w:r>
        <w:rPr>
          <w:rFonts w:ascii="Arial" w:cs="Arial" w:eastAsia="Arial" w:hAnsi="Arial"/>
          <w:sz w:val="17"/>
          <w:szCs w:val="17"/>
          <w:color w:val="auto"/>
        </w:rPr>
        <w:t>such benefits is dependent on various actuarial assumptions, including discount rates, expected return on plan assets, compensation increases, turnover rates and health care trend rates. Independent actuaries, in accordance with accounting principles generally accepted in the United States, perform the required calculations to determine expense. Actuarial gains and losses are recognized immediately in Other expenses / (income) in the Consolidated Statements of Earnings as of the measurement date, which is our fiscal year end, or more frequently if an interim remeasurement is required. We use the fair value of plan assets to calculate the expected return on plan assets.</w:t>
      </w:r>
    </w:p>
    <w:p>
      <w:pPr>
        <w:spacing w:after="0" w:line="66" w:lineRule="exact"/>
        <w:rPr>
          <w:sz w:val="20"/>
          <w:szCs w:val="20"/>
          <w:color w:val="auto"/>
        </w:rPr>
      </w:pPr>
    </w:p>
    <w:p>
      <w:pPr>
        <w:jc w:val="both"/>
        <w:ind w:firstLine="309"/>
        <w:spacing w:after="0" w:line="317" w:lineRule="auto"/>
        <w:rPr>
          <w:sz w:val="20"/>
          <w:szCs w:val="20"/>
          <w:color w:val="auto"/>
        </w:rPr>
      </w:pPr>
      <w:r>
        <w:rPr>
          <w:rFonts w:ascii="Arial" w:cs="Arial" w:eastAsia="Arial" w:hAnsi="Arial"/>
          <w:sz w:val="15"/>
          <w:szCs w:val="15"/>
          <w:color w:val="auto"/>
        </w:rPr>
        <w:t>In establishing the discount rate, we review published market indices of high-quality debt securities, adjusted as appropriate for duration. In addition, independent actuaries apply high-quality bond yield curves to the expected benefit payments of the plans. We use a full yield curve approach to estimate service cost and interest cost by applying the specific spot rates along the yield curve used to determine the benefit obligation of the relevant projected cash flows.</w:t>
      </w:r>
    </w:p>
    <w:p>
      <w:pPr>
        <w:spacing w:after="0" w:line="12"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The expected return on plan assets is a long-term assumption based upon historical experience and expected future performance, considering our current and projected investment mix. This estimate is based on an estimate of future inflation, long-term projected real returns for each asset class and a premium for active management. Within any given fiscal period, significant differences may arise between the actual return and the expected return on plan assets. Gains and losses resulting from differences between actual experience and the assumptions are determined at each measurement date.</w:t>
      </w:r>
    </w:p>
    <w:p>
      <w:pPr>
        <w:spacing w:after="0" w:line="46"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As of July 30, 2023, we have a pension liability of $105 million and a postretirement benefit obligation of $153 million. As of July 30, 2023, we also have a pension asset of $164 million based on the funded status of certain plans.</w:t>
      </w:r>
    </w:p>
    <w:p>
      <w:pPr>
        <w:spacing w:after="0" w:line="4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Net periodic pension and postretirement benefit expense (income) and actuarial losses (gains) included within net periodic pension and benefit expense (income)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64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180" w:type="dxa"/>
            <w:vAlign w:val="bottom"/>
          </w:tcPr>
          <w:p>
            <w:pPr>
              <w:spacing w:after="0"/>
              <w:rPr>
                <w:sz w:val="15"/>
                <w:szCs w:val="15"/>
                <w:color w:val="auto"/>
              </w:rPr>
            </w:pPr>
          </w:p>
        </w:tc>
        <w:tc>
          <w:tcPr>
            <w:tcW w:w="620" w:type="dxa"/>
            <w:vAlign w:val="bottom"/>
          </w:tcPr>
          <w:p>
            <w:pPr>
              <w:jc w:val="right"/>
              <w:ind w:right="18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8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80"/>
              <w:spacing w:after="0"/>
              <w:rPr>
                <w:sz w:val="20"/>
                <w:szCs w:val="20"/>
                <w:color w:val="auto"/>
              </w:rPr>
            </w:pPr>
            <w:r>
              <w:rPr>
                <w:rFonts w:ascii="Arial" w:cs="Arial" w:eastAsia="Arial" w:hAnsi="Arial"/>
                <w:sz w:val="14"/>
                <w:szCs w:val="14"/>
                <w:b w:val="1"/>
                <w:bCs w:val="1"/>
                <w:color w:val="auto"/>
              </w:rPr>
              <w:t>2021</w:t>
            </w:r>
          </w:p>
        </w:tc>
      </w:tr>
      <w:tr>
        <w:trPr>
          <w:trHeight w:val="24"/>
        </w:trPr>
        <w:tc>
          <w:tcPr>
            <w:tcW w:w="8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89"/>
        </w:trPr>
        <w:tc>
          <w:tcPr>
            <w:tcW w:w="8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net periodic pension and postretirement benefit expense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ind w:left="400"/>
              <w:spacing w:after="0"/>
              <w:rPr>
                <w:sz w:val="20"/>
                <w:szCs w:val="20"/>
                <w:color w:val="auto"/>
              </w:rPr>
            </w:pPr>
            <w:r>
              <w:rPr>
                <w:rFonts w:ascii="Arial" w:cs="Arial" w:eastAsia="Arial" w:hAnsi="Arial"/>
                <w:sz w:val="17"/>
                <w:szCs w:val="17"/>
                <w:color w:val="auto"/>
                <w:w w:val="96"/>
              </w:rPr>
              <w:t>(7)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w:t>
            </w:r>
          </w:p>
        </w:tc>
      </w:tr>
      <w:tr>
        <w:trPr>
          <w:trHeight w:val="308"/>
        </w:trPr>
        <w:tc>
          <w:tcPr>
            <w:tcW w:w="8640" w:type="dxa"/>
            <w:vAlign w:val="bottom"/>
          </w:tcPr>
          <w:p>
            <w:pPr>
              <w:ind w:left="20"/>
              <w:spacing w:after="0"/>
              <w:rPr>
                <w:sz w:val="20"/>
                <w:szCs w:val="20"/>
                <w:color w:val="auto"/>
              </w:rPr>
            </w:pPr>
            <w:r>
              <w:rPr>
                <w:rFonts w:ascii="Arial" w:cs="Arial" w:eastAsia="Arial" w:hAnsi="Arial"/>
                <w:sz w:val="17"/>
                <w:szCs w:val="17"/>
                <w:color w:val="auto"/>
              </w:rPr>
              <w:t>Actuarial losses (gains)</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(15)</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ind w:left="380"/>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(203)</w:t>
            </w:r>
          </w:p>
        </w:tc>
      </w:tr>
    </w:tbl>
    <w:p>
      <w:pPr>
        <w:spacing w:after="0" w:line="169"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pension actuarial gains recognized in 2023 were primarily due to increases in discount rates used to determine the benefit obligation, partially offset by losses on plan assets and plan experience. The pension actuarial losses recognized in 2022 were primarily due to to losses on plan assets, partially offset by increases in discount rates used to determine the benefit obligation. The pension actuarial gains recognized in 2021 were primarily due to higher than anticipated investment gains on plan assets and increases in discount rates used to determine the benefit obligation.</w:t>
      </w:r>
    </w:p>
    <w:p>
      <w:pPr>
        <w:spacing w:after="0" w:line="5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Excluding actuarial gains and losses, net periodic pension and postretirement benefit income was $44 million lower in 2023 compared to 2022. Based on benefit obligations and plan assets as of July 30, 2023, net periodic pension and postretirement benefit income excluding any actuarial losses or gains is estimated to be approximately $13 million lower in 2024, subject to the impact of interim remeasurements. The decrease in 2024 is primarily due to a lower market value of plan assets.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124460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30" w:name="page31"/>
    <w:bookmarkEnd w:id="30"/>
    <w:p>
      <w:pPr>
        <w:ind w:left="320"/>
        <w:spacing w:after="0"/>
        <w:rPr>
          <w:sz w:val="20"/>
          <w:szCs w:val="20"/>
          <w:color w:val="auto"/>
        </w:rPr>
      </w:pPr>
      <w:r>
        <w:rPr>
          <w:rFonts w:ascii="Arial" w:cs="Arial" w:eastAsia="Arial" w:hAnsi="Arial"/>
          <w:sz w:val="17"/>
          <w:szCs w:val="17"/>
          <w:color w:val="auto"/>
        </w:rPr>
        <w:t>Significant weighted-average assumptions as of the end of the year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r>
      <w:tr>
        <w:trPr>
          <w:trHeight w:val="24"/>
        </w:trPr>
        <w:tc>
          <w:tcPr>
            <w:tcW w:w="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76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60"/>
        </w:trPr>
        <w:tc>
          <w:tcPr>
            <w:tcW w:w="20" w:type="dxa"/>
            <w:vAlign w:val="bottom"/>
            <w:shd w:val="clear" w:color="auto" w:fill="CCEEFF"/>
          </w:tcPr>
          <w:p>
            <w:pPr>
              <w:spacing w:after="0"/>
              <w:rPr>
                <w:sz w:val="13"/>
                <w:szCs w:val="13"/>
                <w:color w:val="auto"/>
              </w:rPr>
            </w:pPr>
          </w:p>
        </w:tc>
        <w:tc>
          <w:tcPr>
            <w:tcW w:w="8620" w:type="dxa"/>
            <w:vAlign w:val="bottom"/>
            <w:gridSpan w:val="3"/>
            <w:shd w:val="clear" w:color="auto" w:fill="CCEEFF"/>
          </w:tcPr>
          <w:p>
            <w:pPr>
              <w:spacing w:after="0" w:line="160" w:lineRule="exact"/>
              <w:rPr>
                <w:sz w:val="20"/>
                <w:szCs w:val="20"/>
                <w:color w:val="auto"/>
              </w:rPr>
            </w:pPr>
            <w:r>
              <w:rPr>
                <w:rFonts w:ascii="Arial" w:cs="Arial" w:eastAsia="Arial" w:hAnsi="Arial"/>
                <w:sz w:val="17"/>
                <w:szCs w:val="17"/>
                <w:color w:val="auto"/>
              </w:rPr>
              <w:t>Pension</w:t>
            </w: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39"/>
        </w:trPr>
        <w:tc>
          <w:tcPr>
            <w:tcW w:w="20" w:type="dxa"/>
            <w:vAlign w:val="bottom"/>
            <w:shd w:val="clear" w:color="auto" w:fill="CCEEFF"/>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7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r>
      <w:tr>
        <w:trPr>
          <w:trHeight w:val="219"/>
        </w:trPr>
        <w:tc>
          <w:tcPr>
            <w:tcW w:w="20" w:type="dxa"/>
            <w:vAlign w:val="bottom"/>
          </w:tcPr>
          <w:p>
            <w:pPr>
              <w:spacing w:after="0"/>
              <w:rPr>
                <w:sz w:val="19"/>
                <w:szCs w:val="19"/>
                <w:color w:val="auto"/>
              </w:rPr>
            </w:pPr>
          </w:p>
        </w:tc>
        <w:tc>
          <w:tcPr>
            <w:tcW w:w="8620" w:type="dxa"/>
            <w:vAlign w:val="bottom"/>
            <w:gridSpan w:val="3"/>
          </w:tcPr>
          <w:p>
            <w:pPr>
              <w:spacing w:after="0"/>
              <w:rPr>
                <w:sz w:val="20"/>
                <w:szCs w:val="20"/>
                <w:color w:val="auto"/>
              </w:rPr>
            </w:pPr>
            <w:r>
              <w:rPr>
                <w:rFonts w:ascii="Arial" w:cs="Arial" w:eastAsia="Arial" w:hAnsi="Arial"/>
                <w:sz w:val="17"/>
                <w:szCs w:val="17"/>
                <w:color w:val="auto"/>
              </w:rPr>
              <w:t>Discount rate for benefit obligations</w:t>
            </w:r>
          </w:p>
        </w:tc>
        <w:tc>
          <w:tcPr>
            <w:tcW w:w="800" w:type="dxa"/>
            <w:vAlign w:val="bottom"/>
          </w:tcPr>
          <w:p>
            <w:pPr>
              <w:jc w:val="center"/>
              <w:spacing w:after="0"/>
              <w:rPr>
                <w:sz w:val="20"/>
                <w:szCs w:val="20"/>
                <w:color w:val="auto"/>
              </w:rPr>
            </w:pPr>
            <w:r>
              <w:rPr>
                <w:rFonts w:ascii="Arial" w:cs="Arial" w:eastAsia="Arial" w:hAnsi="Arial"/>
                <w:sz w:val="17"/>
                <w:szCs w:val="17"/>
                <w:b w:val="1"/>
                <w:bCs w:val="1"/>
                <w:color w:val="auto"/>
                <w:w w:val="99"/>
              </w:rPr>
              <w:t>5.46%</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auto"/>
                <w:w w:val="91"/>
              </w:rPr>
              <w:t>4.58%</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auto"/>
                <w:w w:val="91"/>
              </w:rPr>
              <w:t>2.69%</w:t>
            </w:r>
          </w:p>
        </w:tc>
      </w:tr>
      <w:tr>
        <w:trPr>
          <w:trHeight w:val="219"/>
        </w:trPr>
        <w:tc>
          <w:tcPr>
            <w:tcW w:w="20" w:type="dxa"/>
            <w:vAlign w:val="bottom"/>
            <w:shd w:val="clear" w:color="auto" w:fill="CCEEFF"/>
          </w:tcPr>
          <w:p>
            <w:pPr>
              <w:spacing w:after="0"/>
              <w:rPr>
                <w:sz w:val="19"/>
                <w:szCs w:val="19"/>
                <w:color w:val="auto"/>
              </w:rPr>
            </w:pPr>
          </w:p>
        </w:tc>
        <w:tc>
          <w:tcPr>
            <w:tcW w:w="8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Expected return on plan assets</w:t>
            </w:r>
          </w:p>
        </w:tc>
        <w:tc>
          <w:tcPr>
            <w:tcW w:w="8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9"/>
              </w:rPr>
              <w:t>6.38%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6.40%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5.82%</w:t>
            </w:r>
          </w:p>
        </w:tc>
      </w:tr>
      <w:tr>
        <w:trPr>
          <w:trHeight w:val="180"/>
        </w:trPr>
        <w:tc>
          <w:tcPr>
            <w:tcW w:w="20" w:type="dxa"/>
            <w:vAlign w:val="bottom"/>
          </w:tcPr>
          <w:p>
            <w:pPr>
              <w:spacing w:after="0"/>
              <w:rPr>
                <w:sz w:val="15"/>
                <w:szCs w:val="15"/>
                <w:color w:val="auto"/>
              </w:rPr>
            </w:pPr>
          </w:p>
        </w:tc>
        <w:tc>
          <w:tcPr>
            <w:tcW w:w="8620" w:type="dxa"/>
            <w:vAlign w:val="bottom"/>
            <w:gridSpan w:val="3"/>
          </w:tcPr>
          <w:p>
            <w:pPr>
              <w:spacing w:after="0" w:line="180" w:lineRule="exact"/>
              <w:rPr>
                <w:sz w:val="20"/>
                <w:szCs w:val="20"/>
                <w:color w:val="auto"/>
              </w:rPr>
            </w:pPr>
            <w:r>
              <w:rPr>
                <w:rFonts w:ascii="Arial" w:cs="Arial" w:eastAsia="Arial" w:hAnsi="Arial"/>
                <w:sz w:val="17"/>
                <w:szCs w:val="17"/>
                <w:color w:val="auto"/>
              </w:rPr>
              <w:t>Postretirement</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8"/>
        </w:trPr>
        <w:tc>
          <w:tcPr>
            <w:tcW w:w="20" w:type="dxa"/>
            <w:vAlign w:val="bottom"/>
            <w:shd w:val="clear" w:color="auto" w:fill="CCEEFF"/>
          </w:tcPr>
          <w:p>
            <w:pPr>
              <w:spacing w:after="0"/>
              <w:rPr>
                <w:sz w:val="19"/>
                <w:szCs w:val="19"/>
                <w:color w:val="auto"/>
              </w:rPr>
            </w:pPr>
          </w:p>
        </w:tc>
        <w:tc>
          <w:tcPr>
            <w:tcW w:w="8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Discount rate for obligations</w:t>
            </w:r>
          </w:p>
        </w:tc>
        <w:tc>
          <w:tcPr>
            <w:tcW w:w="8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9"/>
              </w:rPr>
              <w:t>5.47%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4.48%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2.37%</w:t>
            </w:r>
          </w:p>
        </w:tc>
      </w:tr>
    </w:tbl>
    <w:p>
      <w:pPr>
        <w:spacing w:after="0" w:line="16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Based on benefit obligations and plan assets as of July 30, 2023, estimated sensitivities to 2024 annual net periodic pension and postretirement cost are as follows:</w:t>
      </w:r>
    </w:p>
    <w:p>
      <w:pPr>
        <w:spacing w:after="0" w:line="35" w:lineRule="exact"/>
        <w:rPr>
          <w:sz w:val="20"/>
          <w:szCs w:val="20"/>
          <w:color w:val="auto"/>
        </w:rPr>
      </w:pPr>
    </w:p>
    <w:p>
      <w:pPr>
        <w:ind w:left="620" w:hanging="153"/>
        <w:spacing w:after="0" w:line="279" w:lineRule="auto"/>
        <w:tabs>
          <w:tab w:leader="none" w:pos="616"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50-basis-point increase in the discount rate would result in expense of approximately $5 million and would result in an immediate actuarial gain recognition of approximately $43 million;</w:t>
      </w:r>
    </w:p>
    <w:p>
      <w:pPr>
        <w:spacing w:after="0" w:line="47" w:lineRule="exact"/>
        <w:rPr>
          <w:rFonts w:ascii="Arial" w:cs="Arial" w:eastAsia="Arial" w:hAnsi="Arial"/>
          <w:sz w:val="17"/>
          <w:szCs w:val="17"/>
          <w:color w:val="auto"/>
        </w:rPr>
      </w:pPr>
    </w:p>
    <w:p>
      <w:pPr>
        <w:ind w:left="620" w:hanging="153"/>
        <w:spacing w:after="0" w:line="279" w:lineRule="auto"/>
        <w:tabs>
          <w:tab w:leader="none" w:pos="616"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50-basis-point decline in the discount rate would result in income of approximately $5 million and would result in an immediate actuarial loss recognition of approximately $53 million; and</w:t>
      </w:r>
    </w:p>
    <w:p>
      <w:pPr>
        <w:spacing w:after="0" w:line="47" w:lineRule="exact"/>
        <w:rPr>
          <w:rFonts w:ascii="Arial" w:cs="Arial" w:eastAsia="Arial" w:hAnsi="Arial"/>
          <w:sz w:val="17"/>
          <w:szCs w:val="17"/>
          <w:color w:val="auto"/>
        </w:rPr>
      </w:pPr>
    </w:p>
    <w:p>
      <w:pPr>
        <w:ind w:left="620" w:hanging="153"/>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50-basis-point reduction in the estimated return on assets assumption would result in expense of approximately $5 million.</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Contributions to pension plans were not material in 2023, 2022 and 2021 and are not expected to be material in 2024.</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See also Note 9 to the Consolidated Financial Statements for additional information on pension and postretirement benefits.</w:t>
      </w:r>
    </w:p>
    <w:p>
      <w:pPr>
        <w:spacing w:after="0" w:line="101" w:lineRule="exact"/>
        <w:rPr>
          <w:sz w:val="20"/>
          <w:szCs w:val="20"/>
          <w:color w:val="auto"/>
        </w:rPr>
      </w:pPr>
    </w:p>
    <w:p>
      <w:pPr>
        <w:jc w:val="both"/>
        <w:ind w:firstLine="309"/>
        <w:spacing w:after="0" w:line="275" w:lineRule="auto"/>
        <w:rPr>
          <w:sz w:val="20"/>
          <w:szCs w:val="20"/>
          <w:color w:val="auto"/>
        </w:rPr>
      </w:pPr>
      <w:r>
        <w:rPr>
          <w:rFonts w:ascii="Arial" w:cs="Arial" w:eastAsia="Arial" w:hAnsi="Arial"/>
          <w:sz w:val="16"/>
          <w:szCs w:val="16"/>
          <w:i w:val="1"/>
          <w:iCs w:val="1"/>
          <w:color w:val="auto"/>
        </w:rPr>
        <w:t xml:space="preserve">Income taxes — </w:t>
      </w:r>
      <w:r>
        <w:rPr>
          <w:rFonts w:ascii="Arial" w:cs="Arial" w:eastAsia="Arial" w:hAnsi="Arial"/>
          <w:sz w:val="16"/>
          <w:szCs w:val="16"/>
          <w:color w:val="auto"/>
        </w:rPr>
        <w:t>The effective tax rate reflects statutory tax rates, tax planning opportunities available in the various jurisdictions in which we operate and</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management’s estimate of the ultimate outcome of various tax audits and issues. Significant judgment is required in determining the effective tax rate and in evaluating tax positions. Income taxes are recorded based on amounts refundable or payable in the current year and include the effect of deferred taxes. Deferred tax assets and liabilities are recognized for the future impact of differences between the financial statement carrying amounts of assets and liabilities and their respective tax bases, as well as for operating loss and tax credit carryforwards. Deferred tax assets and liabilities are measured using enacted tax rates expected to apply to taxable income in the years in which those differences are expected to be recovered or settled. Valuation allowances are established for deferred tax assets when it is more likely than not that a tax benefit will not be realized.</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See also Notes 1 and 11 to the Consolidated Financial Statements for further discussion on income taxes.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See Note 2 to the Consolidated Financial Statements for information on recent accounting pronouncements.</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FACTORS THAT MAY AFFECT FUTURE RESULTS</w:t>
      </w:r>
    </w:p>
    <w:p>
      <w:pPr>
        <w:spacing w:after="0" w:line="107"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 "anticipate," "believe," "estimate," "expect," "intend," "plan," "pursue," "strategy," "target," "will" and similar expressions. One can also identify forward-looking statements by the fact that they do not relate strictly to historical or current facts, and may reflect anticipated cost savings or implementation of our strategic plan. These statements reflect our current plans and expectations and are based on information currently available to us. They rely on several assumptions regarding future events and estimates which could be inaccurate and which are inherently subject to risks and uncertainties.</w:t>
      </w:r>
    </w:p>
    <w:p>
      <w:pPr>
        <w:spacing w:after="0" w:line="67"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wish to caution the reader that the following important factors and those important factors described in Part 1, Item 1A and elsewhere in this Report, or in our other Securities and Exchange Commission filings, could affect our actual results and could cause such results to vary materially from those expressed in any forward-looking statements made by, or on behalf of, us:</w:t>
      </w:r>
    </w:p>
    <w:p>
      <w:pPr>
        <w:spacing w:after="0" w:line="45" w:lineRule="exact"/>
        <w:rPr>
          <w:sz w:val="20"/>
          <w:szCs w:val="20"/>
          <w:color w:val="auto"/>
        </w:rPr>
      </w:pPr>
    </w:p>
    <w:p>
      <w:pPr>
        <w:ind w:left="620" w:right="300" w:hanging="308"/>
        <w:spacing w:after="0" w:line="311" w:lineRule="auto"/>
        <w:tabs>
          <w:tab w:leader="none" w:pos="616"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conditions to the completion of the Sovos Brands transaction, including obtaining Sovos Brands' shareholder approval, may not be satisfied, or the regulatory approvals required for the transaction may not be obtained on the terms expected, on the anticipated schedule, or at all;</w:t>
      </w:r>
    </w:p>
    <w:p>
      <w:pPr>
        <w:spacing w:after="0" w:line="25" w:lineRule="exact"/>
        <w:rPr>
          <w:rFonts w:ascii="Arial" w:cs="Arial" w:eastAsia="Arial" w:hAnsi="Arial"/>
          <w:sz w:val="16"/>
          <w:szCs w:val="16"/>
          <w:color w:val="auto"/>
        </w:rPr>
      </w:pPr>
    </w:p>
    <w:p>
      <w:pPr>
        <w:ind w:left="620" w:hanging="308"/>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financing for the Sovos Brands transaction may not be obtained on favorable terms, or at all;</w:t>
      </w:r>
    </w:p>
    <w:p>
      <w:pPr>
        <w:spacing w:after="0" w:line="87" w:lineRule="exact"/>
        <w:rPr>
          <w:rFonts w:ascii="Arial" w:cs="Arial" w:eastAsia="Arial" w:hAnsi="Arial"/>
          <w:sz w:val="17"/>
          <w:szCs w:val="17"/>
          <w:color w:val="auto"/>
        </w:rPr>
      </w:pPr>
    </w:p>
    <w:p>
      <w:pPr>
        <w:ind w:left="620" w:right="440" w:hanging="308"/>
        <w:spacing w:after="0" w:line="279" w:lineRule="auto"/>
        <w:tabs>
          <w:tab w:leader="none" w:pos="616" w:val="left"/>
        </w:tabs>
        <w:numPr>
          <w:ilvl w:val="0"/>
          <w:numId w:val="30"/>
        </w:numPr>
        <w:rPr>
          <w:rFonts w:ascii="Arial" w:cs="Arial" w:eastAsia="Arial" w:hAnsi="Arial"/>
          <w:sz w:val="17"/>
          <w:szCs w:val="17"/>
          <w:color w:val="auto"/>
        </w:rPr>
      </w:pPr>
      <w:r>
        <w:rPr>
          <w:rFonts w:ascii="Arial" w:cs="Arial" w:eastAsia="Arial" w:hAnsi="Arial"/>
          <w:sz w:val="17"/>
          <w:szCs w:val="17"/>
          <w:color w:val="auto"/>
        </w:rPr>
        <w:t>closing of the Sovos Brands transaction may not occur or be delayed, either as a result of litigation related to the transaction or otherwise or result in significant costs of defense, indemnification and liability;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124460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31" w:name="page32"/>
    <w:bookmarkEnd w:id="31"/>
    <w:p>
      <w:pPr>
        <w:ind w:left="620" w:right="220" w:hanging="308"/>
        <w:spacing w:after="0" w:line="340" w:lineRule="auto"/>
        <w:tabs>
          <w:tab w:leader="none" w:pos="616"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risk that the cost savings and any other synergies from the Sovos Brands transaction may not be fully realized or may take longer or cost more to be realized than expected, including that the Sovos Brands transaction may not be accretive within the expected timeframe or the extent anticipated;</w:t>
      </w:r>
    </w:p>
    <w:p>
      <w:pPr>
        <w:ind w:left="620" w:hanging="308"/>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completing the Sovos Brands transaction may distract our management from other important matters;</w:t>
      </w:r>
    </w:p>
    <w:p>
      <w:pPr>
        <w:spacing w:after="0" w:line="100" w:lineRule="exact"/>
        <w:rPr>
          <w:rFonts w:ascii="Arial" w:cs="Arial" w:eastAsia="Arial" w:hAnsi="Arial"/>
          <w:sz w:val="17"/>
          <w:szCs w:val="17"/>
          <w:color w:val="auto"/>
        </w:rPr>
      </w:pPr>
    </w:p>
    <w:p>
      <w:pPr>
        <w:ind w:left="620" w:right="1040" w:hanging="308"/>
        <w:spacing w:after="0" w:line="279" w:lineRule="auto"/>
        <w:tabs>
          <w:tab w:leader="none" w:pos="616"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risks related to the availability of, and cost inflation in, supply chain inputs, including labor, raw materials, commodities, packaging and transportation;</w:t>
      </w:r>
    </w:p>
    <w:p>
      <w:pPr>
        <w:spacing w:after="0" w:line="47" w:lineRule="exact"/>
        <w:rPr>
          <w:rFonts w:ascii="Arial" w:cs="Arial" w:eastAsia="Arial" w:hAnsi="Arial"/>
          <w:sz w:val="17"/>
          <w:szCs w:val="17"/>
          <w:color w:val="auto"/>
        </w:rPr>
      </w:pPr>
    </w:p>
    <w:p>
      <w:pPr>
        <w:ind w:left="620" w:right="80" w:hanging="308"/>
        <w:spacing w:after="0" w:line="279" w:lineRule="auto"/>
        <w:tabs>
          <w:tab w:leader="none" w:pos="616"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ability to execute on and realize the expected benefits from our strategy, including growing sales in snacks and growing/maintaining our market share position in soup;</w:t>
      </w:r>
    </w:p>
    <w:p>
      <w:pPr>
        <w:spacing w:after="0" w:line="34" w:lineRule="exact"/>
        <w:rPr>
          <w:rFonts w:ascii="Arial" w:cs="Arial" w:eastAsia="Arial" w:hAnsi="Arial"/>
          <w:sz w:val="17"/>
          <w:szCs w:val="17"/>
          <w:color w:val="auto"/>
        </w:rPr>
      </w:pPr>
    </w:p>
    <w:p>
      <w:pPr>
        <w:ind w:left="620" w:hanging="308"/>
        <w:spacing w:after="0"/>
        <w:tabs>
          <w:tab w:leader="none" w:pos="6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impact of strong competitive responses to our efforts to leverage brand power with product innovation, promotional programs and new advertising;</w:t>
      </w:r>
    </w:p>
    <w:p>
      <w:pPr>
        <w:spacing w:after="0" w:line="112" w:lineRule="exact"/>
        <w:rPr>
          <w:rFonts w:ascii="Arial" w:cs="Arial" w:eastAsia="Arial" w:hAnsi="Arial"/>
          <w:sz w:val="16"/>
          <w:szCs w:val="16"/>
          <w:color w:val="auto"/>
        </w:rPr>
      </w:pPr>
    </w:p>
    <w:p>
      <w:pPr>
        <w:ind w:left="620" w:right="600" w:hanging="308"/>
        <w:spacing w:after="0" w:line="279" w:lineRule="auto"/>
        <w:tabs>
          <w:tab w:leader="none" w:pos="616"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risks associated with trade and consumer acceptance of product improvements, shelving initiatives, new products and pricing and promotional strategies;</w:t>
      </w:r>
    </w:p>
    <w:p>
      <w:pPr>
        <w:spacing w:after="0" w:line="47" w:lineRule="exact"/>
        <w:rPr>
          <w:rFonts w:ascii="Arial" w:cs="Arial" w:eastAsia="Arial" w:hAnsi="Arial"/>
          <w:sz w:val="17"/>
          <w:szCs w:val="17"/>
          <w:color w:val="auto"/>
        </w:rPr>
      </w:pPr>
    </w:p>
    <w:p>
      <w:pPr>
        <w:ind w:left="620" w:hanging="308"/>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ability to realize projected cost savings and benefits from cost savings initiatives and the integration of recent acquisitions;</w:t>
      </w:r>
    </w:p>
    <w:p>
      <w:pPr>
        <w:spacing w:after="0" w:line="87" w:lineRule="exact"/>
        <w:rPr>
          <w:rFonts w:ascii="Arial" w:cs="Arial" w:eastAsia="Arial" w:hAnsi="Arial"/>
          <w:sz w:val="17"/>
          <w:szCs w:val="17"/>
          <w:color w:val="auto"/>
        </w:rPr>
      </w:pPr>
    </w:p>
    <w:p>
      <w:pPr>
        <w:ind w:left="620" w:hanging="308"/>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disruptions in or inefficiencies to our supply chain and/or operations, including reliance on key supplier relationships;</w:t>
      </w:r>
    </w:p>
    <w:p>
      <w:pPr>
        <w:spacing w:after="0" w:line="100" w:lineRule="exact"/>
        <w:rPr>
          <w:rFonts w:ascii="Arial" w:cs="Arial" w:eastAsia="Arial" w:hAnsi="Arial"/>
          <w:sz w:val="17"/>
          <w:szCs w:val="17"/>
          <w:color w:val="auto"/>
        </w:rPr>
      </w:pPr>
    </w:p>
    <w:p>
      <w:pPr>
        <w:ind w:left="620" w:hanging="308"/>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risks related to the effectiveness of our hedging activities and our ability to respond to volatility in commodity prices;</w:t>
      </w:r>
    </w:p>
    <w:p>
      <w:pPr>
        <w:spacing w:after="0" w:line="100" w:lineRule="exact"/>
        <w:rPr>
          <w:rFonts w:ascii="Arial" w:cs="Arial" w:eastAsia="Arial" w:hAnsi="Arial"/>
          <w:sz w:val="17"/>
          <w:szCs w:val="17"/>
          <w:color w:val="auto"/>
        </w:rPr>
      </w:pPr>
    </w:p>
    <w:p>
      <w:pPr>
        <w:ind w:left="620" w:hanging="308"/>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impacts of, and associated responses to, the COVID-19 pandemic on our business, suppliers, customers, consumers and employees;</w:t>
      </w:r>
    </w:p>
    <w:p>
      <w:pPr>
        <w:spacing w:after="0" w:line="87" w:lineRule="exact"/>
        <w:rPr>
          <w:rFonts w:ascii="Arial" w:cs="Arial" w:eastAsia="Arial" w:hAnsi="Arial"/>
          <w:sz w:val="17"/>
          <w:szCs w:val="17"/>
          <w:color w:val="auto"/>
        </w:rPr>
      </w:pPr>
    </w:p>
    <w:p>
      <w:pPr>
        <w:ind w:left="620" w:right="300" w:hanging="308"/>
        <w:spacing w:after="0" w:line="279" w:lineRule="auto"/>
        <w:tabs>
          <w:tab w:leader="none" w:pos="616"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ability to manage changes to our organizational structure and/or business processes, including selling, distribution, manufacturing and information management systems or processes;</w:t>
      </w:r>
    </w:p>
    <w:p>
      <w:pPr>
        <w:spacing w:after="0" w:line="47" w:lineRule="exact"/>
        <w:rPr>
          <w:rFonts w:ascii="Arial" w:cs="Arial" w:eastAsia="Arial" w:hAnsi="Arial"/>
          <w:sz w:val="17"/>
          <w:szCs w:val="17"/>
          <w:color w:val="auto"/>
        </w:rPr>
      </w:pPr>
    </w:p>
    <w:p>
      <w:pPr>
        <w:ind w:left="620" w:hanging="308"/>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changes in consumer demand for our products and favorable perception of our brands;</w:t>
      </w:r>
    </w:p>
    <w:p>
      <w:pPr>
        <w:spacing w:after="0" w:line="100" w:lineRule="exact"/>
        <w:rPr>
          <w:rFonts w:ascii="Arial" w:cs="Arial" w:eastAsia="Arial" w:hAnsi="Arial"/>
          <w:sz w:val="17"/>
          <w:szCs w:val="17"/>
          <w:color w:val="auto"/>
        </w:rPr>
      </w:pPr>
    </w:p>
    <w:p>
      <w:pPr>
        <w:ind w:left="620" w:hanging="308"/>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changing inventory management practices by certain of our key customers;</w:t>
      </w:r>
    </w:p>
    <w:p>
      <w:pPr>
        <w:spacing w:after="0" w:line="87" w:lineRule="exact"/>
        <w:rPr>
          <w:rFonts w:ascii="Arial" w:cs="Arial" w:eastAsia="Arial" w:hAnsi="Arial"/>
          <w:sz w:val="17"/>
          <w:szCs w:val="17"/>
          <w:color w:val="auto"/>
        </w:rPr>
      </w:pPr>
    </w:p>
    <w:p>
      <w:pPr>
        <w:ind w:left="620" w:right="520" w:hanging="308"/>
        <w:spacing w:after="0" w:line="279" w:lineRule="auto"/>
        <w:tabs>
          <w:tab w:leader="none" w:pos="616"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changing customer landscape, with value and e-commerce retailers expanding their market presence, while certain of our key customers maintain significance to our business;</w:t>
      </w:r>
    </w:p>
    <w:p>
      <w:pPr>
        <w:spacing w:after="0" w:line="47" w:lineRule="exact"/>
        <w:rPr>
          <w:rFonts w:ascii="Arial" w:cs="Arial" w:eastAsia="Arial" w:hAnsi="Arial"/>
          <w:sz w:val="17"/>
          <w:szCs w:val="17"/>
          <w:color w:val="auto"/>
        </w:rPr>
      </w:pPr>
    </w:p>
    <w:p>
      <w:pPr>
        <w:ind w:left="620" w:hanging="308"/>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product quality and safety issues, including recalls and product liabilities;</w:t>
      </w:r>
    </w:p>
    <w:p>
      <w:pPr>
        <w:spacing w:after="0" w:line="100" w:lineRule="exact"/>
        <w:rPr>
          <w:rFonts w:ascii="Arial" w:cs="Arial" w:eastAsia="Arial" w:hAnsi="Arial"/>
          <w:sz w:val="17"/>
          <w:szCs w:val="17"/>
          <w:color w:val="auto"/>
        </w:rPr>
      </w:pPr>
    </w:p>
    <w:p>
      <w:pPr>
        <w:ind w:left="620" w:right="100" w:hanging="308"/>
        <w:spacing w:after="0" w:line="279" w:lineRule="auto"/>
        <w:tabs>
          <w:tab w:leader="none" w:pos="616"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possible disruption to the independent contractor distribution models used by certain of our businesses, including as a result of litigation or regulatory actions affecting their independent contractor classification;</w:t>
      </w:r>
    </w:p>
    <w:p>
      <w:pPr>
        <w:spacing w:after="0" w:line="34" w:lineRule="exact"/>
        <w:rPr>
          <w:rFonts w:ascii="Arial" w:cs="Arial" w:eastAsia="Arial" w:hAnsi="Arial"/>
          <w:sz w:val="17"/>
          <w:szCs w:val="17"/>
          <w:color w:val="auto"/>
        </w:rPr>
      </w:pPr>
    </w:p>
    <w:p>
      <w:pPr>
        <w:ind w:left="620" w:hanging="308"/>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uncertainties of litigation and regulatory actions against us;</w:t>
      </w:r>
    </w:p>
    <w:p>
      <w:pPr>
        <w:spacing w:after="0" w:line="100" w:lineRule="exact"/>
        <w:rPr>
          <w:rFonts w:ascii="Arial" w:cs="Arial" w:eastAsia="Arial" w:hAnsi="Arial"/>
          <w:sz w:val="17"/>
          <w:szCs w:val="17"/>
          <w:color w:val="auto"/>
        </w:rPr>
      </w:pPr>
    </w:p>
    <w:p>
      <w:pPr>
        <w:ind w:left="620" w:hanging="308"/>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costs, disruption and diversion of management's attention associated with activist investors;</w:t>
      </w:r>
    </w:p>
    <w:p>
      <w:pPr>
        <w:spacing w:after="0" w:line="87" w:lineRule="exact"/>
        <w:rPr>
          <w:rFonts w:ascii="Arial" w:cs="Arial" w:eastAsia="Arial" w:hAnsi="Arial"/>
          <w:sz w:val="17"/>
          <w:szCs w:val="17"/>
          <w:color w:val="auto"/>
        </w:rPr>
      </w:pPr>
    </w:p>
    <w:p>
      <w:pPr>
        <w:ind w:left="620" w:hanging="308"/>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disruption, failure or security breach of our or our vendors' information technology systems, including ransomware attacks;</w:t>
      </w:r>
    </w:p>
    <w:p>
      <w:pPr>
        <w:spacing w:after="0" w:line="100" w:lineRule="exact"/>
        <w:rPr>
          <w:rFonts w:ascii="Arial" w:cs="Arial" w:eastAsia="Arial" w:hAnsi="Arial"/>
          <w:sz w:val="17"/>
          <w:szCs w:val="17"/>
          <w:color w:val="auto"/>
        </w:rPr>
      </w:pPr>
    </w:p>
    <w:p>
      <w:pPr>
        <w:ind w:left="620" w:hanging="308"/>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impairment to goodwill or other intangible assets;</w:t>
      </w:r>
    </w:p>
    <w:p>
      <w:pPr>
        <w:spacing w:after="0" w:line="100" w:lineRule="exact"/>
        <w:rPr>
          <w:rFonts w:ascii="Arial" w:cs="Arial" w:eastAsia="Arial" w:hAnsi="Arial"/>
          <w:sz w:val="17"/>
          <w:szCs w:val="17"/>
          <w:color w:val="auto"/>
        </w:rPr>
      </w:pPr>
    </w:p>
    <w:p>
      <w:pPr>
        <w:ind w:left="620" w:hanging="308"/>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ability to protect our intellectual property rights;</w:t>
      </w:r>
    </w:p>
    <w:p>
      <w:pPr>
        <w:spacing w:after="0" w:line="87" w:lineRule="exact"/>
        <w:rPr>
          <w:rFonts w:ascii="Arial" w:cs="Arial" w:eastAsia="Arial" w:hAnsi="Arial"/>
          <w:sz w:val="17"/>
          <w:szCs w:val="17"/>
          <w:color w:val="auto"/>
        </w:rPr>
      </w:pPr>
    </w:p>
    <w:p>
      <w:pPr>
        <w:ind w:left="620" w:hanging="308"/>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increased liabilities and costs related to our defined benefit pension plans;</w:t>
      </w:r>
    </w:p>
    <w:p>
      <w:pPr>
        <w:spacing w:after="0" w:line="100" w:lineRule="exact"/>
        <w:rPr>
          <w:rFonts w:ascii="Arial" w:cs="Arial" w:eastAsia="Arial" w:hAnsi="Arial"/>
          <w:sz w:val="17"/>
          <w:szCs w:val="17"/>
          <w:color w:val="auto"/>
        </w:rPr>
      </w:pPr>
    </w:p>
    <w:p>
      <w:pPr>
        <w:ind w:left="620" w:hanging="308"/>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ability to attract and retain key talent;</w:t>
      </w:r>
    </w:p>
    <w:p>
      <w:pPr>
        <w:spacing w:after="0" w:line="100" w:lineRule="exact"/>
        <w:rPr>
          <w:rFonts w:ascii="Arial" w:cs="Arial" w:eastAsia="Arial" w:hAnsi="Arial"/>
          <w:sz w:val="17"/>
          <w:szCs w:val="17"/>
          <w:color w:val="auto"/>
        </w:rPr>
      </w:pPr>
    </w:p>
    <w:p>
      <w:pPr>
        <w:ind w:left="620" w:hanging="308"/>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goals and initiatives related to, and the impacts of, climate change, including from weather-related events;</w:t>
      </w:r>
    </w:p>
    <w:p>
      <w:pPr>
        <w:spacing w:after="0" w:line="87" w:lineRule="exact"/>
        <w:rPr>
          <w:rFonts w:ascii="Arial" w:cs="Arial" w:eastAsia="Arial" w:hAnsi="Arial"/>
          <w:sz w:val="17"/>
          <w:szCs w:val="17"/>
          <w:color w:val="auto"/>
        </w:rPr>
      </w:pPr>
    </w:p>
    <w:p>
      <w:pPr>
        <w:ind w:left="620" w:right="280" w:hanging="308"/>
        <w:spacing w:after="0" w:line="279" w:lineRule="auto"/>
        <w:tabs>
          <w:tab w:leader="none" w:pos="616" w:val="left"/>
        </w:tabs>
        <w:numPr>
          <w:ilvl w:val="0"/>
          <w:numId w:val="31"/>
        </w:numPr>
        <w:rPr>
          <w:rFonts w:ascii="Arial" w:cs="Arial" w:eastAsia="Arial" w:hAnsi="Arial"/>
          <w:sz w:val="17"/>
          <w:szCs w:val="17"/>
          <w:color w:val="auto"/>
        </w:rPr>
      </w:pPr>
      <w:r>
        <w:rPr>
          <w:rFonts w:ascii="Arial" w:cs="Arial" w:eastAsia="Arial" w:hAnsi="Arial"/>
          <w:sz w:val="17"/>
          <w:szCs w:val="17"/>
          <w:color w:val="auto"/>
        </w:rPr>
        <w:t>negative changes and volatility in financial and credit markets, deteriorating economic conditions and other external factors, including changes in laws and regulations; and</w:t>
      </w:r>
    </w:p>
    <w:p>
      <w:pPr>
        <w:spacing w:after="0" w:line="47" w:lineRule="exact"/>
        <w:rPr>
          <w:rFonts w:ascii="Arial" w:cs="Arial" w:eastAsia="Arial" w:hAnsi="Arial"/>
          <w:sz w:val="17"/>
          <w:szCs w:val="17"/>
          <w:color w:val="auto"/>
        </w:rPr>
      </w:pPr>
    </w:p>
    <w:p>
      <w:pPr>
        <w:ind w:left="620" w:right="300" w:hanging="308"/>
        <w:spacing w:after="0" w:line="279" w:lineRule="auto"/>
        <w:tabs>
          <w:tab w:leader="none" w:pos="616" w:val="left"/>
        </w:tabs>
        <w:numPr>
          <w:ilvl w:val="0"/>
          <w:numId w:val="31"/>
        </w:numPr>
        <w:rPr>
          <w:rFonts w:ascii="Arial" w:cs="Arial" w:eastAsia="Arial" w:hAnsi="Arial"/>
          <w:sz w:val="17"/>
          <w:szCs w:val="17"/>
          <w:color w:val="auto"/>
        </w:rPr>
      </w:pPr>
      <w:r>
        <w:rPr>
          <w:rFonts w:ascii="Arial" w:cs="Arial" w:eastAsia="Arial" w:hAnsi="Arial"/>
          <w:sz w:val="17"/>
          <w:szCs w:val="17"/>
          <w:color w:val="auto"/>
        </w:rPr>
        <w:t>unforeseen business disruptions or other impacts due to political instability, civil disobedience, terrorism, geopolitical conflicts (including the ongoing conflict between Russia and Ukraine), extreme weather conditions, natural disasters, other pandemics or other calamities.</w:t>
      </w:r>
    </w:p>
    <w:p>
      <w:pPr>
        <w:spacing w:after="0" w:line="48" w:lineRule="exact"/>
        <w:rPr>
          <w:sz w:val="20"/>
          <w:szCs w:val="20"/>
          <w:color w:val="auto"/>
        </w:rPr>
      </w:pPr>
    </w:p>
    <w:p>
      <w:pPr>
        <w:ind w:firstLine="309"/>
        <w:spacing w:after="0" w:line="311" w:lineRule="auto"/>
        <w:rPr>
          <w:sz w:val="20"/>
          <w:szCs w:val="20"/>
          <w:color w:val="auto"/>
        </w:rPr>
      </w:pPr>
      <w:r>
        <w:rPr>
          <w:rFonts w:ascii="Arial" w:cs="Arial" w:eastAsia="Arial" w:hAnsi="Arial"/>
          <w:sz w:val="16"/>
          <w:szCs w:val="16"/>
          <w:color w:val="auto"/>
        </w:rPr>
        <w:t>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7A. </w:t>
      </w:r>
      <w:r>
        <w:rPr>
          <w:rFonts w:ascii="Arial" w:cs="Arial" w:eastAsia="Arial" w:hAnsi="Arial"/>
          <w:sz w:val="17"/>
          <w:szCs w:val="17"/>
          <w:b w:val="1"/>
          <w:bCs w:val="1"/>
          <w:i w:val="1"/>
          <w:iCs w:val="1"/>
          <w:color w:val="auto"/>
        </w:rPr>
        <w:t>Quantitative and Qualitative Disclosure About Market Risk</w:t>
      </w:r>
    </w:p>
    <w:p>
      <w:pPr>
        <w:spacing w:after="0" w:line="107"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The information presented in the section entitled "Management’s Discussion and Analysis of Financial Condition and Results of Operations — Market Risk Sensitivity" is incorporated herein by reference.</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124460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23"/>
        </w:trPr>
        <w:tc>
          <w:tcPr>
            <w:tcW w:w="8780" w:type="dxa"/>
            <w:vAlign w:val="bottom"/>
            <w:gridSpan w:val="3"/>
          </w:tcPr>
          <w:p>
            <w:pPr>
              <w:spacing w:after="0"/>
              <w:rPr>
                <w:sz w:val="20"/>
                <w:szCs w:val="20"/>
                <w:color w:val="auto"/>
              </w:rPr>
            </w:pPr>
            <w:r>
              <w:rPr>
                <w:rFonts w:ascii="Arial" w:cs="Arial" w:eastAsia="Arial" w:hAnsi="Arial"/>
                <w:sz w:val="17"/>
                <w:szCs w:val="17"/>
                <w:b w:val="1"/>
                <w:bCs w:val="1"/>
                <w:color w:val="auto"/>
              </w:rPr>
              <w:t xml:space="preserve">Item 8. </w:t>
            </w:r>
            <w:r>
              <w:rPr>
                <w:rFonts w:ascii="Arial" w:cs="Arial" w:eastAsia="Arial" w:hAnsi="Arial"/>
                <w:sz w:val="17"/>
                <w:szCs w:val="17"/>
                <w:b w:val="1"/>
                <w:bCs w:val="1"/>
                <w:i w:val="1"/>
                <w:iCs w:val="1"/>
                <w:color w:val="auto"/>
              </w:rPr>
              <w:t>Financial Statements and Supplementary Data</w:t>
            </w:r>
          </w:p>
        </w:tc>
        <w:tc>
          <w:tcPr>
            <w:tcW w:w="1100" w:type="dxa"/>
            <w:vAlign w:val="bottom"/>
          </w:tcPr>
          <w:p>
            <w:pPr>
              <w:spacing w:after="0"/>
              <w:rPr>
                <w:sz w:val="19"/>
                <w:szCs w:val="19"/>
                <w:color w:val="auto"/>
              </w:rPr>
            </w:pPr>
          </w:p>
        </w:tc>
      </w:tr>
      <w:tr>
        <w:trPr>
          <w:trHeight w:val="568"/>
        </w:trPr>
        <w:tc>
          <w:tcPr>
            <w:tcW w:w="33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INDEX TO CONSOLIDATED FINANCIAL STATEMENTS</w:t>
            </w: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52"/>
        </w:trPr>
        <w:tc>
          <w:tcPr>
            <w:tcW w:w="8780" w:type="dxa"/>
            <w:vAlign w:val="bottom"/>
            <w:gridSpan w:val="3"/>
          </w:tcPr>
          <w:p>
            <w:pPr>
              <w:ind w:left="40"/>
              <w:spacing w:after="0"/>
              <w:rPr>
                <w:sz w:val="20"/>
                <w:szCs w:val="20"/>
                <w:color w:val="auto"/>
              </w:rPr>
            </w:pPr>
            <w:r>
              <w:rPr>
                <w:rFonts w:ascii="Arial" w:cs="Arial" w:eastAsia="Arial" w:hAnsi="Arial"/>
                <w:sz w:val="17"/>
                <w:szCs w:val="17"/>
                <w:color w:val="0000FF"/>
              </w:rPr>
              <w:t>Consolidated Statements of Earnings</w:t>
            </w:r>
          </w:p>
        </w:tc>
        <w:tc>
          <w:tcPr>
            <w:tcW w:w="1100" w:type="dxa"/>
            <w:vAlign w:val="bottom"/>
          </w:tcPr>
          <w:p>
            <w:pPr>
              <w:jc w:val="right"/>
              <w:spacing w:after="0"/>
              <w:rPr>
                <w:sz w:val="20"/>
                <w:szCs w:val="20"/>
                <w:color w:val="auto"/>
              </w:rPr>
            </w:pPr>
            <w:r>
              <w:rPr>
                <w:rFonts w:ascii="Arial" w:cs="Arial" w:eastAsia="Arial" w:hAnsi="Arial"/>
                <w:sz w:val="17"/>
                <w:szCs w:val="17"/>
                <w:color w:val="0000FF"/>
              </w:rPr>
              <w:t>34</w:t>
            </w:r>
          </w:p>
        </w:tc>
      </w:tr>
      <w:tr>
        <w:trPr>
          <w:trHeight w:val="219"/>
        </w:trPr>
        <w:tc>
          <w:tcPr>
            <w:tcW w:w="8780" w:type="dxa"/>
            <w:vAlign w:val="bottom"/>
            <w:gridSpan w:val="3"/>
          </w:tcPr>
          <w:p>
            <w:pPr>
              <w:ind w:left="40"/>
              <w:spacing w:after="0"/>
              <w:rPr>
                <w:sz w:val="20"/>
                <w:szCs w:val="20"/>
                <w:color w:val="auto"/>
              </w:rPr>
            </w:pPr>
            <w:r>
              <w:rPr>
                <w:rFonts w:ascii="Arial" w:cs="Arial" w:eastAsia="Arial" w:hAnsi="Arial"/>
                <w:sz w:val="17"/>
                <w:szCs w:val="17"/>
                <w:color w:val="0000FF"/>
              </w:rPr>
              <w:t>Consolidated Statements of Comprehensive Income</w:t>
            </w:r>
          </w:p>
        </w:tc>
        <w:tc>
          <w:tcPr>
            <w:tcW w:w="1100" w:type="dxa"/>
            <w:vAlign w:val="bottom"/>
          </w:tcPr>
          <w:p>
            <w:pPr>
              <w:jc w:val="right"/>
              <w:spacing w:after="0"/>
              <w:rPr>
                <w:sz w:val="20"/>
                <w:szCs w:val="20"/>
                <w:color w:val="auto"/>
              </w:rPr>
            </w:pPr>
            <w:r>
              <w:rPr>
                <w:rFonts w:ascii="Arial" w:cs="Arial" w:eastAsia="Arial" w:hAnsi="Arial"/>
                <w:sz w:val="17"/>
                <w:szCs w:val="17"/>
                <w:color w:val="0000FF"/>
              </w:rPr>
              <w:t>35</w:t>
            </w:r>
          </w:p>
        </w:tc>
      </w:tr>
      <w:tr>
        <w:trPr>
          <w:trHeight w:val="219"/>
        </w:trPr>
        <w:tc>
          <w:tcPr>
            <w:tcW w:w="8780" w:type="dxa"/>
            <w:vAlign w:val="bottom"/>
            <w:gridSpan w:val="3"/>
          </w:tcPr>
          <w:p>
            <w:pPr>
              <w:ind w:left="40"/>
              <w:spacing w:after="0"/>
              <w:rPr>
                <w:sz w:val="20"/>
                <w:szCs w:val="20"/>
                <w:color w:val="auto"/>
              </w:rPr>
            </w:pPr>
            <w:r>
              <w:rPr>
                <w:rFonts w:ascii="Arial" w:cs="Arial" w:eastAsia="Arial" w:hAnsi="Arial"/>
                <w:sz w:val="17"/>
                <w:szCs w:val="17"/>
                <w:color w:val="0000FF"/>
              </w:rPr>
              <w:t>Consolidated Balance Sheets</w:t>
            </w:r>
          </w:p>
        </w:tc>
        <w:tc>
          <w:tcPr>
            <w:tcW w:w="1100" w:type="dxa"/>
            <w:vAlign w:val="bottom"/>
          </w:tcPr>
          <w:p>
            <w:pPr>
              <w:jc w:val="right"/>
              <w:spacing w:after="0"/>
              <w:rPr>
                <w:sz w:val="20"/>
                <w:szCs w:val="20"/>
                <w:color w:val="auto"/>
              </w:rPr>
            </w:pPr>
            <w:r>
              <w:rPr>
                <w:rFonts w:ascii="Arial" w:cs="Arial" w:eastAsia="Arial" w:hAnsi="Arial"/>
                <w:sz w:val="17"/>
                <w:szCs w:val="17"/>
                <w:color w:val="0000FF"/>
              </w:rPr>
              <w:t>36</w:t>
            </w:r>
          </w:p>
        </w:tc>
      </w:tr>
      <w:tr>
        <w:trPr>
          <w:trHeight w:val="219"/>
        </w:trPr>
        <w:tc>
          <w:tcPr>
            <w:tcW w:w="8780" w:type="dxa"/>
            <w:vAlign w:val="bottom"/>
            <w:gridSpan w:val="3"/>
          </w:tcPr>
          <w:p>
            <w:pPr>
              <w:ind w:left="40"/>
              <w:spacing w:after="0"/>
              <w:rPr>
                <w:sz w:val="20"/>
                <w:szCs w:val="20"/>
                <w:color w:val="auto"/>
              </w:rPr>
            </w:pPr>
            <w:r>
              <w:rPr>
                <w:rFonts w:ascii="Arial" w:cs="Arial" w:eastAsia="Arial" w:hAnsi="Arial"/>
                <w:sz w:val="17"/>
                <w:szCs w:val="17"/>
                <w:color w:val="0000FF"/>
              </w:rPr>
              <w:t>Consolidated Statements of Cash Flows</w:t>
            </w:r>
          </w:p>
        </w:tc>
        <w:tc>
          <w:tcPr>
            <w:tcW w:w="1100" w:type="dxa"/>
            <w:vAlign w:val="bottom"/>
          </w:tcPr>
          <w:p>
            <w:pPr>
              <w:jc w:val="right"/>
              <w:spacing w:after="0"/>
              <w:rPr>
                <w:sz w:val="20"/>
                <w:szCs w:val="20"/>
                <w:color w:val="auto"/>
              </w:rPr>
            </w:pPr>
            <w:r>
              <w:rPr>
                <w:rFonts w:ascii="Arial" w:cs="Arial" w:eastAsia="Arial" w:hAnsi="Arial"/>
                <w:sz w:val="17"/>
                <w:szCs w:val="17"/>
                <w:color w:val="0000FF"/>
              </w:rPr>
              <w:t>37</w:t>
            </w:r>
          </w:p>
        </w:tc>
      </w:tr>
      <w:tr>
        <w:trPr>
          <w:trHeight w:val="219"/>
        </w:trPr>
        <w:tc>
          <w:tcPr>
            <w:tcW w:w="8780" w:type="dxa"/>
            <w:vAlign w:val="bottom"/>
            <w:gridSpan w:val="3"/>
          </w:tcPr>
          <w:p>
            <w:pPr>
              <w:ind w:left="40"/>
              <w:spacing w:after="0"/>
              <w:rPr>
                <w:sz w:val="20"/>
                <w:szCs w:val="20"/>
                <w:color w:val="auto"/>
              </w:rPr>
            </w:pPr>
            <w:r>
              <w:rPr>
                <w:rFonts w:ascii="Arial" w:cs="Arial" w:eastAsia="Arial" w:hAnsi="Arial"/>
                <w:sz w:val="17"/>
                <w:szCs w:val="17"/>
                <w:color w:val="0000FF"/>
              </w:rPr>
              <w:t>Consolidated Statements of Equity</w:t>
            </w:r>
          </w:p>
        </w:tc>
        <w:tc>
          <w:tcPr>
            <w:tcW w:w="1100" w:type="dxa"/>
            <w:vAlign w:val="bottom"/>
          </w:tcPr>
          <w:p>
            <w:pPr>
              <w:jc w:val="right"/>
              <w:spacing w:after="0"/>
              <w:rPr>
                <w:sz w:val="20"/>
                <w:szCs w:val="20"/>
                <w:color w:val="auto"/>
              </w:rPr>
            </w:pPr>
            <w:r>
              <w:rPr>
                <w:rFonts w:ascii="Arial" w:cs="Arial" w:eastAsia="Arial" w:hAnsi="Arial"/>
                <w:sz w:val="17"/>
                <w:szCs w:val="17"/>
                <w:color w:val="0000FF"/>
              </w:rPr>
              <w:t>38</w:t>
            </w:r>
          </w:p>
        </w:tc>
      </w:tr>
      <w:tr>
        <w:trPr>
          <w:trHeight w:val="219"/>
        </w:trPr>
        <w:tc>
          <w:tcPr>
            <w:tcW w:w="8780" w:type="dxa"/>
            <w:vAlign w:val="bottom"/>
            <w:gridSpan w:val="3"/>
          </w:tcPr>
          <w:p>
            <w:pPr>
              <w:ind w:left="40"/>
              <w:spacing w:after="0"/>
              <w:rPr>
                <w:sz w:val="20"/>
                <w:szCs w:val="20"/>
                <w:color w:val="auto"/>
              </w:rPr>
            </w:pPr>
            <w:r>
              <w:rPr>
                <w:rFonts w:ascii="Arial" w:cs="Arial" w:eastAsia="Arial" w:hAnsi="Arial"/>
                <w:sz w:val="17"/>
                <w:szCs w:val="17"/>
                <w:color w:val="0000FF"/>
              </w:rPr>
              <w:t>Notes to Consolidated Financial Statements</w:t>
            </w:r>
          </w:p>
        </w:tc>
        <w:tc>
          <w:tcPr>
            <w:tcW w:w="1100" w:type="dxa"/>
            <w:vAlign w:val="bottom"/>
          </w:tcPr>
          <w:p>
            <w:pPr>
              <w:spacing w:after="0"/>
              <w:rPr>
                <w:sz w:val="19"/>
                <w:szCs w:val="19"/>
                <w:color w:val="auto"/>
              </w:rPr>
            </w:pPr>
          </w:p>
        </w:tc>
      </w:tr>
      <w:tr>
        <w:trPr>
          <w:trHeight w:val="219"/>
        </w:trPr>
        <w:tc>
          <w:tcPr>
            <w:tcW w:w="8780" w:type="dxa"/>
            <w:vAlign w:val="bottom"/>
            <w:gridSpan w:val="3"/>
          </w:tcPr>
          <w:p>
            <w:pPr>
              <w:ind w:left="700"/>
              <w:spacing w:after="0"/>
              <w:rPr>
                <w:sz w:val="20"/>
                <w:szCs w:val="20"/>
                <w:color w:val="auto"/>
              </w:rPr>
            </w:pPr>
            <w:r>
              <w:rPr>
                <w:rFonts w:ascii="Arial" w:cs="Arial" w:eastAsia="Arial" w:hAnsi="Arial"/>
                <w:sz w:val="17"/>
                <w:szCs w:val="17"/>
                <w:color w:val="0000FF"/>
              </w:rPr>
              <w:t>Note 1. Summary of Significant Accounting Policies</w:t>
            </w:r>
          </w:p>
        </w:tc>
        <w:tc>
          <w:tcPr>
            <w:tcW w:w="1100" w:type="dxa"/>
            <w:vAlign w:val="bottom"/>
          </w:tcPr>
          <w:p>
            <w:pPr>
              <w:jc w:val="right"/>
              <w:spacing w:after="0"/>
              <w:rPr>
                <w:sz w:val="20"/>
                <w:szCs w:val="20"/>
                <w:color w:val="auto"/>
              </w:rPr>
            </w:pPr>
            <w:r>
              <w:rPr>
                <w:rFonts w:ascii="Arial" w:cs="Arial" w:eastAsia="Arial" w:hAnsi="Arial"/>
                <w:sz w:val="17"/>
                <w:szCs w:val="17"/>
                <w:color w:val="0000FF"/>
              </w:rPr>
              <w:t>39</w:t>
            </w:r>
          </w:p>
        </w:tc>
      </w:tr>
      <w:tr>
        <w:trPr>
          <w:trHeight w:val="219"/>
        </w:trPr>
        <w:tc>
          <w:tcPr>
            <w:tcW w:w="8780" w:type="dxa"/>
            <w:vAlign w:val="bottom"/>
            <w:gridSpan w:val="3"/>
          </w:tcPr>
          <w:p>
            <w:pPr>
              <w:ind w:left="700"/>
              <w:spacing w:after="0"/>
              <w:rPr>
                <w:sz w:val="20"/>
                <w:szCs w:val="20"/>
                <w:color w:val="auto"/>
              </w:rPr>
            </w:pPr>
            <w:r>
              <w:rPr>
                <w:rFonts w:ascii="Arial" w:cs="Arial" w:eastAsia="Arial" w:hAnsi="Arial"/>
                <w:sz w:val="17"/>
                <w:szCs w:val="17"/>
                <w:color w:val="0000FF"/>
              </w:rPr>
              <w:t>Note 2. Recent Accounting Pronouncements</w:t>
            </w:r>
          </w:p>
        </w:tc>
        <w:tc>
          <w:tcPr>
            <w:tcW w:w="1100" w:type="dxa"/>
            <w:vAlign w:val="bottom"/>
          </w:tcPr>
          <w:p>
            <w:pPr>
              <w:jc w:val="right"/>
              <w:spacing w:after="0"/>
              <w:rPr>
                <w:sz w:val="20"/>
                <w:szCs w:val="20"/>
                <w:color w:val="auto"/>
              </w:rPr>
            </w:pPr>
            <w:r>
              <w:rPr>
                <w:rFonts w:ascii="Arial" w:cs="Arial" w:eastAsia="Arial" w:hAnsi="Arial"/>
                <w:sz w:val="17"/>
                <w:szCs w:val="17"/>
                <w:color w:val="0000FF"/>
              </w:rPr>
              <w:t>41</w:t>
            </w:r>
          </w:p>
        </w:tc>
      </w:tr>
      <w:tr>
        <w:trPr>
          <w:trHeight w:val="219"/>
        </w:trPr>
        <w:tc>
          <w:tcPr>
            <w:tcW w:w="8780" w:type="dxa"/>
            <w:vAlign w:val="bottom"/>
            <w:gridSpan w:val="3"/>
          </w:tcPr>
          <w:p>
            <w:pPr>
              <w:ind w:left="700"/>
              <w:spacing w:after="0"/>
              <w:rPr>
                <w:sz w:val="20"/>
                <w:szCs w:val="20"/>
                <w:color w:val="auto"/>
              </w:rPr>
            </w:pPr>
            <w:r>
              <w:rPr>
                <w:rFonts w:ascii="Arial" w:cs="Arial" w:eastAsia="Arial" w:hAnsi="Arial"/>
                <w:sz w:val="17"/>
                <w:szCs w:val="17"/>
                <w:color w:val="0000FF"/>
              </w:rPr>
              <w:t>Note 3. Divestitures</w:t>
            </w:r>
          </w:p>
        </w:tc>
        <w:tc>
          <w:tcPr>
            <w:tcW w:w="1100" w:type="dxa"/>
            <w:vAlign w:val="bottom"/>
          </w:tcPr>
          <w:p>
            <w:pPr>
              <w:jc w:val="right"/>
              <w:spacing w:after="0"/>
              <w:rPr>
                <w:sz w:val="20"/>
                <w:szCs w:val="20"/>
                <w:color w:val="auto"/>
              </w:rPr>
            </w:pPr>
            <w:r>
              <w:rPr>
                <w:rFonts w:ascii="Arial" w:cs="Arial" w:eastAsia="Arial" w:hAnsi="Arial"/>
                <w:sz w:val="17"/>
                <w:szCs w:val="17"/>
                <w:color w:val="0000FF"/>
              </w:rPr>
              <w:t>41</w:t>
            </w:r>
          </w:p>
        </w:tc>
      </w:tr>
      <w:tr>
        <w:trPr>
          <w:trHeight w:val="219"/>
        </w:trPr>
        <w:tc>
          <w:tcPr>
            <w:tcW w:w="8780" w:type="dxa"/>
            <w:vAlign w:val="bottom"/>
            <w:gridSpan w:val="3"/>
          </w:tcPr>
          <w:p>
            <w:pPr>
              <w:ind w:left="700"/>
              <w:spacing w:after="0"/>
              <w:rPr>
                <w:sz w:val="20"/>
                <w:szCs w:val="20"/>
                <w:color w:val="auto"/>
              </w:rPr>
            </w:pPr>
            <w:r>
              <w:rPr>
                <w:rFonts w:ascii="Arial" w:cs="Arial" w:eastAsia="Arial" w:hAnsi="Arial"/>
                <w:sz w:val="17"/>
                <w:szCs w:val="17"/>
                <w:color w:val="0000FF"/>
              </w:rPr>
              <w:t>Note 4. Accumulated Other Comprehensive Income (Loss)</w:t>
            </w:r>
          </w:p>
        </w:tc>
        <w:tc>
          <w:tcPr>
            <w:tcW w:w="1100" w:type="dxa"/>
            <w:vAlign w:val="bottom"/>
          </w:tcPr>
          <w:p>
            <w:pPr>
              <w:jc w:val="right"/>
              <w:spacing w:after="0"/>
              <w:rPr>
                <w:sz w:val="20"/>
                <w:szCs w:val="20"/>
                <w:color w:val="auto"/>
              </w:rPr>
            </w:pPr>
            <w:r>
              <w:rPr>
                <w:rFonts w:ascii="Arial" w:cs="Arial" w:eastAsia="Arial" w:hAnsi="Arial"/>
                <w:sz w:val="17"/>
                <w:szCs w:val="17"/>
                <w:color w:val="0000FF"/>
              </w:rPr>
              <w:t>42</w:t>
            </w:r>
          </w:p>
        </w:tc>
      </w:tr>
      <w:tr>
        <w:trPr>
          <w:trHeight w:val="219"/>
        </w:trPr>
        <w:tc>
          <w:tcPr>
            <w:tcW w:w="8780" w:type="dxa"/>
            <w:vAlign w:val="bottom"/>
            <w:gridSpan w:val="3"/>
          </w:tcPr>
          <w:p>
            <w:pPr>
              <w:ind w:left="700"/>
              <w:spacing w:after="0"/>
              <w:rPr>
                <w:sz w:val="20"/>
                <w:szCs w:val="20"/>
                <w:color w:val="auto"/>
              </w:rPr>
            </w:pPr>
            <w:r>
              <w:rPr>
                <w:rFonts w:ascii="Arial" w:cs="Arial" w:eastAsia="Arial" w:hAnsi="Arial"/>
                <w:sz w:val="17"/>
                <w:szCs w:val="17"/>
                <w:color w:val="0000FF"/>
              </w:rPr>
              <w:t>Note 5. Goodwill and Intangible Assets</w:t>
            </w:r>
          </w:p>
        </w:tc>
        <w:tc>
          <w:tcPr>
            <w:tcW w:w="1100" w:type="dxa"/>
            <w:vAlign w:val="bottom"/>
          </w:tcPr>
          <w:p>
            <w:pPr>
              <w:jc w:val="right"/>
              <w:spacing w:after="0"/>
              <w:rPr>
                <w:sz w:val="20"/>
                <w:szCs w:val="20"/>
                <w:color w:val="auto"/>
              </w:rPr>
            </w:pPr>
            <w:r>
              <w:rPr>
                <w:rFonts w:ascii="Arial" w:cs="Arial" w:eastAsia="Arial" w:hAnsi="Arial"/>
                <w:sz w:val="17"/>
                <w:szCs w:val="17"/>
                <w:color w:val="0000FF"/>
              </w:rPr>
              <w:t>43</w:t>
            </w:r>
          </w:p>
        </w:tc>
      </w:tr>
      <w:tr>
        <w:trPr>
          <w:trHeight w:val="219"/>
        </w:trPr>
        <w:tc>
          <w:tcPr>
            <w:tcW w:w="8780" w:type="dxa"/>
            <w:vAlign w:val="bottom"/>
            <w:gridSpan w:val="3"/>
          </w:tcPr>
          <w:p>
            <w:pPr>
              <w:ind w:left="700"/>
              <w:spacing w:after="0"/>
              <w:rPr>
                <w:sz w:val="20"/>
                <w:szCs w:val="20"/>
                <w:color w:val="auto"/>
              </w:rPr>
            </w:pPr>
            <w:r>
              <w:rPr>
                <w:rFonts w:ascii="Arial" w:cs="Arial" w:eastAsia="Arial" w:hAnsi="Arial"/>
                <w:sz w:val="17"/>
                <w:szCs w:val="17"/>
                <w:color w:val="0000FF"/>
              </w:rPr>
              <w:t>Note 6. Segment Information</w:t>
            </w:r>
          </w:p>
        </w:tc>
        <w:tc>
          <w:tcPr>
            <w:tcW w:w="1100" w:type="dxa"/>
            <w:vAlign w:val="bottom"/>
          </w:tcPr>
          <w:p>
            <w:pPr>
              <w:jc w:val="right"/>
              <w:spacing w:after="0"/>
              <w:rPr>
                <w:sz w:val="20"/>
                <w:szCs w:val="20"/>
                <w:color w:val="auto"/>
              </w:rPr>
            </w:pPr>
            <w:r>
              <w:rPr>
                <w:rFonts w:ascii="Arial" w:cs="Arial" w:eastAsia="Arial" w:hAnsi="Arial"/>
                <w:sz w:val="17"/>
                <w:szCs w:val="17"/>
                <w:color w:val="0000FF"/>
              </w:rPr>
              <w:t>44</w:t>
            </w:r>
          </w:p>
        </w:tc>
      </w:tr>
      <w:tr>
        <w:trPr>
          <w:trHeight w:val="219"/>
        </w:trPr>
        <w:tc>
          <w:tcPr>
            <w:tcW w:w="8780" w:type="dxa"/>
            <w:vAlign w:val="bottom"/>
            <w:gridSpan w:val="3"/>
          </w:tcPr>
          <w:p>
            <w:pPr>
              <w:ind w:left="700"/>
              <w:spacing w:after="0"/>
              <w:rPr>
                <w:sz w:val="20"/>
                <w:szCs w:val="20"/>
                <w:color w:val="auto"/>
              </w:rPr>
            </w:pPr>
            <w:r>
              <w:rPr>
                <w:rFonts w:ascii="Arial" w:cs="Arial" w:eastAsia="Arial" w:hAnsi="Arial"/>
                <w:sz w:val="17"/>
                <w:szCs w:val="17"/>
                <w:color w:val="0000FF"/>
              </w:rPr>
              <w:t>Note 7. Restructuring Charges and Cost Savings Initiatives</w:t>
            </w:r>
          </w:p>
        </w:tc>
        <w:tc>
          <w:tcPr>
            <w:tcW w:w="1100" w:type="dxa"/>
            <w:vAlign w:val="bottom"/>
          </w:tcPr>
          <w:p>
            <w:pPr>
              <w:jc w:val="right"/>
              <w:spacing w:after="0"/>
              <w:rPr>
                <w:sz w:val="20"/>
                <w:szCs w:val="20"/>
                <w:color w:val="auto"/>
              </w:rPr>
            </w:pPr>
            <w:r>
              <w:rPr>
                <w:rFonts w:ascii="Arial" w:cs="Arial" w:eastAsia="Arial" w:hAnsi="Arial"/>
                <w:sz w:val="17"/>
                <w:szCs w:val="17"/>
                <w:color w:val="0000FF"/>
              </w:rPr>
              <w:t>46</w:t>
            </w:r>
          </w:p>
        </w:tc>
      </w:tr>
      <w:tr>
        <w:trPr>
          <w:trHeight w:val="219"/>
        </w:trPr>
        <w:tc>
          <w:tcPr>
            <w:tcW w:w="8780" w:type="dxa"/>
            <w:vAlign w:val="bottom"/>
            <w:gridSpan w:val="3"/>
          </w:tcPr>
          <w:p>
            <w:pPr>
              <w:ind w:left="700"/>
              <w:spacing w:after="0"/>
              <w:rPr>
                <w:sz w:val="20"/>
                <w:szCs w:val="20"/>
                <w:color w:val="auto"/>
              </w:rPr>
            </w:pPr>
            <w:r>
              <w:rPr>
                <w:rFonts w:ascii="Arial" w:cs="Arial" w:eastAsia="Arial" w:hAnsi="Arial"/>
                <w:sz w:val="17"/>
                <w:szCs w:val="17"/>
                <w:color w:val="0000FF"/>
              </w:rPr>
              <w:t>Note 8. Earnings per Share</w:t>
            </w:r>
          </w:p>
        </w:tc>
        <w:tc>
          <w:tcPr>
            <w:tcW w:w="1100" w:type="dxa"/>
            <w:vAlign w:val="bottom"/>
          </w:tcPr>
          <w:p>
            <w:pPr>
              <w:jc w:val="right"/>
              <w:spacing w:after="0"/>
              <w:rPr>
                <w:sz w:val="20"/>
                <w:szCs w:val="20"/>
                <w:color w:val="auto"/>
              </w:rPr>
            </w:pPr>
            <w:r>
              <w:rPr>
                <w:rFonts w:ascii="Arial" w:cs="Arial" w:eastAsia="Arial" w:hAnsi="Arial"/>
                <w:sz w:val="17"/>
                <w:szCs w:val="17"/>
                <w:color w:val="0000FF"/>
              </w:rPr>
              <w:t>47</w:t>
            </w:r>
          </w:p>
        </w:tc>
      </w:tr>
      <w:tr>
        <w:trPr>
          <w:trHeight w:val="219"/>
        </w:trPr>
        <w:tc>
          <w:tcPr>
            <w:tcW w:w="8780" w:type="dxa"/>
            <w:vAlign w:val="bottom"/>
            <w:gridSpan w:val="3"/>
          </w:tcPr>
          <w:p>
            <w:pPr>
              <w:ind w:left="700"/>
              <w:spacing w:after="0"/>
              <w:rPr>
                <w:sz w:val="20"/>
                <w:szCs w:val="20"/>
                <w:color w:val="auto"/>
              </w:rPr>
            </w:pPr>
            <w:r>
              <w:rPr>
                <w:rFonts w:ascii="Arial" w:cs="Arial" w:eastAsia="Arial" w:hAnsi="Arial"/>
                <w:sz w:val="17"/>
                <w:szCs w:val="17"/>
                <w:color w:val="0000FF"/>
              </w:rPr>
              <w:t>Note 9. Pension and Postretirement Benefits</w:t>
            </w:r>
          </w:p>
        </w:tc>
        <w:tc>
          <w:tcPr>
            <w:tcW w:w="1100" w:type="dxa"/>
            <w:vAlign w:val="bottom"/>
          </w:tcPr>
          <w:p>
            <w:pPr>
              <w:jc w:val="right"/>
              <w:spacing w:after="0"/>
              <w:rPr>
                <w:sz w:val="20"/>
                <w:szCs w:val="20"/>
                <w:color w:val="auto"/>
              </w:rPr>
            </w:pPr>
            <w:r>
              <w:rPr>
                <w:rFonts w:ascii="Arial" w:cs="Arial" w:eastAsia="Arial" w:hAnsi="Arial"/>
                <w:sz w:val="17"/>
                <w:szCs w:val="17"/>
                <w:color w:val="0000FF"/>
              </w:rPr>
              <w:t>48</w:t>
            </w:r>
          </w:p>
        </w:tc>
      </w:tr>
      <w:tr>
        <w:trPr>
          <w:trHeight w:val="219"/>
        </w:trPr>
        <w:tc>
          <w:tcPr>
            <w:tcW w:w="8780" w:type="dxa"/>
            <w:vAlign w:val="bottom"/>
            <w:gridSpan w:val="3"/>
          </w:tcPr>
          <w:p>
            <w:pPr>
              <w:ind w:left="700"/>
              <w:spacing w:after="0"/>
              <w:rPr>
                <w:sz w:val="20"/>
                <w:szCs w:val="20"/>
                <w:color w:val="auto"/>
              </w:rPr>
            </w:pPr>
            <w:r>
              <w:rPr>
                <w:rFonts w:ascii="Arial" w:cs="Arial" w:eastAsia="Arial" w:hAnsi="Arial"/>
                <w:sz w:val="17"/>
                <w:szCs w:val="17"/>
                <w:color w:val="0000FF"/>
              </w:rPr>
              <w:t>Note 10. Leases</w:t>
            </w:r>
          </w:p>
        </w:tc>
        <w:tc>
          <w:tcPr>
            <w:tcW w:w="1100" w:type="dxa"/>
            <w:vAlign w:val="bottom"/>
          </w:tcPr>
          <w:p>
            <w:pPr>
              <w:jc w:val="right"/>
              <w:spacing w:after="0"/>
              <w:rPr>
                <w:sz w:val="20"/>
                <w:szCs w:val="20"/>
                <w:color w:val="auto"/>
              </w:rPr>
            </w:pPr>
            <w:r>
              <w:rPr>
                <w:rFonts w:ascii="Arial" w:cs="Arial" w:eastAsia="Arial" w:hAnsi="Arial"/>
                <w:sz w:val="17"/>
                <w:szCs w:val="17"/>
                <w:color w:val="0000FF"/>
              </w:rPr>
              <w:t>53</w:t>
            </w:r>
          </w:p>
        </w:tc>
      </w:tr>
      <w:tr>
        <w:trPr>
          <w:trHeight w:val="219"/>
        </w:trPr>
        <w:tc>
          <w:tcPr>
            <w:tcW w:w="8780" w:type="dxa"/>
            <w:vAlign w:val="bottom"/>
            <w:gridSpan w:val="3"/>
          </w:tcPr>
          <w:p>
            <w:pPr>
              <w:ind w:left="700"/>
              <w:spacing w:after="0"/>
              <w:rPr>
                <w:sz w:val="20"/>
                <w:szCs w:val="20"/>
                <w:color w:val="auto"/>
              </w:rPr>
            </w:pPr>
            <w:r>
              <w:rPr>
                <w:rFonts w:ascii="Arial" w:cs="Arial" w:eastAsia="Arial" w:hAnsi="Arial"/>
                <w:sz w:val="17"/>
                <w:szCs w:val="17"/>
                <w:color w:val="0000FF"/>
              </w:rPr>
              <w:t>Note 11. Taxes on Earnings</w:t>
            </w:r>
          </w:p>
        </w:tc>
        <w:tc>
          <w:tcPr>
            <w:tcW w:w="1100" w:type="dxa"/>
            <w:vAlign w:val="bottom"/>
          </w:tcPr>
          <w:p>
            <w:pPr>
              <w:jc w:val="right"/>
              <w:spacing w:after="0"/>
              <w:rPr>
                <w:sz w:val="20"/>
                <w:szCs w:val="20"/>
                <w:color w:val="auto"/>
              </w:rPr>
            </w:pPr>
            <w:r>
              <w:rPr>
                <w:rFonts w:ascii="Arial" w:cs="Arial" w:eastAsia="Arial" w:hAnsi="Arial"/>
                <w:sz w:val="17"/>
                <w:szCs w:val="17"/>
                <w:color w:val="0000FF"/>
              </w:rPr>
              <w:t>54</w:t>
            </w:r>
          </w:p>
        </w:tc>
      </w:tr>
      <w:tr>
        <w:trPr>
          <w:trHeight w:val="219"/>
        </w:trPr>
        <w:tc>
          <w:tcPr>
            <w:tcW w:w="8780" w:type="dxa"/>
            <w:vAlign w:val="bottom"/>
            <w:gridSpan w:val="3"/>
          </w:tcPr>
          <w:p>
            <w:pPr>
              <w:ind w:left="700"/>
              <w:spacing w:after="0"/>
              <w:rPr>
                <w:sz w:val="20"/>
                <w:szCs w:val="20"/>
                <w:color w:val="auto"/>
              </w:rPr>
            </w:pPr>
            <w:r>
              <w:rPr>
                <w:rFonts w:ascii="Arial" w:cs="Arial" w:eastAsia="Arial" w:hAnsi="Arial"/>
                <w:sz w:val="17"/>
                <w:szCs w:val="17"/>
                <w:color w:val="0000FF"/>
              </w:rPr>
              <w:t>Note 12. Short-term Borrowings and Long-term Debt</w:t>
            </w:r>
          </w:p>
        </w:tc>
        <w:tc>
          <w:tcPr>
            <w:tcW w:w="1100" w:type="dxa"/>
            <w:vAlign w:val="bottom"/>
          </w:tcPr>
          <w:p>
            <w:pPr>
              <w:jc w:val="right"/>
              <w:spacing w:after="0"/>
              <w:rPr>
                <w:sz w:val="20"/>
                <w:szCs w:val="20"/>
                <w:color w:val="auto"/>
              </w:rPr>
            </w:pPr>
            <w:r>
              <w:rPr>
                <w:rFonts w:ascii="Arial" w:cs="Arial" w:eastAsia="Arial" w:hAnsi="Arial"/>
                <w:sz w:val="17"/>
                <w:szCs w:val="17"/>
                <w:color w:val="0000FF"/>
              </w:rPr>
              <w:t>57</w:t>
            </w:r>
          </w:p>
        </w:tc>
      </w:tr>
      <w:tr>
        <w:trPr>
          <w:trHeight w:val="219"/>
        </w:trPr>
        <w:tc>
          <w:tcPr>
            <w:tcW w:w="8780" w:type="dxa"/>
            <w:vAlign w:val="bottom"/>
            <w:gridSpan w:val="3"/>
          </w:tcPr>
          <w:p>
            <w:pPr>
              <w:ind w:left="700"/>
              <w:spacing w:after="0"/>
              <w:rPr>
                <w:sz w:val="20"/>
                <w:szCs w:val="20"/>
                <w:color w:val="auto"/>
              </w:rPr>
            </w:pPr>
            <w:r>
              <w:rPr>
                <w:rFonts w:ascii="Arial" w:cs="Arial" w:eastAsia="Arial" w:hAnsi="Arial"/>
                <w:sz w:val="17"/>
                <w:szCs w:val="17"/>
                <w:color w:val="0000FF"/>
              </w:rPr>
              <w:t>Note 13. Financial Instruments</w:t>
            </w:r>
          </w:p>
        </w:tc>
        <w:tc>
          <w:tcPr>
            <w:tcW w:w="1100" w:type="dxa"/>
            <w:vAlign w:val="bottom"/>
          </w:tcPr>
          <w:p>
            <w:pPr>
              <w:jc w:val="right"/>
              <w:spacing w:after="0"/>
              <w:rPr>
                <w:sz w:val="20"/>
                <w:szCs w:val="20"/>
                <w:color w:val="auto"/>
              </w:rPr>
            </w:pPr>
            <w:r>
              <w:rPr>
                <w:rFonts w:ascii="Arial" w:cs="Arial" w:eastAsia="Arial" w:hAnsi="Arial"/>
                <w:sz w:val="17"/>
                <w:szCs w:val="17"/>
                <w:color w:val="0000FF"/>
              </w:rPr>
              <w:t>58</w:t>
            </w:r>
          </w:p>
        </w:tc>
      </w:tr>
      <w:tr>
        <w:trPr>
          <w:trHeight w:val="219"/>
        </w:trPr>
        <w:tc>
          <w:tcPr>
            <w:tcW w:w="8780" w:type="dxa"/>
            <w:vAlign w:val="bottom"/>
            <w:gridSpan w:val="3"/>
          </w:tcPr>
          <w:p>
            <w:pPr>
              <w:ind w:left="700"/>
              <w:spacing w:after="0"/>
              <w:rPr>
                <w:sz w:val="20"/>
                <w:szCs w:val="20"/>
                <w:color w:val="auto"/>
              </w:rPr>
            </w:pPr>
            <w:r>
              <w:rPr>
                <w:rFonts w:ascii="Arial" w:cs="Arial" w:eastAsia="Arial" w:hAnsi="Arial"/>
                <w:sz w:val="17"/>
                <w:szCs w:val="17"/>
                <w:color w:val="0000FF"/>
              </w:rPr>
              <w:t>Note 14. Fair Value Measurements</w:t>
            </w:r>
          </w:p>
        </w:tc>
        <w:tc>
          <w:tcPr>
            <w:tcW w:w="1100" w:type="dxa"/>
            <w:vAlign w:val="bottom"/>
          </w:tcPr>
          <w:p>
            <w:pPr>
              <w:jc w:val="right"/>
              <w:spacing w:after="0"/>
              <w:rPr>
                <w:sz w:val="20"/>
                <w:szCs w:val="20"/>
                <w:color w:val="auto"/>
              </w:rPr>
            </w:pPr>
            <w:r>
              <w:rPr>
                <w:rFonts w:ascii="Arial" w:cs="Arial" w:eastAsia="Arial" w:hAnsi="Arial"/>
                <w:sz w:val="17"/>
                <w:szCs w:val="17"/>
                <w:color w:val="0000FF"/>
              </w:rPr>
              <w:t>61</w:t>
            </w:r>
          </w:p>
        </w:tc>
      </w:tr>
      <w:tr>
        <w:trPr>
          <w:trHeight w:val="219"/>
        </w:trPr>
        <w:tc>
          <w:tcPr>
            <w:tcW w:w="8780" w:type="dxa"/>
            <w:vAlign w:val="bottom"/>
            <w:gridSpan w:val="3"/>
          </w:tcPr>
          <w:p>
            <w:pPr>
              <w:ind w:left="700"/>
              <w:spacing w:after="0"/>
              <w:rPr>
                <w:sz w:val="20"/>
                <w:szCs w:val="20"/>
                <w:color w:val="auto"/>
              </w:rPr>
            </w:pPr>
            <w:r>
              <w:rPr>
                <w:rFonts w:ascii="Arial" w:cs="Arial" w:eastAsia="Arial" w:hAnsi="Arial"/>
                <w:sz w:val="17"/>
                <w:szCs w:val="17"/>
                <w:color w:val="0000FF"/>
              </w:rPr>
              <w:t>Note 15. Shareholders' Equity</w:t>
            </w:r>
          </w:p>
        </w:tc>
        <w:tc>
          <w:tcPr>
            <w:tcW w:w="1100" w:type="dxa"/>
            <w:vAlign w:val="bottom"/>
          </w:tcPr>
          <w:p>
            <w:pPr>
              <w:jc w:val="right"/>
              <w:spacing w:after="0"/>
              <w:rPr>
                <w:sz w:val="20"/>
                <w:szCs w:val="20"/>
                <w:color w:val="auto"/>
              </w:rPr>
            </w:pPr>
            <w:r>
              <w:rPr>
                <w:rFonts w:ascii="Arial" w:cs="Arial" w:eastAsia="Arial" w:hAnsi="Arial"/>
                <w:sz w:val="17"/>
                <w:szCs w:val="17"/>
                <w:color w:val="0000FF"/>
              </w:rPr>
              <w:t>63</w:t>
            </w:r>
          </w:p>
        </w:tc>
      </w:tr>
      <w:tr>
        <w:trPr>
          <w:trHeight w:val="219"/>
        </w:trPr>
        <w:tc>
          <w:tcPr>
            <w:tcW w:w="8780" w:type="dxa"/>
            <w:vAlign w:val="bottom"/>
            <w:gridSpan w:val="3"/>
          </w:tcPr>
          <w:p>
            <w:pPr>
              <w:ind w:left="700"/>
              <w:spacing w:after="0"/>
              <w:rPr>
                <w:sz w:val="20"/>
                <w:szCs w:val="20"/>
                <w:color w:val="auto"/>
              </w:rPr>
            </w:pPr>
            <w:r>
              <w:rPr>
                <w:rFonts w:ascii="Arial" w:cs="Arial" w:eastAsia="Arial" w:hAnsi="Arial"/>
                <w:sz w:val="17"/>
                <w:szCs w:val="17"/>
                <w:color w:val="0000FF"/>
              </w:rPr>
              <w:t>Note 16. Stock-based Compensation</w:t>
            </w:r>
          </w:p>
        </w:tc>
        <w:tc>
          <w:tcPr>
            <w:tcW w:w="1100" w:type="dxa"/>
            <w:vAlign w:val="bottom"/>
          </w:tcPr>
          <w:p>
            <w:pPr>
              <w:jc w:val="right"/>
              <w:spacing w:after="0"/>
              <w:rPr>
                <w:sz w:val="20"/>
                <w:szCs w:val="20"/>
                <w:color w:val="auto"/>
              </w:rPr>
            </w:pPr>
            <w:r>
              <w:rPr>
                <w:rFonts w:ascii="Arial" w:cs="Arial" w:eastAsia="Arial" w:hAnsi="Arial"/>
                <w:sz w:val="17"/>
                <w:szCs w:val="17"/>
                <w:color w:val="0000FF"/>
              </w:rPr>
              <w:t>63</w:t>
            </w:r>
          </w:p>
        </w:tc>
      </w:tr>
      <w:tr>
        <w:trPr>
          <w:trHeight w:val="219"/>
        </w:trPr>
        <w:tc>
          <w:tcPr>
            <w:tcW w:w="8780" w:type="dxa"/>
            <w:vAlign w:val="bottom"/>
            <w:gridSpan w:val="3"/>
          </w:tcPr>
          <w:p>
            <w:pPr>
              <w:ind w:left="700"/>
              <w:spacing w:after="0"/>
              <w:rPr>
                <w:sz w:val="20"/>
                <w:szCs w:val="20"/>
                <w:color w:val="auto"/>
              </w:rPr>
            </w:pPr>
            <w:r>
              <w:rPr>
                <w:rFonts w:ascii="Arial" w:cs="Arial" w:eastAsia="Arial" w:hAnsi="Arial"/>
                <w:sz w:val="17"/>
                <w:szCs w:val="17"/>
                <w:color w:val="0000FF"/>
              </w:rPr>
              <w:t>Note 17. Commitments and Contingencies</w:t>
            </w:r>
          </w:p>
        </w:tc>
        <w:tc>
          <w:tcPr>
            <w:tcW w:w="1100" w:type="dxa"/>
            <w:vAlign w:val="bottom"/>
          </w:tcPr>
          <w:p>
            <w:pPr>
              <w:jc w:val="right"/>
              <w:spacing w:after="0"/>
              <w:rPr>
                <w:sz w:val="20"/>
                <w:szCs w:val="20"/>
                <w:color w:val="auto"/>
              </w:rPr>
            </w:pPr>
            <w:r>
              <w:rPr>
                <w:rFonts w:ascii="Arial" w:cs="Arial" w:eastAsia="Arial" w:hAnsi="Arial"/>
                <w:sz w:val="17"/>
                <w:szCs w:val="17"/>
                <w:color w:val="0000FF"/>
              </w:rPr>
              <w:t>66</w:t>
            </w:r>
          </w:p>
        </w:tc>
      </w:tr>
      <w:tr>
        <w:trPr>
          <w:trHeight w:val="219"/>
        </w:trPr>
        <w:tc>
          <w:tcPr>
            <w:tcW w:w="8780" w:type="dxa"/>
            <w:vAlign w:val="bottom"/>
            <w:gridSpan w:val="3"/>
          </w:tcPr>
          <w:p>
            <w:pPr>
              <w:ind w:left="700"/>
              <w:spacing w:after="0"/>
              <w:rPr>
                <w:sz w:val="20"/>
                <w:szCs w:val="20"/>
                <w:color w:val="auto"/>
              </w:rPr>
            </w:pPr>
            <w:r>
              <w:rPr>
                <w:rFonts w:ascii="Arial" w:cs="Arial" w:eastAsia="Arial" w:hAnsi="Arial"/>
                <w:sz w:val="17"/>
                <w:szCs w:val="17"/>
                <w:color w:val="0000FF"/>
              </w:rPr>
              <w:t>Note 18. Supplemental Financial Statement Data</w:t>
            </w:r>
          </w:p>
        </w:tc>
        <w:tc>
          <w:tcPr>
            <w:tcW w:w="1100" w:type="dxa"/>
            <w:vAlign w:val="bottom"/>
          </w:tcPr>
          <w:p>
            <w:pPr>
              <w:jc w:val="right"/>
              <w:spacing w:after="0"/>
              <w:rPr>
                <w:sz w:val="20"/>
                <w:szCs w:val="20"/>
                <w:color w:val="auto"/>
              </w:rPr>
            </w:pPr>
            <w:r>
              <w:rPr>
                <w:rFonts w:ascii="Arial" w:cs="Arial" w:eastAsia="Arial" w:hAnsi="Arial"/>
                <w:sz w:val="17"/>
                <w:szCs w:val="17"/>
                <w:color w:val="0000FF"/>
              </w:rPr>
              <w:t>67</w:t>
            </w:r>
          </w:p>
        </w:tc>
      </w:tr>
      <w:tr>
        <w:trPr>
          <w:trHeight w:val="219"/>
        </w:trPr>
        <w:tc>
          <w:tcPr>
            <w:tcW w:w="8780" w:type="dxa"/>
            <w:vAlign w:val="bottom"/>
            <w:gridSpan w:val="3"/>
          </w:tcPr>
          <w:p>
            <w:pPr>
              <w:ind w:left="700"/>
              <w:spacing w:after="0"/>
              <w:rPr>
                <w:sz w:val="20"/>
                <w:szCs w:val="20"/>
                <w:color w:val="auto"/>
              </w:rPr>
            </w:pPr>
            <w:r>
              <w:rPr>
                <w:rFonts w:ascii="Arial" w:cs="Arial" w:eastAsia="Arial" w:hAnsi="Arial"/>
                <w:sz w:val="17"/>
                <w:szCs w:val="17"/>
                <w:color w:val="0000FF"/>
              </w:rPr>
              <w:t>Note 19. Subsequent Event</w:t>
            </w:r>
          </w:p>
        </w:tc>
        <w:tc>
          <w:tcPr>
            <w:tcW w:w="1100" w:type="dxa"/>
            <w:vAlign w:val="bottom"/>
          </w:tcPr>
          <w:p>
            <w:pPr>
              <w:jc w:val="right"/>
              <w:spacing w:after="0"/>
              <w:rPr>
                <w:sz w:val="20"/>
                <w:szCs w:val="20"/>
                <w:color w:val="auto"/>
              </w:rPr>
            </w:pPr>
            <w:r>
              <w:rPr>
                <w:rFonts w:ascii="Arial" w:cs="Arial" w:eastAsia="Arial" w:hAnsi="Arial"/>
                <w:sz w:val="17"/>
                <w:szCs w:val="17"/>
                <w:color w:val="0000FF"/>
              </w:rPr>
              <w:t>69</w:t>
            </w:r>
          </w:p>
        </w:tc>
      </w:tr>
      <w:tr>
        <w:trPr>
          <w:trHeight w:val="219"/>
        </w:trPr>
        <w:tc>
          <w:tcPr>
            <w:tcW w:w="8780" w:type="dxa"/>
            <w:vAlign w:val="bottom"/>
            <w:gridSpan w:val="3"/>
          </w:tcPr>
          <w:p>
            <w:pPr>
              <w:ind w:left="40"/>
              <w:spacing w:after="0"/>
              <w:rPr>
                <w:sz w:val="20"/>
                <w:szCs w:val="20"/>
                <w:color w:val="auto"/>
              </w:rPr>
            </w:pPr>
            <w:r>
              <w:rPr>
                <w:rFonts w:ascii="Arial" w:cs="Arial" w:eastAsia="Arial" w:hAnsi="Arial"/>
                <w:sz w:val="17"/>
                <w:szCs w:val="17"/>
                <w:color w:val="0000FF"/>
              </w:rPr>
              <w:t>Management’s Report on Internal Control Over Financial Reporting</w:t>
            </w:r>
          </w:p>
        </w:tc>
        <w:tc>
          <w:tcPr>
            <w:tcW w:w="1100" w:type="dxa"/>
            <w:vAlign w:val="bottom"/>
          </w:tcPr>
          <w:p>
            <w:pPr>
              <w:jc w:val="right"/>
              <w:spacing w:after="0"/>
              <w:rPr>
                <w:sz w:val="20"/>
                <w:szCs w:val="20"/>
                <w:color w:val="auto"/>
              </w:rPr>
            </w:pPr>
            <w:r>
              <w:rPr>
                <w:rFonts w:ascii="Arial" w:cs="Arial" w:eastAsia="Arial" w:hAnsi="Arial"/>
                <w:sz w:val="17"/>
                <w:szCs w:val="17"/>
                <w:color w:val="0000FF"/>
              </w:rPr>
              <w:t>70</w:t>
            </w:r>
          </w:p>
        </w:tc>
      </w:tr>
      <w:tr>
        <w:trPr>
          <w:trHeight w:val="219"/>
        </w:trPr>
        <w:tc>
          <w:tcPr>
            <w:tcW w:w="8780" w:type="dxa"/>
            <w:vAlign w:val="bottom"/>
            <w:gridSpan w:val="3"/>
          </w:tcPr>
          <w:p>
            <w:pPr>
              <w:ind w:left="40"/>
              <w:spacing w:after="0"/>
              <w:rPr>
                <w:sz w:val="20"/>
                <w:szCs w:val="20"/>
                <w:color w:val="auto"/>
              </w:rPr>
            </w:pPr>
            <w:r>
              <w:rPr>
                <w:rFonts w:ascii="Arial" w:cs="Arial" w:eastAsia="Arial" w:hAnsi="Arial"/>
                <w:sz w:val="17"/>
                <w:szCs w:val="17"/>
                <w:color w:val="0000FF"/>
              </w:rPr>
              <w:t>Report of Independent Registered Public Accounting Firm</w:t>
            </w:r>
          </w:p>
        </w:tc>
        <w:tc>
          <w:tcPr>
            <w:tcW w:w="1100" w:type="dxa"/>
            <w:vAlign w:val="bottom"/>
          </w:tcPr>
          <w:p>
            <w:pPr>
              <w:jc w:val="right"/>
              <w:spacing w:after="0"/>
              <w:rPr>
                <w:sz w:val="20"/>
                <w:szCs w:val="20"/>
                <w:color w:val="auto"/>
              </w:rPr>
            </w:pPr>
            <w:r>
              <w:rPr>
                <w:rFonts w:ascii="Arial" w:cs="Arial" w:eastAsia="Arial" w:hAnsi="Arial"/>
                <w:sz w:val="17"/>
                <w:szCs w:val="17"/>
                <w:color w:val="0000FF"/>
              </w:rPr>
              <w:t>71</w:t>
            </w: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116205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945" w:right="1440" w:bottom="1440" w:gutter="0" w:footer="0" w:header="0"/>
        </w:sectPr>
      </w:pPr>
    </w:p>
    <w:bookmarkStart w:id="33" w:name="page34"/>
    <w:bookmarkEnd w:id="33"/>
    <w:p>
      <w:pPr>
        <w:jc w:val="center"/>
        <w:spacing w:after="0"/>
        <w:rPr>
          <w:sz w:val="20"/>
          <w:szCs w:val="20"/>
          <w:color w:val="auto"/>
        </w:rPr>
      </w:pPr>
      <w:r>
        <w:rPr>
          <w:rFonts w:ascii="Arial" w:cs="Arial" w:eastAsia="Arial" w:hAnsi="Arial"/>
          <w:sz w:val="17"/>
          <w:szCs w:val="17"/>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Consolidated Statements of Earnings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(millions,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15"/>
              <w:spacing w:after="0"/>
              <w:rPr>
                <w:sz w:val="20"/>
                <w:szCs w:val="20"/>
                <w:color w:val="auto"/>
              </w:rPr>
            </w:pPr>
            <w:r>
              <w:rPr>
                <w:rFonts w:ascii="Arial" w:cs="Arial" w:eastAsia="Arial" w:hAnsi="Arial"/>
                <w:sz w:val="14"/>
                <w:szCs w:val="14"/>
                <w:b w:val="1"/>
                <w:bCs w:val="1"/>
                <w:color w:val="auto"/>
              </w:rPr>
              <w:t>2021</w:t>
            </w:r>
          </w:p>
        </w:tc>
      </w:tr>
      <w:tr>
        <w:trPr>
          <w:trHeight w:val="24"/>
        </w:trPr>
        <w:tc>
          <w:tcPr>
            <w:tcW w:w="7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2"/>
        </w:trPr>
        <w:tc>
          <w:tcPr>
            <w:tcW w:w="7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sales</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9,357</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8,562</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8,476</w:t>
            </w:r>
          </w:p>
        </w:tc>
      </w:tr>
      <w:tr>
        <w:trPr>
          <w:trHeight w:val="211"/>
        </w:trPr>
        <w:tc>
          <w:tcPr>
            <w:tcW w:w="7840" w:type="dxa"/>
            <w:vAlign w:val="bottom"/>
          </w:tcPr>
          <w:p>
            <w:pPr>
              <w:ind w:left="20"/>
              <w:spacing w:after="0"/>
              <w:rPr>
                <w:sz w:val="20"/>
                <w:szCs w:val="20"/>
                <w:color w:val="auto"/>
              </w:rPr>
            </w:pPr>
            <w:r>
              <w:rPr>
                <w:rFonts w:ascii="Arial" w:cs="Arial" w:eastAsia="Arial" w:hAnsi="Arial"/>
                <w:sz w:val="17"/>
                <w:szCs w:val="17"/>
                <w:color w:val="auto"/>
              </w:rPr>
              <w:t>Costs and expenses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0"/>
        </w:trPr>
        <w:tc>
          <w:tcPr>
            <w:tcW w:w="7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Cost of products sold</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6,440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5,665</w:t>
            </w:r>
          </w:p>
        </w:tc>
      </w:tr>
      <w:tr>
        <w:trPr>
          <w:trHeight w:val="219"/>
        </w:trPr>
        <w:tc>
          <w:tcPr>
            <w:tcW w:w="7840" w:type="dxa"/>
            <w:vAlign w:val="bottom"/>
          </w:tcPr>
          <w:p>
            <w:pPr>
              <w:ind w:left="140"/>
              <w:spacing w:after="0"/>
              <w:rPr>
                <w:sz w:val="20"/>
                <w:szCs w:val="20"/>
                <w:color w:val="auto"/>
              </w:rPr>
            </w:pPr>
            <w:r>
              <w:rPr>
                <w:rFonts w:ascii="Arial" w:cs="Arial" w:eastAsia="Arial" w:hAnsi="Arial"/>
                <w:sz w:val="17"/>
                <w:szCs w:val="17"/>
                <w:color w:val="auto"/>
              </w:rPr>
              <w:t>Marketing and selling expenses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811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817</w:t>
            </w: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Administrative expenses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w:t>
            </w:r>
          </w:p>
        </w:tc>
      </w:tr>
      <w:tr>
        <w:trPr>
          <w:trHeight w:val="219"/>
        </w:trPr>
        <w:tc>
          <w:tcPr>
            <w:tcW w:w="7840" w:type="dxa"/>
            <w:vAlign w:val="bottom"/>
          </w:tcPr>
          <w:p>
            <w:pPr>
              <w:ind w:left="140"/>
              <w:spacing w:after="0"/>
              <w:rPr>
                <w:sz w:val="20"/>
                <w:szCs w:val="20"/>
                <w:color w:val="auto"/>
              </w:rPr>
            </w:pPr>
            <w:r>
              <w:rPr>
                <w:rFonts w:ascii="Arial" w:cs="Arial" w:eastAsia="Arial" w:hAnsi="Arial"/>
                <w:sz w:val="17"/>
                <w:szCs w:val="17"/>
                <w:color w:val="auto"/>
              </w:rPr>
              <w:t>Research and development expenses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84</w:t>
            </w: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expenses / (income)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w:t>
            </w:r>
          </w:p>
        </w:tc>
      </w:tr>
      <w:tr>
        <w:trPr>
          <w:trHeight w:val="219"/>
        </w:trPr>
        <w:tc>
          <w:tcPr>
            <w:tcW w:w="78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Restructuring charges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r>
      <w:tr>
        <w:trPr>
          <w:trHeight w:val="212"/>
        </w:trPr>
        <w:tc>
          <w:tcPr>
            <w:tcW w:w="7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costs and expenses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8,045</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7,399</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6,931</w:t>
            </w:r>
          </w:p>
        </w:tc>
      </w:tr>
      <w:tr>
        <w:trPr>
          <w:trHeight w:val="212"/>
        </w:trPr>
        <w:tc>
          <w:tcPr>
            <w:tcW w:w="7840" w:type="dxa"/>
            <w:vAlign w:val="bottom"/>
          </w:tcPr>
          <w:p>
            <w:pPr>
              <w:ind w:left="20"/>
              <w:spacing w:after="0"/>
              <w:rPr>
                <w:sz w:val="20"/>
                <w:szCs w:val="20"/>
                <w:color w:val="auto"/>
              </w:rPr>
            </w:pPr>
            <w:r>
              <w:rPr>
                <w:rFonts w:ascii="Arial" w:cs="Arial" w:eastAsia="Arial" w:hAnsi="Arial"/>
                <w:sz w:val="17"/>
                <w:szCs w:val="17"/>
                <w:b w:val="1"/>
                <w:bCs w:val="1"/>
                <w:color w:val="auto"/>
              </w:rPr>
              <w:t>Earnings before interest and taxes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1,312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1,545</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w:t>
            </w:r>
          </w:p>
        </w:tc>
      </w:tr>
      <w:tr>
        <w:trPr>
          <w:trHeight w:val="219"/>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Interest income</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r>
      <w:tr>
        <w:trPr>
          <w:trHeight w:val="212"/>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before taxes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1,336</w:t>
            </w:r>
          </w:p>
        </w:tc>
      </w:tr>
      <w:tr>
        <w:trPr>
          <w:trHeight w:val="219"/>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Taxes on earnings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270</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328</w:t>
            </w:r>
          </w:p>
        </w:tc>
      </w:tr>
      <w:tr>
        <w:trPr>
          <w:trHeight w:val="212"/>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from continuing operations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1,008</w:t>
            </w:r>
          </w:p>
        </w:tc>
      </w:tr>
      <w:tr>
        <w:trPr>
          <w:trHeight w:val="219"/>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Loss from discontinued operations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r>
      <w:tr>
        <w:trPr>
          <w:trHeight w:val="212"/>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earnings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1,002</w:t>
            </w:r>
          </w:p>
        </w:tc>
      </w:tr>
      <w:tr>
        <w:trPr>
          <w:trHeight w:val="219"/>
        </w:trPr>
        <w:tc>
          <w:tcPr>
            <w:tcW w:w="78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Less: Net earnings (loss) attributable to noncontrolling interests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7"/>
        </w:trPr>
        <w:tc>
          <w:tcPr>
            <w:tcW w:w="7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earnings attributable to Campbell Soup Company</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858</w:t>
            </w:r>
          </w:p>
        </w:tc>
        <w:tc>
          <w:tcPr>
            <w:tcW w:w="1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757</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1,002</w:t>
            </w:r>
          </w:p>
        </w:tc>
      </w:tr>
      <w:tr>
        <w:trPr>
          <w:trHeight w:val="20"/>
        </w:trPr>
        <w:tc>
          <w:tcPr>
            <w:tcW w:w="7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840" w:type="dxa"/>
            <w:vAlign w:val="bottom"/>
          </w:tcPr>
          <w:p>
            <w:pPr>
              <w:ind w:left="20"/>
              <w:spacing w:after="0" w:line="190" w:lineRule="exact"/>
              <w:rPr>
                <w:sz w:val="20"/>
                <w:szCs w:val="20"/>
                <w:color w:val="auto"/>
              </w:rPr>
            </w:pPr>
            <w:r>
              <w:rPr>
                <w:rFonts w:ascii="Arial" w:cs="Arial" w:eastAsia="Arial" w:hAnsi="Arial"/>
                <w:sz w:val="17"/>
                <w:szCs w:val="17"/>
                <w:b w:val="1"/>
                <w:bCs w:val="1"/>
                <w:color w:val="auto"/>
              </w:rPr>
              <w:t>Per Share — Basic</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from continuing operations attributable to Campbell Soup Company</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w:t>
            </w:r>
          </w:p>
        </w:tc>
      </w:tr>
      <w:tr>
        <w:trPr>
          <w:trHeight w:val="219"/>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Loss from discontinued operations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r>
      <w:tr>
        <w:trPr>
          <w:trHeight w:val="211"/>
        </w:trPr>
        <w:tc>
          <w:tcPr>
            <w:tcW w:w="7840" w:type="dxa"/>
            <w:vAlign w:val="bottom"/>
            <w:tcBorders>
              <w:bottom w:val="single" w:sz="8" w:color="auto"/>
            </w:tcBorders>
            <w:shd w:val="clear" w:color="auto" w:fill="CCEEFF"/>
          </w:tcPr>
          <w:p>
            <w:pPr>
              <w:ind w:left="20"/>
              <w:spacing w:after="0" w:line="186" w:lineRule="exact"/>
              <w:rPr>
                <w:sz w:val="20"/>
                <w:szCs w:val="20"/>
                <w:color w:val="auto"/>
              </w:rPr>
            </w:pPr>
            <w:r>
              <w:rPr>
                <w:rFonts w:ascii="Arial" w:cs="Arial" w:eastAsia="Arial" w:hAnsi="Arial"/>
                <w:sz w:val="17"/>
                <w:szCs w:val="17"/>
                <w:b w:val="1"/>
                <w:bCs w:val="1"/>
                <w:color w:val="auto"/>
              </w:rPr>
              <w:t>Net earnings attributable to Campbell Soup Company</w:t>
            </w:r>
          </w:p>
        </w:tc>
        <w:tc>
          <w:tcPr>
            <w:tcW w:w="240" w:type="dxa"/>
            <w:vAlign w:val="bottom"/>
            <w:tcBorders>
              <w:bottom w:val="single" w:sz="8" w:color="auto"/>
            </w:tcBorders>
            <w:shd w:val="clear" w:color="auto" w:fill="CCEEFF"/>
          </w:tcPr>
          <w:p>
            <w:pPr>
              <w:jc w:val="right"/>
              <w:ind w:right="54"/>
              <w:spacing w:after="0" w:line="186" w:lineRule="exact"/>
              <w:rPr>
                <w:sz w:val="20"/>
                <w:szCs w:val="20"/>
                <w:color w:val="auto"/>
              </w:rPr>
            </w:pPr>
            <w:r>
              <w:rPr>
                <w:rFonts w:ascii="Arial" w:cs="Arial" w:eastAsia="Arial" w:hAnsi="Arial"/>
                <w:sz w:val="17"/>
                <w:szCs w:val="17"/>
                <w:b w:val="1"/>
                <w:bCs w:val="1"/>
                <w:color w:val="auto"/>
                <w:w w:val="84"/>
              </w:rPr>
              <w:t>$</w:t>
            </w:r>
          </w:p>
        </w:tc>
        <w:tc>
          <w:tcPr>
            <w:tcW w:w="82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b w:val="1"/>
                <w:bCs w:val="1"/>
                <w:color w:val="auto"/>
              </w:rPr>
              <w:t>2.87</w:t>
            </w:r>
          </w:p>
        </w:tc>
        <w:tc>
          <w:tcPr>
            <w:tcW w:w="1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4"/>
              <w:spacing w:after="0" w:line="186" w:lineRule="exact"/>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2.51</w:t>
            </w: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4"/>
              <w:spacing w:after="0" w:line="186" w:lineRule="exact"/>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3.31</w:t>
            </w:r>
          </w:p>
        </w:tc>
      </w:tr>
      <w:tr>
        <w:trPr>
          <w:trHeight w:val="20"/>
        </w:trPr>
        <w:tc>
          <w:tcPr>
            <w:tcW w:w="7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840" w:type="dxa"/>
            <w:vAlign w:val="bottom"/>
            <w:tcBorders>
              <w:bottom w:val="single" w:sz="8" w:color="auto"/>
            </w:tcBorders>
          </w:tcPr>
          <w:p>
            <w:pPr>
              <w:ind w:left="20"/>
              <w:spacing w:after="0" w:line="190" w:lineRule="exact"/>
              <w:rPr>
                <w:sz w:val="20"/>
                <w:szCs w:val="20"/>
                <w:color w:val="auto"/>
              </w:rPr>
            </w:pPr>
            <w:r>
              <w:rPr>
                <w:rFonts w:ascii="Arial" w:cs="Arial" w:eastAsia="Arial" w:hAnsi="Arial"/>
                <w:sz w:val="17"/>
                <w:szCs w:val="17"/>
                <w:color w:val="auto"/>
              </w:rPr>
              <w:t>Weighted average shares outstanding — basic</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7"/>
                <w:szCs w:val="17"/>
                <w:b w:val="1"/>
                <w:bCs w:val="1"/>
                <w:color w:val="auto"/>
              </w:rPr>
              <w:t>299</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301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303</w:t>
            </w:r>
          </w:p>
        </w:tc>
      </w:tr>
      <w:tr>
        <w:trPr>
          <w:trHeight w:val="20"/>
        </w:trPr>
        <w:tc>
          <w:tcPr>
            <w:tcW w:w="7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Per Share — Assuming Dilution</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9"/>
        </w:trPr>
        <w:tc>
          <w:tcPr>
            <w:tcW w:w="7840" w:type="dxa"/>
            <w:vAlign w:val="bottom"/>
          </w:tcPr>
          <w:p>
            <w:pPr>
              <w:ind w:left="20"/>
              <w:spacing w:after="0"/>
              <w:rPr>
                <w:sz w:val="20"/>
                <w:szCs w:val="20"/>
                <w:color w:val="auto"/>
              </w:rPr>
            </w:pPr>
            <w:r>
              <w:rPr>
                <w:rFonts w:ascii="Arial" w:cs="Arial" w:eastAsia="Arial" w:hAnsi="Arial"/>
                <w:sz w:val="17"/>
                <w:szCs w:val="17"/>
                <w:color w:val="auto"/>
              </w:rPr>
              <w:t>Earnings from continuing operations attributable to Campbell Soup Company</w:t>
            </w:r>
          </w:p>
        </w:tc>
        <w:tc>
          <w:tcPr>
            <w:tcW w:w="240" w:type="dxa"/>
            <w:vAlign w:val="bottom"/>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2.85</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2.51</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3.30</w:t>
            </w:r>
          </w:p>
        </w:tc>
      </w:tr>
      <w:tr>
        <w:trPr>
          <w:trHeight w:val="219"/>
        </w:trPr>
        <w:tc>
          <w:tcPr>
            <w:tcW w:w="7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Loss from discontinued operations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12"/>
        </w:trPr>
        <w:tc>
          <w:tcPr>
            <w:tcW w:w="7840" w:type="dxa"/>
            <w:vAlign w:val="bottom"/>
            <w:tcBorders>
              <w:bottom w:val="single" w:sz="8" w:color="auto"/>
            </w:tcBorders>
          </w:tcPr>
          <w:p>
            <w:pPr>
              <w:ind w:left="20"/>
              <w:spacing w:after="0" w:line="211" w:lineRule="exact"/>
              <w:rPr>
                <w:sz w:val="20"/>
                <w:szCs w:val="20"/>
                <w:color w:val="auto"/>
              </w:rPr>
            </w:pPr>
            <w:r>
              <w:rPr>
                <w:rFonts w:ascii="Arial" w:cs="Arial" w:eastAsia="Arial" w:hAnsi="Arial"/>
                <w:sz w:val="17"/>
                <w:szCs w:val="17"/>
                <w:b w:val="1"/>
                <w:bCs w:val="1"/>
                <w:color w:val="auto"/>
              </w:rPr>
              <w:t>Net earnings attributable to Campbell Soup Company</w:t>
            </w:r>
            <w:r>
              <w:rPr>
                <w:rFonts w:ascii="Arial" w:cs="Arial" w:eastAsia="Arial" w:hAnsi="Arial"/>
                <w:sz w:val="22"/>
                <w:szCs w:val="22"/>
                <w:b w:val="1"/>
                <w:bCs w:val="1"/>
                <w:color w:val="auto"/>
                <w:vertAlign w:val="superscript"/>
              </w:rPr>
              <w:t>(1)</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2.85</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w:t>
            </w:r>
          </w:p>
        </w:tc>
      </w:tr>
      <w:tr>
        <w:trPr>
          <w:trHeight w:val="20"/>
        </w:trPr>
        <w:tc>
          <w:tcPr>
            <w:tcW w:w="7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5"/>
        </w:trPr>
        <w:tc>
          <w:tcPr>
            <w:tcW w:w="7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Weighted average shares outstanding — assuming dilution</w:t>
            </w: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301</w:t>
            </w:r>
          </w:p>
        </w:tc>
        <w:tc>
          <w:tcPr>
            <w:tcW w:w="1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w:t>
            </w:r>
          </w:p>
        </w:tc>
      </w:tr>
      <w:tr>
        <w:trPr>
          <w:trHeight w:val="20"/>
        </w:trPr>
        <w:tc>
          <w:tcPr>
            <w:tcW w:w="7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7"/>
          <w:szCs w:val="17"/>
          <w:color w:val="auto"/>
        </w:rPr>
        <w:t>Sum of the individual amounts may not add due to rounding</w:t>
      </w:r>
      <w:r>
        <w:rPr>
          <w:rFonts w:ascii="Arial" w:cs="Arial" w:eastAsia="Arial" w:hAnsi="Arial"/>
          <w:sz w:val="13"/>
          <w:szCs w:val="13"/>
          <w:color w:val="auto"/>
        </w:rPr>
        <w:t>.</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124460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54" w:right="3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7"/>
          <w:szCs w:val="17"/>
          <w:b w:val="1"/>
          <w:bCs w:val="1"/>
          <w:color w:val="auto"/>
        </w:rPr>
        <w:t>CAMPBELL SOUP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Consolidated Statements of Comprehensive Income</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(millions)</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4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4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4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3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ind w:left="20"/>
              <w:spacing w:after="0" w:line="125" w:lineRule="exact"/>
              <w:rPr>
                <w:sz w:val="20"/>
                <w:szCs w:val="20"/>
                <w:color w:val="auto"/>
              </w:rPr>
            </w:pPr>
            <w:r>
              <w:rPr>
                <w:rFonts w:ascii="Arial" w:cs="Arial" w:eastAsia="Arial" w:hAnsi="Arial"/>
                <w:sz w:val="14"/>
                <w:szCs w:val="14"/>
                <w:b w:val="1"/>
                <w:bCs w:val="1"/>
                <w:color w:val="auto"/>
              </w:rPr>
              <w:t>Pre-tax</w:t>
            </w:r>
          </w:p>
        </w:tc>
        <w:tc>
          <w:tcPr>
            <w:tcW w:w="940" w:type="dxa"/>
            <w:vAlign w:val="bottom"/>
            <w:gridSpan w:val="3"/>
          </w:tcPr>
          <w:p>
            <w:pPr>
              <w:jc w:val="center"/>
              <w:ind w:right="100"/>
              <w:spacing w:after="0" w:line="125" w:lineRule="exact"/>
              <w:rPr>
                <w:sz w:val="20"/>
                <w:szCs w:val="20"/>
                <w:color w:val="auto"/>
              </w:rPr>
            </w:pPr>
            <w:r>
              <w:rPr>
                <w:rFonts w:ascii="Arial" w:cs="Arial" w:eastAsia="Arial" w:hAnsi="Arial"/>
                <w:sz w:val="14"/>
                <w:szCs w:val="14"/>
                <w:b w:val="1"/>
                <w:bCs w:val="1"/>
                <w:color w:val="auto"/>
                <w:w w:val="86"/>
              </w:rPr>
              <w:t>Tax benefit</w:t>
            </w:r>
          </w:p>
        </w:tc>
        <w:tc>
          <w:tcPr>
            <w:tcW w:w="120" w:type="dxa"/>
            <w:vAlign w:val="bottom"/>
          </w:tcPr>
          <w:p>
            <w:pPr>
              <w:spacing w:after="0"/>
              <w:rPr>
                <w:sz w:val="10"/>
                <w:szCs w:val="10"/>
                <w:color w:val="auto"/>
              </w:rPr>
            </w:pPr>
          </w:p>
        </w:tc>
        <w:tc>
          <w:tcPr>
            <w:tcW w:w="720" w:type="dxa"/>
            <w:vAlign w:val="bottom"/>
          </w:tcPr>
          <w:p>
            <w:pPr>
              <w:jc w:val="center"/>
              <w:ind w:right="64"/>
              <w:spacing w:after="0" w:line="125" w:lineRule="exact"/>
              <w:rPr>
                <w:sz w:val="20"/>
                <w:szCs w:val="20"/>
                <w:color w:val="auto"/>
              </w:rPr>
            </w:pPr>
            <w:r>
              <w:rPr>
                <w:rFonts w:ascii="Arial" w:cs="Arial" w:eastAsia="Arial" w:hAnsi="Arial"/>
                <w:sz w:val="14"/>
                <w:szCs w:val="14"/>
                <w:b w:val="1"/>
                <w:bCs w:val="1"/>
                <w:color w:val="auto"/>
                <w:w w:val="93"/>
              </w:rPr>
              <w:t>After-tax</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ind w:left="40"/>
              <w:spacing w:after="0" w:line="125" w:lineRule="exact"/>
              <w:rPr>
                <w:sz w:val="20"/>
                <w:szCs w:val="20"/>
                <w:color w:val="auto"/>
              </w:rPr>
            </w:pPr>
            <w:r>
              <w:rPr>
                <w:rFonts w:ascii="Arial" w:cs="Arial" w:eastAsia="Arial" w:hAnsi="Arial"/>
                <w:sz w:val="14"/>
                <w:szCs w:val="14"/>
                <w:b w:val="1"/>
                <w:bCs w:val="1"/>
                <w:color w:val="auto"/>
              </w:rPr>
              <w:t>Pre-tax</w:t>
            </w:r>
          </w:p>
        </w:tc>
        <w:tc>
          <w:tcPr>
            <w:tcW w:w="940" w:type="dxa"/>
            <w:vAlign w:val="bottom"/>
            <w:gridSpan w:val="3"/>
          </w:tcPr>
          <w:p>
            <w:pPr>
              <w:jc w:val="center"/>
              <w:ind w:right="80"/>
              <w:spacing w:after="0" w:line="125" w:lineRule="exact"/>
              <w:rPr>
                <w:sz w:val="20"/>
                <w:szCs w:val="20"/>
                <w:color w:val="auto"/>
              </w:rPr>
            </w:pPr>
            <w:r>
              <w:rPr>
                <w:rFonts w:ascii="Arial" w:cs="Arial" w:eastAsia="Arial" w:hAnsi="Arial"/>
                <w:sz w:val="14"/>
                <w:szCs w:val="14"/>
                <w:b w:val="1"/>
                <w:bCs w:val="1"/>
                <w:color w:val="auto"/>
                <w:w w:val="89"/>
              </w:rPr>
              <w:t>Tax benefit</w:t>
            </w:r>
          </w:p>
        </w:tc>
        <w:tc>
          <w:tcPr>
            <w:tcW w:w="140" w:type="dxa"/>
            <w:vAlign w:val="bottom"/>
          </w:tcPr>
          <w:p>
            <w:pPr>
              <w:spacing w:after="0"/>
              <w:rPr>
                <w:sz w:val="10"/>
                <w:szCs w:val="10"/>
                <w:color w:val="auto"/>
              </w:rPr>
            </w:pPr>
          </w:p>
        </w:tc>
        <w:tc>
          <w:tcPr>
            <w:tcW w:w="720" w:type="dxa"/>
            <w:vAlign w:val="bottom"/>
          </w:tcPr>
          <w:p>
            <w:pPr>
              <w:jc w:val="center"/>
              <w:ind w:right="64"/>
              <w:spacing w:after="0" w:line="125" w:lineRule="exact"/>
              <w:rPr>
                <w:sz w:val="20"/>
                <w:szCs w:val="20"/>
                <w:color w:val="auto"/>
              </w:rPr>
            </w:pPr>
            <w:r>
              <w:rPr>
                <w:rFonts w:ascii="Arial" w:cs="Arial" w:eastAsia="Arial" w:hAnsi="Arial"/>
                <w:sz w:val="14"/>
                <w:szCs w:val="14"/>
                <w:b w:val="1"/>
                <w:bCs w:val="1"/>
                <w:color w:val="auto"/>
                <w:w w:val="93"/>
              </w:rPr>
              <w:t>After-tax</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ind w:left="20"/>
              <w:spacing w:after="0" w:line="125" w:lineRule="exact"/>
              <w:rPr>
                <w:sz w:val="20"/>
                <w:szCs w:val="20"/>
                <w:color w:val="auto"/>
              </w:rPr>
            </w:pPr>
            <w:r>
              <w:rPr>
                <w:rFonts w:ascii="Arial" w:cs="Arial" w:eastAsia="Arial" w:hAnsi="Arial"/>
                <w:sz w:val="14"/>
                <w:szCs w:val="14"/>
                <w:b w:val="1"/>
                <w:bCs w:val="1"/>
                <w:color w:val="auto"/>
              </w:rPr>
              <w:t>Pre-tax</w:t>
            </w:r>
          </w:p>
        </w:tc>
        <w:tc>
          <w:tcPr>
            <w:tcW w:w="940" w:type="dxa"/>
            <w:vAlign w:val="bottom"/>
            <w:gridSpan w:val="3"/>
          </w:tcPr>
          <w:p>
            <w:pPr>
              <w:jc w:val="center"/>
              <w:ind w:right="80"/>
              <w:spacing w:after="0" w:line="125" w:lineRule="exact"/>
              <w:rPr>
                <w:sz w:val="20"/>
                <w:szCs w:val="20"/>
                <w:color w:val="auto"/>
              </w:rPr>
            </w:pPr>
            <w:r>
              <w:rPr>
                <w:rFonts w:ascii="Arial" w:cs="Arial" w:eastAsia="Arial" w:hAnsi="Arial"/>
                <w:sz w:val="14"/>
                <w:szCs w:val="14"/>
                <w:b w:val="1"/>
                <w:bCs w:val="1"/>
                <w:color w:val="auto"/>
                <w:w w:val="89"/>
              </w:rPr>
              <w:t>Tax benefit</w:t>
            </w:r>
          </w:p>
        </w:tc>
        <w:tc>
          <w:tcPr>
            <w:tcW w:w="140" w:type="dxa"/>
            <w:vAlign w:val="bottom"/>
          </w:tcPr>
          <w:p>
            <w:pPr>
              <w:spacing w:after="0"/>
              <w:rPr>
                <w:sz w:val="10"/>
                <w:szCs w:val="10"/>
                <w:color w:val="auto"/>
              </w:rPr>
            </w:pPr>
          </w:p>
        </w:tc>
        <w:tc>
          <w:tcPr>
            <w:tcW w:w="720" w:type="dxa"/>
            <w:vAlign w:val="bottom"/>
          </w:tcPr>
          <w:p>
            <w:pPr>
              <w:jc w:val="right"/>
              <w:ind w:right="84"/>
              <w:spacing w:after="0" w:line="125" w:lineRule="exact"/>
              <w:rPr>
                <w:sz w:val="20"/>
                <w:szCs w:val="20"/>
                <w:color w:val="auto"/>
              </w:rPr>
            </w:pPr>
            <w:r>
              <w:rPr>
                <w:rFonts w:ascii="Arial" w:cs="Arial" w:eastAsia="Arial" w:hAnsi="Arial"/>
                <w:sz w:val="14"/>
                <w:szCs w:val="14"/>
                <w:b w:val="1"/>
                <w:bCs w:val="1"/>
                <w:color w:val="auto"/>
                <w:w w:val="93"/>
              </w:rPr>
              <w:t>After-tax</w:t>
            </w:r>
          </w:p>
        </w:tc>
        <w:tc>
          <w:tcPr>
            <w:tcW w:w="0" w:type="dxa"/>
            <w:vAlign w:val="bottom"/>
          </w:tcPr>
          <w:p>
            <w:pPr>
              <w:spacing w:after="0"/>
              <w:rPr>
                <w:sz w:val="1"/>
                <w:szCs w:val="1"/>
                <w:color w:val="auto"/>
              </w:rPr>
            </w:pPr>
          </w:p>
        </w:tc>
      </w:tr>
      <w:tr>
        <w:trPr>
          <w:trHeight w:val="184"/>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(expense)</w:t>
            </w:r>
          </w:p>
        </w:tc>
        <w:tc>
          <w:tcPr>
            <w:tcW w:w="12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6"/>
                <w:szCs w:val="16"/>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(expense)</w:t>
            </w:r>
          </w:p>
        </w:tc>
        <w:tc>
          <w:tcPr>
            <w:tcW w:w="140" w:type="dxa"/>
            <w:vAlign w:val="bottom"/>
          </w:tcPr>
          <w:p>
            <w:pPr>
              <w:spacing w:after="0"/>
              <w:rPr>
                <w:sz w:val="16"/>
                <w:szCs w:val="16"/>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6"/>
                <w:szCs w:val="16"/>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(expense)</w:t>
            </w:r>
          </w:p>
        </w:tc>
        <w:tc>
          <w:tcPr>
            <w:tcW w:w="140" w:type="dxa"/>
            <w:vAlign w:val="bottom"/>
          </w:tcPr>
          <w:p>
            <w:pPr>
              <w:spacing w:after="0"/>
              <w:rPr>
                <w:sz w:val="16"/>
                <w:szCs w:val="16"/>
                <w:color w:val="auto"/>
              </w:rPr>
            </w:pPr>
          </w:p>
        </w:tc>
        <w:tc>
          <w:tcPr>
            <w:tcW w:w="720" w:type="dxa"/>
            <w:vAlign w:val="bottom"/>
          </w:tcPr>
          <w:p>
            <w:pPr>
              <w:jc w:val="right"/>
              <w:ind w:right="124"/>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05"/>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Net earnings</w:t>
            </w: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858</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757</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1,002</w:t>
            </w:r>
          </w:p>
        </w:tc>
        <w:tc>
          <w:tcPr>
            <w:tcW w:w="0" w:type="dxa"/>
            <w:vAlign w:val="bottom"/>
          </w:tcPr>
          <w:p>
            <w:pPr>
              <w:spacing w:after="0"/>
              <w:rPr>
                <w:sz w:val="1"/>
                <w:szCs w:val="1"/>
                <w:color w:val="auto"/>
              </w:rPr>
            </w:pPr>
          </w:p>
        </w:tc>
      </w:tr>
      <w:tr>
        <w:trPr>
          <w:trHeight w:val="204"/>
        </w:trPr>
        <w:tc>
          <w:tcPr>
            <w:tcW w:w="3040" w:type="dxa"/>
            <w:vAlign w:val="bottom"/>
          </w:tcPr>
          <w:p>
            <w:pPr>
              <w:ind w:left="20"/>
              <w:spacing w:after="0"/>
              <w:rPr>
                <w:sz w:val="20"/>
                <w:szCs w:val="20"/>
                <w:color w:val="auto"/>
              </w:rPr>
            </w:pPr>
            <w:r>
              <w:rPr>
                <w:rFonts w:ascii="Arial" w:cs="Arial" w:eastAsia="Arial" w:hAnsi="Arial"/>
                <w:sz w:val="15"/>
                <w:szCs w:val="15"/>
                <w:b w:val="1"/>
                <w:bCs w:val="1"/>
                <w:color w:val="auto"/>
              </w:rPr>
              <w:t>Other comprehensive income (loss):</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04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Foreign currency translation:</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040" w:type="dxa"/>
            <w:vAlign w:val="bottom"/>
          </w:tcPr>
          <w:p>
            <w:pPr>
              <w:ind w:left="300"/>
              <w:spacing w:after="0"/>
              <w:rPr>
                <w:sz w:val="20"/>
                <w:szCs w:val="20"/>
                <w:color w:val="auto"/>
              </w:rPr>
            </w:pPr>
            <w:r>
              <w:rPr>
                <w:rFonts w:ascii="Arial" w:cs="Arial" w:eastAsia="Arial" w:hAnsi="Arial"/>
                <w:sz w:val="15"/>
                <w:szCs w:val="15"/>
                <w:color w:val="auto"/>
              </w:rPr>
              <w:t>Foreign currency translation adjustments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2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08"/>
        </w:trPr>
        <w:tc>
          <w:tcPr>
            <w:tcW w:w="304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Cash-flow hedges: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040" w:type="dxa"/>
            <w:vAlign w:val="bottom"/>
          </w:tcPr>
          <w:p>
            <w:pPr>
              <w:ind w:left="300"/>
              <w:spacing w:after="0" w:line="159" w:lineRule="exact"/>
              <w:rPr>
                <w:sz w:val="20"/>
                <w:szCs w:val="20"/>
                <w:color w:val="auto"/>
              </w:rPr>
            </w:pPr>
            <w:r>
              <w:rPr>
                <w:rFonts w:ascii="Arial" w:cs="Arial" w:eastAsia="Arial" w:hAnsi="Arial"/>
                <w:sz w:val="15"/>
                <w:szCs w:val="15"/>
                <w:color w:val="auto"/>
                <w:w w:val="94"/>
              </w:rPr>
              <w:t>Unrealized gains (losses) arising during the</w:t>
            </w:r>
          </w:p>
        </w:tc>
        <w:tc>
          <w:tcPr>
            <w:tcW w:w="1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14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98"/>
        </w:trPr>
        <w:tc>
          <w:tcPr>
            <w:tcW w:w="3040" w:type="dxa"/>
            <w:vAlign w:val="bottom"/>
          </w:tcPr>
          <w:p>
            <w:pPr>
              <w:ind w:left="300"/>
              <w:spacing w:after="0"/>
              <w:rPr>
                <w:sz w:val="20"/>
                <w:szCs w:val="20"/>
                <w:color w:val="auto"/>
              </w:rPr>
            </w:pPr>
            <w:r>
              <w:rPr>
                <w:rFonts w:ascii="Arial" w:cs="Arial" w:eastAsia="Arial" w:hAnsi="Arial"/>
                <w:sz w:val="15"/>
                <w:szCs w:val="15"/>
                <w:color w:val="auto"/>
              </w:rPr>
              <w:t>period</w:t>
            </w:r>
          </w:p>
        </w:tc>
        <w:tc>
          <w:tcPr>
            <w:tcW w:w="1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Reclassification adjustment for losses</w:t>
            </w:r>
          </w:p>
        </w:tc>
        <w:tc>
          <w:tcPr>
            <w:tcW w:w="12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(10)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(8)</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01"/>
        </w:trPr>
        <w:tc>
          <w:tcPr>
            <w:tcW w:w="30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(gains) included in net earnings</w:t>
            </w: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40" w:type="dxa"/>
            <w:vAlign w:val="bottom"/>
          </w:tcPr>
          <w:p>
            <w:pPr>
              <w:ind w:left="140"/>
              <w:spacing w:after="0"/>
              <w:rPr>
                <w:sz w:val="20"/>
                <w:szCs w:val="20"/>
                <w:color w:val="auto"/>
              </w:rPr>
            </w:pPr>
            <w:r>
              <w:rPr>
                <w:rFonts w:ascii="Arial" w:cs="Arial" w:eastAsia="Arial" w:hAnsi="Arial"/>
                <w:sz w:val="15"/>
                <w:szCs w:val="15"/>
                <w:b w:val="1"/>
                <w:bCs w:val="1"/>
                <w:color w:val="auto"/>
                <w:w w:val="93"/>
              </w:rPr>
              <w:t>Pension and other postretirement benefits:</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300"/>
              <w:spacing w:after="0" w:line="161" w:lineRule="exact"/>
              <w:rPr>
                <w:sz w:val="20"/>
                <w:szCs w:val="20"/>
                <w:color w:val="auto"/>
              </w:rPr>
            </w:pPr>
            <w:r>
              <w:rPr>
                <w:rFonts w:ascii="Arial" w:cs="Arial" w:eastAsia="Arial" w:hAnsi="Arial"/>
                <w:sz w:val="15"/>
                <w:szCs w:val="15"/>
                <w:color w:val="auto"/>
              </w:rPr>
              <w:t>Reclassification of prior service credit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98"/>
        </w:trPr>
        <w:tc>
          <w:tcPr>
            <w:tcW w:w="30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5"/>
                <w:szCs w:val="15"/>
                <w:color w:val="auto"/>
              </w:rPr>
              <w:t>included in net earnings</w:t>
            </w: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gridSpan w:val="2"/>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Other comprehensive income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99"/>
        </w:trPr>
        <w:tc>
          <w:tcPr>
            <w:tcW w:w="3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comprehensive income (loss)</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853</w:t>
            </w:r>
          </w:p>
        </w:tc>
        <w:tc>
          <w:tcPr>
            <w:tcW w:w="1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754</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1,013</w:t>
            </w:r>
          </w:p>
        </w:tc>
        <w:tc>
          <w:tcPr>
            <w:tcW w:w="0" w:type="dxa"/>
            <w:vAlign w:val="bottom"/>
          </w:tcPr>
          <w:p>
            <w:pPr>
              <w:spacing w:after="0"/>
              <w:rPr>
                <w:sz w:val="1"/>
                <w:szCs w:val="1"/>
                <w:color w:val="auto"/>
              </w:rPr>
            </w:pPr>
          </w:p>
        </w:tc>
      </w:tr>
      <w:tr>
        <w:trPr>
          <w:trHeight w:val="154"/>
        </w:trPr>
        <w:tc>
          <w:tcPr>
            <w:tcW w:w="3040" w:type="dxa"/>
            <w:vAlign w:val="bottom"/>
          </w:tcPr>
          <w:p>
            <w:pPr>
              <w:ind w:left="20"/>
              <w:spacing w:after="0" w:line="154" w:lineRule="exact"/>
              <w:rPr>
                <w:sz w:val="20"/>
                <w:szCs w:val="20"/>
                <w:color w:val="auto"/>
              </w:rPr>
            </w:pPr>
            <w:r>
              <w:rPr>
                <w:rFonts w:ascii="Arial" w:cs="Arial" w:eastAsia="Arial" w:hAnsi="Arial"/>
                <w:sz w:val="15"/>
                <w:szCs w:val="15"/>
                <w:color w:val="auto"/>
                <w:w w:val="96"/>
              </w:rPr>
              <w:t>Total comprehensive income (loss) attributable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98"/>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 noncontrolling interests</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040" w:type="dxa"/>
            <w:vAlign w:val="bottom"/>
            <w:shd w:val="clear" w:color="auto" w:fill="CCEEFF"/>
          </w:tcPr>
          <w:p>
            <w:pPr>
              <w:ind w:left="20"/>
              <w:spacing w:after="0" w:line="150" w:lineRule="exact"/>
              <w:rPr>
                <w:sz w:val="20"/>
                <w:szCs w:val="20"/>
                <w:color w:val="auto"/>
              </w:rPr>
            </w:pPr>
            <w:r>
              <w:rPr>
                <w:rFonts w:ascii="Arial" w:cs="Arial" w:eastAsia="Arial" w:hAnsi="Arial"/>
                <w:sz w:val="15"/>
                <w:szCs w:val="15"/>
                <w:b w:val="1"/>
                <w:bCs w:val="1"/>
                <w:color w:val="auto"/>
              </w:rPr>
              <w:t>Total comprehensive income (loss)</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853</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754</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1,017</w:t>
            </w:r>
          </w:p>
        </w:tc>
        <w:tc>
          <w:tcPr>
            <w:tcW w:w="0" w:type="dxa"/>
            <w:vAlign w:val="bottom"/>
          </w:tcPr>
          <w:p>
            <w:pPr>
              <w:spacing w:after="0"/>
              <w:rPr>
                <w:sz w:val="1"/>
                <w:szCs w:val="1"/>
                <w:color w:val="auto"/>
              </w:rPr>
            </w:pPr>
          </w:p>
        </w:tc>
      </w:tr>
      <w:tr>
        <w:trPr>
          <w:trHeight w:val="224"/>
        </w:trPr>
        <w:tc>
          <w:tcPr>
            <w:tcW w:w="3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attributable to Campbell Soup Company</w:t>
            </w: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124460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94" w:right="359" w:bottom="1440" w:gutter="0" w:footer="0" w:header="0"/>
        </w:sectPr>
      </w:pPr>
    </w:p>
    <w:bookmarkStart w:id="35" w:name="page36"/>
    <w:bookmarkEnd w:id="35"/>
    <w:p>
      <w:pPr>
        <w:ind w:left="4740"/>
        <w:spacing w:after="0"/>
        <w:rPr>
          <w:sz w:val="20"/>
          <w:szCs w:val="20"/>
          <w:color w:val="auto"/>
        </w:rPr>
      </w:pPr>
      <w:r>
        <w:rPr>
          <w:rFonts w:ascii="Arial" w:cs="Arial" w:eastAsia="Arial" w:hAnsi="Arial"/>
          <w:sz w:val="17"/>
          <w:szCs w:val="17"/>
          <w:b w:val="1"/>
          <w:bCs w:val="1"/>
          <w:color w:val="auto"/>
        </w:rPr>
        <w:t>CAMPBELL SOUP COMPANY</w:t>
      </w:r>
    </w:p>
    <w:p>
      <w:pPr>
        <w:spacing w:after="0" w:line="27" w:lineRule="exact"/>
        <w:rPr>
          <w:sz w:val="20"/>
          <w:szCs w:val="20"/>
          <w:color w:val="auto"/>
        </w:rPr>
      </w:pPr>
    </w:p>
    <w:p>
      <w:pPr>
        <w:ind w:left="4580"/>
        <w:spacing w:after="0"/>
        <w:rPr>
          <w:sz w:val="20"/>
          <w:szCs w:val="20"/>
          <w:color w:val="auto"/>
        </w:rPr>
      </w:pPr>
      <w:r>
        <w:rPr>
          <w:rFonts w:ascii="Arial" w:cs="Arial" w:eastAsia="Arial" w:hAnsi="Arial"/>
          <w:sz w:val="17"/>
          <w:szCs w:val="17"/>
          <w:b w:val="1"/>
          <w:bCs w:val="1"/>
          <w:u w:val="single" w:color="auto"/>
          <w:color w:val="auto"/>
        </w:rPr>
        <w:t>Consolidated Balance Sheets</w:t>
      </w:r>
    </w:p>
    <w:p>
      <w:pPr>
        <w:spacing w:after="0" w:line="11" w:lineRule="exact"/>
        <w:rPr>
          <w:sz w:val="20"/>
          <w:szCs w:val="20"/>
          <w:color w:val="auto"/>
        </w:rPr>
      </w:pPr>
    </w:p>
    <w:p>
      <w:pPr>
        <w:ind w:left="4300"/>
        <w:spacing w:after="0"/>
        <w:rPr>
          <w:sz w:val="20"/>
          <w:szCs w:val="20"/>
          <w:color w:val="auto"/>
        </w:rPr>
      </w:pPr>
      <w:r>
        <w:rPr>
          <w:rFonts w:ascii="Arial" w:cs="Arial" w:eastAsia="Arial" w:hAnsi="Arial"/>
          <w:sz w:val="17"/>
          <w:szCs w:val="17"/>
          <w:b w:val="1"/>
          <w:bCs w:val="1"/>
          <w:color w:val="auto"/>
        </w:rPr>
        <w:t>(millions, except per share amounts)</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00" w:type="dxa"/>
            <w:vAlign w:val="bottom"/>
          </w:tcPr>
          <w:p>
            <w:pPr>
              <w:jc w:val="right"/>
              <w:ind w:right="395"/>
              <w:spacing w:after="0"/>
              <w:rPr>
                <w:sz w:val="20"/>
                <w:szCs w:val="20"/>
                <w:color w:val="auto"/>
              </w:rPr>
            </w:pPr>
            <w:r>
              <w:rPr>
                <w:rFonts w:ascii="Arial" w:cs="Arial" w:eastAsia="Arial" w:hAnsi="Arial"/>
                <w:sz w:val="14"/>
                <w:szCs w:val="14"/>
                <w:b w:val="1"/>
                <w:bCs w:val="1"/>
                <w:color w:val="auto"/>
              </w:rPr>
              <w:t>July 30,</w:t>
            </w:r>
          </w:p>
        </w:tc>
        <w:tc>
          <w:tcPr>
            <w:tcW w:w="320" w:type="dxa"/>
            <w:vAlign w:val="bottom"/>
          </w:tcPr>
          <w:p>
            <w:pPr>
              <w:spacing w:after="0"/>
              <w:rPr>
                <w:sz w:val="14"/>
                <w:szCs w:val="14"/>
                <w:color w:val="auto"/>
              </w:rPr>
            </w:pPr>
          </w:p>
        </w:tc>
        <w:tc>
          <w:tcPr>
            <w:tcW w:w="1060" w:type="dxa"/>
            <w:vAlign w:val="bottom"/>
          </w:tcPr>
          <w:p>
            <w:pPr>
              <w:jc w:val="right"/>
              <w:ind w:right="355"/>
              <w:spacing w:after="0"/>
              <w:rPr>
                <w:sz w:val="20"/>
                <w:szCs w:val="20"/>
                <w:color w:val="auto"/>
              </w:rPr>
            </w:pPr>
            <w:r>
              <w:rPr>
                <w:rFonts w:ascii="Arial" w:cs="Arial" w:eastAsia="Arial" w:hAnsi="Arial"/>
                <w:sz w:val="14"/>
                <w:szCs w:val="14"/>
                <w:b w:val="1"/>
                <w:bCs w:val="1"/>
                <w:color w:val="auto"/>
              </w:rPr>
              <w:t>July 31,</w:t>
            </w:r>
          </w:p>
        </w:tc>
      </w:tr>
      <w:tr>
        <w:trPr>
          <w:trHeight w:val="184"/>
        </w:trPr>
        <w:tc>
          <w:tcPr>
            <w:tcW w:w="68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r>
      <w:tr>
        <w:trPr>
          <w:trHeight w:val="218"/>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Current assets</w:t>
            </w:r>
          </w:p>
        </w:tc>
        <w:tc>
          <w:tcPr>
            <w:tcW w:w="1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9"/>
        </w:trPr>
        <w:tc>
          <w:tcPr>
            <w:tcW w:w="6820" w:type="dxa"/>
            <w:vAlign w:val="bottom"/>
          </w:tcPr>
          <w:p>
            <w:pPr>
              <w:ind w:left="140"/>
              <w:spacing w:after="0"/>
              <w:rPr>
                <w:sz w:val="20"/>
                <w:szCs w:val="20"/>
                <w:color w:val="auto"/>
              </w:rPr>
            </w:pPr>
            <w:r>
              <w:rPr>
                <w:rFonts w:ascii="Arial" w:cs="Arial" w:eastAsia="Arial" w:hAnsi="Arial"/>
                <w:sz w:val="17"/>
                <w:szCs w:val="17"/>
                <w:color w:val="auto"/>
              </w:rPr>
              <w:t>Cash and cash equivalents</w:t>
            </w:r>
          </w:p>
        </w:tc>
        <w:tc>
          <w:tcPr>
            <w:tcW w:w="1920" w:type="dxa"/>
            <w:vAlign w:val="bottom"/>
          </w:tcPr>
          <w:p>
            <w:pPr>
              <w:jc w:val="right"/>
              <w:ind w:right="74"/>
              <w:spacing w:after="0"/>
              <w:rPr>
                <w:sz w:val="20"/>
                <w:szCs w:val="20"/>
                <w:color w:val="auto"/>
              </w:rPr>
            </w:pPr>
            <w:r>
              <w:rPr>
                <w:rFonts w:ascii="Arial" w:cs="Arial" w:eastAsia="Arial" w:hAnsi="Arial"/>
                <w:sz w:val="17"/>
                <w:szCs w:val="17"/>
                <w:b w:val="1"/>
                <w:bCs w:val="1"/>
                <w:color w:val="auto"/>
              </w:rPr>
              <w:t>$</w:t>
            </w:r>
          </w:p>
        </w:tc>
        <w:tc>
          <w:tcPr>
            <w:tcW w:w="1100" w:type="dxa"/>
            <w:vAlign w:val="bottom"/>
          </w:tcPr>
          <w:p>
            <w:pPr>
              <w:jc w:val="right"/>
              <w:ind w:right="35"/>
              <w:spacing w:after="0"/>
              <w:rPr>
                <w:sz w:val="20"/>
                <w:szCs w:val="20"/>
                <w:color w:val="auto"/>
              </w:rPr>
            </w:pPr>
            <w:r>
              <w:rPr>
                <w:rFonts w:ascii="Arial" w:cs="Arial" w:eastAsia="Arial" w:hAnsi="Arial"/>
                <w:sz w:val="17"/>
                <w:szCs w:val="17"/>
                <w:b w:val="1"/>
                <w:bCs w:val="1"/>
                <w:color w:val="auto"/>
              </w:rPr>
              <w:t>189</w:t>
            </w:r>
          </w:p>
        </w:tc>
        <w:tc>
          <w:tcPr>
            <w:tcW w:w="32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109</w:t>
            </w:r>
          </w:p>
        </w:tc>
      </w:tr>
      <w:tr>
        <w:trPr>
          <w:trHeight w:val="219"/>
        </w:trPr>
        <w:tc>
          <w:tcPr>
            <w:tcW w:w="6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Accounts receivable, net</w:t>
            </w:r>
          </w:p>
        </w:tc>
        <w:tc>
          <w:tcPr>
            <w:tcW w:w="19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529</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w:t>
            </w:r>
          </w:p>
        </w:tc>
      </w:tr>
      <w:tr>
        <w:trPr>
          <w:trHeight w:val="219"/>
        </w:trPr>
        <w:tc>
          <w:tcPr>
            <w:tcW w:w="6820" w:type="dxa"/>
            <w:vAlign w:val="bottom"/>
          </w:tcPr>
          <w:p>
            <w:pPr>
              <w:ind w:left="140"/>
              <w:spacing w:after="0"/>
              <w:rPr>
                <w:sz w:val="20"/>
                <w:szCs w:val="20"/>
                <w:color w:val="auto"/>
              </w:rPr>
            </w:pPr>
            <w:r>
              <w:rPr>
                <w:rFonts w:ascii="Arial" w:cs="Arial" w:eastAsia="Arial" w:hAnsi="Arial"/>
                <w:sz w:val="17"/>
                <w:szCs w:val="17"/>
                <w:color w:val="auto"/>
              </w:rPr>
              <w:t>Inventories</w:t>
            </w:r>
          </w:p>
        </w:tc>
        <w:tc>
          <w:tcPr>
            <w:tcW w:w="192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b w:val="1"/>
                <w:bCs w:val="1"/>
                <w:color w:val="auto"/>
              </w:rPr>
              <w:t>1,291</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1,246</w:t>
            </w:r>
          </w:p>
        </w:tc>
      </w:tr>
      <w:tr>
        <w:trPr>
          <w:trHeight w:val="219"/>
        </w:trPr>
        <w:tc>
          <w:tcPr>
            <w:tcW w:w="68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Other current assets</w:t>
            </w:r>
          </w:p>
        </w:tc>
        <w:tc>
          <w:tcPr>
            <w:tcW w:w="19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52</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w:t>
            </w:r>
          </w:p>
        </w:tc>
      </w:tr>
      <w:tr>
        <w:trPr>
          <w:trHeight w:val="212"/>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current assets</w:t>
            </w:r>
          </w:p>
        </w:tc>
        <w:tc>
          <w:tcPr>
            <w:tcW w:w="19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2,061</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1,963</w:t>
            </w:r>
          </w:p>
        </w:tc>
      </w:tr>
      <w:tr>
        <w:trPr>
          <w:trHeight w:val="212"/>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Plant assets, net of depreciation</w:t>
            </w:r>
          </w:p>
        </w:tc>
        <w:tc>
          <w:tcPr>
            <w:tcW w:w="19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2,398</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2,343</w:t>
            </w:r>
          </w:p>
        </w:tc>
      </w:tr>
      <w:tr>
        <w:trPr>
          <w:trHeight w:val="219"/>
        </w:trPr>
        <w:tc>
          <w:tcPr>
            <w:tcW w:w="6820" w:type="dxa"/>
            <w:vAlign w:val="bottom"/>
          </w:tcPr>
          <w:p>
            <w:pPr>
              <w:ind w:left="20"/>
              <w:spacing w:after="0"/>
              <w:rPr>
                <w:sz w:val="20"/>
                <w:szCs w:val="20"/>
                <w:color w:val="auto"/>
              </w:rPr>
            </w:pPr>
            <w:r>
              <w:rPr>
                <w:rFonts w:ascii="Arial" w:cs="Arial" w:eastAsia="Arial" w:hAnsi="Arial"/>
                <w:sz w:val="17"/>
                <w:szCs w:val="17"/>
                <w:color w:val="auto"/>
              </w:rPr>
              <w:t>Goodwill</w:t>
            </w:r>
          </w:p>
        </w:tc>
        <w:tc>
          <w:tcPr>
            <w:tcW w:w="192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b w:val="1"/>
                <w:bCs w:val="1"/>
                <w:color w:val="auto"/>
              </w:rPr>
              <w:t>3,965</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3,979</w:t>
            </w: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intangible assets, net of amortization</w:t>
            </w:r>
          </w:p>
        </w:tc>
        <w:tc>
          <w:tcPr>
            <w:tcW w:w="19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3,142</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3,198</w:t>
            </w:r>
          </w:p>
        </w:tc>
      </w:tr>
      <w:tr>
        <w:trPr>
          <w:trHeight w:val="219"/>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assets</w:t>
            </w:r>
          </w:p>
        </w:tc>
        <w:tc>
          <w:tcPr>
            <w:tcW w:w="19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492</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409</w:t>
            </w:r>
          </w:p>
        </w:tc>
      </w:tr>
      <w:tr>
        <w:trPr>
          <w:trHeight w:val="237"/>
        </w:trPr>
        <w:tc>
          <w:tcPr>
            <w:tcW w:w="6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assets</w:t>
            </w:r>
          </w:p>
        </w:tc>
        <w:tc>
          <w:tcPr>
            <w:tcW w:w="19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12,058</w:t>
            </w:r>
          </w:p>
        </w:tc>
        <w:tc>
          <w:tcPr>
            <w:tcW w:w="3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11,892</w:t>
            </w:r>
          </w:p>
        </w:tc>
      </w:tr>
      <w:tr>
        <w:trPr>
          <w:trHeight w:val="20"/>
        </w:trPr>
        <w:tc>
          <w:tcPr>
            <w:tcW w:w="68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820" w:type="dxa"/>
            <w:vAlign w:val="bottom"/>
          </w:tcPr>
          <w:p>
            <w:pPr>
              <w:ind w:left="20"/>
              <w:spacing w:after="0" w:line="190" w:lineRule="exact"/>
              <w:rPr>
                <w:sz w:val="20"/>
                <w:szCs w:val="20"/>
                <w:color w:val="auto"/>
              </w:rPr>
            </w:pPr>
            <w:r>
              <w:rPr>
                <w:rFonts w:ascii="Arial" w:cs="Arial" w:eastAsia="Arial" w:hAnsi="Arial"/>
                <w:sz w:val="17"/>
                <w:szCs w:val="17"/>
                <w:b w:val="1"/>
                <w:bCs w:val="1"/>
                <w:color w:val="auto"/>
              </w:rPr>
              <w:t>Current liabilities</w:t>
            </w:r>
          </w:p>
        </w:tc>
        <w:tc>
          <w:tcPr>
            <w:tcW w:w="1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9"/>
        </w:trPr>
        <w:tc>
          <w:tcPr>
            <w:tcW w:w="6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Short-term borrowings</w:t>
            </w:r>
          </w:p>
        </w:tc>
        <w:tc>
          <w:tcPr>
            <w:tcW w:w="192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191</w:t>
            </w:r>
          </w:p>
        </w:tc>
        <w:tc>
          <w:tcPr>
            <w:tcW w:w="3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814</w:t>
            </w:r>
          </w:p>
        </w:tc>
      </w:tr>
      <w:tr>
        <w:trPr>
          <w:trHeight w:val="219"/>
        </w:trPr>
        <w:tc>
          <w:tcPr>
            <w:tcW w:w="6820" w:type="dxa"/>
            <w:vAlign w:val="bottom"/>
          </w:tcPr>
          <w:p>
            <w:pPr>
              <w:ind w:left="140"/>
              <w:spacing w:after="0"/>
              <w:rPr>
                <w:sz w:val="20"/>
                <w:szCs w:val="20"/>
                <w:color w:val="auto"/>
              </w:rPr>
            </w:pPr>
            <w:r>
              <w:rPr>
                <w:rFonts w:ascii="Arial" w:cs="Arial" w:eastAsia="Arial" w:hAnsi="Arial"/>
                <w:sz w:val="17"/>
                <w:szCs w:val="17"/>
                <w:color w:val="auto"/>
              </w:rPr>
              <w:t>Accounts payable</w:t>
            </w:r>
          </w:p>
        </w:tc>
        <w:tc>
          <w:tcPr>
            <w:tcW w:w="192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b w:val="1"/>
                <w:bCs w:val="1"/>
                <w:color w:val="auto"/>
              </w:rPr>
              <w:t>1,306</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1,334</w:t>
            </w:r>
          </w:p>
        </w:tc>
      </w:tr>
      <w:tr>
        <w:trPr>
          <w:trHeight w:val="219"/>
        </w:trPr>
        <w:tc>
          <w:tcPr>
            <w:tcW w:w="6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Accrued liabilities</w:t>
            </w:r>
          </w:p>
        </w:tc>
        <w:tc>
          <w:tcPr>
            <w:tcW w:w="19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592</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621</w:t>
            </w:r>
          </w:p>
        </w:tc>
      </w:tr>
      <w:tr>
        <w:trPr>
          <w:trHeight w:val="219"/>
        </w:trPr>
        <w:tc>
          <w:tcPr>
            <w:tcW w:w="6820" w:type="dxa"/>
            <w:vAlign w:val="bottom"/>
          </w:tcPr>
          <w:p>
            <w:pPr>
              <w:ind w:left="140"/>
              <w:spacing w:after="0"/>
              <w:rPr>
                <w:sz w:val="20"/>
                <w:szCs w:val="20"/>
                <w:color w:val="auto"/>
              </w:rPr>
            </w:pPr>
            <w:r>
              <w:rPr>
                <w:rFonts w:ascii="Arial" w:cs="Arial" w:eastAsia="Arial" w:hAnsi="Arial"/>
                <w:sz w:val="17"/>
                <w:szCs w:val="17"/>
                <w:color w:val="auto"/>
              </w:rPr>
              <w:t>Dividends payable</w:t>
            </w:r>
          </w:p>
        </w:tc>
        <w:tc>
          <w:tcPr>
            <w:tcW w:w="192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b w:val="1"/>
                <w:bCs w:val="1"/>
                <w:color w:val="auto"/>
              </w:rPr>
              <w:t>113</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114</w:t>
            </w:r>
          </w:p>
        </w:tc>
      </w:tr>
      <w:tr>
        <w:trPr>
          <w:trHeight w:val="219"/>
        </w:trPr>
        <w:tc>
          <w:tcPr>
            <w:tcW w:w="68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Accrued income taxes</w:t>
            </w:r>
          </w:p>
        </w:tc>
        <w:tc>
          <w:tcPr>
            <w:tcW w:w="19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20</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12"/>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current liabilities</w:t>
            </w:r>
          </w:p>
        </w:tc>
        <w:tc>
          <w:tcPr>
            <w:tcW w:w="19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2,222</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2,886</w:t>
            </w:r>
          </w:p>
        </w:tc>
      </w:tr>
      <w:tr>
        <w:trPr>
          <w:trHeight w:val="212"/>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debt</w:t>
            </w:r>
          </w:p>
        </w:tc>
        <w:tc>
          <w:tcPr>
            <w:tcW w:w="19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4,498</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3,996</w:t>
            </w:r>
          </w:p>
        </w:tc>
      </w:tr>
      <w:tr>
        <w:trPr>
          <w:trHeight w:val="219"/>
        </w:trPr>
        <w:tc>
          <w:tcPr>
            <w:tcW w:w="6820" w:type="dxa"/>
            <w:vAlign w:val="bottom"/>
          </w:tcPr>
          <w:p>
            <w:pPr>
              <w:ind w:left="20"/>
              <w:spacing w:after="0"/>
              <w:rPr>
                <w:sz w:val="20"/>
                <w:szCs w:val="20"/>
                <w:color w:val="auto"/>
              </w:rPr>
            </w:pPr>
            <w:r>
              <w:rPr>
                <w:rFonts w:ascii="Arial" w:cs="Arial" w:eastAsia="Arial" w:hAnsi="Arial"/>
                <w:sz w:val="17"/>
                <w:szCs w:val="17"/>
                <w:color w:val="auto"/>
              </w:rPr>
              <w:t>Deferred taxes</w:t>
            </w:r>
          </w:p>
        </w:tc>
        <w:tc>
          <w:tcPr>
            <w:tcW w:w="192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b w:val="1"/>
                <w:bCs w:val="1"/>
                <w:color w:val="auto"/>
              </w:rPr>
              <w:t>1,067</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1,074</w:t>
            </w:r>
          </w:p>
        </w:tc>
      </w:tr>
      <w:tr>
        <w:trPr>
          <w:trHeight w:val="219"/>
        </w:trPr>
        <w:tc>
          <w:tcPr>
            <w:tcW w:w="6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19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608</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603</w:t>
            </w:r>
          </w:p>
        </w:tc>
      </w:tr>
      <w:tr>
        <w:trPr>
          <w:trHeight w:val="212"/>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liabilities</w:t>
            </w:r>
          </w:p>
        </w:tc>
        <w:tc>
          <w:tcPr>
            <w:tcW w:w="19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8,395</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8,559</w:t>
            </w:r>
          </w:p>
        </w:tc>
      </w:tr>
      <w:tr>
        <w:trPr>
          <w:trHeight w:val="212"/>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Commitments and contingencies</w:t>
            </w:r>
          </w:p>
        </w:tc>
        <w:tc>
          <w:tcPr>
            <w:tcW w:w="1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9"/>
        </w:trPr>
        <w:tc>
          <w:tcPr>
            <w:tcW w:w="6820" w:type="dxa"/>
            <w:vAlign w:val="bottom"/>
          </w:tcPr>
          <w:p>
            <w:pPr>
              <w:ind w:left="20"/>
              <w:spacing w:after="0"/>
              <w:rPr>
                <w:sz w:val="20"/>
                <w:szCs w:val="20"/>
                <w:color w:val="auto"/>
              </w:rPr>
            </w:pPr>
            <w:r>
              <w:rPr>
                <w:rFonts w:ascii="Arial" w:cs="Arial" w:eastAsia="Arial" w:hAnsi="Arial"/>
                <w:sz w:val="17"/>
                <w:szCs w:val="17"/>
                <w:b w:val="1"/>
                <w:bCs w:val="1"/>
                <w:color w:val="auto"/>
              </w:rPr>
              <w:t>Campbell Soup Company shareholders' equity</w:t>
            </w:r>
          </w:p>
        </w:tc>
        <w:tc>
          <w:tcPr>
            <w:tcW w:w="1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9"/>
        </w:trPr>
        <w:tc>
          <w:tcPr>
            <w:tcW w:w="6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Preferred stock; authorized 40 shares; none issued</w:t>
            </w:r>
          </w:p>
        </w:tc>
        <w:tc>
          <w:tcPr>
            <w:tcW w:w="19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6820" w:type="dxa"/>
            <w:vAlign w:val="bottom"/>
          </w:tcPr>
          <w:p>
            <w:pPr>
              <w:ind w:left="140"/>
              <w:spacing w:after="0"/>
              <w:rPr>
                <w:sz w:val="20"/>
                <w:szCs w:val="20"/>
                <w:color w:val="auto"/>
              </w:rPr>
            </w:pPr>
            <w:r>
              <w:rPr>
                <w:rFonts w:ascii="Arial" w:cs="Arial" w:eastAsia="Arial" w:hAnsi="Arial"/>
                <w:sz w:val="17"/>
                <w:szCs w:val="17"/>
                <w:color w:val="auto"/>
              </w:rPr>
              <w:t>Capital stock, $.0375 par value; authorized 560 shares; issued 323 shares</w:t>
            </w:r>
          </w:p>
        </w:tc>
        <w:tc>
          <w:tcPr>
            <w:tcW w:w="192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b w:val="1"/>
                <w:bCs w:val="1"/>
                <w:color w:val="auto"/>
              </w:rPr>
              <w:t>12</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19"/>
        </w:trPr>
        <w:tc>
          <w:tcPr>
            <w:tcW w:w="6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Additional paid-in capital</w:t>
            </w:r>
          </w:p>
        </w:tc>
        <w:tc>
          <w:tcPr>
            <w:tcW w:w="19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420</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w:t>
            </w:r>
          </w:p>
        </w:tc>
      </w:tr>
      <w:tr>
        <w:trPr>
          <w:trHeight w:val="219"/>
        </w:trPr>
        <w:tc>
          <w:tcPr>
            <w:tcW w:w="6820" w:type="dxa"/>
            <w:vAlign w:val="bottom"/>
          </w:tcPr>
          <w:p>
            <w:pPr>
              <w:ind w:left="140"/>
              <w:spacing w:after="0"/>
              <w:rPr>
                <w:sz w:val="20"/>
                <w:szCs w:val="20"/>
                <w:color w:val="auto"/>
              </w:rPr>
            </w:pPr>
            <w:r>
              <w:rPr>
                <w:rFonts w:ascii="Arial" w:cs="Arial" w:eastAsia="Arial" w:hAnsi="Arial"/>
                <w:sz w:val="17"/>
                <w:szCs w:val="17"/>
                <w:color w:val="auto"/>
              </w:rPr>
              <w:t>Earnings retained in the business</w:t>
            </w:r>
          </w:p>
        </w:tc>
        <w:tc>
          <w:tcPr>
            <w:tcW w:w="192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b w:val="1"/>
                <w:bCs w:val="1"/>
                <w:color w:val="auto"/>
              </w:rPr>
              <w:t>4,451</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4,040</w:t>
            </w:r>
          </w:p>
        </w:tc>
      </w:tr>
      <w:tr>
        <w:trPr>
          <w:trHeight w:val="219"/>
        </w:trPr>
        <w:tc>
          <w:tcPr>
            <w:tcW w:w="6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Capital stock in treasury, at cost</w:t>
            </w:r>
          </w:p>
        </w:tc>
        <w:tc>
          <w:tcPr>
            <w:tcW w:w="19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(1,219)</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(1,138)</w:t>
            </w:r>
          </w:p>
        </w:tc>
      </w:tr>
      <w:tr>
        <w:trPr>
          <w:trHeight w:val="219"/>
        </w:trPr>
        <w:tc>
          <w:tcPr>
            <w:tcW w:w="68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Accumulated other comprehensive income (loss)</w:t>
            </w:r>
          </w:p>
        </w:tc>
        <w:tc>
          <w:tcPr>
            <w:tcW w:w="19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r>
      <w:tr>
        <w:trPr>
          <w:trHeight w:val="212"/>
        </w:trPr>
        <w:tc>
          <w:tcPr>
            <w:tcW w:w="6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Campbell Soup Company shareholders' equity</w:t>
            </w:r>
          </w:p>
        </w:tc>
        <w:tc>
          <w:tcPr>
            <w:tcW w:w="19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3,661</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3,331</w:t>
            </w:r>
          </w:p>
        </w:tc>
      </w:tr>
      <w:tr>
        <w:trPr>
          <w:trHeight w:val="212"/>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Noncontrolling interests</w:t>
            </w:r>
          </w:p>
        </w:tc>
        <w:tc>
          <w:tcPr>
            <w:tcW w:w="19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r>
      <w:tr>
        <w:trPr>
          <w:trHeight w:val="212"/>
        </w:trPr>
        <w:tc>
          <w:tcPr>
            <w:tcW w:w="6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equity</w:t>
            </w:r>
          </w:p>
        </w:tc>
        <w:tc>
          <w:tcPr>
            <w:tcW w:w="19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3,663</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3,333</w:t>
            </w:r>
          </w:p>
        </w:tc>
      </w:tr>
      <w:tr>
        <w:trPr>
          <w:trHeight w:val="212"/>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liabilities and equity</w:t>
            </w:r>
          </w:p>
        </w:tc>
        <w:tc>
          <w:tcPr>
            <w:tcW w:w="19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12,058</w:t>
            </w:r>
          </w:p>
        </w:tc>
        <w:tc>
          <w:tcPr>
            <w:tcW w:w="3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11,892</w:t>
            </w:r>
          </w:p>
        </w:tc>
      </w:tr>
      <w:tr>
        <w:trPr>
          <w:trHeight w:val="20"/>
        </w:trPr>
        <w:tc>
          <w:tcPr>
            <w:tcW w:w="68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116205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7"/>
          <w:szCs w:val="17"/>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(millions)</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77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2021</w:t>
            </w:r>
          </w:p>
        </w:tc>
      </w:tr>
      <w:tr>
        <w:trPr>
          <w:trHeight w:val="189"/>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04"/>
        </w:trPr>
        <w:tc>
          <w:tcPr>
            <w:tcW w:w="7720" w:type="dxa"/>
            <w:vAlign w:val="bottom"/>
          </w:tcPr>
          <w:p>
            <w:pPr>
              <w:ind w:left="140"/>
              <w:spacing w:after="0"/>
              <w:rPr>
                <w:sz w:val="20"/>
                <w:szCs w:val="20"/>
                <w:color w:val="auto"/>
              </w:rPr>
            </w:pPr>
            <w:r>
              <w:rPr>
                <w:rFonts w:ascii="Arial" w:cs="Arial" w:eastAsia="Arial" w:hAnsi="Arial"/>
                <w:sz w:val="15"/>
                <w:szCs w:val="15"/>
                <w:color w:val="auto"/>
              </w:rPr>
              <w:t>Net earnings</w:t>
            </w:r>
          </w:p>
        </w:tc>
        <w:tc>
          <w:tcPr>
            <w:tcW w:w="24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840" w:type="dxa"/>
            <w:vAlign w:val="bottom"/>
          </w:tcPr>
          <w:p>
            <w:pPr>
              <w:jc w:val="right"/>
              <w:ind w:right="3"/>
              <w:spacing w:after="0"/>
              <w:rPr>
                <w:sz w:val="20"/>
                <w:szCs w:val="20"/>
                <w:color w:val="auto"/>
              </w:rPr>
            </w:pPr>
            <w:r>
              <w:rPr>
                <w:rFonts w:ascii="Arial" w:cs="Arial" w:eastAsia="Arial" w:hAnsi="Arial"/>
                <w:sz w:val="15"/>
                <w:szCs w:val="15"/>
                <w:b w:val="1"/>
                <w:bCs w:val="1"/>
                <w:color w:val="auto"/>
              </w:rPr>
              <w:t>858</w:t>
            </w:r>
          </w:p>
        </w:tc>
        <w:tc>
          <w:tcPr>
            <w:tcW w:w="10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757</w:t>
            </w:r>
          </w:p>
        </w:tc>
        <w:tc>
          <w:tcPr>
            <w:tcW w:w="12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1,002</w:t>
            </w:r>
          </w:p>
        </w:tc>
      </w:tr>
      <w:tr>
        <w:trPr>
          <w:trHeight w:val="208"/>
        </w:trPr>
        <w:tc>
          <w:tcPr>
            <w:tcW w:w="7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Adjustments to reconcile net earnings to operating cash flow</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04"/>
        </w:trPr>
        <w:tc>
          <w:tcPr>
            <w:tcW w:w="7720" w:type="dxa"/>
            <w:vAlign w:val="bottom"/>
          </w:tcPr>
          <w:p>
            <w:pPr>
              <w:ind w:left="320"/>
              <w:spacing w:after="0"/>
              <w:rPr>
                <w:sz w:val="20"/>
                <w:szCs w:val="20"/>
                <w:color w:val="auto"/>
              </w:rPr>
            </w:pPr>
            <w:r>
              <w:rPr>
                <w:rFonts w:ascii="Arial" w:cs="Arial" w:eastAsia="Arial" w:hAnsi="Arial"/>
                <w:sz w:val="15"/>
                <w:szCs w:val="15"/>
                <w:color w:val="auto"/>
              </w:rPr>
              <w:t>Restructuring charges</w:t>
            </w:r>
          </w:p>
        </w:tc>
        <w:tc>
          <w:tcPr>
            <w:tcW w:w="24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b w:val="1"/>
                <w:bCs w:val="1"/>
                <w:color w:val="auto"/>
              </w:rPr>
              <w:t>16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21</w:t>
            </w:r>
          </w:p>
        </w:tc>
      </w:tr>
      <w:tr>
        <w:trPr>
          <w:trHeight w:val="208"/>
        </w:trPr>
        <w:tc>
          <w:tcPr>
            <w:tcW w:w="77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Stock-based compensation</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64</w:t>
            </w:r>
          </w:p>
        </w:tc>
      </w:tr>
      <w:tr>
        <w:trPr>
          <w:trHeight w:val="204"/>
        </w:trPr>
        <w:tc>
          <w:tcPr>
            <w:tcW w:w="7720" w:type="dxa"/>
            <w:vAlign w:val="bottom"/>
          </w:tcPr>
          <w:p>
            <w:pPr>
              <w:ind w:left="320"/>
              <w:spacing w:after="0"/>
              <w:rPr>
                <w:sz w:val="20"/>
                <w:szCs w:val="20"/>
                <w:color w:val="auto"/>
              </w:rPr>
            </w:pPr>
            <w:r>
              <w:rPr>
                <w:rFonts w:ascii="Arial" w:cs="Arial" w:eastAsia="Arial" w:hAnsi="Arial"/>
                <w:sz w:val="15"/>
                <w:szCs w:val="15"/>
                <w:color w:val="auto"/>
              </w:rPr>
              <w:t>Pension and postretirement benefit expense (income)</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(267)</w:t>
            </w:r>
          </w:p>
        </w:tc>
      </w:tr>
      <w:tr>
        <w:trPr>
          <w:trHeight w:val="208"/>
        </w:trPr>
        <w:tc>
          <w:tcPr>
            <w:tcW w:w="77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Depreciation and amortization</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387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317</w:t>
            </w:r>
          </w:p>
        </w:tc>
      </w:tr>
      <w:tr>
        <w:trPr>
          <w:trHeight w:val="204"/>
        </w:trPr>
        <w:tc>
          <w:tcPr>
            <w:tcW w:w="7720" w:type="dxa"/>
            <w:vAlign w:val="bottom"/>
          </w:tcPr>
          <w:p>
            <w:pPr>
              <w:ind w:left="320"/>
              <w:spacing w:after="0"/>
              <w:rPr>
                <w:sz w:val="20"/>
                <w:szCs w:val="20"/>
                <w:color w:val="auto"/>
              </w:rPr>
            </w:pPr>
            <w:r>
              <w:rPr>
                <w:rFonts w:ascii="Arial" w:cs="Arial" w:eastAsia="Arial" w:hAnsi="Arial"/>
                <w:sz w:val="15"/>
                <w:szCs w:val="15"/>
                <w:color w:val="auto"/>
              </w:rPr>
              <w:t>Deferred income taxes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137</w:t>
            </w:r>
          </w:p>
        </w:tc>
      </w:tr>
      <w:tr>
        <w:trPr>
          <w:trHeight w:val="208"/>
        </w:trPr>
        <w:tc>
          <w:tcPr>
            <w:tcW w:w="77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Net loss on sales of businesses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w:t>
            </w:r>
          </w:p>
        </w:tc>
      </w:tr>
      <w:tr>
        <w:trPr>
          <w:trHeight w:val="204"/>
        </w:trPr>
        <w:tc>
          <w:tcPr>
            <w:tcW w:w="7720" w:type="dxa"/>
            <w:vAlign w:val="bottom"/>
          </w:tcPr>
          <w:p>
            <w:pPr>
              <w:ind w:left="320"/>
              <w:spacing w:after="0"/>
              <w:rPr>
                <w:sz w:val="20"/>
                <w:szCs w:val="20"/>
                <w:color w:val="auto"/>
              </w:rPr>
            </w:pPr>
            <w:r>
              <w:rPr>
                <w:rFonts w:ascii="Arial" w:cs="Arial" w:eastAsia="Arial" w:hAnsi="Arial"/>
                <w:sz w:val="15"/>
                <w:szCs w:val="15"/>
                <w:color w:val="auto"/>
              </w:rPr>
              <w:t>Loss on extinguishment of debt</w:t>
            </w:r>
          </w:p>
        </w:tc>
        <w:tc>
          <w:tcPr>
            <w:tcW w:w="2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208"/>
        </w:trPr>
        <w:tc>
          <w:tcPr>
            <w:tcW w:w="77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Other</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86</w:t>
            </w:r>
          </w:p>
        </w:tc>
      </w:tr>
      <w:tr>
        <w:trPr>
          <w:trHeight w:val="203"/>
        </w:trPr>
        <w:tc>
          <w:tcPr>
            <w:tcW w:w="7720" w:type="dxa"/>
            <w:vAlign w:val="bottom"/>
          </w:tcPr>
          <w:p>
            <w:pPr>
              <w:ind w:left="140"/>
              <w:spacing w:after="0"/>
              <w:rPr>
                <w:sz w:val="20"/>
                <w:szCs w:val="20"/>
                <w:color w:val="auto"/>
              </w:rPr>
            </w:pPr>
            <w:r>
              <w:rPr>
                <w:rFonts w:ascii="Arial" w:cs="Arial" w:eastAsia="Arial" w:hAnsi="Arial"/>
                <w:sz w:val="15"/>
                <w:szCs w:val="15"/>
                <w:color w:val="auto"/>
              </w:rPr>
              <w:t>Changes in working capital, net of divestitures</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9"/>
        </w:trPr>
        <w:tc>
          <w:tcPr>
            <w:tcW w:w="77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Accounts receivable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r>
      <w:tr>
        <w:trPr>
          <w:trHeight w:val="204"/>
        </w:trPr>
        <w:tc>
          <w:tcPr>
            <w:tcW w:w="7720" w:type="dxa"/>
            <w:vAlign w:val="bottom"/>
          </w:tcPr>
          <w:p>
            <w:pPr>
              <w:ind w:left="320"/>
              <w:spacing w:after="0"/>
              <w:rPr>
                <w:sz w:val="20"/>
                <w:szCs w:val="20"/>
                <w:color w:val="auto"/>
              </w:rPr>
            </w:pPr>
            <w:r>
              <w:rPr>
                <w:rFonts w:ascii="Arial" w:cs="Arial" w:eastAsia="Arial" w:hAnsi="Arial"/>
                <w:sz w:val="15"/>
                <w:szCs w:val="15"/>
                <w:color w:val="auto"/>
              </w:rPr>
              <w:t>Inventories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(64)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(314)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(77)</w:t>
            </w:r>
          </w:p>
        </w:tc>
      </w:tr>
      <w:tr>
        <w:trPr>
          <w:trHeight w:val="208"/>
        </w:trPr>
        <w:tc>
          <w:tcPr>
            <w:tcW w:w="77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Other current assets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w:t>
            </w:r>
          </w:p>
        </w:tc>
      </w:tr>
      <w:tr>
        <w:trPr>
          <w:trHeight w:val="204"/>
        </w:trPr>
        <w:tc>
          <w:tcPr>
            <w:tcW w:w="7720" w:type="dxa"/>
            <w:vAlign w:val="bottom"/>
          </w:tcPr>
          <w:p>
            <w:pPr>
              <w:ind w:left="320"/>
              <w:spacing w:after="0"/>
              <w:rPr>
                <w:sz w:val="20"/>
                <w:szCs w:val="20"/>
                <w:color w:val="auto"/>
              </w:rPr>
            </w:pPr>
            <w:r>
              <w:rPr>
                <w:rFonts w:ascii="Arial" w:cs="Arial" w:eastAsia="Arial" w:hAnsi="Arial"/>
                <w:sz w:val="15"/>
                <w:szCs w:val="15"/>
                <w:color w:val="auto"/>
              </w:rPr>
              <w:t>Accounts payable and accrued liabilities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(164)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200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(164)</w:t>
            </w:r>
          </w:p>
        </w:tc>
      </w:tr>
      <w:tr>
        <w:trPr>
          <w:trHeight w:val="206"/>
        </w:trPr>
        <w:tc>
          <w:tcPr>
            <w:tcW w:w="7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color w:val="auto"/>
              </w:rPr>
              <w:t>Other</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(51)</w:t>
            </w: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1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w:t>
            </w:r>
          </w:p>
        </w:tc>
      </w:tr>
      <w:tr>
        <w:trPr>
          <w:trHeight w:val="199"/>
        </w:trPr>
        <w:tc>
          <w:tcPr>
            <w:tcW w:w="7720" w:type="dxa"/>
            <w:vAlign w:val="bottom"/>
            <w:tcBorders>
              <w:bottom w:val="single" w:sz="8" w:color="auto"/>
            </w:tcBorders>
          </w:tcPr>
          <w:p>
            <w:pPr>
              <w:ind w:left="520"/>
              <w:spacing w:after="0"/>
              <w:rPr>
                <w:sz w:val="20"/>
                <w:szCs w:val="20"/>
                <w:color w:val="auto"/>
              </w:rPr>
            </w:pPr>
            <w:r>
              <w:rPr>
                <w:rFonts w:ascii="Arial" w:cs="Arial" w:eastAsia="Arial" w:hAnsi="Arial"/>
                <w:sz w:val="15"/>
                <w:szCs w:val="15"/>
                <w:b w:val="1"/>
                <w:bCs w:val="1"/>
                <w:color w:val="auto"/>
              </w:rPr>
              <w:t>Net cash provided by operating activities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1,143</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1,181</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1,035</w:t>
            </w:r>
          </w:p>
        </w:tc>
      </w:tr>
      <w:tr>
        <w:trPr>
          <w:trHeight w:val="201"/>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4"/>
        </w:trPr>
        <w:tc>
          <w:tcPr>
            <w:tcW w:w="7720" w:type="dxa"/>
            <w:vAlign w:val="bottom"/>
          </w:tcPr>
          <w:p>
            <w:pPr>
              <w:ind w:left="140"/>
              <w:spacing w:after="0"/>
              <w:rPr>
                <w:sz w:val="20"/>
                <w:szCs w:val="20"/>
                <w:color w:val="auto"/>
              </w:rPr>
            </w:pPr>
            <w:r>
              <w:rPr>
                <w:rFonts w:ascii="Arial" w:cs="Arial" w:eastAsia="Arial" w:hAnsi="Arial"/>
                <w:sz w:val="15"/>
                <w:szCs w:val="15"/>
                <w:color w:val="auto"/>
              </w:rPr>
              <w:t>Purchases of plant assets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(370)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(242)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(275)</w:t>
            </w:r>
          </w:p>
        </w:tc>
      </w:tr>
      <w:tr>
        <w:trPr>
          <w:trHeight w:val="208"/>
        </w:trPr>
        <w:tc>
          <w:tcPr>
            <w:tcW w:w="7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Purchases of route businesses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r>
      <w:tr>
        <w:trPr>
          <w:trHeight w:val="204"/>
        </w:trPr>
        <w:tc>
          <w:tcPr>
            <w:tcW w:w="7720" w:type="dxa"/>
            <w:vAlign w:val="bottom"/>
          </w:tcPr>
          <w:p>
            <w:pPr>
              <w:ind w:left="140"/>
              <w:spacing w:after="0"/>
              <w:rPr>
                <w:sz w:val="20"/>
                <w:szCs w:val="20"/>
                <w:color w:val="auto"/>
              </w:rPr>
            </w:pPr>
            <w:r>
              <w:rPr>
                <w:rFonts w:ascii="Arial" w:cs="Arial" w:eastAsia="Arial" w:hAnsi="Arial"/>
                <w:sz w:val="15"/>
                <w:szCs w:val="15"/>
                <w:color w:val="auto"/>
              </w:rPr>
              <w:t>Sales of route businesses</w:t>
            </w:r>
          </w:p>
        </w:tc>
        <w:tc>
          <w:tcPr>
            <w:tcW w:w="24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b w:val="1"/>
                <w:bCs w:val="1"/>
                <w:color w:val="auto"/>
              </w:rPr>
              <w:t>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10</w:t>
            </w:r>
          </w:p>
        </w:tc>
      </w:tr>
      <w:tr>
        <w:trPr>
          <w:trHeight w:val="208"/>
        </w:trPr>
        <w:tc>
          <w:tcPr>
            <w:tcW w:w="7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Sales of businesses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101</w:t>
            </w:r>
          </w:p>
        </w:tc>
      </w:tr>
      <w:tr>
        <w:trPr>
          <w:trHeight w:val="204"/>
        </w:trPr>
        <w:tc>
          <w:tcPr>
            <w:tcW w:w="772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Other</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w:t>
            </w:r>
          </w:p>
        </w:tc>
      </w:tr>
      <w:tr>
        <w:trPr>
          <w:trHeight w:val="199"/>
        </w:trPr>
        <w:tc>
          <w:tcPr>
            <w:tcW w:w="77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5"/>
                <w:szCs w:val="15"/>
                <w:b w:val="1"/>
                <w:bCs w:val="1"/>
                <w:color w:val="auto"/>
              </w:rPr>
              <w:t>Net cash used in investing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(340)</w:t>
            </w: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(230)</w:t>
            </w:r>
          </w:p>
        </w:tc>
        <w:tc>
          <w:tcPr>
            <w:tcW w:w="1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(158)</w:t>
            </w:r>
          </w:p>
        </w:tc>
      </w:tr>
      <w:tr>
        <w:trPr>
          <w:trHeight w:val="199"/>
        </w:trPr>
        <w:tc>
          <w:tcPr>
            <w:tcW w:w="7720" w:type="dxa"/>
            <w:vAlign w:val="bottom"/>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8"/>
        </w:trPr>
        <w:tc>
          <w:tcPr>
            <w:tcW w:w="7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Short-term borrowings, including commercial paper</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3,677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320</w:t>
            </w:r>
          </w:p>
        </w:tc>
      </w:tr>
      <w:tr>
        <w:trPr>
          <w:trHeight w:val="204"/>
        </w:trPr>
        <w:tc>
          <w:tcPr>
            <w:tcW w:w="7720" w:type="dxa"/>
            <w:vAlign w:val="bottom"/>
          </w:tcPr>
          <w:p>
            <w:pPr>
              <w:ind w:left="140"/>
              <w:spacing w:after="0"/>
              <w:rPr>
                <w:sz w:val="20"/>
                <w:szCs w:val="20"/>
                <w:color w:val="auto"/>
              </w:rPr>
            </w:pPr>
            <w:r>
              <w:rPr>
                <w:rFonts w:ascii="Arial" w:cs="Arial" w:eastAsia="Arial" w:hAnsi="Arial"/>
                <w:sz w:val="15"/>
                <w:szCs w:val="15"/>
                <w:color w:val="auto"/>
              </w:rPr>
              <w:t>Short-term repayments, including commercial paper</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(3,749)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(997)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(580)</w:t>
            </w:r>
          </w:p>
        </w:tc>
      </w:tr>
      <w:tr>
        <w:trPr>
          <w:trHeight w:val="208"/>
        </w:trPr>
        <w:tc>
          <w:tcPr>
            <w:tcW w:w="7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Long-term borrowings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500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r>
      <w:tr>
        <w:trPr>
          <w:trHeight w:val="204"/>
        </w:trPr>
        <w:tc>
          <w:tcPr>
            <w:tcW w:w="7720" w:type="dxa"/>
            <w:vAlign w:val="bottom"/>
          </w:tcPr>
          <w:p>
            <w:pPr>
              <w:ind w:left="140"/>
              <w:spacing w:after="0"/>
              <w:rPr>
                <w:sz w:val="20"/>
                <w:szCs w:val="20"/>
                <w:color w:val="auto"/>
              </w:rPr>
            </w:pPr>
            <w:r>
              <w:rPr>
                <w:rFonts w:ascii="Arial" w:cs="Arial" w:eastAsia="Arial" w:hAnsi="Arial"/>
                <w:sz w:val="15"/>
                <w:szCs w:val="15"/>
                <w:color w:val="auto"/>
              </w:rPr>
              <w:t>Long-term repayments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(566)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(921)</w:t>
            </w:r>
          </w:p>
        </w:tc>
      </w:tr>
      <w:tr>
        <w:trPr>
          <w:trHeight w:val="208"/>
        </w:trPr>
        <w:tc>
          <w:tcPr>
            <w:tcW w:w="7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Dividends paid</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(439)</w:t>
            </w:r>
          </w:p>
        </w:tc>
      </w:tr>
      <w:tr>
        <w:trPr>
          <w:trHeight w:val="204"/>
        </w:trPr>
        <w:tc>
          <w:tcPr>
            <w:tcW w:w="7720" w:type="dxa"/>
            <w:vAlign w:val="bottom"/>
          </w:tcPr>
          <w:p>
            <w:pPr>
              <w:ind w:left="140"/>
              <w:spacing w:after="0"/>
              <w:rPr>
                <w:sz w:val="20"/>
                <w:szCs w:val="20"/>
                <w:color w:val="auto"/>
              </w:rPr>
            </w:pPr>
            <w:r>
              <w:rPr>
                <w:rFonts w:ascii="Arial" w:cs="Arial" w:eastAsia="Arial" w:hAnsi="Arial"/>
                <w:sz w:val="15"/>
                <w:szCs w:val="15"/>
                <w:color w:val="auto"/>
              </w:rPr>
              <w:t>Treasury stock purchases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(142)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(167)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(36)</w:t>
            </w:r>
          </w:p>
        </w:tc>
      </w:tr>
      <w:tr>
        <w:trPr>
          <w:trHeight w:val="208"/>
        </w:trPr>
        <w:tc>
          <w:tcPr>
            <w:tcW w:w="7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Treasury stock issuances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w:t>
            </w:r>
          </w:p>
        </w:tc>
      </w:tr>
      <w:tr>
        <w:trPr>
          <w:trHeight w:val="204"/>
        </w:trPr>
        <w:tc>
          <w:tcPr>
            <w:tcW w:w="7720" w:type="dxa"/>
            <w:vAlign w:val="bottom"/>
          </w:tcPr>
          <w:p>
            <w:pPr>
              <w:ind w:left="140"/>
              <w:spacing w:after="0"/>
              <w:rPr>
                <w:sz w:val="20"/>
                <w:szCs w:val="20"/>
                <w:color w:val="auto"/>
              </w:rPr>
            </w:pPr>
            <w:r>
              <w:rPr>
                <w:rFonts w:ascii="Arial" w:cs="Arial" w:eastAsia="Arial" w:hAnsi="Arial"/>
                <w:sz w:val="15"/>
                <w:szCs w:val="15"/>
                <w:color w:val="auto"/>
              </w:rPr>
              <w:t>Payments related to tax withholding for stock-based compensation</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(19)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208"/>
        </w:trPr>
        <w:tc>
          <w:tcPr>
            <w:tcW w:w="7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Payments related to extinguishment of debt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r>
      <w:tr>
        <w:trPr>
          <w:trHeight w:val="204"/>
        </w:trPr>
        <w:tc>
          <w:tcPr>
            <w:tcW w:w="772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Other</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r>
      <w:tr>
        <w:trPr>
          <w:trHeight w:val="199"/>
        </w:trPr>
        <w:tc>
          <w:tcPr>
            <w:tcW w:w="77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5"/>
                <w:szCs w:val="15"/>
                <w:b w:val="1"/>
                <w:bCs w:val="1"/>
                <w:color w:val="auto"/>
              </w:rPr>
              <w:t>Net cash used in financing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(723)</w:t>
            </w: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(910)</w:t>
            </w:r>
          </w:p>
        </w:tc>
        <w:tc>
          <w:tcPr>
            <w:tcW w:w="1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(1,669)</w:t>
            </w:r>
          </w:p>
        </w:tc>
      </w:tr>
      <w:tr>
        <w:trPr>
          <w:trHeight w:val="199"/>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Effect of exchange rate changes on cash</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w:t>
            </w:r>
          </w:p>
        </w:tc>
      </w:tr>
      <w:tr>
        <w:trPr>
          <w:trHeight w:val="201"/>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change in cash and cash equivalents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80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(790)</w:t>
            </w:r>
          </w:p>
        </w:tc>
      </w:tr>
      <w:tr>
        <w:trPr>
          <w:trHeight w:val="204"/>
        </w:trPr>
        <w:tc>
          <w:tcPr>
            <w:tcW w:w="7720" w:type="dxa"/>
            <w:vAlign w:val="bottom"/>
          </w:tcPr>
          <w:p>
            <w:pPr>
              <w:ind w:left="20"/>
              <w:spacing w:after="0"/>
              <w:rPr>
                <w:sz w:val="20"/>
                <w:szCs w:val="20"/>
                <w:color w:val="auto"/>
              </w:rPr>
            </w:pPr>
            <w:r>
              <w:rPr>
                <w:rFonts w:ascii="Arial" w:cs="Arial" w:eastAsia="Arial" w:hAnsi="Arial"/>
                <w:sz w:val="15"/>
                <w:szCs w:val="15"/>
                <w:b w:val="1"/>
                <w:bCs w:val="1"/>
                <w:color w:val="auto"/>
              </w:rPr>
              <w:t>Cash and cash equivalents — beginning of period (including discontinued operations)</w:t>
            </w:r>
          </w:p>
        </w:tc>
        <w:tc>
          <w:tcPr>
            <w:tcW w:w="24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b w:val="1"/>
                <w:bCs w:val="1"/>
                <w:color w:val="auto"/>
              </w:rPr>
              <w:t>109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859</w:t>
            </w:r>
          </w:p>
        </w:tc>
      </w:tr>
      <w:tr>
        <w:trPr>
          <w:trHeight w:val="206"/>
        </w:trPr>
        <w:tc>
          <w:tcPr>
            <w:tcW w:w="7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Less cash and cash equivalents discontinued operations - end of period</w:t>
            </w: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r>
      <w:tr>
        <w:trPr>
          <w:trHeight w:val="199"/>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Cash and cash equivalents — end of period</w:t>
            </w: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189</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69</w:t>
            </w:r>
          </w:p>
        </w:tc>
      </w:tr>
      <w:tr>
        <w:trPr>
          <w:trHeight w:val="21"/>
        </w:trPr>
        <w:tc>
          <w:tcPr>
            <w:tcW w:w="7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116205</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7"/>
          <w:szCs w:val="17"/>
          <w:b w:val="1"/>
          <w:bCs w:val="1"/>
          <w:color w:val="auto"/>
        </w:rPr>
        <w:t>CAMPBELL SOUP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Consolidated Statements of Equity</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(millions, except per share amounts)</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60" w:type="dxa"/>
            <w:vAlign w:val="bottom"/>
            <w:gridSpan w:val="7"/>
          </w:tcPr>
          <w:p>
            <w:pPr>
              <w:jc w:val="right"/>
              <w:ind w:right="531"/>
              <w:spacing w:after="0"/>
              <w:rPr>
                <w:sz w:val="20"/>
                <w:szCs w:val="20"/>
                <w:color w:val="auto"/>
              </w:rPr>
            </w:pPr>
            <w:r>
              <w:rPr>
                <w:rFonts w:ascii="Arial" w:cs="Arial" w:eastAsia="Arial" w:hAnsi="Arial"/>
                <w:sz w:val="14"/>
                <w:szCs w:val="14"/>
                <w:b w:val="1"/>
                <w:bCs w:val="1"/>
                <w:color w:val="auto"/>
                <w:w w:val="96"/>
              </w:rPr>
              <w:t>Campbell Soup Company Shareholders’ Equity</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2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2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351"/>
              <w:spacing w:after="0"/>
              <w:rPr>
                <w:sz w:val="20"/>
                <w:szCs w:val="20"/>
                <w:color w:val="auto"/>
              </w:rPr>
            </w:pPr>
            <w:r>
              <w:rPr>
                <w:rFonts w:ascii="Arial" w:cs="Arial" w:eastAsia="Arial" w:hAnsi="Arial"/>
                <w:sz w:val="14"/>
                <w:szCs w:val="14"/>
                <w:b w:val="1"/>
                <w:bCs w:val="1"/>
                <w:color w:val="auto"/>
              </w:rPr>
              <w:t>Capital Stock</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260" w:type="dxa"/>
            <w:vAlign w:val="bottom"/>
          </w:tcPr>
          <w:p>
            <w:pPr>
              <w:spacing w:after="0"/>
              <w:rPr>
                <w:sz w:val="17"/>
                <w:szCs w:val="17"/>
                <w:color w:val="auto"/>
              </w:rPr>
            </w:pPr>
          </w:p>
        </w:tc>
        <w:tc>
          <w:tcPr>
            <w:tcW w:w="1560" w:type="dxa"/>
            <w:vAlign w:val="bottom"/>
            <w:tcBorders>
              <w:bottom w:val="single" w:sz="8" w:color="auto"/>
            </w:tcBorders>
            <w:gridSpan w:val="3"/>
          </w:tcPr>
          <w:p>
            <w:pPr>
              <w:jc w:val="right"/>
              <w:ind w:right="531"/>
              <w:spacing w:after="0"/>
              <w:rPr>
                <w:sz w:val="20"/>
                <w:szCs w:val="20"/>
                <w:color w:val="auto"/>
              </w:rPr>
            </w:pPr>
            <w:r>
              <w:rPr>
                <w:rFonts w:ascii="Arial" w:cs="Arial" w:eastAsia="Arial" w:hAnsi="Arial"/>
                <w:sz w:val="14"/>
                <w:szCs w:val="14"/>
                <w:b w:val="1"/>
                <w:bCs w:val="1"/>
                <w:color w:val="auto"/>
              </w:rPr>
              <w:t>Issued</w:t>
            </w:r>
          </w:p>
        </w:tc>
        <w:tc>
          <w:tcPr>
            <w:tcW w:w="100" w:type="dxa"/>
            <w:vAlign w:val="bottom"/>
          </w:tcPr>
          <w:p>
            <w:pPr>
              <w:spacing w:after="0"/>
              <w:rPr>
                <w:sz w:val="17"/>
                <w:szCs w:val="17"/>
                <w:color w:val="auto"/>
              </w:rPr>
            </w:pPr>
          </w:p>
        </w:tc>
        <w:tc>
          <w:tcPr>
            <w:tcW w:w="1560" w:type="dxa"/>
            <w:vAlign w:val="bottom"/>
            <w:tcBorders>
              <w:bottom w:val="single" w:sz="8" w:color="auto"/>
            </w:tcBorders>
            <w:gridSpan w:val="3"/>
          </w:tcPr>
          <w:p>
            <w:pPr>
              <w:jc w:val="right"/>
              <w:ind w:right="371"/>
              <w:spacing w:after="0"/>
              <w:rPr>
                <w:sz w:val="20"/>
                <w:szCs w:val="20"/>
                <w:color w:val="auto"/>
              </w:rPr>
            </w:pPr>
            <w:r>
              <w:rPr>
                <w:rFonts w:ascii="Arial" w:cs="Arial" w:eastAsia="Arial" w:hAnsi="Arial"/>
                <w:sz w:val="14"/>
                <w:szCs w:val="14"/>
                <w:b w:val="1"/>
                <w:bCs w:val="1"/>
                <w:color w:val="auto"/>
              </w:rPr>
              <w:t>In Treasury</w:t>
            </w:r>
          </w:p>
        </w:tc>
        <w:tc>
          <w:tcPr>
            <w:tcW w:w="200" w:type="dxa"/>
            <w:vAlign w:val="bottom"/>
          </w:tcPr>
          <w:p>
            <w:pPr>
              <w:spacing w:after="0"/>
              <w:rPr>
                <w:sz w:val="17"/>
                <w:szCs w:val="17"/>
                <w:color w:val="auto"/>
              </w:rPr>
            </w:pPr>
          </w:p>
        </w:tc>
        <w:tc>
          <w:tcPr>
            <w:tcW w:w="840" w:type="dxa"/>
            <w:vAlign w:val="bottom"/>
          </w:tcPr>
          <w:p>
            <w:pPr>
              <w:jc w:val="right"/>
              <w:ind w:right="111"/>
              <w:spacing w:after="0"/>
              <w:rPr>
                <w:sz w:val="20"/>
                <w:szCs w:val="20"/>
                <w:color w:val="auto"/>
              </w:rPr>
            </w:pPr>
            <w:r>
              <w:rPr>
                <w:rFonts w:ascii="Arial" w:cs="Arial" w:eastAsia="Arial" w:hAnsi="Arial"/>
                <w:sz w:val="14"/>
                <w:szCs w:val="14"/>
                <w:b w:val="1"/>
                <w:bCs w:val="1"/>
                <w:color w:val="auto"/>
                <w:w w:val="93"/>
              </w:rPr>
              <w:t>Additional</w:t>
            </w:r>
          </w:p>
        </w:tc>
        <w:tc>
          <w:tcPr>
            <w:tcW w:w="220" w:type="dxa"/>
            <w:vAlign w:val="bottom"/>
          </w:tcPr>
          <w:p>
            <w:pPr>
              <w:spacing w:after="0"/>
              <w:rPr>
                <w:sz w:val="17"/>
                <w:szCs w:val="17"/>
                <w:color w:val="auto"/>
              </w:rPr>
            </w:pPr>
          </w:p>
        </w:tc>
        <w:tc>
          <w:tcPr>
            <w:tcW w:w="840" w:type="dxa"/>
            <w:vAlign w:val="bottom"/>
          </w:tcPr>
          <w:p>
            <w:pPr>
              <w:jc w:val="right"/>
              <w:ind w:right="171"/>
              <w:spacing w:after="0"/>
              <w:rPr>
                <w:sz w:val="20"/>
                <w:szCs w:val="20"/>
                <w:color w:val="auto"/>
              </w:rPr>
            </w:pPr>
            <w:r>
              <w:rPr>
                <w:rFonts w:ascii="Arial" w:cs="Arial" w:eastAsia="Arial" w:hAnsi="Arial"/>
                <w:sz w:val="14"/>
                <w:szCs w:val="14"/>
                <w:b w:val="1"/>
                <w:bCs w:val="1"/>
                <w:color w:val="auto"/>
                <w:w w:val="96"/>
              </w:rPr>
              <w:t>Earnings</w:t>
            </w: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Accumulated Other</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260" w:type="dxa"/>
            <w:vAlign w:val="bottom"/>
          </w:tcPr>
          <w:p>
            <w:pPr>
              <w:spacing w:after="0"/>
              <w:rPr>
                <w:sz w:val="12"/>
                <w:szCs w:val="12"/>
                <w:color w:val="auto"/>
              </w:rPr>
            </w:pPr>
          </w:p>
        </w:tc>
        <w:tc>
          <w:tcPr>
            <w:tcW w:w="7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76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6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2"/>
                <w:szCs w:val="12"/>
                <w:color w:val="auto"/>
              </w:rPr>
            </w:pPr>
          </w:p>
        </w:tc>
        <w:tc>
          <w:tcPr>
            <w:tcW w:w="840" w:type="dxa"/>
            <w:vAlign w:val="bottom"/>
          </w:tcPr>
          <w:p>
            <w:pPr>
              <w:jc w:val="right"/>
              <w:ind w:right="211"/>
              <w:spacing w:after="0" w:line="142" w:lineRule="exact"/>
              <w:rPr>
                <w:sz w:val="20"/>
                <w:szCs w:val="20"/>
                <w:color w:val="auto"/>
              </w:rPr>
            </w:pPr>
            <w:r>
              <w:rPr>
                <w:rFonts w:ascii="Arial" w:cs="Arial" w:eastAsia="Arial" w:hAnsi="Arial"/>
                <w:sz w:val="14"/>
                <w:szCs w:val="14"/>
                <w:b w:val="1"/>
                <w:bCs w:val="1"/>
                <w:color w:val="auto"/>
              </w:rPr>
              <w:t>Paid-in</w:t>
            </w:r>
          </w:p>
        </w:tc>
        <w:tc>
          <w:tcPr>
            <w:tcW w:w="10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w w:val="93"/>
              </w:rPr>
              <w:t>Retained in the</w:t>
            </w:r>
          </w:p>
        </w:tc>
        <w:tc>
          <w:tcPr>
            <w:tcW w:w="180" w:type="dxa"/>
            <w:vAlign w:val="bottom"/>
          </w:tcPr>
          <w:p>
            <w:pPr>
              <w:spacing w:after="0"/>
              <w:rPr>
                <w:sz w:val="12"/>
                <w:szCs w:val="12"/>
                <w:color w:val="auto"/>
              </w:rPr>
            </w:pPr>
          </w:p>
        </w:tc>
        <w:tc>
          <w:tcPr>
            <w:tcW w:w="1160" w:type="dxa"/>
            <w:vAlign w:val="bottom"/>
          </w:tcPr>
          <w:p>
            <w:pPr>
              <w:jc w:val="center"/>
              <w:ind w:right="51"/>
              <w:spacing w:after="0" w:line="142" w:lineRule="exact"/>
              <w:rPr>
                <w:sz w:val="20"/>
                <w:szCs w:val="20"/>
                <w:color w:val="auto"/>
              </w:rPr>
            </w:pPr>
            <w:r>
              <w:rPr>
                <w:rFonts w:ascii="Arial" w:cs="Arial" w:eastAsia="Arial" w:hAnsi="Arial"/>
                <w:sz w:val="14"/>
                <w:szCs w:val="14"/>
                <w:b w:val="1"/>
                <w:bCs w:val="1"/>
                <w:color w:val="auto"/>
                <w:w w:val="87"/>
              </w:rPr>
              <w:t>Comprehensive</w:t>
            </w:r>
          </w:p>
        </w:tc>
        <w:tc>
          <w:tcPr>
            <w:tcW w:w="220" w:type="dxa"/>
            <w:vAlign w:val="bottom"/>
          </w:tcPr>
          <w:p>
            <w:pPr>
              <w:spacing w:after="0"/>
              <w:rPr>
                <w:sz w:val="12"/>
                <w:szCs w:val="12"/>
                <w:color w:val="auto"/>
              </w:rPr>
            </w:pPr>
          </w:p>
        </w:tc>
        <w:tc>
          <w:tcPr>
            <w:tcW w:w="1120" w:type="dxa"/>
            <w:vAlign w:val="bottom"/>
          </w:tcPr>
          <w:p>
            <w:pPr>
              <w:jc w:val="right"/>
              <w:ind w:right="131"/>
              <w:spacing w:after="0" w:line="142" w:lineRule="exact"/>
              <w:rPr>
                <w:sz w:val="20"/>
                <w:szCs w:val="20"/>
                <w:color w:val="auto"/>
              </w:rPr>
            </w:pPr>
            <w:r>
              <w:rPr>
                <w:rFonts w:ascii="Arial" w:cs="Arial" w:eastAsia="Arial" w:hAnsi="Arial"/>
                <w:sz w:val="14"/>
                <w:szCs w:val="14"/>
                <w:b w:val="1"/>
                <w:bCs w:val="1"/>
                <w:color w:val="auto"/>
                <w:w w:val="90"/>
              </w:rPr>
              <w:t>Noncontrolling</w:t>
            </w:r>
          </w:p>
        </w:tc>
        <w:tc>
          <w:tcPr>
            <w:tcW w:w="200" w:type="dxa"/>
            <w:vAlign w:val="bottom"/>
          </w:tcPr>
          <w:p>
            <w:pPr>
              <w:spacing w:after="0"/>
              <w:rPr>
                <w:sz w:val="12"/>
                <w:szCs w:val="12"/>
                <w:color w:val="auto"/>
              </w:rPr>
            </w:pPr>
          </w:p>
        </w:tc>
        <w:tc>
          <w:tcPr>
            <w:tcW w:w="720" w:type="dxa"/>
            <w:vAlign w:val="bottom"/>
          </w:tcPr>
          <w:p>
            <w:pPr>
              <w:jc w:val="right"/>
              <w:ind w:right="211"/>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Capital</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89"/>
              </w:rPr>
              <w:t>Business</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86"/>
              </w:rPr>
              <w:t>Income (Loss)</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Interests</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1"/>
        </w:trPr>
        <w:tc>
          <w:tcPr>
            <w:tcW w:w="2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August 2, 2020</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323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394</w:t>
            </w:r>
          </w:p>
        </w:tc>
        <w:tc>
          <w:tcPr>
            <w:tcW w:w="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3,190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2,569</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260" w:type="dxa"/>
            <w:vAlign w:val="bottom"/>
          </w:tcPr>
          <w:p>
            <w:pPr>
              <w:ind w:left="20"/>
              <w:spacing w:after="0"/>
              <w:rPr>
                <w:sz w:val="20"/>
                <w:szCs w:val="20"/>
                <w:color w:val="auto"/>
              </w:rPr>
            </w:pPr>
            <w:r>
              <w:rPr>
                <w:rFonts w:ascii="Arial" w:cs="Arial" w:eastAsia="Arial" w:hAnsi="Arial"/>
                <w:sz w:val="14"/>
                <w:szCs w:val="14"/>
                <w:color w:val="auto"/>
              </w:rPr>
              <w:t>Net earnings (loss)</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51"/>
              <w:spacing w:after="0"/>
              <w:rPr>
                <w:sz w:val="20"/>
                <w:szCs w:val="20"/>
                <w:color w:val="auto"/>
              </w:rPr>
            </w:pPr>
            <w:r>
              <w:rPr>
                <w:rFonts w:ascii="Arial" w:cs="Arial" w:eastAsia="Arial" w:hAnsi="Arial"/>
                <w:sz w:val="14"/>
                <w:szCs w:val="14"/>
                <w:color w:val="auto"/>
              </w:rPr>
              <w:t>1,002</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1,002</w:t>
            </w: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4"/>
        </w:trPr>
        <w:tc>
          <w:tcPr>
            <w:tcW w:w="2260" w:type="dxa"/>
            <w:vAlign w:val="bottom"/>
          </w:tcPr>
          <w:p>
            <w:pPr>
              <w:ind w:left="20"/>
              <w:spacing w:after="0"/>
              <w:rPr>
                <w:sz w:val="20"/>
                <w:szCs w:val="20"/>
                <w:color w:val="auto"/>
              </w:rPr>
            </w:pPr>
            <w:r>
              <w:rPr>
                <w:rFonts w:ascii="Arial" w:cs="Arial" w:eastAsia="Arial" w:hAnsi="Arial"/>
                <w:sz w:val="14"/>
                <w:szCs w:val="14"/>
                <w:color w:val="auto"/>
              </w:rPr>
              <w:t>Dividends ($1.46 per share)</w:t>
            </w: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11"/>
              <w:spacing w:after="0"/>
              <w:rPr>
                <w:sz w:val="20"/>
                <w:szCs w:val="20"/>
                <w:color w:val="auto"/>
              </w:rPr>
            </w:pPr>
            <w:r>
              <w:rPr>
                <w:rFonts w:ascii="Arial" w:cs="Arial" w:eastAsia="Arial" w:hAnsi="Arial"/>
                <w:sz w:val="14"/>
                <w:szCs w:val="14"/>
                <w:color w:val="auto"/>
              </w:rPr>
              <w:t>(444)</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stock purchased</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29"/>
        </w:trPr>
        <w:tc>
          <w:tcPr>
            <w:tcW w:w="2260" w:type="dxa"/>
            <w:vAlign w:val="bottom"/>
          </w:tcPr>
          <w:p>
            <w:pPr>
              <w:ind w:left="20"/>
              <w:spacing w:after="0" w:line="129" w:lineRule="exact"/>
              <w:rPr>
                <w:sz w:val="20"/>
                <w:szCs w:val="20"/>
                <w:color w:val="auto"/>
              </w:rPr>
            </w:pPr>
            <w:r>
              <w:rPr>
                <w:rFonts w:ascii="Arial" w:cs="Arial" w:eastAsia="Arial" w:hAnsi="Arial"/>
                <w:sz w:val="14"/>
                <w:szCs w:val="14"/>
                <w:color w:val="auto"/>
              </w:rPr>
              <w:t>Treasury stock issued under</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260" w:type="dxa"/>
            <w:vAlign w:val="bottom"/>
          </w:tcPr>
          <w:p>
            <w:pPr>
              <w:ind w:left="20"/>
              <w:spacing w:after="0" w:line="136" w:lineRule="exact"/>
              <w:rPr>
                <w:sz w:val="20"/>
                <w:szCs w:val="20"/>
                <w:color w:val="auto"/>
              </w:rPr>
            </w:pPr>
            <w:r>
              <w:rPr>
                <w:rFonts w:ascii="Arial" w:cs="Arial" w:eastAsia="Arial" w:hAnsi="Arial"/>
                <w:sz w:val="14"/>
                <w:szCs w:val="14"/>
                <w:color w:val="auto"/>
                <w:w w:val="89"/>
              </w:rPr>
              <w:t>management incentive and stock option</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260" w:type="dxa"/>
            <w:vAlign w:val="bottom"/>
          </w:tcPr>
          <w:p>
            <w:pPr>
              <w:ind w:left="20"/>
              <w:spacing w:after="0"/>
              <w:rPr>
                <w:sz w:val="20"/>
                <w:szCs w:val="20"/>
                <w:color w:val="auto"/>
              </w:rPr>
            </w:pPr>
            <w:r>
              <w:rPr>
                <w:rFonts w:ascii="Arial" w:cs="Arial" w:eastAsia="Arial" w:hAnsi="Arial"/>
                <w:sz w:val="14"/>
                <w:szCs w:val="14"/>
                <w:color w:val="auto"/>
              </w:rPr>
              <w:t>plans</w:t>
            </w: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5"/>
                <w:szCs w:val="15"/>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color w:val="auto"/>
              </w:rPr>
              <w:t>38</w:t>
            </w:r>
          </w:p>
        </w:tc>
        <w:tc>
          <w:tcPr>
            <w:tcW w:w="200" w:type="dxa"/>
            <w:vAlign w:val="bottom"/>
          </w:tcPr>
          <w:p>
            <w:pPr>
              <w:spacing w:after="0"/>
              <w:rPr>
                <w:sz w:val="15"/>
                <w:szCs w:val="15"/>
                <w:color w:val="auto"/>
              </w:rPr>
            </w:pPr>
          </w:p>
        </w:tc>
        <w:tc>
          <w:tcPr>
            <w:tcW w:w="840" w:type="dxa"/>
            <w:vAlign w:val="bottom"/>
          </w:tcPr>
          <w:p>
            <w:pPr>
              <w:jc w:val="right"/>
              <w:ind w:right="11"/>
              <w:spacing w:after="0"/>
              <w:rPr>
                <w:sz w:val="20"/>
                <w:szCs w:val="20"/>
                <w:color w:val="auto"/>
              </w:rPr>
            </w:pPr>
            <w:r>
              <w:rPr>
                <w:rFonts w:ascii="Arial" w:cs="Arial" w:eastAsia="Arial" w:hAnsi="Arial"/>
                <w:sz w:val="14"/>
                <w:szCs w:val="14"/>
                <w:color w:val="auto"/>
              </w:rPr>
              <w:t>20</w:t>
            </w:r>
          </w:p>
        </w:tc>
        <w:tc>
          <w:tcPr>
            <w:tcW w:w="220" w:type="dxa"/>
            <w:vAlign w:val="bottom"/>
          </w:tcPr>
          <w:p>
            <w:pPr>
              <w:spacing w:after="0"/>
              <w:rPr>
                <w:sz w:val="15"/>
                <w:szCs w:val="15"/>
                <w:color w:val="auto"/>
              </w:rPr>
            </w:pPr>
          </w:p>
        </w:tc>
        <w:tc>
          <w:tcPr>
            <w:tcW w:w="840" w:type="dxa"/>
            <w:vAlign w:val="bottom"/>
          </w:tcPr>
          <w:p>
            <w:pPr>
              <w:jc w:val="right"/>
              <w:ind w:right="11"/>
              <w:spacing w:after="0"/>
              <w:rPr>
                <w:sz w:val="20"/>
                <w:szCs w:val="20"/>
                <w:color w:val="auto"/>
              </w:rPr>
            </w:pPr>
            <w:r>
              <w:rPr>
                <w:rFonts w:ascii="Arial" w:cs="Arial" w:eastAsia="Arial" w:hAnsi="Arial"/>
                <w:sz w:val="14"/>
                <w:szCs w:val="14"/>
                <w:color w:val="auto"/>
              </w:rPr>
              <w:t>(6)</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4"/>
        </w:trPr>
        <w:tc>
          <w:tcPr>
            <w:tcW w:w="2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August 1, 2021</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323</w:t>
            </w: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(21)</w:t>
            </w: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(1,021)</w:t>
            </w: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414</w:t>
            </w:r>
          </w:p>
        </w:tc>
        <w:tc>
          <w:tcPr>
            <w:tcW w:w="2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3,742</w:t>
            </w:r>
          </w:p>
        </w:tc>
        <w:tc>
          <w:tcPr>
            <w:tcW w:w="1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2</w:t>
            </w: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3,154</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260" w:type="dxa"/>
            <w:vAlign w:val="bottom"/>
          </w:tcPr>
          <w:p>
            <w:pPr>
              <w:ind w:left="20"/>
              <w:spacing w:after="0" w:line="155" w:lineRule="exact"/>
              <w:rPr>
                <w:sz w:val="20"/>
                <w:szCs w:val="20"/>
                <w:color w:val="auto"/>
              </w:rPr>
            </w:pPr>
            <w:r>
              <w:rPr>
                <w:rFonts w:ascii="Arial" w:cs="Arial" w:eastAsia="Arial" w:hAnsi="Arial"/>
                <w:sz w:val="14"/>
                <w:szCs w:val="14"/>
                <w:color w:val="auto"/>
              </w:rPr>
              <w:t>Net earnings (loss)</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51"/>
              <w:spacing w:after="0" w:line="155" w:lineRule="exact"/>
              <w:rPr>
                <w:sz w:val="20"/>
                <w:szCs w:val="20"/>
                <w:color w:val="auto"/>
              </w:rPr>
            </w:pPr>
            <w:r>
              <w:rPr>
                <w:rFonts w:ascii="Arial" w:cs="Arial" w:eastAsia="Arial" w:hAnsi="Arial"/>
                <w:sz w:val="14"/>
                <w:szCs w:val="14"/>
                <w:color w:val="auto"/>
              </w:rPr>
              <w:t>757</w:t>
            </w: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ind w:right="51"/>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757</w:t>
            </w: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4"/>
        </w:trPr>
        <w:tc>
          <w:tcPr>
            <w:tcW w:w="2260" w:type="dxa"/>
            <w:vAlign w:val="bottom"/>
          </w:tcPr>
          <w:p>
            <w:pPr>
              <w:ind w:left="20"/>
              <w:spacing w:after="0"/>
              <w:rPr>
                <w:sz w:val="20"/>
                <w:szCs w:val="20"/>
                <w:color w:val="auto"/>
              </w:rPr>
            </w:pPr>
            <w:r>
              <w:rPr>
                <w:rFonts w:ascii="Arial" w:cs="Arial" w:eastAsia="Arial" w:hAnsi="Arial"/>
                <w:sz w:val="14"/>
                <w:szCs w:val="14"/>
                <w:color w:val="auto"/>
              </w:rPr>
              <w:t>Dividends ($1.48 per share)</w:t>
            </w: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11"/>
              <w:spacing w:after="0"/>
              <w:rPr>
                <w:sz w:val="20"/>
                <w:szCs w:val="20"/>
                <w:color w:val="auto"/>
              </w:rPr>
            </w:pPr>
            <w:r>
              <w:rPr>
                <w:rFonts w:ascii="Arial" w:cs="Arial" w:eastAsia="Arial" w:hAnsi="Arial"/>
                <w:sz w:val="14"/>
                <w:szCs w:val="14"/>
                <w:color w:val="auto"/>
              </w:rPr>
              <w:t>(451)</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stock purchased</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29"/>
        </w:trPr>
        <w:tc>
          <w:tcPr>
            <w:tcW w:w="2260" w:type="dxa"/>
            <w:vAlign w:val="bottom"/>
          </w:tcPr>
          <w:p>
            <w:pPr>
              <w:ind w:left="20"/>
              <w:spacing w:after="0" w:line="129" w:lineRule="exact"/>
              <w:rPr>
                <w:sz w:val="20"/>
                <w:szCs w:val="20"/>
                <w:color w:val="auto"/>
              </w:rPr>
            </w:pPr>
            <w:r>
              <w:rPr>
                <w:rFonts w:ascii="Arial" w:cs="Arial" w:eastAsia="Arial" w:hAnsi="Arial"/>
                <w:sz w:val="14"/>
                <w:szCs w:val="14"/>
                <w:color w:val="auto"/>
              </w:rPr>
              <w:t>Treasury stock issued under</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260" w:type="dxa"/>
            <w:vAlign w:val="bottom"/>
          </w:tcPr>
          <w:p>
            <w:pPr>
              <w:ind w:left="20"/>
              <w:spacing w:after="0" w:line="136" w:lineRule="exact"/>
              <w:rPr>
                <w:sz w:val="20"/>
                <w:szCs w:val="20"/>
                <w:color w:val="auto"/>
              </w:rPr>
            </w:pPr>
            <w:r>
              <w:rPr>
                <w:rFonts w:ascii="Arial" w:cs="Arial" w:eastAsia="Arial" w:hAnsi="Arial"/>
                <w:sz w:val="14"/>
                <w:szCs w:val="14"/>
                <w:color w:val="auto"/>
                <w:w w:val="89"/>
              </w:rPr>
              <w:t>management incentive and stock option</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260" w:type="dxa"/>
            <w:vAlign w:val="bottom"/>
          </w:tcPr>
          <w:p>
            <w:pPr>
              <w:ind w:left="20"/>
              <w:spacing w:after="0"/>
              <w:rPr>
                <w:sz w:val="20"/>
                <w:szCs w:val="20"/>
                <w:color w:val="auto"/>
              </w:rPr>
            </w:pPr>
            <w:r>
              <w:rPr>
                <w:rFonts w:ascii="Arial" w:cs="Arial" w:eastAsia="Arial" w:hAnsi="Arial"/>
                <w:sz w:val="14"/>
                <w:szCs w:val="14"/>
                <w:color w:val="auto"/>
              </w:rPr>
              <w:t>plans</w:t>
            </w: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5"/>
                <w:szCs w:val="15"/>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color w:val="auto"/>
              </w:rPr>
              <w:t>50</w:t>
            </w:r>
          </w:p>
        </w:tc>
        <w:tc>
          <w:tcPr>
            <w:tcW w:w="200" w:type="dxa"/>
            <w:vAlign w:val="bottom"/>
          </w:tcPr>
          <w:p>
            <w:pPr>
              <w:spacing w:after="0"/>
              <w:rPr>
                <w:sz w:val="15"/>
                <w:szCs w:val="15"/>
                <w:color w:val="auto"/>
              </w:rPr>
            </w:pPr>
          </w:p>
        </w:tc>
        <w:tc>
          <w:tcPr>
            <w:tcW w:w="840" w:type="dxa"/>
            <w:vAlign w:val="bottom"/>
          </w:tcPr>
          <w:p>
            <w:pPr>
              <w:jc w:val="right"/>
              <w:ind w:right="11"/>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5"/>
                <w:szCs w:val="15"/>
                <w:color w:val="auto"/>
              </w:rPr>
            </w:pPr>
          </w:p>
        </w:tc>
        <w:tc>
          <w:tcPr>
            <w:tcW w:w="840" w:type="dxa"/>
            <w:vAlign w:val="bottom"/>
          </w:tcPr>
          <w:p>
            <w:pPr>
              <w:jc w:val="right"/>
              <w:ind w:right="11"/>
              <w:spacing w:after="0"/>
              <w:rPr>
                <w:sz w:val="20"/>
                <w:szCs w:val="20"/>
                <w:color w:val="auto"/>
              </w:rPr>
            </w:pPr>
            <w:r>
              <w:rPr>
                <w:rFonts w:ascii="Arial" w:cs="Arial" w:eastAsia="Arial" w:hAnsi="Arial"/>
                <w:sz w:val="14"/>
                <w:szCs w:val="14"/>
                <w:color w:val="auto"/>
              </w:rPr>
              <w:t>(8)</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4"/>
        </w:trPr>
        <w:tc>
          <w:tcPr>
            <w:tcW w:w="2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July 31, 2022</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323</w:t>
            </w: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(24)</w:t>
            </w: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(1,138)</w:t>
            </w: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415</w:t>
            </w:r>
          </w:p>
        </w:tc>
        <w:tc>
          <w:tcPr>
            <w:tcW w:w="2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4,040</w:t>
            </w:r>
          </w:p>
        </w:tc>
        <w:tc>
          <w:tcPr>
            <w:tcW w:w="1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2</w:t>
            </w: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3,333</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260" w:type="dxa"/>
            <w:vAlign w:val="bottom"/>
          </w:tcPr>
          <w:p>
            <w:pPr>
              <w:ind w:left="20"/>
              <w:spacing w:after="0" w:line="157" w:lineRule="exact"/>
              <w:rPr>
                <w:sz w:val="20"/>
                <w:szCs w:val="20"/>
                <w:color w:val="auto"/>
              </w:rPr>
            </w:pPr>
            <w:r>
              <w:rPr>
                <w:rFonts w:ascii="Arial" w:cs="Arial" w:eastAsia="Arial" w:hAnsi="Arial"/>
                <w:sz w:val="14"/>
                <w:szCs w:val="14"/>
                <w:b w:val="1"/>
                <w:bCs w:val="1"/>
                <w:color w:val="auto"/>
              </w:rPr>
              <w:t>Net earnings (loss)</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51"/>
              <w:spacing w:after="0" w:line="157" w:lineRule="exact"/>
              <w:rPr>
                <w:sz w:val="20"/>
                <w:szCs w:val="20"/>
                <w:color w:val="auto"/>
              </w:rPr>
            </w:pPr>
            <w:r>
              <w:rPr>
                <w:rFonts w:ascii="Arial" w:cs="Arial" w:eastAsia="Arial" w:hAnsi="Arial"/>
                <w:sz w:val="14"/>
                <w:szCs w:val="14"/>
                <w:b w:val="1"/>
                <w:bCs w:val="1"/>
                <w:color w:val="auto"/>
              </w:rPr>
              <w:t>858</w:t>
            </w: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ind w:right="51"/>
              <w:spacing w:after="0" w:line="157"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858</w:t>
            </w:r>
          </w:p>
        </w:tc>
        <w:tc>
          <w:tcPr>
            <w:tcW w:w="0" w:type="dxa"/>
            <w:vAlign w:val="bottom"/>
          </w:tcPr>
          <w:p>
            <w:pPr>
              <w:spacing w:after="0"/>
              <w:rPr>
                <w:sz w:val="1"/>
                <w:szCs w:val="1"/>
                <w:color w:val="auto"/>
              </w:rPr>
            </w:pPr>
          </w:p>
        </w:tc>
      </w:tr>
      <w:tr>
        <w:trPr>
          <w:trHeight w:val="201"/>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w w:val="93"/>
              </w:rPr>
              <w:t>Other comprehensive income (loss)</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186"/>
        </w:trPr>
        <w:tc>
          <w:tcPr>
            <w:tcW w:w="2260" w:type="dxa"/>
            <w:vAlign w:val="bottom"/>
          </w:tcPr>
          <w:p>
            <w:pPr>
              <w:ind w:left="20"/>
              <w:spacing w:after="0"/>
              <w:rPr>
                <w:sz w:val="20"/>
                <w:szCs w:val="20"/>
                <w:color w:val="auto"/>
              </w:rPr>
            </w:pPr>
            <w:r>
              <w:rPr>
                <w:rFonts w:ascii="Arial" w:cs="Arial" w:eastAsia="Arial" w:hAnsi="Arial"/>
                <w:sz w:val="14"/>
                <w:szCs w:val="14"/>
                <w:b w:val="1"/>
                <w:bCs w:val="1"/>
                <w:color w:val="auto"/>
              </w:rPr>
              <w:t>Dividends ($1.48 per share)</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11"/>
              <w:spacing w:after="0"/>
              <w:rPr>
                <w:sz w:val="20"/>
                <w:szCs w:val="20"/>
                <w:color w:val="auto"/>
              </w:rPr>
            </w:pPr>
            <w:r>
              <w:rPr>
                <w:rFonts w:ascii="Arial" w:cs="Arial" w:eastAsia="Arial" w:hAnsi="Arial"/>
                <w:sz w:val="14"/>
                <w:szCs w:val="14"/>
                <w:b w:val="1"/>
                <w:bCs w:val="1"/>
                <w:color w:val="auto"/>
              </w:rPr>
              <w:t>(447)</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(447)</w:t>
            </w:r>
          </w:p>
        </w:tc>
        <w:tc>
          <w:tcPr>
            <w:tcW w:w="0" w:type="dxa"/>
            <w:vAlign w:val="bottom"/>
          </w:tcPr>
          <w:p>
            <w:pPr>
              <w:spacing w:after="0"/>
              <w:rPr>
                <w:sz w:val="1"/>
                <w:szCs w:val="1"/>
                <w:color w:val="auto"/>
              </w:rPr>
            </w:pPr>
          </w:p>
        </w:tc>
      </w:tr>
      <w:tr>
        <w:trPr>
          <w:trHeight w:val="201"/>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Treasury stock purchased</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(3)</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(142)</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(142)</w:t>
            </w:r>
          </w:p>
        </w:tc>
        <w:tc>
          <w:tcPr>
            <w:tcW w:w="0" w:type="dxa"/>
            <w:vAlign w:val="bottom"/>
          </w:tcPr>
          <w:p>
            <w:pPr>
              <w:spacing w:after="0"/>
              <w:rPr>
                <w:sz w:val="1"/>
                <w:szCs w:val="1"/>
                <w:color w:val="auto"/>
              </w:rPr>
            </w:pPr>
          </w:p>
        </w:tc>
      </w:tr>
      <w:tr>
        <w:trPr>
          <w:trHeight w:val="129"/>
        </w:trPr>
        <w:tc>
          <w:tcPr>
            <w:tcW w:w="226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Treasury stock issued under</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260" w:type="dxa"/>
            <w:vAlign w:val="bottom"/>
          </w:tcPr>
          <w:p>
            <w:pPr>
              <w:ind w:left="20"/>
              <w:spacing w:after="0" w:line="132" w:lineRule="exact"/>
              <w:rPr>
                <w:sz w:val="20"/>
                <w:szCs w:val="20"/>
                <w:color w:val="auto"/>
              </w:rPr>
            </w:pPr>
            <w:r>
              <w:rPr>
                <w:rFonts w:ascii="Arial" w:cs="Arial" w:eastAsia="Arial" w:hAnsi="Arial"/>
                <w:sz w:val="14"/>
                <w:szCs w:val="14"/>
                <w:b w:val="1"/>
                <w:bCs w:val="1"/>
                <w:color w:val="auto"/>
              </w:rPr>
              <w:t>management incentive and stock</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2</w:t>
            </w:r>
          </w:p>
        </w:tc>
        <w:tc>
          <w:tcPr>
            <w:tcW w:w="160" w:type="dxa"/>
            <w:vAlign w:val="bottom"/>
          </w:tcPr>
          <w:p>
            <w:pPr>
              <w:spacing w:after="0"/>
              <w:rPr>
                <w:sz w:val="11"/>
                <w:szCs w:val="11"/>
                <w:color w:val="auto"/>
              </w:rPr>
            </w:pPr>
          </w:p>
        </w:tc>
        <w:tc>
          <w:tcPr>
            <w:tcW w:w="64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61</w:t>
            </w:r>
          </w:p>
        </w:tc>
        <w:tc>
          <w:tcPr>
            <w:tcW w:w="200" w:type="dxa"/>
            <w:vAlign w:val="bottom"/>
          </w:tcPr>
          <w:p>
            <w:pPr>
              <w:spacing w:after="0"/>
              <w:rPr>
                <w:sz w:val="11"/>
                <w:szCs w:val="11"/>
                <w:color w:val="auto"/>
              </w:rPr>
            </w:pPr>
          </w:p>
        </w:tc>
        <w:tc>
          <w:tcPr>
            <w:tcW w:w="84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5</w:t>
            </w:r>
          </w:p>
        </w:tc>
        <w:tc>
          <w:tcPr>
            <w:tcW w:w="220" w:type="dxa"/>
            <w:vAlign w:val="bottom"/>
          </w:tcPr>
          <w:p>
            <w:pPr>
              <w:spacing w:after="0"/>
              <w:rPr>
                <w:sz w:val="11"/>
                <w:szCs w:val="11"/>
                <w:color w:val="auto"/>
              </w:rPr>
            </w:pPr>
          </w:p>
        </w:tc>
        <w:tc>
          <w:tcPr>
            <w:tcW w:w="84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66</w:t>
            </w:r>
          </w:p>
        </w:tc>
        <w:tc>
          <w:tcPr>
            <w:tcW w:w="0" w:type="dxa"/>
            <w:vAlign w:val="bottom"/>
          </w:tcPr>
          <w:p>
            <w:pPr>
              <w:spacing w:after="0"/>
              <w:rPr>
                <w:sz w:val="1"/>
                <w:szCs w:val="1"/>
                <w:color w:val="auto"/>
              </w:rPr>
            </w:pPr>
          </w:p>
        </w:tc>
      </w:tr>
      <w:tr>
        <w:trPr>
          <w:trHeight w:val="178"/>
        </w:trPr>
        <w:tc>
          <w:tcPr>
            <w:tcW w:w="2260" w:type="dxa"/>
            <w:vAlign w:val="bottom"/>
          </w:tcPr>
          <w:p>
            <w:pPr>
              <w:ind w:left="20"/>
              <w:spacing w:after="0"/>
              <w:rPr>
                <w:sz w:val="20"/>
                <w:szCs w:val="20"/>
                <w:color w:val="auto"/>
              </w:rPr>
            </w:pPr>
            <w:r>
              <w:rPr>
                <w:rFonts w:ascii="Arial" w:cs="Arial" w:eastAsia="Arial" w:hAnsi="Arial"/>
                <w:sz w:val="14"/>
                <w:szCs w:val="14"/>
                <w:b w:val="1"/>
                <w:bCs w:val="1"/>
                <w:color w:val="auto"/>
              </w:rPr>
              <w:t>option plans</w:t>
            </w: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July 30, 2023</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323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12</w:t>
            </w: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420</w:t>
            </w:r>
          </w:p>
        </w:tc>
        <w:tc>
          <w:tcPr>
            <w:tcW w:w="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4,451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3,663</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124460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29" w:right="359" w:bottom="1440" w:gutter="0" w:footer="0" w:header="0"/>
        </w:sectPr>
      </w:pPr>
    </w:p>
    <w:bookmarkStart w:id="38" w:name="page39"/>
    <w:bookmarkEnd w:id="38"/>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Significant Accounting Policies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this Report, unless otherwise stated, the terms "we," "us," "our" and the "company" refer to Campbell Soup Company and its consolidated subsidiaries.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are a manufacturer and marketer of high-quality, branded food and beverage products.</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 The consolidated financial statements include our accounts and entities in which we maintain a controlling financial interest.</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Intercompany transactions are eliminated in consolidation. Our fiscal year ends on the Sunday nearest July 31. There were 52 weeks in 2023, 2022, and 2021.</w:t>
      </w:r>
    </w:p>
    <w:p>
      <w:pPr>
        <w:spacing w:after="0" w:line="10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i w:val="1"/>
          <w:iCs w:val="1"/>
          <w:color w:val="auto"/>
        </w:rPr>
        <w:t xml:space="preserve">Discontinued Operations </w:t>
      </w:r>
      <w:r>
        <w:rPr>
          <w:rFonts w:ascii="Arial" w:cs="Arial" w:eastAsia="Arial" w:hAnsi="Arial"/>
          <w:sz w:val="17"/>
          <w:szCs w:val="17"/>
          <w:color w:val="auto"/>
        </w:rPr>
        <w:t>— We present discontinued operations when there is a disposal of a component or a group of components that in our judgment</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represents a strategic shift that will have a major effect on our operations and financial results. We aggregate the results of operations for discontinued operations into a single line item in the Consolidated Statements of Earnings for all periods presented. General corporate overhead is not allocated to discontinued operations. See Note 3 for additional information.</w:t>
      </w:r>
    </w:p>
    <w:p>
      <w:pPr>
        <w:spacing w:after="0" w:line="64"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 Generally accepted accounting principles require management to make estimates and assumptions that affect assets, liabilities, revenues</w:t>
      </w:r>
      <w:r>
        <w:rPr>
          <w:rFonts w:ascii="Arial" w:cs="Arial" w:eastAsia="Arial" w:hAnsi="Arial"/>
          <w:sz w:val="17"/>
          <w:szCs w:val="17"/>
          <w:i w:val="1"/>
          <w:iCs w:val="1"/>
          <w:color w:val="auto"/>
        </w:rPr>
        <w:t xml:space="preserve"> </w:t>
      </w:r>
      <w:r>
        <w:rPr>
          <w:rFonts w:ascii="Arial" w:cs="Arial" w:eastAsia="Arial" w:hAnsi="Arial"/>
          <w:sz w:val="17"/>
          <w:szCs w:val="17"/>
          <w:color w:val="auto"/>
        </w:rPr>
        <w:t>and expenses. Actual results could differ from those estimates.</w:t>
      </w:r>
    </w:p>
    <w:p>
      <w:pPr>
        <w:spacing w:after="0" w:line="35"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Our revenues primarily consist of the sale of food and beverage products through our own sales force and/or third-party brokers and</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partners. Revenues are recognized when our performance obligation has been satisfied and control of the product passes to our customers, which typically occurs when products are delivered or accepted by customers in accordance with terms of agreements. Shipping and handling costs incurred to deliver the product are recorded within Cost of products sold. Amounts billed and due from our customers are classified as Accounts receivable in the Consolidated Balance Sheets and require payment on a short-term basis. Revenues are recognized net of provisions for returns, discounts and certain sales promotion expenses, such as feature price discounts, in-store display incentives, cooperative advertising programs, new product introduction fees and coupon redemption costs. These forms of variable consideration are recognized upon sale. The recognition of costs for promotion programs involves the use of judgment related to performance and redemption estimates. Estimates are made based on historical experience and other factors, including expected volume. Historically, the difference between actual experience compared to estimated redemptions and performance has not been significant to the quarterly or annual financial statements. Differences between estimates and actual costs are recognized as a change in estimate in a subsequent period. Revenues are presented on a net basis for arrangements under which suppliers perform certain additional services. See Note 6 for additional information on disaggregation of revenue.</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 All highly liquid debt instruments purchased with a maturity of three months or less are classified as cash equivalents.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Inventories </w:t>
      </w:r>
      <w:r>
        <w:rPr>
          <w:rFonts w:ascii="Arial" w:cs="Arial" w:eastAsia="Arial" w:hAnsi="Arial"/>
          <w:sz w:val="17"/>
          <w:szCs w:val="17"/>
          <w:color w:val="auto"/>
        </w:rPr>
        <w:t>— All inventories are valued at the lower of average cost or net realizable value.</w:t>
      </w:r>
    </w:p>
    <w:p>
      <w:pPr>
        <w:spacing w:after="0" w:line="88"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i w:val="1"/>
          <w:iCs w:val="1"/>
          <w:color w:val="auto"/>
        </w:rPr>
        <w:t xml:space="preserve">Property, Plant and Equipment </w:t>
      </w:r>
      <w:r>
        <w:rPr>
          <w:rFonts w:ascii="Arial" w:cs="Arial" w:eastAsia="Arial" w:hAnsi="Arial"/>
          <w:sz w:val="17"/>
          <w:szCs w:val="17"/>
          <w:color w:val="auto"/>
        </w:rPr>
        <w:t>— Property, plant and equipment are recorded at historical cost and are depreciated over estimated useful lives using the</w:t>
      </w:r>
      <w:r>
        <w:rPr>
          <w:rFonts w:ascii="Arial" w:cs="Arial" w:eastAsia="Arial" w:hAnsi="Arial"/>
          <w:sz w:val="17"/>
          <w:szCs w:val="17"/>
          <w:i w:val="1"/>
          <w:iCs w:val="1"/>
          <w:color w:val="auto"/>
        </w:rPr>
        <w:t xml:space="preserve"> </w:t>
      </w:r>
      <w:r>
        <w:rPr>
          <w:rFonts w:ascii="Arial" w:cs="Arial" w:eastAsia="Arial" w:hAnsi="Arial"/>
          <w:sz w:val="17"/>
          <w:szCs w:val="17"/>
          <w:color w:val="auto"/>
        </w:rPr>
        <w:t>straight-line method. Buildings and machinery and equipment are depreciated over periods not exceeding 45 years and 20 years, respectively. Assets are evaluated for impairment when conditions indicate that the carrying value may not be recoverable. Such conditions include significant adverse changes in business climate or a plan of disposal. Repairs and maintenance are charged to expense as incurred.</w:t>
      </w:r>
    </w:p>
    <w:p>
      <w:pPr>
        <w:spacing w:after="0" w:line="64"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i w:val="1"/>
          <w:iCs w:val="1"/>
          <w:color w:val="auto"/>
        </w:rPr>
        <w:t xml:space="preserve">Goodwill and Intangible Assets </w:t>
      </w:r>
      <w:r>
        <w:rPr>
          <w:rFonts w:ascii="Arial" w:cs="Arial" w:eastAsia="Arial" w:hAnsi="Arial"/>
          <w:sz w:val="16"/>
          <w:szCs w:val="16"/>
          <w:color w:val="auto"/>
        </w:rPr>
        <w:t>— Goodwill and intangible assets deemed to have indefinite lives are not amortized but rather are tested at least annually in</w:t>
      </w:r>
      <w:r>
        <w:rPr>
          <w:rFonts w:ascii="Arial" w:cs="Arial" w:eastAsia="Arial" w:hAnsi="Arial"/>
          <w:sz w:val="16"/>
          <w:szCs w:val="16"/>
          <w:i w:val="1"/>
          <w:iCs w:val="1"/>
          <w:color w:val="auto"/>
        </w:rPr>
        <w:t xml:space="preserve"> </w:t>
      </w:r>
      <w:r>
        <w:rPr>
          <w:rFonts w:ascii="Arial" w:cs="Arial" w:eastAsia="Arial" w:hAnsi="Arial"/>
          <w:sz w:val="16"/>
          <w:szCs w:val="16"/>
          <w:color w:val="auto"/>
        </w:rPr>
        <w:t>the fourth quarter for impairment, or more often if events or changes in circumstances indicate that the carrying amount of the asset may be impaired.</w:t>
      </w:r>
    </w:p>
    <w:p>
      <w:pPr>
        <w:spacing w:after="0" w:line="25"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Goodwill is tested for impairment at the reporting unit level. A reporting unit represents an operating segment or a component of an operating segment. Goodwill is tested for impairment by either performing a qualitative evaluation or a quantitative test. The qualitative evaluation is an assessment of factors to determine whether it is more likely than not that the fair value of a reporting unit is less than its carrying amount, including goodwill. We may elect not to perform the qualitative assessment for some or all reporting units and perform a quantitative impairment test. Fair value is determined based on discounted cash flow analyses. The discounted estimates of future cash flows include significant management assumptions such as revenue growth rates, operating margins, weighted average costs of capital and future economic and market conditions. If the carrying value of the reporting unit exceeds fair value, goodwill is considered impaired. An impairment charge is recognized for the amount by which the carrying value of the reporting unit exceeds fair value, limited to the amount of goodwill in the reporting unit.</w:t>
      </w:r>
    </w:p>
    <w:p>
      <w:pPr>
        <w:spacing w:after="0" w:line="5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Indefinite-lived intangible assets are tested for impairment by comparing the fair value of the asset to the carrying value. Fair value is determined using a relief from royalty valuation method based on discounted cash flow analyses that include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124460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39" w:name="page40"/>
    <w:bookmarkEnd w:id="39"/>
    <w:p>
      <w:pPr>
        <w:jc w:val="both"/>
        <w:spacing w:after="0" w:line="279" w:lineRule="auto"/>
        <w:rPr>
          <w:sz w:val="20"/>
          <w:szCs w:val="20"/>
          <w:color w:val="auto"/>
        </w:rPr>
      </w:pPr>
      <w:r>
        <w:rPr>
          <w:rFonts w:ascii="Arial" w:cs="Arial" w:eastAsia="Arial" w:hAnsi="Arial"/>
          <w:sz w:val="17"/>
          <w:szCs w:val="17"/>
          <w:color w:val="auto"/>
        </w:rPr>
        <w:t>significant management assumptions such as revenue growth rates, weighted average costs of capital and assumed royalty rates. If the carrying value exceeds fair value, an impairment charge will be recorded to reduce the asset to fair value.</w:t>
      </w:r>
    </w:p>
    <w:p>
      <w:pPr>
        <w:spacing w:after="0" w:line="3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See Note 5 for more information.</w:t>
      </w:r>
    </w:p>
    <w:p>
      <w:pPr>
        <w:spacing w:after="0" w:line="10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i w:val="1"/>
          <w:iCs w:val="1"/>
          <w:color w:val="auto"/>
        </w:rPr>
        <w:t xml:space="preserve">Leases — </w:t>
      </w:r>
      <w:r>
        <w:rPr>
          <w:rFonts w:ascii="Arial" w:cs="Arial" w:eastAsia="Arial" w:hAnsi="Arial"/>
          <w:sz w:val="17"/>
          <w:szCs w:val="17"/>
          <w:color w:val="auto"/>
        </w:rPr>
        <w:t>We determine if an agreement is or contains a lease at inception by evaluating if an identified asset exists that we control for a period of time. When</w:t>
      </w:r>
      <w:r>
        <w:rPr>
          <w:rFonts w:ascii="Arial" w:cs="Arial" w:eastAsia="Arial" w:hAnsi="Arial"/>
          <w:sz w:val="17"/>
          <w:szCs w:val="17"/>
          <w:i w:val="1"/>
          <w:iCs w:val="1"/>
          <w:color w:val="auto"/>
        </w:rPr>
        <w:t xml:space="preserve"> </w:t>
      </w:r>
      <w:r>
        <w:rPr>
          <w:rFonts w:ascii="Arial" w:cs="Arial" w:eastAsia="Arial" w:hAnsi="Arial"/>
          <w:sz w:val="17"/>
          <w:szCs w:val="17"/>
          <w:color w:val="auto"/>
        </w:rPr>
        <w:t>a lease exists, we record a right-of-use (ROU) asset and a corresponding lease liability on our Consolidated Balance Sheets. ROU assets represent our right to use an underlying asset for the lease term and the corresponding liabilities represent an obligation to make lease payments during the term. We have elected not to record leases with a term of 12 months or less on our Consolidated Balance Sheets.</w:t>
      </w:r>
    </w:p>
    <w:p>
      <w:pPr>
        <w:spacing w:after="0" w:line="64"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ROU assets are recorded on our Consolidated Balance Sheets at lease commencement based on the present value of the corresponding liabilities and are adjusted for any prepayments, lease incentives received, or initial direct costs incurred. To calculate the present value of our lease liabilities, we use a country-specific collateralized incremental borrowing rate based on the lease term at commencement. The measurement of our ROU assets and liabilities includes all fixed payments and any variable payments based on an index or rate.</w:t>
      </w:r>
    </w:p>
    <w:p>
      <w:pPr>
        <w:spacing w:after="0" w:line="5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Our leases generally include options to extend or terminate use of the underlying assets. These options are included in the lease term used to determine ROU assets and corresponding liabilities when we are reasonably certain we will exercise.</w:t>
      </w:r>
    </w:p>
    <w:p>
      <w:pPr>
        <w:spacing w:after="0" w:line="48"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Our lease arrangements typically include non-lease components, such as common area maintenance and labor. We account for each lease and any non-lease components associated with that lease as a single lease component for all underlying asset classes with the exception of certain production assets. Accordingly, all costs associated with a lease contract are disclosed as lease costs. This includes any variable payments that are not dependent on an index or a rate and which are expensed as incurred.</w:t>
      </w:r>
    </w:p>
    <w:p>
      <w:pPr>
        <w:spacing w:after="0" w:line="64"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Operating leases expense is recognized on a straight-line basis over the lease term with the expense recorded in Cost of products sold, Marketing and selling expenses, or Administrative expenses depending on the nature of the leased item.</w:t>
      </w:r>
    </w:p>
    <w:p>
      <w:pPr>
        <w:spacing w:after="0" w:line="35"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For finance leases, the amortization of ROU lease assets is recognized on a straight-line basis over the shorter of the estimated useful life of the underlying asset or the lease term in Cost of products sold, Marketing and selling expenses, or Administrative expenses depending on the nature of the leased item. Interest expense on finance lease obligations is recorded using the effective interest method over the lease term and is recorded in Interest expense.</w:t>
      </w:r>
    </w:p>
    <w:p>
      <w:pPr>
        <w:spacing w:after="0" w:line="4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All operating lease cash payments and interest on finance leases are recorded within Net cash provided by operating activities and all finance lease principal payments are recorded within Net cash used in financing activities in our Consolidated Statements of Cash Flows.</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See Note 10 for more information.</w:t>
      </w:r>
    </w:p>
    <w:p>
      <w:pPr>
        <w:spacing w:after="0" w:line="88"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i w:val="1"/>
          <w:iCs w:val="1"/>
          <w:color w:val="auto"/>
        </w:rPr>
        <w:t xml:space="preserve">Derivative Financial Instruments </w:t>
      </w:r>
      <w:r>
        <w:rPr>
          <w:rFonts w:ascii="Arial" w:cs="Arial" w:eastAsia="Arial" w:hAnsi="Arial"/>
          <w:sz w:val="16"/>
          <w:szCs w:val="16"/>
          <w:color w:val="auto"/>
        </w:rPr>
        <w:t>— We use derivative financial instruments primarily for purposes of hedging exposures to fluctuations in foreign currency</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rates, interest rates, commodities and equity-linked employee benefit obligations.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strategies that qualify and strategies that do not qualify for hedge accounting treatment. To qualify for hedge accounting, the hedging relationship, both at inception of the hedge and on an ongoing basis, is expected to be highly effective in achieving offsetting changes in the fair value of the hedged risk during the period that the hedge is designated.</w:t>
      </w:r>
    </w:p>
    <w:p>
      <w:pPr>
        <w:spacing w:after="0" w:line="52"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All derivatives are recognized on the balance sheet at fair value. For derivatives that qualify for hedge accounting, we designate the derivative as a hedge of the fair value of a recognized asset or liability or a firm commitment (fair-value hedge) or a hedge of a forecasted transaction or of the variability of cash flows to be received or paid related to a recognized asset or liability (cash-flow hedge). Some derivatives may also be considered natural hedging instruments (changes in fair value act as economic offsets to changes in fair value of the underlying hedged item) and are not designated for hedge accounting.</w:t>
      </w:r>
    </w:p>
    <w:p>
      <w:pPr>
        <w:spacing w:after="0" w:line="46" w:lineRule="exact"/>
        <w:rPr>
          <w:sz w:val="20"/>
          <w:szCs w:val="20"/>
          <w:color w:val="auto"/>
        </w:rPr>
      </w:pPr>
    </w:p>
    <w:p>
      <w:pPr>
        <w:jc w:val="both"/>
        <w:ind w:firstLine="309"/>
        <w:spacing w:after="0" w:line="295" w:lineRule="auto"/>
        <w:rPr>
          <w:sz w:val="20"/>
          <w:szCs w:val="20"/>
          <w:color w:val="auto"/>
        </w:rPr>
      </w:pPr>
      <w:r>
        <w:rPr>
          <w:rFonts w:ascii="Arial" w:cs="Arial" w:eastAsia="Arial" w:hAnsi="Arial"/>
          <w:sz w:val="15"/>
          <w:szCs w:val="15"/>
          <w:color w:val="auto"/>
        </w:rPr>
        <w:t>Changes in the fair value on the portion of the derivative included in the assessment of hedge effectiveness of a fair-value hedge, along with the gain or loss on the underlying hedged asset or liability (including losses or gains on firm commitments), are recorded in current-period earnings. Changes in the fair value on the portion of the derivative included in the assessment of hedge effectiveness of cash-flow hedges are recorded in other comprehensive income (loss), until earnings are affected by the variability of cash flows. For derivatives that are designated and qualify as hedging instruments, the initial fair value of hedge components excluded from the assessment of effectiveness is recognized in earnings under a systematic and rational method over the life of the hedging instrument and is presented in the same statement of earnings line item as the earnings effect of the hedged item. Any difference between the change in the fair value of the hedge components excluded from the assessment of effectiveness and the amounts recognized in earnings is recorded as a component of other comprehensive income (loss). Changes in the fair value of derivatives that are not designated for hedge accounting are recognized in current-period earnings.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116205</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40" w:name="page41"/>
    <w:bookmarkEnd w:id="40"/>
    <w:p>
      <w:pPr>
        <w:ind w:left="320"/>
        <w:spacing w:after="0"/>
        <w:rPr>
          <w:sz w:val="20"/>
          <w:szCs w:val="20"/>
          <w:color w:val="auto"/>
        </w:rPr>
      </w:pPr>
      <w:r>
        <w:rPr>
          <w:rFonts w:ascii="Arial" w:cs="Arial" w:eastAsia="Arial" w:hAnsi="Arial"/>
          <w:sz w:val="17"/>
          <w:szCs w:val="17"/>
          <w:color w:val="auto"/>
        </w:rPr>
        <w:t>Cash flows from derivative contracts are included in Net cash provided by operating activities.</w:t>
      </w:r>
    </w:p>
    <w:p>
      <w:pPr>
        <w:spacing w:after="0" w:line="88"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i w:val="1"/>
          <w:iCs w:val="1"/>
          <w:color w:val="auto"/>
        </w:rPr>
        <w:t xml:space="preserve">Supplier Finance Program Obligations </w:t>
      </w:r>
      <w:r>
        <w:rPr>
          <w:rFonts w:ascii="Arial" w:cs="Arial" w:eastAsia="Arial" w:hAnsi="Arial"/>
          <w:sz w:val="17"/>
          <w:szCs w:val="17"/>
          <w:color w:val="auto"/>
        </w:rPr>
        <w:t>— To manage our cash flow and related liquidity, we work with our suppliers to optimize our terms and conditions,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the extension of payment terms. Our current payment terms with our suppliers, which we deem to be commercially reasonable, generally range from 0 to 120 days. We also maintain agreements with third-party administrators that allow participating suppliers to track payment obligations from us, and, at the sole discretion of the supplier, sell those payment obligations to participating financial institutions. Our obligations to our suppliers, including amounts due and scheduled payment terms, are not impacted. Supplier participation in these agreements is voluntary. We have no economic interest in a supplier’s decision to enter into these agreements and no direct financial relationship with the financial institutions. We have not pledged assets as security or provided any guarantees in connection with these arrangements. The payment of these obligations is included in cash provided by operating activities in the Consolidated Statements of Cash Flows. Amounts outstanding under these programs, which are included in Accounts payable on the Consolidated Balance Sheets, were $258 million at July 30, 2023, and $262 million at July 31, 2022.</w:t>
      </w:r>
    </w:p>
    <w:p>
      <w:pPr>
        <w:spacing w:after="0" w:line="6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i w:val="1"/>
          <w:iCs w:val="1"/>
          <w:color w:val="auto"/>
        </w:rPr>
        <w:t xml:space="preserve">Advertising Production Costs </w:t>
      </w:r>
      <w:r>
        <w:rPr>
          <w:rFonts w:ascii="Arial" w:cs="Arial" w:eastAsia="Arial" w:hAnsi="Arial"/>
          <w:sz w:val="17"/>
          <w:szCs w:val="17"/>
          <w:color w:val="auto"/>
        </w:rPr>
        <w:t>— Advertising production costs are expensed in the period that the advertisement first takes place or when a decision is made</w:t>
      </w:r>
      <w:r>
        <w:rPr>
          <w:rFonts w:ascii="Arial" w:cs="Arial" w:eastAsia="Arial" w:hAnsi="Arial"/>
          <w:sz w:val="17"/>
          <w:szCs w:val="17"/>
          <w:i w:val="1"/>
          <w:iCs w:val="1"/>
          <w:color w:val="auto"/>
        </w:rPr>
        <w:t xml:space="preserve"> </w:t>
      </w:r>
      <w:r>
        <w:rPr>
          <w:rFonts w:ascii="Arial" w:cs="Arial" w:eastAsia="Arial" w:hAnsi="Arial"/>
          <w:sz w:val="17"/>
          <w:szCs w:val="17"/>
          <w:color w:val="auto"/>
        </w:rPr>
        <w:t>not to use an advertisement.</w:t>
      </w:r>
    </w:p>
    <w:p>
      <w:pPr>
        <w:spacing w:after="0" w:line="4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i w:val="1"/>
          <w:iCs w:val="1"/>
          <w:color w:val="auto"/>
        </w:rPr>
        <w:t xml:space="preserve">Research and Development Costs </w:t>
      </w:r>
      <w:r>
        <w:rPr>
          <w:rFonts w:ascii="Arial" w:cs="Arial" w:eastAsia="Arial" w:hAnsi="Arial"/>
          <w:sz w:val="17"/>
          <w:szCs w:val="17"/>
          <w:color w:val="auto"/>
        </w:rPr>
        <w:t>— The costs of research and development are expensed as incurred. Costs include expenditures for new product and</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manufacturing process innovation, and improvements to existing products and processes. Costs primarily consist of salaries, wages, consulting, and depreciation and maintenance of research facilities and equipment.</w:t>
      </w:r>
    </w:p>
    <w:p>
      <w:pPr>
        <w:spacing w:after="0" w:line="4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Deferred tax assets and liabilities are recognized for the future impact of differences between the financial statement carrying amounts of</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and liabilities and their respective tax bases, as well as for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recorded to reduce deferred tax assets when it is more likely than not that a tax benefit will not be realized.</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Recent Accounting Pronouncements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7"/>
          <w:szCs w:val="17"/>
          <w:i w:val="1"/>
          <w:iCs w:val="1"/>
          <w:u w:val="single" w:color="auto"/>
          <w:color w:val="auto"/>
        </w:rPr>
        <w:t>Recently Adopted</w:t>
      </w:r>
    </w:p>
    <w:p>
      <w:pPr>
        <w:spacing w:after="0" w:line="88"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In August 2018, the Financial Accounting Standards Board (FASB) issued guidance on accounting for implementation costs incurred in a cloud computing arrangement that is a service contract. The guidance aligns the requirements for capitalizing implementation costs incurred in a hosting arrangement that is a service contract with the requirements for capitalizing implementation costs incurred to develop or obtain internal-use software. The guidance is effective for fiscal years beginning after December 15, 2019. Entities have the option to apply the guidance prospectively to all implementation costs incurred after the date of adoption or retrospectively. Early adoption is permitted. We adopted the guidance on a prospective basis in the first quarter of 2021. The adoption did not have a material impact on our consolidated financial statements.</w:t>
      </w:r>
    </w:p>
    <w:p>
      <w:pPr>
        <w:spacing w:after="0" w:line="66"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In August 2018, the FASB issued guidance that changes the disclosure requirements related to defined benefit pension and postretirement plans. The guidance is effective for fiscal years ending after December 15, 2020. The guidance is to be applied on a retrospective basis. We adopted the guidance in 2021. The adoption did not have a material impact on our consolidated financial statements.</w:t>
      </w:r>
    </w:p>
    <w:p>
      <w:pPr>
        <w:spacing w:after="0" w:line="5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In December 2019, the FASB issued guidance on simplifying the accounting for income taxes. The guidance removes certain exceptions to the general principles of accounting for income taxes and also improves consistent application of accounting by clarifying or amending existing guidance. We adopted the guidance in the first quarter of 2022. The adoption did not have an impact on our consolidated financial statements.</w:t>
      </w:r>
    </w:p>
    <w:p>
      <w:pPr>
        <w:spacing w:after="0" w:line="4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In September 2022, the FASB issued guidance that enhances the transparency of supplier finance programs by requiring disclosure of the key terms of these programs and a related rollforward of these obligations to understand the effect on working capital, liquidity and cash flows. The guidance is effective for fiscal years beginning after December 15, 2022, including interim periods in those fiscal years, except for the rollforward requirement, which is effective for fiscal years beginning after December 15, 2023. Early adoption is permitted. We adopted the guidance in the fourth quarter of 2023, with the exception of the rollforward information. The adoption did not have a material impact on our consolidated financial statements.</w:t>
      </w:r>
    </w:p>
    <w:p>
      <w:pPr>
        <w:spacing w:after="0" w:line="45" w:lineRule="exact"/>
        <w:rPr>
          <w:sz w:val="20"/>
          <w:szCs w:val="20"/>
          <w:color w:val="auto"/>
        </w:rPr>
      </w:pPr>
    </w:p>
    <w:p>
      <w:pPr>
        <w:ind w:right="9500" w:firstLine="3"/>
        <w:spacing w:after="0" w:line="407" w:lineRule="auto"/>
        <w:tabs>
          <w:tab w:leader="none" w:pos="172" w:val="left"/>
        </w:tabs>
        <w:numPr>
          <w:ilvl w:val="0"/>
          <w:numId w:val="3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Divestitures </w:t>
      </w:r>
      <w:r>
        <w:rPr>
          <w:rFonts w:ascii="Arial" w:cs="Arial" w:eastAsia="Arial" w:hAnsi="Arial"/>
          <w:sz w:val="15"/>
          <w:szCs w:val="15"/>
          <w:i w:val="1"/>
          <w:iCs w:val="1"/>
          <w:color w:val="auto"/>
        </w:rPr>
        <w:t>Discontinued Operations</w:t>
      </w:r>
    </w:p>
    <w:p>
      <w:pPr>
        <w:jc w:val="both"/>
        <w:ind w:firstLine="309"/>
        <w:spacing w:after="0" w:line="266" w:lineRule="auto"/>
        <w:rPr>
          <w:sz w:val="20"/>
          <w:szCs w:val="20"/>
          <w:color w:val="auto"/>
        </w:rPr>
      </w:pPr>
      <w:r>
        <w:rPr>
          <w:rFonts w:ascii="Arial" w:cs="Arial" w:eastAsia="Arial" w:hAnsi="Arial"/>
          <w:sz w:val="17"/>
          <w:szCs w:val="17"/>
          <w:color w:val="auto"/>
        </w:rPr>
        <w:t>We completed the sale of our Kelsen business on September 23, 2019, and the sale of our Arnott’s business and certain other international operations on December 23, 2019. In the third quarter of 2021, we recognized a $6 million loss due to tax expense from return-to-provision adjustments related to the sale of these businesses.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124460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41" w:name="page42"/>
    <w:bookmarkEnd w:id="41"/>
    <w:p>
      <w:pPr>
        <w:jc w:val="both"/>
        <w:ind w:firstLine="309"/>
        <w:spacing w:after="0" w:line="279" w:lineRule="auto"/>
        <w:rPr>
          <w:sz w:val="20"/>
          <w:szCs w:val="20"/>
          <w:color w:val="auto"/>
        </w:rPr>
      </w:pPr>
      <w:r>
        <w:rPr>
          <w:rFonts w:ascii="Arial" w:cs="Arial" w:eastAsia="Arial" w:hAnsi="Arial"/>
          <w:sz w:val="17"/>
          <w:szCs w:val="17"/>
          <w:color w:val="auto"/>
        </w:rPr>
        <w:t>Under the terms of the sale of the Arnott's and certain other international operations, we entered into a long-term licensing arrangement for the exclusive rights to certain Campbell brands in certain non-U.S. markets. We provided certain transition services to support the divested businesses.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Divestitures</w:t>
      </w:r>
    </w:p>
    <w:p>
      <w:pPr>
        <w:spacing w:after="0" w:line="10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On May 30, 2023, we completed the sale of our Emerald nuts business for $41 million. We recognized a pre- and after-tax loss on the sale of $13 million. In connection with the sale, we provided certain transition services to support the business. The business had net sales of $51 million in 2023, $66 million in 2022, and $75 million in 2021. Earnings were not material in the periods. The results of the business through the date of sale were reflected within the Snacks reportable segment.</w:t>
      </w:r>
    </w:p>
    <w:p>
      <w:pPr>
        <w:spacing w:after="0" w:line="64"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On May 3, 2021, we completed the sale of our Plum baby food and snacks business for $101 million. The purchase agreement contained customary representations, warranties, indemnifications and other obligations between us and the buyer. In addition, we agreed to indemnify the buyer for certain claims against the Plum baby food and snacks business alleging the presence of heavy metals in the products manufactured or sold on or prior to May 2, 2021, that were pending at the time of closing of the transaction or were asserted within two years thereafter. We recognized a pre-tax loss of $11 million and an after-tax gain on the sale of $3 million. The business had net sales of $68 million in 2021. Earnings were not material. The results of the business through the date of sale were reflected within the Meals &amp; Beverages reportable segment.</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Accumulated Other Comprehensive Income (Loss)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components of Accumulated other comprehensive income (loss) consisted of the following:</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Foreign Currency</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Pension and</w:t>
            </w:r>
          </w:p>
        </w:tc>
        <w:tc>
          <w:tcPr>
            <w:tcW w:w="140" w:type="dxa"/>
            <w:vAlign w:val="bottom"/>
          </w:tcPr>
          <w:p>
            <w:pPr>
              <w:spacing w:after="0"/>
              <w:rPr>
                <w:sz w:val="14"/>
                <w:szCs w:val="14"/>
                <w:color w:val="auto"/>
              </w:rPr>
            </w:pPr>
          </w:p>
        </w:tc>
        <w:tc>
          <w:tcPr>
            <w:tcW w:w="1300" w:type="dxa"/>
            <w:vAlign w:val="bottom"/>
          </w:tcPr>
          <w:p>
            <w:pPr>
              <w:jc w:val="right"/>
              <w:ind w:right="76"/>
              <w:spacing w:after="0"/>
              <w:rPr>
                <w:sz w:val="20"/>
                <w:szCs w:val="20"/>
                <w:color w:val="auto"/>
              </w:rPr>
            </w:pPr>
            <w:r>
              <w:rPr>
                <w:rFonts w:ascii="Arial" w:cs="Arial" w:eastAsia="Arial" w:hAnsi="Arial"/>
                <w:sz w:val="14"/>
                <w:szCs w:val="14"/>
                <w:b w:val="1"/>
                <w:bCs w:val="1"/>
                <w:color w:val="auto"/>
                <w:w w:val="89"/>
              </w:rPr>
              <w:t>Total Accumulated</w:t>
            </w:r>
          </w:p>
        </w:tc>
        <w:tc>
          <w:tcPr>
            <w:tcW w:w="0" w:type="dxa"/>
            <w:vAlign w:val="bottom"/>
          </w:tcPr>
          <w:p>
            <w:pPr>
              <w:spacing w:after="0"/>
              <w:rPr>
                <w:sz w:val="1"/>
                <w:szCs w:val="1"/>
                <w:color w:val="auto"/>
              </w:rPr>
            </w:pPr>
          </w:p>
        </w:tc>
      </w:tr>
      <w:tr>
        <w:trPr>
          <w:trHeight w:val="129"/>
        </w:trPr>
        <w:tc>
          <w:tcPr>
            <w:tcW w:w="5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160" w:type="dxa"/>
            <w:vAlign w:val="bottom"/>
          </w:tcPr>
          <w:p>
            <w:pPr>
              <w:spacing w:after="0"/>
              <w:rPr>
                <w:sz w:val="11"/>
                <w:szCs w:val="11"/>
                <w:color w:val="auto"/>
              </w:rPr>
            </w:pPr>
          </w:p>
        </w:tc>
        <w:tc>
          <w:tcPr>
            <w:tcW w:w="14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7"/>
              </w:rPr>
              <w:t>Translation</w:t>
            </w:r>
          </w:p>
        </w:tc>
        <w:tc>
          <w:tcPr>
            <w:tcW w:w="100" w:type="dxa"/>
            <w:vAlign w:val="bottom"/>
          </w:tcPr>
          <w:p>
            <w:pPr>
              <w:spacing w:after="0"/>
              <w:rPr>
                <w:sz w:val="11"/>
                <w:szCs w:val="11"/>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Cash-Flow Hedges</w:t>
            </w:r>
            <w:r>
              <w:rPr>
                <w:rFonts w:ascii="Arial" w:cs="Arial" w:eastAsia="Arial" w:hAnsi="Arial"/>
                <w:sz w:val="17"/>
                <w:szCs w:val="17"/>
                <w:b w:val="1"/>
                <w:bCs w:val="1"/>
                <w:color w:val="auto"/>
                <w:vertAlign w:val="superscript"/>
              </w:rPr>
              <w:t>(2)</w:t>
            </w:r>
          </w:p>
        </w:tc>
        <w:tc>
          <w:tcPr>
            <w:tcW w:w="154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7"/>
              </w:rPr>
              <w:t>Postretirement Benefit</w:t>
            </w:r>
          </w:p>
        </w:tc>
        <w:tc>
          <w:tcPr>
            <w:tcW w:w="144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w w:val="87"/>
              </w:rPr>
              <w:t>Comprehensive Income</w:t>
            </w:r>
          </w:p>
        </w:tc>
        <w:tc>
          <w:tcPr>
            <w:tcW w:w="0" w:type="dxa"/>
            <w:vAlign w:val="bottom"/>
          </w:tcPr>
          <w:p>
            <w:pPr>
              <w:spacing w:after="0"/>
              <w:rPr>
                <w:sz w:val="1"/>
                <w:szCs w:val="1"/>
                <w:color w:val="auto"/>
              </w:rPr>
            </w:pPr>
          </w:p>
        </w:tc>
      </w:tr>
      <w:tr>
        <w:trPr>
          <w:trHeight w:val="205"/>
        </w:trPr>
        <w:tc>
          <w:tcPr>
            <w:tcW w:w="51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Adjustments</w:t>
            </w:r>
            <w:r>
              <w:rPr>
                <w:rFonts w:ascii="Arial" w:cs="Arial" w:eastAsia="Arial" w:hAnsi="Arial"/>
                <w:sz w:val="17"/>
                <w:szCs w:val="17"/>
                <w:b w:val="1"/>
                <w:bCs w:val="1"/>
                <w:color w:val="auto"/>
                <w:w w:val="87"/>
                <w:vertAlign w:val="superscript"/>
              </w:rPr>
              <w:t>(1)</w:t>
            </w:r>
          </w:p>
        </w:tc>
        <w:tc>
          <w:tcPr>
            <w:tcW w:w="10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Plan Adjustments</w:t>
            </w:r>
            <w:r>
              <w:rPr>
                <w:rFonts w:ascii="Arial" w:cs="Arial" w:eastAsia="Arial" w:hAnsi="Arial"/>
                <w:sz w:val="17"/>
                <w:szCs w:val="17"/>
                <w:b w:val="1"/>
                <w:bCs w:val="1"/>
                <w:color w:val="auto"/>
                <w:w w:val="87"/>
                <w:vertAlign w:val="superscript"/>
              </w:rPr>
              <w:t>(3)</w:t>
            </w:r>
          </w:p>
        </w:tc>
        <w:tc>
          <w:tcPr>
            <w:tcW w:w="140" w:type="dxa"/>
            <w:vAlign w:val="bottom"/>
          </w:tcPr>
          <w:p>
            <w:pPr>
              <w:spacing w:after="0"/>
              <w:rPr>
                <w:sz w:val="17"/>
                <w:szCs w:val="17"/>
                <w:color w:val="auto"/>
              </w:rPr>
            </w:pPr>
          </w:p>
        </w:tc>
        <w:tc>
          <w:tcPr>
            <w:tcW w:w="1300" w:type="dxa"/>
            <w:vAlign w:val="bottom"/>
          </w:tcPr>
          <w:p>
            <w:pPr>
              <w:jc w:val="right"/>
              <w:ind w:right="456"/>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12"/>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August 2, 2020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1"/>
        </w:trPr>
        <w:tc>
          <w:tcPr>
            <w:tcW w:w="5160" w:type="dxa"/>
            <w:vAlign w:val="bottom"/>
          </w:tcPr>
          <w:p>
            <w:pPr>
              <w:ind w:left="220"/>
              <w:spacing w:after="0"/>
              <w:rPr>
                <w:sz w:val="20"/>
                <w:szCs w:val="20"/>
                <w:color w:val="auto"/>
              </w:rPr>
            </w:pPr>
            <w:r>
              <w:rPr>
                <w:rFonts w:ascii="Arial" w:cs="Arial" w:eastAsia="Arial" w:hAnsi="Arial"/>
                <w:sz w:val="17"/>
                <w:szCs w:val="17"/>
                <w:color w:val="auto"/>
              </w:rPr>
              <w:t>Other comprehensive income (loss) before reclassifications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169"/>
        </w:trPr>
        <w:tc>
          <w:tcPr>
            <w:tcW w:w="5160" w:type="dxa"/>
            <w:vAlign w:val="bottom"/>
            <w:shd w:val="clear" w:color="auto" w:fill="CCEEFF"/>
          </w:tcPr>
          <w:p>
            <w:pPr>
              <w:ind w:left="220"/>
              <w:spacing w:after="0" w:line="169" w:lineRule="exact"/>
              <w:rPr>
                <w:sz w:val="20"/>
                <w:szCs w:val="20"/>
                <w:color w:val="auto"/>
              </w:rPr>
            </w:pPr>
            <w:r>
              <w:rPr>
                <w:rFonts w:ascii="Arial" w:cs="Arial" w:eastAsia="Arial" w:hAnsi="Arial"/>
                <w:sz w:val="17"/>
                <w:szCs w:val="17"/>
                <w:color w:val="auto"/>
                <w:w w:val="97"/>
              </w:rPr>
              <w:t>Losses (gains) reclassified from accumulated other comprehensive</w:t>
            </w: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5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income (loss)</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1"/>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current-period other comprehensive income (loss)</w:t>
            </w: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3"/>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August 1, 2021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1"/>
        </w:trPr>
        <w:tc>
          <w:tcPr>
            <w:tcW w:w="5160" w:type="dxa"/>
            <w:vAlign w:val="bottom"/>
          </w:tcPr>
          <w:p>
            <w:pPr>
              <w:ind w:left="220"/>
              <w:spacing w:after="0"/>
              <w:rPr>
                <w:sz w:val="20"/>
                <w:szCs w:val="20"/>
                <w:color w:val="auto"/>
              </w:rPr>
            </w:pPr>
            <w:r>
              <w:rPr>
                <w:rFonts w:ascii="Arial" w:cs="Arial" w:eastAsia="Arial" w:hAnsi="Arial"/>
                <w:sz w:val="17"/>
                <w:szCs w:val="17"/>
                <w:color w:val="auto"/>
              </w:rPr>
              <w:t>Other comprehensive income (loss) before reclassifications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69"/>
        </w:trPr>
        <w:tc>
          <w:tcPr>
            <w:tcW w:w="5160" w:type="dxa"/>
            <w:vAlign w:val="bottom"/>
            <w:shd w:val="clear" w:color="auto" w:fill="CCEEFF"/>
          </w:tcPr>
          <w:p>
            <w:pPr>
              <w:ind w:left="220"/>
              <w:spacing w:after="0" w:line="169" w:lineRule="exact"/>
              <w:rPr>
                <w:sz w:val="20"/>
                <w:szCs w:val="20"/>
                <w:color w:val="auto"/>
              </w:rPr>
            </w:pPr>
            <w:r>
              <w:rPr>
                <w:rFonts w:ascii="Arial" w:cs="Arial" w:eastAsia="Arial" w:hAnsi="Arial"/>
                <w:sz w:val="17"/>
                <w:szCs w:val="17"/>
                <w:color w:val="auto"/>
                <w:w w:val="97"/>
              </w:rPr>
              <w:t>Losses (gains) reclassified from accumulated other comprehensive</w:t>
            </w: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5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income (loss)</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1"/>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current-period other comprehensive income (loss)</w:t>
            </w: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3"/>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July 31, 2022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2"/>
        </w:trPr>
        <w:tc>
          <w:tcPr>
            <w:tcW w:w="5160" w:type="dxa"/>
            <w:vAlign w:val="bottom"/>
          </w:tcPr>
          <w:p>
            <w:pPr>
              <w:ind w:left="220"/>
              <w:spacing w:after="0"/>
              <w:rPr>
                <w:sz w:val="20"/>
                <w:szCs w:val="20"/>
                <w:color w:val="auto"/>
              </w:rPr>
            </w:pPr>
            <w:r>
              <w:rPr>
                <w:rFonts w:ascii="Arial" w:cs="Arial" w:eastAsia="Arial" w:hAnsi="Arial"/>
                <w:sz w:val="17"/>
                <w:szCs w:val="17"/>
                <w:b w:val="1"/>
                <w:bCs w:val="1"/>
                <w:color w:val="auto"/>
              </w:rPr>
              <w:t>Other comprehensive income (loss) before reclassifications</w:t>
            </w: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4</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w:t>
            </w:r>
          </w:p>
        </w:tc>
        <w:tc>
          <w:tcPr>
            <w:tcW w:w="0" w:type="dxa"/>
            <w:vAlign w:val="bottom"/>
          </w:tcPr>
          <w:p>
            <w:pPr>
              <w:spacing w:after="0"/>
              <w:rPr>
                <w:sz w:val="1"/>
                <w:szCs w:val="1"/>
                <w:color w:val="auto"/>
              </w:rPr>
            </w:pPr>
          </w:p>
        </w:tc>
      </w:tr>
      <w:tr>
        <w:trPr>
          <w:trHeight w:val="167"/>
        </w:trPr>
        <w:tc>
          <w:tcPr>
            <w:tcW w:w="5160" w:type="dxa"/>
            <w:vAlign w:val="bottom"/>
            <w:shd w:val="clear" w:color="auto" w:fill="CCEEFF"/>
          </w:tcPr>
          <w:p>
            <w:pPr>
              <w:ind w:left="220"/>
              <w:spacing w:after="0" w:line="167" w:lineRule="exact"/>
              <w:rPr>
                <w:sz w:val="20"/>
                <w:szCs w:val="20"/>
                <w:color w:val="auto"/>
              </w:rPr>
            </w:pPr>
            <w:r>
              <w:rPr>
                <w:rFonts w:ascii="Arial" w:cs="Arial" w:eastAsia="Arial" w:hAnsi="Arial"/>
                <w:sz w:val="17"/>
                <w:szCs w:val="17"/>
                <w:b w:val="1"/>
                <w:bCs w:val="1"/>
                <w:color w:val="auto"/>
                <w:w w:val="90"/>
              </w:rPr>
              <w:t>Losses (gains) reclassified from accumulated other comprehensive</w:t>
            </w: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160" w:type="dxa"/>
            <w:vAlign w:val="bottom"/>
            <w:shd w:val="clear" w:color="auto" w:fill="CCEEFF"/>
          </w:tcPr>
          <w:p>
            <w:pPr>
              <w:ind w:left="220"/>
              <w:spacing w:after="0"/>
              <w:rPr>
                <w:sz w:val="20"/>
                <w:szCs w:val="20"/>
                <w:color w:val="auto"/>
              </w:rPr>
            </w:pPr>
            <w:r>
              <w:rPr>
                <w:rFonts w:ascii="Arial" w:cs="Arial" w:eastAsia="Arial" w:hAnsi="Arial"/>
                <w:sz w:val="17"/>
                <w:szCs w:val="17"/>
                <w:b w:val="1"/>
                <w:bCs w:val="1"/>
                <w:color w:val="auto"/>
              </w:rPr>
              <w:t>income (loss)</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w:t>
            </w:r>
          </w:p>
        </w:tc>
        <w:tc>
          <w:tcPr>
            <w:tcW w:w="0" w:type="dxa"/>
            <w:vAlign w:val="bottom"/>
          </w:tcPr>
          <w:p>
            <w:pPr>
              <w:spacing w:after="0"/>
              <w:rPr>
                <w:sz w:val="1"/>
                <w:szCs w:val="1"/>
                <w:color w:val="auto"/>
              </w:rPr>
            </w:pPr>
          </w:p>
        </w:tc>
      </w:tr>
      <w:tr>
        <w:trPr>
          <w:trHeight w:val="212"/>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Net current-period other comprehensive income (loss)</w:t>
            </w: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July 30,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w:t>
      </w:r>
    </w:p>
    <w:p>
      <w:pPr>
        <w:ind w:left="300" w:hanging="297"/>
        <w:spacing w:after="0" w:line="220" w:lineRule="auto"/>
        <w:tabs>
          <w:tab w:leader="none" w:pos="300" w:val="left"/>
        </w:tabs>
        <w:numPr>
          <w:ilvl w:val="0"/>
          <w:numId w:val="33"/>
        </w:numPr>
        <w:rPr>
          <w:rFonts w:ascii="Arial" w:cs="Arial" w:eastAsia="Arial" w:hAnsi="Arial"/>
          <w:sz w:val="22"/>
          <w:szCs w:val="22"/>
          <w:color w:val="auto"/>
          <w:vertAlign w:val="superscript"/>
        </w:rPr>
      </w:pPr>
      <w:r>
        <w:rPr>
          <w:rFonts w:ascii="Arial" w:cs="Arial" w:eastAsia="Arial" w:hAnsi="Arial"/>
          <w:sz w:val="17"/>
          <w:szCs w:val="17"/>
          <w:color w:val="auto"/>
        </w:rPr>
        <w:t>Included no tax as of July 30, 2023, July 31, 2022, August 1, 2021, and August 2, 2020.</w:t>
      </w:r>
    </w:p>
    <w:p>
      <w:pPr>
        <w:ind w:left="300" w:hanging="297"/>
        <w:spacing w:after="0" w:line="183" w:lineRule="auto"/>
        <w:tabs>
          <w:tab w:leader="none" w:pos="300" w:val="left"/>
        </w:tabs>
        <w:numPr>
          <w:ilvl w:val="0"/>
          <w:numId w:val="33"/>
        </w:numPr>
        <w:rPr>
          <w:rFonts w:ascii="Arial" w:cs="Arial" w:eastAsia="Arial" w:hAnsi="Arial"/>
          <w:sz w:val="19"/>
          <w:szCs w:val="19"/>
          <w:color w:val="auto"/>
          <w:vertAlign w:val="superscript"/>
        </w:rPr>
      </w:pPr>
      <w:r>
        <w:rPr>
          <w:rFonts w:ascii="Arial" w:cs="Arial" w:eastAsia="Arial" w:hAnsi="Arial"/>
          <w:sz w:val="15"/>
          <w:szCs w:val="15"/>
          <w:color w:val="auto"/>
        </w:rPr>
        <w:t>Included a tax benefit of $1 million as of July 30, 2023, no tax as of July 31, 2022, and a tax benefit of $1 million as of August 1, 2021 and August 2, 2020.</w:t>
      </w:r>
    </w:p>
    <w:p>
      <w:pPr>
        <w:ind w:left="320" w:right="1840" w:hanging="317"/>
        <w:spacing w:after="0" w:line="283" w:lineRule="auto"/>
        <w:tabs>
          <w:tab w:leader="none" w:pos="308" w:val="left"/>
        </w:tabs>
        <w:numPr>
          <w:ilvl w:val="0"/>
          <w:numId w:val="33"/>
        </w:numPr>
        <w:rPr>
          <w:rFonts w:ascii="Arial" w:cs="Arial" w:eastAsia="Arial" w:hAnsi="Arial"/>
          <w:sz w:val="22"/>
          <w:szCs w:val="22"/>
          <w:color w:val="auto"/>
          <w:vertAlign w:val="superscript"/>
        </w:rPr>
      </w:pPr>
      <w:r>
        <w:rPr>
          <w:rFonts w:ascii="Arial" w:cs="Arial" w:eastAsia="Arial" w:hAnsi="Arial"/>
          <w:sz w:val="17"/>
          <w:szCs w:val="17"/>
          <w:color w:val="auto"/>
        </w:rPr>
        <w:t>Included tax expense of $1 million as of as of July 30, 2023, July 31, 2022 and August 1, 2021, and $2 million as of August 2, 2020. Amounts related to noncontrolling interests were not material.</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124460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42" w:name="page43"/>
    <w:bookmarkEnd w:id="42"/>
    <w:p>
      <w:pPr>
        <w:ind w:left="320"/>
        <w:spacing w:after="0"/>
        <w:rPr>
          <w:sz w:val="20"/>
          <w:szCs w:val="20"/>
          <w:color w:val="auto"/>
        </w:rPr>
      </w:pPr>
      <w:r>
        <w:rPr>
          <w:rFonts w:ascii="Arial" w:cs="Arial" w:eastAsia="Arial" w:hAnsi="Arial"/>
          <w:sz w:val="17"/>
          <w:szCs w:val="17"/>
          <w:color w:val="auto"/>
        </w:rPr>
        <w:t>The amounts reclassified from Accumulated other comprehensive income (loss) consisted of the following:</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260" w:type="dxa"/>
            <w:vAlign w:val="bottom"/>
          </w:tcPr>
          <w:p>
            <w:pPr>
              <w:spacing w:after="0"/>
              <w:rPr>
                <w:sz w:val="14"/>
                <w:szCs w:val="14"/>
                <w:color w:val="auto"/>
              </w:rPr>
            </w:pPr>
          </w:p>
        </w:tc>
        <w:tc>
          <w:tcPr>
            <w:tcW w:w="82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tcPr>
          <w:p>
            <w:pPr>
              <w:ind w:left="220"/>
              <w:spacing w:after="0"/>
              <w:rPr>
                <w:sz w:val="20"/>
                <w:szCs w:val="20"/>
                <w:color w:val="auto"/>
              </w:rPr>
            </w:pPr>
            <w:r>
              <w:rPr>
                <w:rFonts w:ascii="Arial" w:cs="Arial" w:eastAsia="Arial" w:hAnsi="Arial"/>
                <w:sz w:val="14"/>
                <w:szCs w:val="14"/>
                <w:b w:val="1"/>
                <w:bCs w:val="1"/>
                <w:color w:val="auto"/>
                <w:w w:val="94"/>
              </w:rPr>
              <w:t>Location of Loss (Gain) Recognized in</w:t>
            </w:r>
          </w:p>
        </w:tc>
        <w:tc>
          <w:tcPr>
            <w:tcW w:w="0" w:type="dxa"/>
            <w:vAlign w:val="bottom"/>
          </w:tcPr>
          <w:p>
            <w:pPr>
              <w:spacing w:after="0"/>
              <w:rPr>
                <w:sz w:val="1"/>
                <w:szCs w:val="1"/>
                <w:color w:val="auto"/>
              </w:rPr>
            </w:pPr>
          </w:p>
        </w:tc>
      </w:tr>
      <w:tr>
        <w:trPr>
          <w:trHeight w:val="184"/>
        </w:trPr>
        <w:tc>
          <w:tcPr>
            <w:tcW w:w="49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6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Earnings</w:t>
            </w:r>
          </w:p>
        </w:tc>
        <w:tc>
          <w:tcPr>
            <w:tcW w:w="0" w:type="dxa"/>
            <w:vAlign w:val="bottom"/>
          </w:tcPr>
          <w:p>
            <w:pPr>
              <w:spacing w:after="0"/>
              <w:rPr>
                <w:sz w:val="1"/>
                <w:szCs w:val="1"/>
                <w:color w:val="auto"/>
              </w:rPr>
            </w:pPr>
          </w:p>
        </w:tc>
      </w:tr>
      <w:tr>
        <w:trPr>
          <w:trHeight w:val="205"/>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Losses (gains) on cash-flow hedges:</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80" w:type="dxa"/>
            <w:vAlign w:val="bottom"/>
          </w:tcPr>
          <w:p>
            <w:pPr>
              <w:ind w:left="140"/>
              <w:spacing w:after="0"/>
              <w:rPr>
                <w:sz w:val="20"/>
                <w:szCs w:val="20"/>
                <w:color w:val="auto"/>
              </w:rPr>
            </w:pPr>
            <w:r>
              <w:rPr>
                <w:rFonts w:ascii="Arial" w:cs="Arial" w:eastAsia="Arial" w:hAnsi="Arial"/>
                <w:sz w:val="17"/>
                <w:szCs w:val="17"/>
                <w:color w:val="auto"/>
              </w:rPr>
              <w:t>Commodity contracts</w:t>
            </w:r>
          </w:p>
        </w:tc>
        <w:tc>
          <w:tcPr>
            <w:tcW w:w="260" w:type="dxa"/>
            <w:vAlign w:val="bottom"/>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(3)</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760" w:type="dxa"/>
            <w:vAlign w:val="bottom"/>
          </w:tcPr>
          <w:p>
            <w:pPr>
              <w:jc w:val="right"/>
              <w:ind w:right="558"/>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660" w:type="dxa"/>
            <w:vAlign w:val="bottom"/>
          </w:tcPr>
          <w:p>
            <w:pPr>
              <w:ind w:left="20"/>
              <w:spacing w:after="0"/>
              <w:rPr>
                <w:sz w:val="20"/>
                <w:szCs w:val="20"/>
                <w:color w:val="auto"/>
              </w:rPr>
            </w:pPr>
            <w:r>
              <w:rPr>
                <w:rFonts w:ascii="Arial" w:cs="Arial" w:eastAsia="Arial" w:hAnsi="Arial"/>
                <w:sz w:val="17"/>
                <w:szCs w:val="17"/>
                <w:color w:val="auto"/>
              </w:rPr>
              <w:t>Cost of products sold</w:t>
            </w: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Foreign exchange forward contracts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products sold</w:t>
            </w:r>
          </w:p>
        </w:tc>
        <w:tc>
          <w:tcPr>
            <w:tcW w:w="0" w:type="dxa"/>
            <w:vAlign w:val="bottom"/>
          </w:tcPr>
          <w:p>
            <w:pPr>
              <w:spacing w:after="0"/>
              <w:rPr>
                <w:sz w:val="1"/>
                <w:szCs w:val="1"/>
                <w:color w:val="auto"/>
              </w:rPr>
            </w:pPr>
          </w:p>
        </w:tc>
      </w:tr>
      <w:tr>
        <w:trPr>
          <w:trHeight w:val="219"/>
        </w:trPr>
        <w:tc>
          <w:tcPr>
            <w:tcW w:w="4980" w:type="dxa"/>
            <w:vAlign w:val="bottom"/>
          </w:tcPr>
          <w:p>
            <w:pPr>
              <w:ind w:left="140"/>
              <w:spacing w:after="0"/>
              <w:rPr>
                <w:sz w:val="20"/>
                <w:szCs w:val="20"/>
                <w:color w:val="auto"/>
              </w:rPr>
            </w:pPr>
            <w:r>
              <w:rPr>
                <w:rFonts w:ascii="Arial" w:cs="Arial" w:eastAsia="Arial" w:hAnsi="Arial"/>
                <w:sz w:val="17"/>
                <w:szCs w:val="17"/>
                <w:color w:val="auto"/>
              </w:rPr>
              <w:t>Foreign exchange forward contracts</w:t>
            </w:r>
          </w:p>
        </w:tc>
        <w:tc>
          <w:tcPr>
            <w:tcW w:w="2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660" w:type="dxa"/>
            <w:vAlign w:val="bottom"/>
          </w:tcPr>
          <w:p>
            <w:pPr>
              <w:ind w:left="20"/>
              <w:spacing w:after="0"/>
              <w:rPr>
                <w:sz w:val="20"/>
                <w:szCs w:val="20"/>
                <w:color w:val="auto"/>
              </w:rPr>
            </w:pPr>
            <w:r>
              <w:rPr>
                <w:rFonts w:ascii="Arial" w:cs="Arial" w:eastAsia="Arial" w:hAnsi="Arial"/>
                <w:sz w:val="17"/>
                <w:szCs w:val="17"/>
                <w:color w:val="auto"/>
              </w:rPr>
              <w:t>Other expenses / (income)</w:t>
            </w: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Forward starting interest rate swaps</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0" w:type="dxa"/>
            <w:vAlign w:val="bottom"/>
          </w:tcPr>
          <w:p>
            <w:pPr>
              <w:spacing w:after="0"/>
              <w:rPr>
                <w:sz w:val="1"/>
                <w:szCs w:val="1"/>
                <w:color w:val="auto"/>
              </w:rPr>
            </w:pPr>
          </w:p>
        </w:tc>
      </w:tr>
      <w:tr>
        <w:trPr>
          <w:trHeight w:val="212"/>
        </w:trPr>
        <w:tc>
          <w:tcPr>
            <w:tcW w:w="4980" w:type="dxa"/>
            <w:vAlign w:val="bottom"/>
          </w:tcPr>
          <w:p>
            <w:pPr>
              <w:jc w:val="right"/>
              <w:ind w:right="35"/>
              <w:spacing w:after="0"/>
              <w:rPr>
                <w:sz w:val="20"/>
                <w:szCs w:val="20"/>
                <w:color w:val="auto"/>
              </w:rPr>
            </w:pPr>
            <w:r>
              <w:rPr>
                <w:rFonts w:ascii="Arial" w:cs="Arial" w:eastAsia="Arial" w:hAnsi="Arial"/>
                <w:sz w:val="17"/>
                <w:szCs w:val="17"/>
                <w:color w:val="auto"/>
              </w:rPr>
              <w:t>Total before tax</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Tax expense (benefit)</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980" w:type="dxa"/>
            <w:vAlign w:val="bottom"/>
          </w:tcPr>
          <w:p>
            <w:pPr>
              <w:jc w:val="right"/>
              <w:ind w:right="35"/>
              <w:spacing w:after="0"/>
              <w:rPr>
                <w:sz w:val="20"/>
                <w:szCs w:val="20"/>
                <w:color w:val="auto"/>
              </w:rPr>
            </w:pPr>
            <w:r>
              <w:rPr>
                <w:rFonts w:ascii="Arial" w:cs="Arial" w:eastAsia="Arial" w:hAnsi="Arial"/>
                <w:sz w:val="17"/>
                <w:szCs w:val="17"/>
                <w:color w:val="auto"/>
              </w:rPr>
              <w:t>Loss (gain), net of tax</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ind w:right="558"/>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80" w:type="dxa"/>
            <w:vAlign w:val="bottom"/>
          </w:tcPr>
          <w:p>
            <w:pPr>
              <w:ind w:left="20"/>
              <w:spacing w:after="0"/>
              <w:rPr>
                <w:sz w:val="20"/>
                <w:szCs w:val="20"/>
                <w:color w:val="auto"/>
              </w:rPr>
            </w:pPr>
            <w:r>
              <w:rPr>
                <w:rFonts w:ascii="Arial" w:cs="Arial" w:eastAsia="Arial" w:hAnsi="Arial"/>
                <w:sz w:val="17"/>
                <w:szCs w:val="17"/>
                <w:color w:val="auto"/>
              </w:rPr>
              <w:t>Pension and postretirement benefit adjustments:</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Prior service credit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8"/>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expenses / (income)</w:t>
            </w:r>
          </w:p>
        </w:tc>
        <w:tc>
          <w:tcPr>
            <w:tcW w:w="0" w:type="dxa"/>
            <w:vAlign w:val="bottom"/>
          </w:tcPr>
          <w:p>
            <w:pPr>
              <w:spacing w:after="0"/>
              <w:rPr>
                <w:sz w:val="1"/>
                <w:szCs w:val="1"/>
                <w:color w:val="auto"/>
              </w:rPr>
            </w:pPr>
          </w:p>
        </w:tc>
      </w:tr>
      <w:tr>
        <w:trPr>
          <w:trHeight w:val="219"/>
        </w:trPr>
        <w:tc>
          <w:tcPr>
            <w:tcW w:w="4980" w:type="dxa"/>
            <w:vAlign w:val="bottom"/>
          </w:tcPr>
          <w:p>
            <w:pPr>
              <w:jc w:val="right"/>
              <w:ind w:right="35"/>
              <w:spacing w:after="0"/>
              <w:rPr>
                <w:sz w:val="20"/>
                <w:szCs w:val="20"/>
                <w:color w:val="auto"/>
              </w:rPr>
            </w:pPr>
            <w:r>
              <w:rPr>
                <w:rFonts w:ascii="Arial" w:cs="Arial" w:eastAsia="Arial" w:hAnsi="Arial"/>
                <w:sz w:val="17"/>
                <w:szCs w:val="17"/>
                <w:color w:val="auto"/>
              </w:rPr>
              <w:t>Tax expense (benefit)</w:t>
            </w:r>
          </w:p>
        </w:tc>
        <w:tc>
          <w:tcPr>
            <w:tcW w:w="2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80" w:type="dxa"/>
            <w:vAlign w:val="bottom"/>
            <w:tcBorders>
              <w:top w:val="single" w:sz="8" w:color="CCEEFF"/>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Loss (gain), net of tax</w:t>
            </w: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558"/>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right="8740" w:firstLine="3"/>
        <w:spacing w:after="0" w:line="359" w:lineRule="auto"/>
        <w:tabs>
          <w:tab w:leader="none" w:pos="172"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Goodwill and Intangible Assets </w:t>
      </w:r>
      <w:r>
        <w:rPr>
          <w:rFonts w:ascii="Arial" w:cs="Arial" w:eastAsia="Arial" w:hAnsi="Arial"/>
          <w:sz w:val="17"/>
          <w:szCs w:val="17"/>
          <w:b w:val="1"/>
          <w:bCs w:val="1"/>
          <w:i w:val="1"/>
          <w:iCs w:val="1"/>
          <w:color w:val="auto"/>
        </w:rPr>
        <w:t>Goodwill</w:t>
      </w:r>
    </w:p>
    <w:p>
      <w:pPr>
        <w:ind w:left="320"/>
        <w:spacing w:after="0"/>
        <w:rPr>
          <w:rFonts w:ascii="Arial" w:cs="Arial" w:eastAsia="Arial" w:hAnsi="Arial"/>
          <w:sz w:val="17"/>
          <w:szCs w:val="17"/>
          <w:b w:val="1"/>
          <w:bCs w:val="1"/>
          <w:color w:val="auto"/>
        </w:rPr>
      </w:pPr>
      <w:r>
        <w:rPr>
          <w:rFonts w:ascii="Arial" w:cs="Arial" w:eastAsia="Arial" w:hAnsi="Arial"/>
          <w:sz w:val="17"/>
          <w:szCs w:val="17"/>
          <w:color w:val="auto"/>
        </w:rPr>
        <w:t>The following table shows the changes in the carrying amount of goodwill:</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06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1420" w:type="dxa"/>
            <w:vAlign w:val="bottom"/>
            <w:gridSpan w:val="3"/>
          </w:tcPr>
          <w:p>
            <w:pPr>
              <w:ind w:left="100"/>
              <w:spacing w:after="0"/>
              <w:rPr>
                <w:sz w:val="20"/>
                <w:szCs w:val="20"/>
                <w:color w:val="auto"/>
              </w:rPr>
            </w:pPr>
            <w:r>
              <w:rPr>
                <w:rFonts w:ascii="Arial" w:cs="Arial" w:eastAsia="Arial" w:hAnsi="Arial"/>
                <w:sz w:val="14"/>
                <w:szCs w:val="14"/>
                <w:b w:val="1"/>
                <w:bCs w:val="1"/>
                <w:color w:val="auto"/>
              </w:rPr>
              <w:t>Meals &amp; Beverages</w:t>
            </w:r>
          </w:p>
        </w:tc>
        <w:tc>
          <w:tcPr>
            <w:tcW w:w="280" w:type="dxa"/>
            <w:vAlign w:val="bottom"/>
          </w:tcPr>
          <w:p>
            <w:pPr>
              <w:spacing w:after="0"/>
              <w:rPr>
                <w:sz w:val="15"/>
                <w:szCs w:val="15"/>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Snacks</w:t>
            </w:r>
          </w:p>
        </w:tc>
        <w:tc>
          <w:tcPr>
            <w:tcW w:w="300" w:type="dxa"/>
            <w:vAlign w:val="bottom"/>
          </w:tcPr>
          <w:p>
            <w:pPr>
              <w:spacing w:after="0"/>
              <w:rPr>
                <w:sz w:val="15"/>
                <w:szCs w:val="15"/>
                <w:color w:val="auto"/>
              </w:rPr>
            </w:pPr>
          </w:p>
        </w:tc>
        <w:tc>
          <w:tcPr>
            <w:tcW w:w="1000" w:type="dxa"/>
            <w:vAlign w:val="bottom"/>
          </w:tcPr>
          <w:p>
            <w:pPr>
              <w:jc w:val="right"/>
              <w:ind w:right="416"/>
              <w:spacing w:after="0"/>
              <w:rPr>
                <w:sz w:val="20"/>
                <w:szCs w:val="20"/>
                <w:color w:val="auto"/>
              </w:rPr>
            </w:pPr>
            <w:r>
              <w:rPr>
                <w:rFonts w:ascii="Arial" w:cs="Arial" w:eastAsia="Arial" w:hAnsi="Arial"/>
                <w:sz w:val="14"/>
                <w:szCs w:val="14"/>
                <w:b w:val="1"/>
                <w:bCs w:val="1"/>
                <w:color w:val="auto"/>
              </w:rPr>
              <w:t>Total</w:t>
            </w:r>
          </w:p>
        </w:tc>
      </w:tr>
      <w:tr>
        <w:trPr>
          <w:trHeight w:val="24"/>
        </w:trPr>
        <w:tc>
          <w:tcPr>
            <w:tcW w:w="70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2"/>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balance at August 1, 2021</w:t>
            </w:r>
          </w:p>
        </w:tc>
        <w:tc>
          <w:tcPr>
            <w:tcW w:w="540" w:type="dxa"/>
            <w:vAlign w:val="bottom"/>
            <w:shd w:val="clear" w:color="auto" w:fill="CCEEFF"/>
          </w:tcPr>
          <w:p>
            <w:pPr>
              <w:jc w:val="right"/>
              <w:ind w:right="358"/>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3,981</w:t>
            </w:r>
          </w:p>
        </w:tc>
      </w:tr>
      <w:tr>
        <w:trPr>
          <w:trHeight w:val="219"/>
        </w:trPr>
        <w:tc>
          <w:tcPr>
            <w:tcW w:w="7060" w:type="dxa"/>
            <w:vAlign w:val="bottom"/>
          </w:tcPr>
          <w:p>
            <w:pPr>
              <w:ind w:left="20"/>
              <w:spacing w:after="0" w:line="219" w:lineRule="exact"/>
              <w:rPr>
                <w:sz w:val="20"/>
                <w:szCs w:val="20"/>
                <w:color w:val="auto"/>
              </w:rPr>
            </w:pPr>
            <w:r>
              <w:rPr>
                <w:rFonts w:ascii="Arial" w:cs="Arial" w:eastAsia="Arial" w:hAnsi="Arial"/>
                <w:sz w:val="17"/>
                <w:szCs w:val="17"/>
                <w:color w:val="auto"/>
              </w:rPr>
              <w:t>Amounts reclassified due to segment change</w:t>
            </w:r>
            <w:r>
              <w:rPr>
                <w:rFonts w:ascii="Arial" w:cs="Arial" w:eastAsia="Arial" w:hAnsi="Arial"/>
                <w:sz w:val="22"/>
                <w:szCs w:val="22"/>
                <w:color w:val="auto"/>
                <w:vertAlign w:val="superscript"/>
              </w:rPr>
              <w:t>(1)</w:t>
            </w: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currency translation adjustment</w:t>
            </w: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11"/>
        </w:trPr>
        <w:tc>
          <w:tcPr>
            <w:tcW w:w="7060" w:type="dxa"/>
            <w:vAlign w:val="bottom"/>
          </w:tcPr>
          <w:p>
            <w:pPr>
              <w:ind w:left="20"/>
              <w:spacing w:after="0"/>
              <w:rPr>
                <w:sz w:val="20"/>
                <w:szCs w:val="20"/>
                <w:color w:val="auto"/>
              </w:rPr>
            </w:pPr>
            <w:r>
              <w:rPr>
                <w:rFonts w:ascii="Arial" w:cs="Arial" w:eastAsia="Arial" w:hAnsi="Arial"/>
                <w:sz w:val="17"/>
                <w:szCs w:val="17"/>
                <w:b w:val="1"/>
                <w:bCs w:val="1"/>
                <w:color w:val="auto"/>
              </w:rPr>
              <w:t>Net balance at July 31, 2022</w:t>
            </w:r>
          </w:p>
        </w:tc>
        <w:tc>
          <w:tcPr>
            <w:tcW w:w="540" w:type="dxa"/>
            <w:vAlign w:val="bottom"/>
            <w:tcBorders>
              <w:top w:val="single" w:sz="8" w:color="auto"/>
            </w:tcBorders>
          </w:tcPr>
          <w:p>
            <w:pPr>
              <w:jc w:val="right"/>
              <w:ind w:right="358"/>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993</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2,986</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3,979</w:t>
            </w:r>
          </w:p>
        </w:tc>
      </w:tr>
      <w:tr>
        <w:trPr>
          <w:trHeight w:val="220"/>
        </w:trPr>
        <w:tc>
          <w:tcPr>
            <w:tcW w:w="706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b w:val="1"/>
                <w:bCs w:val="1"/>
                <w:color w:val="auto"/>
              </w:rPr>
              <w:t>Divestiture</w:t>
            </w:r>
            <w:r>
              <w:rPr>
                <w:rFonts w:ascii="Arial" w:cs="Arial" w:eastAsia="Arial" w:hAnsi="Arial"/>
                <w:sz w:val="22"/>
                <w:szCs w:val="22"/>
                <w:b w:val="1"/>
                <w:bCs w:val="1"/>
                <w:color w:val="auto"/>
                <w:vertAlign w:val="superscript"/>
              </w:rPr>
              <w:t>(2)</w:t>
            </w:r>
          </w:p>
        </w:tc>
        <w:tc>
          <w:tcPr>
            <w:tcW w:w="5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w:t>
            </w:r>
          </w:p>
        </w:tc>
      </w:tr>
      <w:tr>
        <w:trPr>
          <w:trHeight w:val="219"/>
        </w:trPr>
        <w:tc>
          <w:tcPr>
            <w:tcW w:w="7060" w:type="dxa"/>
            <w:vAlign w:val="bottom"/>
          </w:tcPr>
          <w:p>
            <w:pPr>
              <w:ind w:left="20"/>
              <w:spacing w:after="0"/>
              <w:rPr>
                <w:sz w:val="20"/>
                <w:szCs w:val="20"/>
                <w:color w:val="auto"/>
              </w:rPr>
            </w:pPr>
            <w:r>
              <w:rPr>
                <w:rFonts w:ascii="Arial" w:cs="Arial" w:eastAsia="Arial" w:hAnsi="Arial"/>
                <w:sz w:val="17"/>
                <w:szCs w:val="17"/>
                <w:b w:val="1"/>
                <w:bCs w:val="1"/>
                <w:color w:val="auto"/>
              </w:rPr>
              <w:t>Foreign currency translation adjustment</w:t>
            </w: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(3)</w:t>
            </w:r>
          </w:p>
        </w:tc>
      </w:tr>
      <w:tr>
        <w:trPr>
          <w:trHeight w:val="237"/>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balance at July 30, 2023</w:t>
            </w:r>
          </w:p>
        </w:tc>
        <w:tc>
          <w:tcPr>
            <w:tcW w:w="540" w:type="dxa"/>
            <w:vAlign w:val="bottom"/>
            <w:tcBorders>
              <w:top w:val="single" w:sz="8" w:color="auto"/>
              <w:bottom w:val="single" w:sz="8" w:color="auto"/>
            </w:tcBorders>
            <w:shd w:val="clear" w:color="auto" w:fill="CCEEFF"/>
          </w:tcPr>
          <w:p>
            <w:pPr>
              <w:jc w:val="right"/>
              <w:ind w:right="358"/>
              <w:spacing w:after="0"/>
              <w:rPr>
                <w:sz w:val="20"/>
                <w:szCs w:val="20"/>
                <w:color w:val="auto"/>
              </w:rPr>
            </w:pPr>
            <w:r>
              <w:rPr>
                <w:rFonts w:ascii="Arial" w:cs="Arial" w:eastAsia="Arial" w:hAnsi="Arial"/>
                <w:sz w:val="17"/>
                <w:szCs w:val="17"/>
                <w:b w:val="1"/>
                <w:bCs w:val="1"/>
                <w:color w:val="auto"/>
                <w:w w:val="8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2,975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3,965</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w:t>
      </w:r>
    </w:p>
    <w:p>
      <w:pPr>
        <w:spacing w:after="0" w:line="13" w:lineRule="exact"/>
        <w:rPr>
          <w:sz w:val="20"/>
          <w:szCs w:val="20"/>
          <w:color w:val="auto"/>
        </w:rPr>
      </w:pPr>
    </w:p>
    <w:p>
      <w:pPr>
        <w:ind w:left="300" w:hanging="297"/>
        <w:spacing w:after="0"/>
        <w:tabs>
          <w:tab w:leader="none" w:pos="300" w:val="left"/>
        </w:tabs>
        <w:numPr>
          <w:ilvl w:val="0"/>
          <w:numId w:val="35"/>
        </w:numPr>
        <w:rPr>
          <w:rFonts w:ascii="Arial" w:cs="Arial" w:eastAsia="Arial" w:hAnsi="Arial"/>
          <w:sz w:val="22"/>
          <w:szCs w:val="22"/>
          <w:color w:val="auto"/>
          <w:vertAlign w:val="superscript"/>
        </w:rPr>
      </w:pPr>
      <w:r>
        <w:rPr>
          <w:rFonts w:ascii="Arial" w:cs="Arial" w:eastAsia="Arial" w:hAnsi="Arial"/>
          <w:sz w:val="17"/>
          <w:szCs w:val="17"/>
          <w:color w:val="auto"/>
        </w:rPr>
        <w:t>See Note 6 for additional information.</w:t>
      </w:r>
    </w:p>
    <w:p>
      <w:pPr>
        <w:spacing w:after="0" w:line="28" w:lineRule="exact"/>
        <w:rPr>
          <w:rFonts w:ascii="Arial" w:cs="Arial" w:eastAsia="Arial" w:hAnsi="Arial"/>
          <w:sz w:val="22"/>
          <w:szCs w:val="22"/>
          <w:color w:val="auto"/>
          <w:vertAlign w:val="superscript"/>
        </w:rPr>
      </w:pPr>
    </w:p>
    <w:p>
      <w:pPr>
        <w:ind w:left="300" w:hanging="297"/>
        <w:spacing w:after="0" w:line="192" w:lineRule="auto"/>
        <w:tabs>
          <w:tab w:leader="none" w:pos="300" w:val="left"/>
        </w:tabs>
        <w:numPr>
          <w:ilvl w:val="0"/>
          <w:numId w:val="35"/>
        </w:numPr>
        <w:rPr>
          <w:rFonts w:ascii="Arial" w:cs="Arial" w:eastAsia="Arial" w:hAnsi="Arial"/>
          <w:sz w:val="22"/>
          <w:szCs w:val="22"/>
          <w:color w:val="auto"/>
          <w:vertAlign w:val="superscript"/>
        </w:rPr>
      </w:pPr>
      <w:r>
        <w:rPr>
          <w:rFonts w:ascii="Arial" w:cs="Arial" w:eastAsia="Arial" w:hAnsi="Arial"/>
          <w:sz w:val="17"/>
          <w:szCs w:val="17"/>
          <w:color w:val="auto"/>
        </w:rPr>
        <w:t>See Note 3 for additional information on the sale of the Emerald nuts business.</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124460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951" w:right="37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balance sheet information for intangible assets, excluding goodwill:</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47"/>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47"/>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88"/>
              </w:rPr>
              <w:t>Accumulated</w:t>
            </w:r>
          </w:p>
        </w:tc>
        <w:tc>
          <w:tcPr>
            <w:tcW w:w="280" w:type="dxa"/>
            <w:vAlign w:val="bottom"/>
          </w:tcPr>
          <w:p>
            <w:pPr>
              <w:spacing w:after="0"/>
              <w:rPr>
                <w:sz w:val="10"/>
                <w:szCs w:val="10"/>
                <w:color w:val="auto"/>
              </w:rPr>
            </w:pPr>
          </w:p>
        </w:tc>
        <w:tc>
          <w:tcPr>
            <w:tcW w:w="84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0"/>
                <w:szCs w:val="10"/>
                <w:color w:val="auto"/>
              </w:rPr>
            </w:pPr>
          </w:p>
        </w:tc>
        <w:tc>
          <w:tcPr>
            <w:tcW w:w="110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88"/>
              </w:rPr>
              <w:t>Accumulated</w:t>
            </w:r>
          </w:p>
        </w:tc>
        <w:tc>
          <w:tcPr>
            <w:tcW w:w="280" w:type="dxa"/>
            <w:vAlign w:val="bottom"/>
          </w:tcPr>
          <w:p>
            <w:pPr>
              <w:spacing w:after="0"/>
              <w:rPr>
                <w:sz w:val="10"/>
                <w:szCs w:val="10"/>
                <w:color w:val="auto"/>
              </w:rPr>
            </w:pPr>
          </w:p>
        </w:tc>
        <w:tc>
          <w:tcPr>
            <w:tcW w:w="84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4"/>
        </w:trPr>
        <w:tc>
          <w:tcPr>
            <w:tcW w:w="402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Amortization</w:t>
            </w:r>
          </w:p>
        </w:tc>
        <w:tc>
          <w:tcPr>
            <w:tcW w:w="2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Amortization</w:t>
            </w:r>
          </w:p>
        </w:tc>
        <w:tc>
          <w:tcPr>
            <w:tcW w:w="2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Amortizable intangible assets</w:t>
            </w:r>
          </w:p>
        </w:tc>
        <w:tc>
          <w:tcPr>
            <w:tcW w:w="7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20" w:type="dxa"/>
            <w:vAlign w:val="bottom"/>
          </w:tcPr>
          <w:p>
            <w:pPr>
              <w:ind w:left="220"/>
              <w:spacing w:after="0"/>
              <w:rPr>
                <w:sz w:val="20"/>
                <w:szCs w:val="20"/>
                <w:color w:val="auto"/>
              </w:rPr>
            </w:pPr>
            <w:r>
              <w:rPr>
                <w:rFonts w:ascii="Arial" w:cs="Arial" w:eastAsia="Arial" w:hAnsi="Arial"/>
                <w:sz w:val="17"/>
                <w:szCs w:val="17"/>
                <w:color w:val="auto"/>
              </w:rPr>
              <w:t>Customer relationships</w:t>
            </w:r>
          </w:p>
        </w:tc>
        <w:tc>
          <w:tcPr>
            <w:tcW w:w="740" w:type="dxa"/>
            <w:vAlign w:val="bottom"/>
          </w:tcPr>
          <w:p>
            <w:pPr>
              <w:jc w:val="right"/>
              <w:ind w:right="563"/>
              <w:spacing w:after="0"/>
              <w:rPr>
                <w:sz w:val="20"/>
                <w:szCs w:val="20"/>
                <w:color w:val="auto"/>
              </w:rPr>
            </w:pPr>
            <w:r>
              <w:rPr>
                <w:rFonts w:ascii="Arial" w:cs="Arial" w:eastAsia="Arial" w:hAnsi="Arial"/>
                <w:sz w:val="17"/>
                <w:szCs w:val="17"/>
                <w:b w:val="1"/>
                <w:bCs w:val="1"/>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b w:val="1"/>
                <w:bCs w:val="1"/>
                <w:color w:val="auto"/>
              </w:rPr>
              <w:t>830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(229)</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601</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3"/>
              <w:spacing w:after="0"/>
              <w:rPr>
                <w:sz w:val="20"/>
                <w:szCs w:val="20"/>
                <w:color w:val="auto"/>
              </w:rPr>
            </w:pPr>
            <w:r>
              <w:rPr>
                <w:rFonts w:ascii="Arial" w:cs="Arial" w:eastAsia="Arial" w:hAnsi="Arial"/>
                <w:sz w:val="17"/>
                <w:szCs w:val="17"/>
                <w:color w:val="auto"/>
              </w:rPr>
              <w:t>830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(181)</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649</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Indefinite-lived trademarks</w:t>
            </w: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20" w:type="dxa"/>
            <w:vAlign w:val="bottom"/>
          </w:tcPr>
          <w:p>
            <w:pPr>
              <w:ind w:left="320"/>
              <w:spacing w:after="0"/>
              <w:rPr>
                <w:sz w:val="20"/>
                <w:szCs w:val="20"/>
                <w:color w:val="auto"/>
              </w:rPr>
            </w:pPr>
            <w:r>
              <w:rPr>
                <w:rFonts w:ascii="Arial" w:cs="Arial" w:eastAsia="Arial" w:hAnsi="Arial"/>
                <w:sz w:val="17"/>
                <w:szCs w:val="17"/>
                <w:i w:val="1"/>
                <w:iCs w:val="1"/>
                <w:color w:val="auto"/>
              </w:rPr>
              <w:t>Snyder's of Hanover</w:t>
            </w: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620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620</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320"/>
              <w:spacing w:after="0"/>
              <w:rPr>
                <w:sz w:val="20"/>
                <w:szCs w:val="20"/>
                <w:color w:val="auto"/>
              </w:rPr>
            </w:pPr>
            <w:r>
              <w:rPr>
                <w:rFonts w:ascii="Arial" w:cs="Arial" w:eastAsia="Arial" w:hAnsi="Arial"/>
                <w:sz w:val="17"/>
                <w:szCs w:val="17"/>
                <w:i w:val="1"/>
                <w:iCs w:val="1"/>
                <w:color w:val="auto"/>
              </w:rPr>
              <w:t>Lance</w:t>
            </w: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0" w:type="dxa"/>
            <w:vAlign w:val="bottom"/>
          </w:tcPr>
          <w:p>
            <w:pPr>
              <w:spacing w:after="0"/>
              <w:rPr>
                <w:sz w:val="1"/>
                <w:szCs w:val="1"/>
                <w:color w:val="auto"/>
              </w:rPr>
            </w:pPr>
          </w:p>
        </w:tc>
      </w:tr>
      <w:tr>
        <w:trPr>
          <w:trHeight w:val="219"/>
        </w:trPr>
        <w:tc>
          <w:tcPr>
            <w:tcW w:w="4020" w:type="dxa"/>
            <w:vAlign w:val="bottom"/>
          </w:tcPr>
          <w:p>
            <w:pPr>
              <w:ind w:left="320"/>
              <w:spacing w:after="0"/>
              <w:rPr>
                <w:sz w:val="20"/>
                <w:szCs w:val="20"/>
                <w:color w:val="auto"/>
              </w:rPr>
            </w:pPr>
            <w:r>
              <w:rPr>
                <w:rFonts w:ascii="Arial" w:cs="Arial" w:eastAsia="Arial" w:hAnsi="Arial"/>
                <w:sz w:val="17"/>
                <w:szCs w:val="17"/>
                <w:i w:val="1"/>
                <w:iCs w:val="1"/>
                <w:color w:val="auto"/>
              </w:rPr>
              <w:t>Kettle Brand</w:t>
            </w: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318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318</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320"/>
              <w:spacing w:after="0"/>
              <w:rPr>
                <w:sz w:val="20"/>
                <w:szCs w:val="20"/>
                <w:color w:val="auto"/>
              </w:rPr>
            </w:pPr>
            <w:r>
              <w:rPr>
                <w:rFonts w:ascii="Arial" w:cs="Arial" w:eastAsia="Arial" w:hAnsi="Arial"/>
                <w:sz w:val="17"/>
                <w:szCs w:val="17"/>
                <w:i w:val="1"/>
                <w:iCs w:val="1"/>
                <w:color w:val="auto"/>
              </w:rPr>
              <w:t>Pace</w:t>
            </w: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w:t>
            </w:r>
          </w:p>
        </w:tc>
        <w:tc>
          <w:tcPr>
            <w:tcW w:w="0" w:type="dxa"/>
            <w:vAlign w:val="bottom"/>
          </w:tcPr>
          <w:p>
            <w:pPr>
              <w:spacing w:after="0"/>
              <w:rPr>
                <w:sz w:val="1"/>
                <w:szCs w:val="1"/>
                <w:color w:val="auto"/>
              </w:rPr>
            </w:pPr>
          </w:p>
        </w:tc>
      </w:tr>
      <w:tr>
        <w:trPr>
          <w:trHeight w:val="219"/>
        </w:trPr>
        <w:tc>
          <w:tcPr>
            <w:tcW w:w="4020" w:type="dxa"/>
            <w:vAlign w:val="bottom"/>
          </w:tcPr>
          <w:p>
            <w:pPr>
              <w:ind w:left="320"/>
              <w:spacing w:after="0"/>
              <w:rPr>
                <w:sz w:val="20"/>
                <w:szCs w:val="20"/>
                <w:color w:val="auto"/>
              </w:rPr>
            </w:pPr>
            <w:r>
              <w:rPr>
                <w:rFonts w:ascii="Arial" w:cs="Arial" w:eastAsia="Arial" w:hAnsi="Arial"/>
                <w:sz w:val="17"/>
                <w:szCs w:val="17"/>
                <w:i w:val="1"/>
                <w:iCs w:val="1"/>
                <w:color w:val="auto"/>
              </w:rPr>
              <w:t>Pacific Foods</w:t>
            </w: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280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280</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320"/>
              <w:spacing w:after="0"/>
              <w:rPr>
                <w:sz w:val="20"/>
                <w:szCs w:val="20"/>
                <w:color w:val="auto"/>
              </w:rPr>
            </w:pPr>
            <w:r>
              <w:rPr>
                <w:rFonts w:ascii="Arial" w:cs="Arial" w:eastAsia="Arial" w:hAnsi="Arial"/>
                <w:sz w:val="17"/>
                <w:szCs w:val="17"/>
                <w:i w:val="1"/>
                <w:iCs w:val="1"/>
                <w:color w:val="auto"/>
              </w:rPr>
              <w:t>Cape Cod</w:t>
            </w: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219"/>
        </w:trPr>
        <w:tc>
          <w:tcPr>
            <w:tcW w:w="4020" w:type="dxa"/>
            <w:vAlign w:val="bottom"/>
            <w:tcBorders>
              <w:bottom w:val="single" w:sz="8" w:color="CCEEFF"/>
            </w:tcBorders>
          </w:tcPr>
          <w:p>
            <w:pPr>
              <w:ind w:left="320"/>
              <w:spacing w:after="0" w:line="219" w:lineRule="exact"/>
              <w:rPr>
                <w:sz w:val="20"/>
                <w:szCs w:val="20"/>
                <w:color w:val="auto"/>
              </w:rPr>
            </w:pPr>
            <w:r>
              <w:rPr>
                <w:rFonts w:ascii="Arial" w:cs="Arial" w:eastAsia="Arial" w:hAnsi="Arial"/>
                <w:sz w:val="17"/>
                <w:szCs w:val="17"/>
                <w:color w:val="auto"/>
              </w:rPr>
              <w:t>Various other Snacks</w:t>
            </w:r>
            <w:r>
              <w:rPr>
                <w:rFonts w:ascii="Arial" w:cs="Arial" w:eastAsia="Arial" w:hAnsi="Arial"/>
                <w:sz w:val="22"/>
                <w:szCs w:val="22"/>
                <w:i w:val="1"/>
                <w:iCs w:val="1"/>
                <w:color w:val="auto"/>
                <w:vertAlign w:val="superscript"/>
              </w:rPr>
              <w:t>(1),(2)</w:t>
            </w:r>
          </w:p>
        </w:tc>
        <w:tc>
          <w:tcPr>
            <w:tcW w:w="74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494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502</w:t>
            </w:r>
          </w:p>
        </w:tc>
        <w:tc>
          <w:tcPr>
            <w:tcW w:w="0" w:type="dxa"/>
            <w:vAlign w:val="bottom"/>
          </w:tcPr>
          <w:p>
            <w:pPr>
              <w:spacing w:after="0"/>
              <w:rPr>
                <w:sz w:val="1"/>
                <w:szCs w:val="1"/>
                <w:color w:val="auto"/>
              </w:rPr>
            </w:pPr>
          </w:p>
        </w:tc>
      </w:tr>
      <w:tr>
        <w:trPr>
          <w:trHeight w:val="212"/>
        </w:trPr>
        <w:tc>
          <w:tcPr>
            <w:tcW w:w="4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indefinite-lived trademarks</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2,549</w:t>
            </w:r>
          </w:p>
        </w:tc>
        <w:tc>
          <w:tcPr>
            <w:tcW w:w="0" w:type="dxa"/>
            <w:vAlign w:val="bottom"/>
          </w:tcPr>
          <w:p>
            <w:pPr>
              <w:spacing w:after="0"/>
              <w:rPr>
                <w:sz w:val="1"/>
                <w:szCs w:val="1"/>
                <w:color w:val="auto"/>
              </w:rPr>
            </w:pPr>
          </w:p>
        </w:tc>
      </w:tr>
      <w:tr>
        <w:trPr>
          <w:trHeight w:val="212"/>
        </w:trPr>
        <w:tc>
          <w:tcPr>
            <w:tcW w:w="4020" w:type="dxa"/>
            <w:vAlign w:val="bottom"/>
          </w:tcPr>
          <w:p>
            <w:pPr>
              <w:ind w:left="20"/>
              <w:spacing w:after="0"/>
              <w:rPr>
                <w:sz w:val="20"/>
                <w:szCs w:val="20"/>
                <w:color w:val="auto"/>
              </w:rPr>
            </w:pPr>
            <w:r>
              <w:rPr>
                <w:rFonts w:ascii="Arial" w:cs="Arial" w:eastAsia="Arial" w:hAnsi="Arial"/>
                <w:sz w:val="17"/>
                <w:szCs w:val="17"/>
                <w:color w:val="auto"/>
              </w:rPr>
              <w:t>Total net intangible assets</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3,198</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w:t>
      </w:r>
    </w:p>
    <w:p>
      <w:pPr>
        <w:spacing w:after="0" w:line="13" w:lineRule="exact"/>
        <w:rPr>
          <w:sz w:val="20"/>
          <w:szCs w:val="20"/>
          <w:color w:val="auto"/>
        </w:rPr>
      </w:pPr>
    </w:p>
    <w:p>
      <w:pPr>
        <w:ind w:left="300" w:hanging="297"/>
        <w:spacing w:after="0"/>
        <w:tabs>
          <w:tab w:leader="none" w:pos="300" w:val="left"/>
        </w:tabs>
        <w:numPr>
          <w:ilvl w:val="0"/>
          <w:numId w:val="36"/>
        </w:numPr>
        <w:rPr>
          <w:rFonts w:ascii="Arial" w:cs="Arial" w:eastAsia="Arial" w:hAnsi="Arial"/>
          <w:sz w:val="22"/>
          <w:szCs w:val="22"/>
          <w:color w:val="auto"/>
          <w:vertAlign w:val="superscript"/>
        </w:rPr>
      </w:pPr>
      <w:r>
        <w:rPr>
          <w:rFonts w:ascii="Arial" w:cs="Arial" w:eastAsia="Arial" w:hAnsi="Arial"/>
          <w:sz w:val="17"/>
          <w:szCs w:val="17"/>
          <w:color w:val="auto"/>
        </w:rPr>
        <w:t>Associated with the acquisition of Snyder's-Lance, Inc. (Snyder's-Lance).</w:t>
      </w:r>
    </w:p>
    <w:p>
      <w:pPr>
        <w:spacing w:after="0" w:line="15" w:lineRule="exact"/>
        <w:rPr>
          <w:rFonts w:ascii="Arial" w:cs="Arial" w:eastAsia="Arial" w:hAnsi="Arial"/>
          <w:sz w:val="22"/>
          <w:szCs w:val="22"/>
          <w:color w:val="auto"/>
          <w:vertAlign w:val="superscript"/>
        </w:rPr>
      </w:pPr>
    </w:p>
    <w:p>
      <w:pPr>
        <w:ind w:left="300" w:hanging="297"/>
        <w:spacing w:after="0" w:line="192" w:lineRule="auto"/>
        <w:tabs>
          <w:tab w:leader="none" w:pos="300" w:val="left"/>
        </w:tabs>
        <w:numPr>
          <w:ilvl w:val="0"/>
          <w:numId w:val="36"/>
        </w:numPr>
        <w:rPr>
          <w:rFonts w:ascii="Arial" w:cs="Arial" w:eastAsia="Arial" w:hAnsi="Arial"/>
          <w:sz w:val="22"/>
          <w:szCs w:val="22"/>
          <w:color w:val="auto"/>
          <w:vertAlign w:val="superscript"/>
        </w:rPr>
      </w:pPr>
      <w:r>
        <w:rPr>
          <w:rFonts w:ascii="Arial" w:cs="Arial" w:eastAsia="Arial" w:hAnsi="Arial"/>
          <w:sz w:val="17"/>
          <w:szCs w:val="17"/>
          <w:color w:val="auto"/>
        </w:rPr>
        <w:t>An $8 million trademark was divested with the sale of the Emerald nuts business in 2023. See Note 3 for additional information.</w:t>
      </w:r>
    </w:p>
    <w:p>
      <w:pPr>
        <w:spacing w:after="0" w:line="67"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Amortization expense was $48 million for 2023, $41 million for 2022 and $42 million for 2021. The increase in amortization expense in 2023 was a result of $7 million of accelerated amortization expense on customer relationships in the fourth quarter due to the loss of certain contract manufacturing customers. As of July 30, 2023, amortizable intangible assets had a weighted-average remaining useful life of 15 years. Amortization expense is estimated to be approximately $68 million in 2024, $59 million in 2025 and $34 million per year for the following three years.</w:t>
      </w:r>
    </w:p>
    <w:p>
      <w:pPr>
        <w:spacing w:after="0" w:line="67"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 xml:space="preserve">As of the 2023 annual impairment testing, indefinite-lived trademarks with approximately 10% or less of excess coverage of fair value over carrying value had an aggregate carrying value of $434 million and included the </w:t>
      </w:r>
      <w:r>
        <w:rPr>
          <w:rFonts w:ascii="Arial" w:cs="Arial" w:eastAsia="Arial" w:hAnsi="Arial"/>
          <w:sz w:val="17"/>
          <w:szCs w:val="17"/>
          <w:i w:val="1"/>
          <w:iCs w:val="1"/>
          <w:color w:val="auto"/>
        </w:rPr>
        <w:t>Pacific Foods</w:t>
      </w:r>
      <w:r>
        <w:rPr>
          <w:rFonts w:ascii="Arial" w:cs="Arial" w:eastAsia="Arial" w:hAnsi="Arial"/>
          <w:sz w:val="17"/>
          <w:szCs w:val="17"/>
          <w:color w:val="auto"/>
        </w:rPr>
        <w:t xml:space="preserve"> and certain other Snacks trademarks.</w:t>
      </w:r>
    </w:p>
    <w:p>
      <w:pPr>
        <w:spacing w:after="0" w:line="3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estimates of future cash flows used in determining the fair value of goodwill and intangible assets involve significant management judgment and are based upon assumptions about expected future operating performance,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Segment Information</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reportable segments are as follows:</w:t>
      </w:r>
    </w:p>
    <w:p>
      <w:pPr>
        <w:spacing w:after="0" w:line="88" w:lineRule="exact"/>
        <w:rPr>
          <w:sz w:val="20"/>
          <w:szCs w:val="20"/>
          <w:color w:val="auto"/>
        </w:rPr>
      </w:pPr>
    </w:p>
    <w:p>
      <w:pPr>
        <w:jc w:val="both"/>
        <w:ind w:left="620" w:hanging="308"/>
        <w:spacing w:after="0" w:line="259" w:lineRule="auto"/>
        <w:tabs>
          <w:tab w:leader="none" w:pos="616"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Meals &amp; Beverages, which consists of our soup, simple meals and beverages products in retail and foodservice in the U.S. and Canada. The segment includes the following products: </w:t>
      </w:r>
      <w:r>
        <w:rPr>
          <w:rFonts w:ascii="Arial" w:cs="Arial" w:eastAsia="Arial" w:hAnsi="Arial"/>
          <w:sz w:val="17"/>
          <w:szCs w:val="17"/>
          <w:i w:val="1"/>
          <w:iCs w:val="1"/>
          <w:color w:val="auto"/>
        </w:rPr>
        <w:t>Campbell’s</w:t>
      </w:r>
      <w:r>
        <w:rPr>
          <w:rFonts w:ascii="Arial" w:cs="Arial" w:eastAsia="Arial" w:hAnsi="Arial"/>
          <w:sz w:val="17"/>
          <w:szCs w:val="17"/>
          <w:color w:val="auto"/>
        </w:rPr>
        <w:t xml:space="preserve"> condensed and ready-to-serve soups; </w:t>
      </w:r>
      <w:r>
        <w:rPr>
          <w:rFonts w:ascii="Arial" w:cs="Arial" w:eastAsia="Arial" w:hAnsi="Arial"/>
          <w:sz w:val="17"/>
          <w:szCs w:val="17"/>
          <w:i w:val="1"/>
          <w:iCs w:val="1"/>
          <w:color w:val="auto"/>
        </w:rPr>
        <w:t>Swanson</w:t>
      </w:r>
      <w:r>
        <w:rPr>
          <w:rFonts w:ascii="Arial" w:cs="Arial" w:eastAsia="Arial" w:hAnsi="Arial"/>
          <w:sz w:val="17"/>
          <w:szCs w:val="17"/>
          <w:color w:val="auto"/>
        </w:rPr>
        <w:t xml:space="preserve"> broth and stocks; </w:t>
      </w:r>
      <w:r>
        <w:rPr>
          <w:rFonts w:ascii="Arial" w:cs="Arial" w:eastAsia="Arial" w:hAnsi="Arial"/>
          <w:sz w:val="17"/>
          <w:szCs w:val="17"/>
          <w:i w:val="1"/>
          <w:iCs w:val="1"/>
          <w:color w:val="auto"/>
        </w:rPr>
        <w:t>Pacific Foods</w:t>
      </w:r>
      <w:r>
        <w:rPr>
          <w:rFonts w:ascii="Arial" w:cs="Arial" w:eastAsia="Arial" w:hAnsi="Arial"/>
          <w:sz w:val="17"/>
          <w:szCs w:val="17"/>
          <w:color w:val="auto"/>
        </w:rPr>
        <w:t xml:space="preserve"> broth, soups and non-dairy beverages; </w:t>
      </w:r>
      <w:r>
        <w:rPr>
          <w:rFonts w:ascii="Arial" w:cs="Arial" w:eastAsia="Arial" w:hAnsi="Arial"/>
          <w:sz w:val="17"/>
          <w:szCs w:val="17"/>
          <w:i w:val="1"/>
          <w:iCs w:val="1"/>
          <w:color w:val="auto"/>
        </w:rPr>
        <w:t>Prego</w:t>
      </w:r>
      <w:r>
        <w:rPr>
          <w:rFonts w:ascii="Arial" w:cs="Arial" w:eastAsia="Arial" w:hAnsi="Arial"/>
          <w:sz w:val="17"/>
          <w:szCs w:val="17"/>
          <w:color w:val="auto"/>
        </w:rPr>
        <w:t xml:space="preserve"> pasta sauces; </w:t>
      </w:r>
      <w:r>
        <w:rPr>
          <w:rFonts w:ascii="Arial" w:cs="Arial" w:eastAsia="Arial" w:hAnsi="Arial"/>
          <w:sz w:val="17"/>
          <w:szCs w:val="17"/>
          <w:i w:val="1"/>
          <w:iCs w:val="1"/>
          <w:color w:val="auto"/>
        </w:rPr>
        <w:t>Pace</w:t>
      </w:r>
      <w:r>
        <w:rPr>
          <w:rFonts w:ascii="Arial" w:cs="Arial" w:eastAsia="Arial" w:hAnsi="Arial"/>
          <w:sz w:val="17"/>
          <w:szCs w:val="17"/>
          <w:color w:val="auto"/>
        </w:rPr>
        <w:t xml:space="preserve"> Mexican sauces; </w:t>
      </w:r>
      <w:r>
        <w:rPr>
          <w:rFonts w:ascii="Arial" w:cs="Arial" w:eastAsia="Arial" w:hAnsi="Arial"/>
          <w:sz w:val="17"/>
          <w:szCs w:val="17"/>
          <w:i w:val="1"/>
          <w:iCs w:val="1"/>
          <w:color w:val="auto"/>
        </w:rPr>
        <w:t>Campbell’s</w:t>
      </w:r>
      <w:r>
        <w:rPr>
          <w:rFonts w:ascii="Arial" w:cs="Arial" w:eastAsia="Arial" w:hAnsi="Arial"/>
          <w:sz w:val="17"/>
          <w:szCs w:val="17"/>
          <w:color w:val="auto"/>
        </w:rPr>
        <w:t xml:space="preserve"> gravies, pasta, beans and dinner sauces; </w:t>
      </w:r>
      <w:r>
        <w:rPr>
          <w:rFonts w:ascii="Arial" w:cs="Arial" w:eastAsia="Arial" w:hAnsi="Arial"/>
          <w:sz w:val="17"/>
          <w:szCs w:val="17"/>
          <w:i w:val="1"/>
          <w:iCs w:val="1"/>
          <w:color w:val="auto"/>
        </w:rPr>
        <w:t>Swanson</w:t>
      </w:r>
      <w:r>
        <w:rPr>
          <w:rFonts w:ascii="Arial" w:cs="Arial" w:eastAsia="Arial" w:hAnsi="Arial"/>
          <w:sz w:val="17"/>
          <w:szCs w:val="17"/>
          <w:color w:val="auto"/>
        </w:rPr>
        <w:t xml:space="preserve"> canned poultry; </w:t>
      </w:r>
      <w:r>
        <w:rPr>
          <w:rFonts w:ascii="Arial" w:cs="Arial" w:eastAsia="Arial" w:hAnsi="Arial"/>
          <w:sz w:val="17"/>
          <w:szCs w:val="17"/>
          <w:i w:val="1"/>
          <w:iCs w:val="1"/>
          <w:color w:val="auto"/>
        </w:rPr>
        <w:t>V8</w:t>
      </w:r>
      <w:r>
        <w:rPr>
          <w:rFonts w:ascii="Arial" w:cs="Arial" w:eastAsia="Arial" w:hAnsi="Arial"/>
          <w:sz w:val="17"/>
          <w:szCs w:val="17"/>
          <w:color w:val="auto"/>
        </w:rPr>
        <w:t xml:space="preserve"> juices and beverages; and </w:t>
      </w:r>
      <w:r>
        <w:rPr>
          <w:rFonts w:ascii="Arial" w:cs="Arial" w:eastAsia="Arial" w:hAnsi="Arial"/>
          <w:sz w:val="17"/>
          <w:szCs w:val="17"/>
          <w:i w:val="1"/>
          <w:iCs w:val="1"/>
          <w:color w:val="auto"/>
        </w:rPr>
        <w:t>Campbell’s</w:t>
      </w:r>
      <w:r>
        <w:rPr>
          <w:rFonts w:ascii="Arial" w:cs="Arial" w:eastAsia="Arial" w:hAnsi="Arial"/>
          <w:sz w:val="17"/>
          <w:szCs w:val="17"/>
          <w:color w:val="auto"/>
        </w:rPr>
        <w:t xml:space="preserve"> tomato juice. The segment also includes snacking products in foodservice and Canada. The segment included the results of our Plum baby food and snacks business, which was sold on May 3, 2021; and</w:t>
      </w:r>
    </w:p>
    <w:p>
      <w:pPr>
        <w:spacing w:after="0" w:line="65" w:lineRule="exact"/>
        <w:rPr>
          <w:rFonts w:ascii="Arial" w:cs="Arial" w:eastAsia="Arial" w:hAnsi="Arial"/>
          <w:sz w:val="17"/>
          <w:szCs w:val="17"/>
          <w:color w:val="auto"/>
        </w:rPr>
      </w:pPr>
    </w:p>
    <w:p>
      <w:pPr>
        <w:jc w:val="both"/>
        <w:ind w:left="620" w:hanging="308"/>
        <w:spacing w:after="0" w:line="283" w:lineRule="auto"/>
        <w:tabs>
          <w:tab w:leader="none" w:pos="616"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Snacks, which consists of Pepperidge Farm cookies*, crackers, fresh bakery and frozen products, including </w:t>
      </w:r>
      <w:r>
        <w:rPr>
          <w:rFonts w:ascii="Arial" w:cs="Arial" w:eastAsia="Arial" w:hAnsi="Arial"/>
          <w:sz w:val="16"/>
          <w:szCs w:val="16"/>
          <w:i w:val="1"/>
          <w:iCs w:val="1"/>
          <w:color w:val="auto"/>
        </w:rPr>
        <w:t>Goldfish</w:t>
      </w:r>
      <w:r>
        <w:rPr>
          <w:rFonts w:ascii="Arial" w:cs="Arial" w:eastAsia="Arial" w:hAnsi="Arial"/>
          <w:sz w:val="16"/>
          <w:szCs w:val="16"/>
          <w:color w:val="auto"/>
        </w:rPr>
        <w:t xml:space="preserve"> crackers*, </w:t>
      </w:r>
      <w:r>
        <w:rPr>
          <w:rFonts w:ascii="Arial" w:cs="Arial" w:eastAsia="Arial" w:hAnsi="Arial"/>
          <w:sz w:val="16"/>
          <w:szCs w:val="16"/>
          <w:i w:val="1"/>
          <w:iCs w:val="1"/>
          <w:color w:val="auto"/>
        </w:rPr>
        <w:t>Snyder’s of Hanover</w:t>
      </w:r>
      <w:r>
        <w:rPr>
          <w:rFonts w:ascii="Arial" w:cs="Arial" w:eastAsia="Arial" w:hAnsi="Arial"/>
          <w:sz w:val="16"/>
          <w:szCs w:val="16"/>
          <w:color w:val="auto"/>
        </w:rPr>
        <w:t xml:space="preserve"> pretzels*, </w:t>
      </w:r>
      <w:r>
        <w:rPr>
          <w:rFonts w:ascii="Arial" w:cs="Arial" w:eastAsia="Arial" w:hAnsi="Arial"/>
          <w:sz w:val="16"/>
          <w:szCs w:val="16"/>
          <w:i w:val="1"/>
          <w:iCs w:val="1"/>
          <w:color w:val="auto"/>
        </w:rPr>
        <w:t>Lance</w:t>
      </w:r>
      <w:r>
        <w:rPr>
          <w:rFonts w:ascii="Arial" w:cs="Arial" w:eastAsia="Arial" w:hAnsi="Arial"/>
          <w:sz w:val="16"/>
          <w:szCs w:val="16"/>
          <w:color w:val="auto"/>
        </w:rPr>
        <w:t xml:space="preserve"> sandwich crackers*, </w:t>
      </w:r>
      <w:r>
        <w:rPr>
          <w:rFonts w:ascii="Arial" w:cs="Arial" w:eastAsia="Arial" w:hAnsi="Arial"/>
          <w:sz w:val="16"/>
          <w:szCs w:val="16"/>
          <w:i w:val="1"/>
          <w:iCs w:val="1"/>
          <w:color w:val="auto"/>
        </w:rPr>
        <w:t>Cape Cod</w:t>
      </w:r>
      <w:r>
        <w:rPr>
          <w:rFonts w:ascii="Arial" w:cs="Arial" w:eastAsia="Arial" w:hAnsi="Arial"/>
          <w:sz w:val="16"/>
          <w:szCs w:val="16"/>
          <w:color w:val="auto"/>
        </w:rPr>
        <w:t xml:space="preserve"> potato chips</w:t>
      </w:r>
      <w:r>
        <w:rPr>
          <w:rFonts w:ascii="Arial" w:cs="Arial" w:eastAsia="Arial" w:hAnsi="Arial"/>
          <w:sz w:val="16"/>
          <w:szCs w:val="16"/>
          <w:i w:val="1"/>
          <w:iCs w:val="1"/>
          <w:color w:val="auto"/>
        </w:rPr>
        <w:t>*, Kettle Brand</w:t>
      </w:r>
      <w:r>
        <w:rPr>
          <w:rFonts w:ascii="Arial" w:cs="Arial" w:eastAsia="Arial" w:hAnsi="Arial"/>
          <w:sz w:val="16"/>
          <w:szCs w:val="16"/>
          <w:color w:val="auto"/>
        </w:rPr>
        <w:t xml:space="preserve"> potato chips</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Late July</w:t>
      </w:r>
      <w:r>
        <w:rPr>
          <w:rFonts w:ascii="Arial" w:cs="Arial" w:eastAsia="Arial" w:hAnsi="Arial"/>
          <w:sz w:val="16"/>
          <w:szCs w:val="16"/>
          <w:color w:val="auto"/>
        </w:rPr>
        <w:t xml:space="preserve"> snacks</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Snack Factory</w:t>
      </w:r>
      <w:r>
        <w:rPr>
          <w:rFonts w:ascii="Arial" w:cs="Arial" w:eastAsia="Arial" w:hAnsi="Arial"/>
          <w:sz w:val="16"/>
          <w:szCs w:val="16"/>
          <w:color w:val="auto"/>
        </w:rPr>
        <w:t xml:space="preserve"> pretzel crisps</w:t>
      </w:r>
      <w:r>
        <w:rPr>
          <w:rFonts w:ascii="Arial" w:cs="Arial" w:eastAsia="Arial" w:hAnsi="Arial"/>
          <w:sz w:val="16"/>
          <w:szCs w:val="16"/>
          <w:i w:val="1"/>
          <w:iCs w:val="1"/>
          <w:color w:val="auto"/>
        </w:rPr>
        <w:t>*, Pop Secret</w:t>
      </w:r>
      <w:r>
        <w:rPr>
          <w:rFonts w:ascii="Arial" w:cs="Arial" w:eastAsia="Arial" w:hAnsi="Arial"/>
          <w:sz w:val="16"/>
          <w:szCs w:val="16"/>
          <w:color w:val="auto"/>
        </w:rPr>
        <w:t xml:space="preserve"> popcorn, and other snacking products in retail in the U.S. We refer to the * brands as our "power brands." The segment also includes the retail business in Latin America. The segment included the results of our Emerald nuts business, which was sold on May 30, 2023.</w:t>
      </w:r>
    </w:p>
    <w:p>
      <w:pPr>
        <w:spacing w:after="0" w:line="46"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Beginning in 2022, the foodservice and Canadian business formerly included in our Snacks segment is now managed as part of the Meals &amp; Beverages segment. Segment results have been adjusted retrospectively to reflect this change.</w:t>
      </w:r>
    </w:p>
    <w:p>
      <w:pPr>
        <w:spacing w:after="0" w:line="35"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We evaluate segment performance before interest, taxes and costs associated with restructuring activities and impairment charges. Unrealized gains and losses on outstanding undesignated commodity hedging activities are excluded from segment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124460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44" w:name="page45"/>
    <w:bookmarkEnd w:id="44"/>
    <w:p>
      <w:pPr>
        <w:jc w:val="both"/>
        <w:spacing w:after="0" w:line="302" w:lineRule="auto"/>
        <w:rPr>
          <w:sz w:val="20"/>
          <w:szCs w:val="20"/>
          <w:color w:val="auto"/>
        </w:rPr>
      </w:pPr>
      <w:r>
        <w:rPr>
          <w:rFonts w:ascii="Arial" w:cs="Arial" w:eastAsia="Arial" w:hAnsi="Arial"/>
          <w:sz w:val="15"/>
          <w:szCs w:val="15"/>
          <w:color w:val="auto"/>
        </w:rPr>
        <w:t>operating earnings and are recorded in Corporate as these open positions represent hedges of future purchases. Upon closing of the contracts, the realized gain or loss is transferred to segment operating earnings, which allows the segments to reflect the economic effects of the hedge without exposure to quarterly volatility of unrealized gains and losses. Only the service cost component of pension and postretirement expense is allocated to segments. All other components of expense, including interest cost, expected return on assets, amortization of prior service credits and recognized actuarial gains and losses are reflected in Corporate and not included in segment operating results. Asset information by segment is not discretely maintained for internal reporting or used in evaluating performance.</w:t>
      </w:r>
    </w:p>
    <w:p>
      <w:pPr>
        <w:spacing w:after="0" w:line="2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Our largest customer, Wal-Mart Stores, Inc. and its affiliates, accounted for approximately 22% of consolidated net sales in 2023 and 2022 and 21% in 2021.</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Both of our reportable segments sold products to Wal-Mart Stores, Inc. or its affiliates.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060" w:type="dxa"/>
            <w:vAlign w:val="bottom"/>
            <w:gridSpan w:val="2"/>
          </w:tcPr>
          <w:p>
            <w:pPr>
              <w:ind w:left="20"/>
              <w:spacing w:after="0"/>
              <w:rPr>
                <w:sz w:val="20"/>
                <w:szCs w:val="20"/>
                <w:color w:val="auto"/>
              </w:rPr>
            </w:pPr>
            <w:r>
              <w:rPr>
                <w:rFonts w:ascii="Arial" w:cs="Arial" w:eastAsia="Arial" w:hAnsi="Arial"/>
                <w:sz w:val="14"/>
                <w:szCs w:val="14"/>
                <w:b w:val="1"/>
                <w:bCs w:val="1"/>
                <w:color w:val="auto"/>
              </w:rPr>
              <w:t>(Millions)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38"/>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18"/>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5"/>
                <w:szCs w:val="15"/>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70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9"/>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7040" w:type="dxa"/>
            <w:vAlign w:val="bottom"/>
          </w:tcPr>
          <w:p>
            <w:pPr>
              <w:ind w:left="120"/>
              <w:spacing w:after="0"/>
              <w:rPr>
                <w:sz w:val="20"/>
                <w:szCs w:val="20"/>
                <w:color w:val="auto"/>
              </w:rPr>
            </w:pPr>
            <w:r>
              <w:rPr>
                <w:rFonts w:ascii="Arial" w:cs="Arial" w:eastAsia="Arial" w:hAnsi="Arial"/>
                <w:sz w:val="17"/>
                <w:szCs w:val="17"/>
                <w:color w:val="auto"/>
              </w:rPr>
              <w:t>Meals &amp; Beverages</w:t>
            </w:r>
          </w:p>
        </w:tc>
        <w:tc>
          <w:tcPr>
            <w:tcW w:w="340" w:type="dxa"/>
            <w:vAlign w:val="bottom"/>
            <w:gridSpan w:val="3"/>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4,907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gridSpan w:val="3"/>
          </w:tcPr>
          <w:p>
            <w:pPr>
              <w:jc w:val="right"/>
              <w:ind w:right="220"/>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4,607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3"/>
          </w:tcPr>
          <w:p>
            <w:pPr>
              <w:jc w:val="right"/>
              <w:ind w:right="220"/>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4,621</w:t>
            </w:r>
          </w:p>
        </w:tc>
        <w:tc>
          <w:tcPr>
            <w:tcW w:w="4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70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Snacks</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4,450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3,955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3,855</w:t>
            </w:r>
          </w:p>
        </w:tc>
        <w:tc>
          <w:tcPr>
            <w:tcW w:w="40" w:type="dxa"/>
            <w:vAlign w:val="bottom"/>
          </w:tcPr>
          <w:p>
            <w:pPr>
              <w:spacing w:after="0"/>
              <w:rPr>
                <w:sz w:val="19"/>
                <w:szCs w:val="19"/>
                <w:color w:val="auto"/>
              </w:rPr>
            </w:pPr>
          </w:p>
        </w:tc>
      </w:tr>
      <w:tr>
        <w:trPr>
          <w:trHeight w:val="212"/>
        </w:trPr>
        <w:tc>
          <w:tcPr>
            <w:tcW w:w="706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gridSpan w:val="3"/>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9,357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8,562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8,476</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6"/>
        </w:trPr>
        <w:tc>
          <w:tcPr>
            <w:tcW w:w="7060" w:type="dxa"/>
            <w:vAlign w:val="bottom"/>
            <w:gridSpan w:val="2"/>
          </w:tcPr>
          <w:p>
            <w:pPr>
              <w:ind w:left="20"/>
              <w:spacing w:after="0"/>
              <w:rPr>
                <w:sz w:val="20"/>
                <w:szCs w:val="20"/>
                <w:color w:val="auto"/>
              </w:rPr>
            </w:pPr>
            <w:r>
              <w:rPr>
                <w:rFonts w:ascii="Arial" w:cs="Arial" w:eastAsia="Arial" w:hAnsi="Arial"/>
                <w:sz w:val="14"/>
                <w:szCs w:val="14"/>
                <w:b w:val="1"/>
                <w:bCs w:val="1"/>
                <w:color w:val="auto"/>
              </w:rPr>
              <w:t>(Millions)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398"/>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98"/>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98"/>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24"/>
                <w:szCs w:val="24"/>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70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9"/>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Earnings before interest and taxes</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7040" w:type="dxa"/>
            <w:vAlign w:val="bottom"/>
          </w:tcPr>
          <w:p>
            <w:pPr>
              <w:ind w:left="120"/>
              <w:spacing w:after="0"/>
              <w:rPr>
                <w:sz w:val="20"/>
                <w:szCs w:val="20"/>
                <w:color w:val="auto"/>
              </w:rPr>
            </w:pPr>
            <w:r>
              <w:rPr>
                <w:rFonts w:ascii="Arial" w:cs="Arial" w:eastAsia="Arial" w:hAnsi="Arial"/>
                <w:sz w:val="17"/>
                <w:szCs w:val="17"/>
                <w:color w:val="auto"/>
              </w:rPr>
              <w:t>Meals &amp; Beverages</w:t>
            </w:r>
          </w:p>
        </w:tc>
        <w:tc>
          <w:tcPr>
            <w:tcW w:w="340" w:type="dxa"/>
            <w:vAlign w:val="bottom"/>
            <w:gridSpan w:val="3"/>
          </w:tcPr>
          <w:p>
            <w:pPr>
              <w:jc w:val="right"/>
              <w:ind w:right="114"/>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894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874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922</w:t>
            </w:r>
          </w:p>
        </w:tc>
        <w:tc>
          <w:tcPr>
            <w:tcW w:w="4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70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Snacks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640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w:t>
            </w:r>
          </w:p>
        </w:tc>
        <w:tc>
          <w:tcPr>
            <w:tcW w:w="4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7040" w:type="dxa"/>
            <w:vAlign w:val="bottom"/>
          </w:tcPr>
          <w:p>
            <w:pPr>
              <w:ind w:left="120"/>
              <w:spacing w:after="0" w:line="219" w:lineRule="exact"/>
              <w:rPr>
                <w:sz w:val="20"/>
                <w:szCs w:val="20"/>
                <w:color w:val="auto"/>
              </w:rPr>
            </w:pPr>
            <w:r>
              <w:rPr>
                <w:rFonts w:ascii="Arial" w:cs="Arial" w:eastAsia="Arial" w:hAnsi="Arial"/>
                <w:sz w:val="17"/>
                <w:szCs w:val="17"/>
                <w:color w:val="auto"/>
              </w:rPr>
              <w:t>Corporate income (expense)</w:t>
            </w:r>
            <w:r>
              <w:rPr>
                <w:rFonts w:ascii="Arial" w:cs="Arial" w:eastAsia="Arial" w:hAnsi="Arial"/>
                <w:sz w:val="22"/>
                <w:szCs w:val="22"/>
                <w:color w:val="auto"/>
                <w:vertAlign w:val="superscript"/>
              </w:rPr>
              <w:t>(1)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(206)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(223)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130</w:t>
            </w:r>
          </w:p>
        </w:tc>
        <w:tc>
          <w:tcPr>
            <w:tcW w:w="4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7040" w:type="dxa"/>
            <w:vAlign w:val="bottom"/>
            <w:shd w:val="clear" w:color="auto" w:fill="CCEEFF"/>
          </w:tcPr>
          <w:p>
            <w:pPr>
              <w:ind w:left="120"/>
              <w:spacing w:after="0" w:line="219" w:lineRule="exact"/>
              <w:rPr>
                <w:sz w:val="20"/>
                <w:szCs w:val="20"/>
                <w:color w:val="auto"/>
              </w:rPr>
            </w:pPr>
            <w:r>
              <w:rPr>
                <w:rFonts w:ascii="Arial" w:cs="Arial" w:eastAsia="Arial" w:hAnsi="Arial"/>
                <w:sz w:val="17"/>
                <w:szCs w:val="17"/>
                <w:color w:val="auto"/>
              </w:rPr>
              <w:t>Restructuring charges</w:t>
            </w:r>
            <w:r>
              <w:rPr>
                <w:rFonts w:ascii="Arial" w:cs="Arial" w:eastAsia="Arial" w:hAnsi="Arial"/>
                <w:sz w:val="22"/>
                <w:szCs w:val="22"/>
                <w:color w:val="auto"/>
                <w:vertAlign w:val="superscript"/>
              </w:rPr>
              <w:t>(2)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(16)</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(21)</w:t>
            </w:r>
          </w:p>
        </w:tc>
      </w:tr>
      <w:tr>
        <w:trPr>
          <w:trHeight w:val="212"/>
        </w:trPr>
        <w:tc>
          <w:tcPr>
            <w:tcW w:w="706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1,312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1,163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1,545</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04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418"/>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18"/>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22"/>
                <w:szCs w:val="22"/>
                <w:color w:val="auto"/>
              </w:rPr>
            </w:pPr>
          </w:p>
        </w:tc>
      </w:tr>
      <w:tr>
        <w:trPr>
          <w:trHeight w:val="24"/>
        </w:trPr>
        <w:tc>
          <w:tcPr>
            <w:tcW w:w="20" w:type="dxa"/>
            <w:vAlign w:val="bottom"/>
          </w:tcPr>
          <w:p>
            <w:pPr>
              <w:spacing w:after="0"/>
              <w:rPr>
                <w:sz w:val="2"/>
                <w:szCs w:val="2"/>
                <w:color w:val="auto"/>
              </w:rPr>
            </w:pPr>
          </w:p>
        </w:tc>
        <w:tc>
          <w:tcPr>
            <w:tcW w:w="70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9"/>
        </w:trPr>
        <w:tc>
          <w:tcPr>
            <w:tcW w:w="20" w:type="dxa"/>
            <w:vAlign w:val="bottom"/>
          </w:tcPr>
          <w:p>
            <w:pPr>
              <w:spacing w:after="0"/>
              <w:rPr>
                <w:sz w:val="17"/>
                <w:szCs w:val="17"/>
                <w:color w:val="auto"/>
              </w:rPr>
            </w:pPr>
          </w:p>
        </w:tc>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7040" w:type="dxa"/>
            <w:vAlign w:val="bottom"/>
          </w:tcPr>
          <w:p>
            <w:pPr>
              <w:ind w:left="140"/>
              <w:spacing w:after="0"/>
              <w:rPr>
                <w:sz w:val="20"/>
                <w:szCs w:val="20"/>
                <w:color w:val="auto"/>
              </w:rPr>
            </w:pPr>
            <w:r>
              <w:rPr>
                <w:rFonts w:ascii="Arial" w:cs="Arial" w:eastAsia="Arial" w:hAnsi="Arial"/>
                <w:sz w:val="17"/>
                <w:szCs w:val="17"/>
                <w:color w:val="auto"/>
              </w:rPr>
              <w:t>Meals &amp; Beverages</w:t>
            </w:r>
          </w:p>
        </w:tc>
        <w:tc>
          <w:tcPr>
            <w:tcW w:w="340" w:type="dxa"/>
            <w:vAlign w:val="bottom"/>
            <w:gridSpan w:val="3"/>
          </w:tcPr>
          <w:p>
            <w:pPr>
              <w:jc w:val="right"/>
              <w:ind w:right="134"/>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151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131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128</w:t>
            </w:r>
          </w:p>
        </w:tc>
        <w:tc>
          <w:tcPr>
            <w:tcW w:w="4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7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Snacks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4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7040" w:type="dxa"/>
            <w:vAlign w:val="bottom"/>
            <w:tcBorders>
              <w:bottom w:val="single" w:sz="8" w:color="CCEEFF"/>
            </w:tcBorders>
          </w:tcPr>
          <w:p>
            <w:pPr>
              <w:ind w:left="140"/>
              <w:spacing w:after="0" w:line="219" w:lineRule="exact"/>
              <w:rPr>
                <w:sz w:val="20"/>
                <w:szCs w:val="20"/>
                <w:color w:val="auto"/>
              </w:rPr>
            </w:pPr>
            <w:r>
              <w:rPr>
                <w:rFonts w:ascii="Arial" w:cs="Arial" w:eastAsia="Arial" w:hAnsi="Arial"/>
                <w:sz w:val="17"/>
                <w:szCs w:val="17"/>
                <w:color w:val="auto"/>
              </w:rPr>
              <w:t>Corporate</w:t>
            </w:r>
            <w:r>
              <w:rPr>
                <w:rFonts w:ascii="Arial" w:cs="Arial" w:eastAsia="Arial" w:hAnsi="Arial"/>
                <w:sz w:val="22"/>
                <w:szCs w:val="22"/>
                <w:color w:val="auto"/>
                <w:vertAlign w:val="superscript"/>
              </w:rPr>
              <w:t>(3)</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40" w:type="dxa"/>
            <w:vAlign w:val="bottom"/>
            <w:tcBorders>
              <w:bottom w:val="single" w:sz="8" w:color="auto"/>
            </w:tcBorders>
          </w:tcPr>
          <w:p>
            <w:pPr>
              <w:spacing w:after="0"/>
              <w:rPr>
                <w:sz w:val="19"/>
                <w:szCs w:val="19"/>
                <w:color w:val="auto"/>
              </w:rPr>
            </w:pPr>
          </w:p>
        </w:tc>
      </w:tr>
      <w:tr>
        <w:trPr>
          <w:trHeight w:val="232"/>
        </w:trPr>
        <w:tc>
          <w:tcPr>
            <w:tcW w:w="20" w:type="dxa"/>
            <w:vAlign w:val="bottom"/>
          </w:tcPr>
          <w:p>
            <w:pPr>
              <w:spacing w:after="0"/>
              <w:rPr>
                <w:sz w:val="20"/>
                <w:szCs w:val="20"/>
                <w:color w:val="auto"/>
              </w:rPr>
            </w:pPr>
          </w:p>
        </w:tc>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387</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w:t>
            </w:r>
          </w:p>
        </w:tc>
        <w:tc>
          <w:tcPr>
            <w:tcW w:w="4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704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418"/>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18"/>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22"/>
                <w:szCs w:val="22"/>
                <w:color w:val="auto"/>
              </w:rPr>
            </w:pPr>
          </w:p>
        </w:tc>
      </w:tr>
      <w:tr>
        <w:trPr>
          <w:trHeight w:val="24"/>
        </w:trPr>
        <w:tc>
          <w:tcPr>
            <w:tcW w:w="20" w:type="dxa"/>
            <w:vAlign w:val="bottom"/>
          </w:tcPr>
          <w:p>
            <w:pPr>
              <w:spacing w:after="0"/>
              <w:rPr>
                <w:sz w:val="2"/>
                <w:szCs w:val="2"/>
                <w:color w:val="auto"/>
              </w:rPr>
            </w:pPr>
          </w:p>
        </w:tc>
        <w:tc>
          <w:tcPr>
            <w:tcW w:w="70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9"/>
        </w:trPr>
        <w:tc>
          <w:tcPr>
            <w:tcW w:w="20" w:type="dxa"/>
            <w:vAlign w:val="bottom"/>
          </w:tcPr>
          <w:p>
            <w:pPr>
              <w:spacing w:after="0"/>
              <w:rPr>
                <w:sz w:val="17"/>
                <w:szCs w:val="17"/>
                <w:color w:val="auto"/>
              </w:rPr>
            </w:pPr>
          </w:p>
        </w:tc>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Capital expenditures</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7040" w:type="dxa"/>
            <w:vAlign w:val="bottom"/>
          </w:tcPr>
          <w:p>
            <w:pPr>
              <w:ind w:left="140"/>
              <w:spacing w:after="0"/>
              <w:rPr>
                <w:sz w:val="20"/>
                <w:szCs w:val="20"/>
                <w:color w:val="auto"/>
              </w:rPr>
            </w:pPr>
            <w:r>
              <w:rPr>
                <w:rFonts w:ascii="Arial" w:cs="Arial" w:eastAsia="Arial" w:hAnsi="Arial"/>
                <w:sz w:val="17"/>
                <w:szCs w:val="17"/>
                <w:color w:val="auto"/>
              </w:rPr>
              <w:t>Meals &amp; Beverages</w:t>
            </w:r>
          </w:p>
        </w:tc>
        <w:tc>
          <w:tcPr>
            <w:tcW w:w="340" w:type="dxa"/>
            <w:vAlign w:val="bottom"/>
            <w:gridSpan w:val="3"/>
          </w:tcPr>
          <w:p>
            <w:pPr>
              <w:jc w:val="right"/>
              <w:ind w:right="134"/>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129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76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61</w:t>
            </w:r>
          </w:p>
        </w:tc>
        <w:tc>
          <w:tcPr>
            <w:tcW w:w="4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7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Snacks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4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7040" w:type="dxa"/>
            <w:vAlign w:val="bottom"/>
            <w:tcBorders>
              <w:bottom w:val="single" w:sz="8" w:color="CCEEFF"/>
            </w:tcBorders>
          </w:tcPr>
          <w:p>
            <w:pPr>
              <w:ind w:left="140"/>
              <w:spacing w:after="0" w:line="219" w:lineRule="exact"/>
              <w:rPr>
                <w:sz w:val="20"/>
                <w:szCs w:val="20"/>
                <w:color w:val="auto"/>
              </w:rPr>
            </w:pPr>
            <w:r>
              <w:rPr>
                <w:rFonts w:ascii="Arial" w:cs="Arial" w:eastAsia="Arial" w:hAnsi="Arial"/>
                <w:sz w:val="17"/>
                <w:szCs w:val="17"/>
                <w:color w:val="auto"/>
              </w:rPr>
              <w:t>Corporate</w:t>
            </w:r>
            <w:r>
              <w:rPr>
                <w:rFonts w:ascii="Arial" w:cs="Arial" w:eastAsia="Arial" w:hAnsi="Arial"/>
                <w:sz w:val="22"/>
                <w:szCs w:val="22"/>
                <w:color w:val="auto"/>
                <w:vertAlign w:val="superscript"/>
              </w:rPr>
              <w:t>(3)</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w:t>
            </w:r>
          </w:p>
        </w:tc>
        <w:tc>
          <w:tcPr>
            <w:tcW w:w="40" w:type="dxa"/>
            <w:vAlign w:val="bottom"/>
            <w:tcBorders>
              <w:bottom w:val="single" w:sz="8" w:color="auto"/>
            </w:tcBorders>
          </w:tcPr>
          <w:p>
            <w:pPr>
              <w:spacing w:after="0"/>
              <w:rPr>
                <w:sz w:val="19"/>
                <w:szCs w:val="19"/>
                <w:color w:val="auto"/>
              </w:rPr>
            </w:pPr>
          </w:p>
        </w:tc>
      </w:tr>
      <w:tr>
        <w:trPr>
          <w:trHeight w:val="232"/>
        </w:trPr>
        <w:tc>
          <w:tcPr>
            <w:tcW w:w="20" w:type="dxa"/>
            <w:vAlign w:val="bottom"/>
          </w:tcPr>
          <w:p>
            <w:pPr>
              <w:spacing w:after="0"/>
              <w:rPr>
                <w:sz w:val="20"/>
                <w:szCs w:val="20"/>
                <w:color w:val="auto"/>
              </w:rPr>
            </w:pPr>
          </w:p>
        </w:tc>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370</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4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w:t>
      </w:r>
    </w:p>
    <w:p>
      <w:pPr>
        <w:spacing w:after="0" w:line="62" w:lineRule="exact"/>
        <w:rPr>
          <w:sz w:val="20"/>
          <w:szCs w:val="20"/>
          <w:color w:val="auto"/>
        </w:rPr>
      </w:pPr>
    </w:p>
    <w:p>
      <w:pPr>
        <w:jc w:val="both"/>
        <w:ind w:left="320" w:hanging="317"/>
        <w:spacing w:after="0" w:line="244" w:lineRule="auto"/>
        <w:tabs>
          <w:tab w:leader="none" w:pos="308" w:val="left"/>
        </w:tabs>
        <w:numPr>
          <w:ilvl w:val="0"/>
          <w:numId w:val="38"/>
        </w:numPr>
        <w:rPr>
          <w:rFonts w:ascii="Arial" w:cs="Arial" w:eastAsia="Arial" w:hAnsi="Arial"/>
          <w:sz w:val="22"/>
          <w:szCs w:val="22"/>
          <w:color w:val="auto"/>
          <w:vertAlign w:val="superscript"/>
        </w:rPr>
      </w:pPr>
      <w:r>
        <w:rPr>
          <w:rFonts w:ascii="Arial" w:cs="Arial" w:eastAsia="Arial" w:hAnsi="Arial"/>
          <w:sz w:val="17"/>
          <w:szCs w:val="17"/>
          <w:color w:val="auto"/>
        </w:rPr>
        <w:t>Represents unallocated items. Pension and postretirement actuarial gains and losses are included in Corporate. There were actuarial gains of $15 million in 2023, losses of $44 million in 2022, and gains of $203 million in 2021. Costs related to the cost savings initiatives were $50 million, $26 million and $32 million in 2023, 2022 and 2021, respectively. Unrealized mark-to-market adjustments on outstanding undesignated commodity hedges were gains of $21 million in 2023, losses of $59 million in 2022, and gains of $50 million in 2021. Accelerated amortization expense related to customer relationship intangible assets was $7 million in 2023. A loss of $13 million on the sale of our Emerald nuts business was included in 2023. Transaction costs of $5 million associated with the pending acquisition of Sovos Brands, Inc. (Sovos Brands) was included in 2023. A loss of $11 million on the sale of our Plum baby food and snacks business was included in 2021.</w:t>
      </w:r>
    </w:p>
    <w:p>
      <w:pPr>
        <w:spacing w:after="0" w:line="3" w:lineRule="exact"/>
        <w:rPr>
          <w:rFonts w:ascii="Arial" w:cs="Arial" w:eastAsia="Arial" w:hAnsi="Arial"/>
          <w:sz w:val="22"/>
          <w:szCs w:val="22"/>
          <w:color w:val="auto"/>
          <w:vertAlign w:val="superscript"/>
        </w:rPr>
      </w:pPr>
    </w:p>
    <w:p>
      <w:pPr>
        <w:ind w:left="300" w:hanging="297"/>
        <w:spacing w:after="0" w:line="195" w:lineRule="auto"/>
        <w:tabs>
          <w:tab w:leader="none" w:pos="300" w:val="left"/>
        </w:tabs>
        <w:numPr>
          <w:ilvl w:val="0"/>
          <w:numId w:val="38"/>
        </w:numPr>
        <w:rPr>
          <w:rFonts w:ascii="Arial" w:cs="Arial" w:eastAsia="Arial" w:hAnsi="Arial"/>
          <w:sz w:val="22"/>
          <w:szCs w:val="22"/>
          <w:color w:val="auto"/>
          <w:vertAlign w:val="superscript"/>
        </w:rPr>
      </w:pPr>
      <w:r>
        <w:rPr>
          <w:rFonts w:ascii="Arial" w:cs="Arial" w:eastAsia="Arial" w:hAnsi="Arial"/>
          <w:sz w:val="17"/>
          <w:szCs w:val="17"/>
          <w:color w:val="auto"/>
        </w:rPr>
        <w:t>See Note 7 for additional information.</w:t>
      </w:r>
    </w:p>
    <w:p>
      <w:pPr>
        <w:spacing w:after="0" w:line="3" w:lineRule="exact"/>
        <w:rPr>
          <w:rFonts w:ascii="Arial" w:cs="Arial" w:eastAsia="Arial" w:hAnsi="Arial"/>
          <w:sz w:val="22"/>
          <w:szCs w:val="22"/>
          <w:color w:val="auto"/>
          <w:vertAlign w:val="superscript"/>
        </w:rPr>
      </w:pPr>
    </w:p>
    <w:p>
      <w:pPr>
        <w:ind w:left="300" w:hanging="297"/>
        <w:spacing w:after="0" w:line="192" w:lineRule="auto"/>
        <w:tabs>
          <w:tab w:leader="none" w:pos="300" w:val="left"/>
        </w:tabs>
        <w:numPr>
          <w:ilvl w:val="0"/>
          <w:numId w:val="38"/>
        </w:numPr>
        <w:rPr>
          <w:rFonts w:ascii="Arial" w:cs="Arial" w:eastAsia="Arial" w:hAnsi="Arial"/>
          <w:sz w:val="22"/>
          <w:szCs w:val="22"/>
          <w:color w:val="auto"/>
          <w:vertAlign w:val="superscript"/>
        </w:rPr>
      </w:pPr>
      <w:r>
        <w:rPr>
          <w:rFonts w:ascii="Arial" w:cs="Arial" w:eastAsia="Arial" w:hAnsi="Arial"/>
          <w:sz w:val="17"/>
          <w:szCs w:val="17"/>
          <w:color w:val="auto"/>
        </w:rPr>
        <w:t>Represents primarily corporate offices and enterprise-wide information technology systems.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124460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45" w:name="page46"/>
    <w:bookmarkEnd w:id="45"/>
    <w:p>
      <w:pPr>
        <w:ind w:left="240"/>
        <w:spacing w:after="0"/>
        <w:rPr>
          <w:sz w:val="20"/>
          <w:szCs w:val="20"/>
          <w:color w:val="auto"/>
        </w:rPr>
      </w:pPr>
      <w:r>
        <w:rPr>
          <w:rFonts w:ascii="Arial" w:cs="Arial" w:eastAsia="Arial" w:hAnsi="Arial"/>
          <w:sz w:val="17"/>
          <w:szCs w:val="17"/>
          <w:color w:val="auto"/>
        </w:rPr>
        <w:t>Our net sales based on product categories are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06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320" w:type="dxa"/>
            <w:vAlign w:val="bottom"/>
          </w:tcPr>
          <w:p>
            <w:pPr>
              <w:spacing w:after="0"/>
              <w:rPr>
                <w:sz w:val="15"/>
                <w:szCs w:val="15"/>
                <w:color w:val="auto"/>
              </w:rPr>
            </w:pPr>
          </w:p>
        </w:tc>
        <w:tc>
          <w:tcPr>
            <w:tcW w:w="1000" w:type="dxa"/>
            <w:vAlign w:val="bottom"/>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7"/>
              <w:spacing w:after="0"/>
              <w:rPr>
                <w:sz w:val="20"/>
                <w:szCs w:val="20"/>
                <w:color w:val="auto"/>
              </w:rPr>
            </w:pPr>
            <w:r>
              <w:rPr>
                <w:rFonts w:ascii="Arial" w:cs="Arial" w:eastAsia="Arial" w:hAnsi="Arial"/>
                <w:sz w:val="14"/>
                <w:szCs w:val="14"/>
                <w:b w:val="1"/>
                <w:bCs w:val="1"/>
                <w:color w:val="auto"/>
              </w:rPr>
              <w:t>2021</w:t>
            </w:r>
          </w:p>
        </w:tc>
      </w:tr>
      <w:tr>
        <w:trPr>
          <w:trHeight w:val="24"/>
        </w:trPr>
        <w:tc>
          <w:tcPr>
            <w:tcW w:w="7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9"/>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9"/>
        </w:trPr>
        <w:tc>
          <w:tcPr>
            <w:tcW w:w="7060" w:type="dxa"/>
            <w:vAlign w:val="bottom"/>
          </w:tcPr>
          <w:p>
            <w:pPr>
              <w:ind w:left="140"/>
              <w:spacing w:after="0"/>
              <w:rPr>
                <w:sz w:val="20"/>
                <w:szCs w:val="20"/>
                <w:color w:val="auto"/>
              </w:rPr>
            </w:pPr>
            <w:r>
              <w:rPr>
                <w:rFonts w:ascii="Arial" w:cs="Arial" w:eastAsia="Arial" w:hAnsi="Arial"/>
                <w:sz w:val="17"/>
                <w:szCs w:val="17"/>
                <w:color w:val="auto"/>
              </w:rPr>
              <w:t>Soup</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2,740</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2,615</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2,568</w:t>
            </w:r>
          </w:p>
        </w:tc>
      </w:tr>
      <w:tr>
        <w:trPr>
          <w:trHeight w:val="219"/>
        </w:trPr>
        <w:tc>
          <w:tcPr>
            <w:tcW w:w="7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Snacks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4,643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3,989</w:t>
            </w:r>
          </w:p>
        </w:tc>
      </w:tr>
      <w:tr>
        <w:trPr>
          <w:trHeight w:val="219"/>
        </w:trPr>
        <w:tc>
          <w:tcPr>
            <w:tcW w:w="7060" w:type="dxa"/>
            <w:vAlign w:val="bottom"/>
          </w:tcPr>
          <w:p>
            <w:pPr>
              <w:ind w:left="140"/>
              <w:spacing w:after="0"/>
              <w:rPr>
                <w:sz w:val="20"/>
                <w:szCs w:val="20"/>
                <w:color w:val="auto"/>
              </w:rPr>
            </w:pPr>
            <w:r>
              <w:rPr>
                <w:rFonts w:ascii="Arial" w:cs="Arial" w:eastAsia="Arial" w:hAnsi="Arial"/>
                <w:sz w:val="17"/>
                <w:szCs w:val="17"/>
                <w:color w:val="auto"/>
              </w:rPr>
              <w:t>Other simple meals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1,205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1,134</w:t>
            </w:r>
          </w:p>
        </w:tc>
      </w:tr>
      <w:tr>
        <w:trPr>
          <w:trHeight w:val="219"/>
        </w:trPr>
        <w:tc>
          <w:tcPr>
            <w:tcW w:w="7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Beverages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769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785</w:t>
            </w:r>
          </w:p>
        </w:tc>
      </w:tr>
      <w:tr>
        <w:trPr>
          <w:trHeight w:val="212"/>
        </w:trPr>
        <w:tc>
          <w:tcPr>
            <w:tcW w:w="7060" w:type="dxa"/>
            <w:vAlign w:val="bottom"/>
          </w:tcPr>
          <w:p>
            <w:pPr>
              <w:ind w:left="20"/>
              <w:spacing w:after="0"/>
              <w:rPr>
                <w:sz w:val="20"/>
                <w:szCs w:val="20"/>
                <w:color w:val="auto"/>
              </w:rPr>
            </w:pPr>
            <w:r>
              <w:rPr>
                <w:rFonts w:ascii="Arial" w:cs="Arial" w:eastAsia="Arial" w:hAnsi="Arial"/>
                <w:sz w:val="17"/>
                <w:szCs w:val="17"/>
                <w:color w:val="auto"/>
              </w:rPr>
              <w:t>Total</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9,357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8,562</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8,476</w:t>
            </w:r>
          </w:p>
        </w:tc>
      </w:tr>
      <w:tr>
        <w:trPr>
          <w:trHeight w:val="20"/>
        </w:trPr>
        <w:tc>
          <w:tcPr>
            <w:tcW w:w="7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both"/>
        <w:ind w:firstLine="193"/>
        <w:spacing w:after="0" w:line="266" w:lineRule="auto"/>
        <w:rPr>
          <w:sz w:val="20"/>
          <w:szCs w:val="20"/>
          <w:color w:val="auto"/>
        </w:rPr>
      </w:pPr>
      <w:r>
        <w:rPr>
          <w:rFonts w:ascii="Arial" w:cs="Arial" w:eastAsia="Arial" w:hAnsi="Arial"/>
          <w:sz w:val="17"/>
          <w:szCs w:val="17"/>
          <w:color w:val="auto"/>
        </w:rPr>
        <w:t xml:space="preserve">Soup includes various soup, broths and stock products. Snacks include cookies, pretzels, crackers, popcorn, nuts, potato chips, tortilla chips and other salty snacks and baked products. Other simple meals include sauces, gravies, pasta, beans, canned poultry and Plum products through May 3, 2021, when the business was sold. Beverages include </w:t>
      </w:r>
      <w:r>
        <w:rPr>
          <w:rFonts w:ascii="Arial" w:cs="Arial" w:eastAsia="Arial" w:hAnsi="Arial"/>
          <w:sz w:val="17"/>
          <w:szCs w:val="17"/>
          <w:i w:val="1"/>
          <w:iCs w:val="1"/>
          <w:color w:val="auto"/>
        </w:rPr>
        <w:t>V8</w:t>
      </w:r>
      <w:r>
        <w:rPr>
          <w:rFonts w:ascii="Arial" w:cs="Arial" w:eastAsia="Arial" w:hAnsi="Arial"/>
          <w:sz w:val="17"/>
          <w:szCs w:val="17"/>
          <w:color w:val="auto"/>
        </w:rPr>
        <w:t xml:space="preserve"> juices and beverages, </w:t>
      </w:r>
      <w:r>
        <w:rPr>
          <w:rFonts w:ascii="Arial" w:cs="Arial" w:eastAsia="Arial" w:hAnsi="Arial"/>
          <w:sz w:val="17"/>
          <w:szCs w:val="17"/>
          <w:i w:val="1"/>
          <w:iCs w:val="1"/>
          <w:color w:val="auto"/>
        </w:rPr>
        <w:t>Campbell's</w:t>
      </w:r>
      <w:r>
        <w:rPr>
          <w:rFonts w:ascii="Arial" w:cs="Arial" w:eastAsia="Arial" w:hAnsi="Arial"/>
          <w:sz w:val="17"/>
          <w:szCs w:val="17"/>
          <w:color w:val="auto"/>
        </w:rPr>
        <w:t xml:space="preserve"> tomato juice and </w:t>
      </w:r>
      <w:r>
        <w:rPr>
          <w:rFonts w:ascii="Arial" w:cs="Arial" w:eastAsia="Arial" w:hAnsi="Arial"/>
          <w:sz w:val="17"/>
          <w:szCs w:val="17"/>
          <w:i w:val="1"/>
          <w:iCs w:val="1"/>
          <w:color w:val="auto"/>
        </w:rPr>
        <w:t>Pacific Foods</w:t>
      </w:r>
      <w:r>
        <w:rPr>
          <w:rFonts w:ascii="Arial" w:cs="Arial" w:eastAsia="Arial" w:hAnsi="Arial"/>
          <w:sz w:val="17"/>
          <w:szCs w:val="17"/>
          <w:color w:val="auto"/>
        </w:rPr>
        <w:t xml:space="preserve"> non-dairy beverages.</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We are a North American focused company with over 90% of our net sales and long-lived assets related to our U.S. operations.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Restructuring Charges and Cost Savings Initiatives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Multi-year Cost Savings Initiatives and Snyder's-Lance Cost Transformation Program and Integration</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7"/>
          <w:szCs w:val="17"/>
          <w:i w:val="1"/>
          <w:iCs w:val="1"/>
          <w:u w:val="single" w:color="auto"/>
          <w:color w:val="auto"/>
        </w:rPr>
        <w:t>Continuing Operations</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Beginning in fiscal 2015, we implemented initiatives to reduce costs and to streamline our organizational structure.</w:t>
      </w:r>
    </w:p>
    <w:p>
      <w:pPr>
        <w:spacing w:after="0" w:line="10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Over the years, we expanded these initiatives by continuing to optimize our supply chain and manufacturing networks, as well as our information technology infrastructure.</w:t>
      </w:r>
    </w:p>
    <w:p>
      <w:pPr>
        <w:spacing w:after="0" w:line="3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On March 26, 2018, we completed the acquisition of Snyder's-Lance. Prior to the acquisition, Snyder's-Lance launched a cost transformation program following a comprehensive review of its operations with the goal of significantly improving its financial performance. We continued to implement this program and identified opportunities for additional cost synergies as we integrated Snyder's-Lance.</w:t>
      </w:r>
    </w:p>
    <w:p>
      <w:pPr>
        <w:spacing w:after="0" w:line="58"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In 2022, we expanded these initiatives as we continue to pursue cost savings by further optimizing our supply chain and manufacturing network and through effective cost management. In the second quarter of 2023, we announced plans to consolidate our Snacks offices in Charlotte, North Carolina, and Norwalk, Connecticut, into our headquarters in Camden, New Jersey. Cost estimates for these expanded initiatives, as well as timing for certain activities, are continuing to be developed.</w:t>
      </w:r>
    </w:p>
    <w:p>
      <w:pPr>
        <w:spacing w:after="0" w:line="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summary of the pre-tax charges recorded in the Consolidated Statements of Earnings related to these initiatives is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340" w:type="dxa"/>
            <w:vAlign w:val="bottom"/>
          </w:tcPr>
          <w:p>
            <w:pPr>
              <w:spacing w:after="0"/>
              <w:rPr>
                <w:sz w:val="14"/>
                <w:szCs w:val="14"/>
                <w:color w:val="auto"/>
              </w:rPr>
            </w:pPr>
          </w:p>
        </w:tc>
        <w:tc>
          <w:tcPr>
            <w:tcW w:w="980" w:type="dxa"/>
            <w:vAlign w:val="bottom"/>
            <w:vMerge w:val="restart"/>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vMerge w:val="restart"/>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restart"/>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159"/>
              <w:spacing w:after="0"/>
              <w:rPr>
                <w:sz w:val="20"/>
                <w:szCs w:val="20"/>
                <w:color w:val="auto"/>
              </w:rPr>
            </w:pPr>
            <w:r>
              <w:rPr>
                <w:rFonts w:ascii="Arial" w:cs="Arial" w:eastAsia="Arial" w:hAnsi="Arial"/>
                <w:sz w:val="14"/>
                <w:szCs w:val="14"/>
                <w:b w:val="1"/>
                <w:bCs w:val="1"/>
                <w:color w:val="auto"/>
                <w:w w:val="90"/>
              </w:rPr>
              <w:t>Recognized as of</w:t>
            </w:r>
          </w:p>
        </w:tc>
        <w:tc>
          <w:tcPr>
            <w:tcW w:w="0" w:type="dxa"/>
            <w:vAlign w:val="bottom"/>
          </w:tcPr>
          <w:p>
            <w:pPr>
              <w:spacing w:after="0"/>
              <w:rPr>
                <w:sz w:val="1"/>
                <w:szCs w:val="1"/>
                <w:color w:val="auto"/>
              </w:rPr>
            </w:pPr>
          </w:p>
        </w:tc>
      </w:tr>
      <w:tr>
        <w:trPr>
          <w:trHeight w:val="186"/>
        </w:trPr>
        <w:tc>
          <w:tcPr>
            <w:tcW w:w="54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July 30, 2023</w:t>
            </w: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Restructuring charges</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w:t>
            </w:r>
          </w:p>
        </w:tc>
        <w:tc>
          <w:tcPr>
            <w:tcW w:w="0" w:type="dxa"/>
            <w:vAlign w:val="bottom"/>
          </w:tcPr>
          <w:p>
            <w:pPr>
              <w:spacing w:after="0"/>
              <w:rPr>
                <w:sz w:val="1"/>
                <w:szCs w:val="1"/>
                <w:color w:val="auto"/>
              </w:rPr>
            </w:pPr>
          </w:p>
        </w:tc>
      </w:tr>
      <w:tr>
        <w:trPr>
          <w:trHeight w:val="219"/>
        </w:trPr>
        <w:tc>
          <w:tcPr>
            <w:tcW w:w="5480" w:type="dxa"/>
            <w:vAlign w:val="bottom"/>
          </w:tcPr>
          <w:p>
            <w:pPr>
              <w:ind w:left="20"/>
              <w:spacing w:after="0"/>
              <w:rPr>
                <w:sz w:val="20"/>
                <w:szCs w:val="20"/>
                <w:color w:val="auto"/>
              </w:rPr>
            </w:pPr>
            <w:r>
              <w:rPr>
                <w:rFonts w:ascii="Arial" w:cs="Arial" w:eastAsia="Arial" w:hAnsi="Arial"/>
                <w:sz w:val="17"/>
                <w:szCs w:val="17"/>
                <w:color w:val="auto"/>
              </w:rPr>
              <w:t>Administrative expenses</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383</w:t>
            </w: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products sold</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19"/>
        </w:trPr>
        <w:tc>
          <w:tcPr>
            <w:tcW w:w="5480" w:type="dxa"/>
            <w:vAlign w:val="bottom"/>
          </w:tcPr>
          <w:p>
            <w:pPr>
              <w:ind w:left="20"/>
              <w:spacing w:after="0"/>
              <w:rPr>
                <w:sz w:val="20"/>
                <w:szCs w:val="20"/>
                <w:color w:val="auto"/>
              </w:rPr>
            </w:pPr>
            <w:r>
              <w:rPr>
                <w:rFonts w:ascii="Arial" w:cs="Arial" w:eastAsia="Arial" w:hAnsi="Arial"/>
                <w:sz w:val="17"/>
                <w:szCs w:val="17"/>
                <w:color w:val="auto"/>
              </w:rPr>
              <w:t>Marketing and selling expenses</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 expenses</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2"/>
        </w:trPr>
        <w:tc>
          <w:tcPr>
            <w:tcW w:w="5480" w:type="dxa"/>
            <w:vAlign w:val="bottom"/>
          </w:tcPr>
          <w:p>
            <w:pPr>
              <w:ind w:left="20"/>
              <w:spacing w:after="0"/>
              <w:rPr>
                <w:sz w:val="20"/>
                <w:szCs w:val="20"/>
                <w:color w:val="auto"/>
              </w:rPr>
            </w:pPr>
            <w:r>
              <w:rPr>
                <w:rFonts w:ascii="Arial" w:cs="Arial" w:eastAsia="Arial" w:hAnsi="Arial"/>
                <w:sz w:val="17"/>
                <w:szCs w:val="17"/>
                <w:color w:val="auto"/>
              </w:rPr>
              <w:t>Total pre-tax charges</w:t>
            </w: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100" w:type="dxa"/>
            <w:vAlign w:val="bottom"/>
            <w:gridSpan w:val="2"/>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791</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820" w:type="dxa"/>
            <w:vAlign w:val="bottom"/>
            <w:gridSpan w:val="2"/>
          </w:tcPr>
          <w:p>
            <w:pPr>
              <w:ind w:left="320"/>
              <w:spacing w:after="0"/>
              <w:rPr>
                <w:sz w:val="20"/>
                <w:szCs w:val="20"/>
                <w:color w:val="auto"/>
              </w:rPr>
            </w:pPr>
            <w:r>
              <w:rPr>
                <w:rFonts w:ascii="Arial" w:cs="Arial" w:eastAsia="Arial" w:hAnsi="Arial"/>
                <w:sz w:val="17"/>
                <w:szCs w:val="17"/>
                <w:color w:val="auto"/>
                <w:w w:val="94"/>
              </w:rPr>
              <w:t>A summary of the pre-tax costs associated with these initiatives is as follows: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199"/>
              <w:spacing w:after="0"/>
              <w:rPr>
                <w:sz w:val="20"/>
                <w:szCs w:val="20"/>
                <w:color w:val="auto"/>
              </w:rPr>
            </w:pPr>
            <w:r>
              <w:rPr>
                <w:rFonts w:ascii="Arial" w:cs="Arial" w:eastAsia="Arial" w:hAnsi="Arial"/>
                <w:sz w:val="14"/>
                <w:szCs w:val="14"/>
                <w:b w:val="1"/>
                <w:bCs w:val="1"/>
                <w:color w:val="auto"/>
                <w:w w:val="86"/>
              </w:rPr>
              <w:t>Recognized as of</w:t>
            </w:r>
          </w:p>
        </w:tc>
        <w:tc>
          <w:tcPr>
            <w:tcW w:w="0" w:type="dxa"/>
            <w:vAlign w:val="bottom"/>
          </w:tcPr>
          <w:p>
            <w:pPr>
              <w:spacing w:after="0"/>
              <w:rPr>
                <w:sz w:val="1"/>
                <w:szCs w:val="1"/>
                <w:color w:val="auto"/>
              </w:rPr>
            </w:pPr>
          </w:p>
        </w:tc>
      </w:tr>
      <w:tr>
        <w:trPr>
          <w:trHeight w:val="184"/>
        </w:trPr>
        <w:tc>
          <w:tcPr>
            <w:tcW w:w="54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July 30, 2023</w:t>
            </w:r>
          </w:p>
        </w:tc>
        <w:tc>
          <w:tcPr>
            <w:tcW w:w="0" w:type="dxa"/>
            <w:vAlign w:val="bottom"/>
          </w:tcPr>
          <w:p>
            <w:pPr>
              <w:spacing w:after="0"/>
              <w:rPr>
                <w:sz w:val="1"/>
                <w:szCs w:val="1"/>
                <w:color w:val="auto"/>
              </w:rPr>
            </w:pPr>
          </w:p>
        </w:tc>
      </w:tr>
      <w:tr>
        <w:trPr>
          <w:trHeight w:val="218"/>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Severance pay and benefits</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0" w:type="dxa"/>
            <w:vAlign w:val="bottom"/>
          </w:tcPr>
          <w:p>
            <w:pPr>
              <w:spacing w:after="0"/>
              <w:rPr>
                <w:sz w:val="1"/>
                <w:szCs w:val="1"/>
                <w:color w:val="auto"/>
              </w:rPr>
            </w:pPr>
          </w:p>
        </w:tc>
      </w:tr>
      <w:tr>
        <w:trPr>
          <w:trHeight w:val="218"/>
        </w:trPr>
        <w:tc>
          <w:tcPr>
            <w:tcW w:w="5480" w:type="dxa"/>
            <w:vAlign w:val="bottom"/>
          </w:tcPr>
          <w:p>
            <w:pPr>
              <w:ind w:left="20"/>
              <w:spacing w:after="0"/>
              <w:rPr>
                <w:sz w:val="20"/>
                <w:szCs w:val="20"/>
                <w:color w:val="auto"/>
              </w:rPr>
            </w:pPr>
            <w:r>
              <w:rPr>
                <w:rFonts w:ascii="Arial" w:cs="Arial" w:eastAsia="Arial" w:hAnsi="Arial"/>
                <w:sz w:val="17"/>
                <w:szCs w:val="17"/>
                <w:color w:val="auto"/>
              </w:rPr>
              <w:t>Asset impairment/accelerated depreciation</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Implementation costs and other related costs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445</w:t>
            </w:r>
          </w:p>
        </w:tc>
        <w:tc>
          <w:tcPr>
            <w:tcW w:w="0" w:type="dxa"/>
            <w:vAlign w:val="bottom"/>
          </w:tcPr>
          <w:p>
            <w:pPr>
              <w:spacing w:after="0"/>
              <w:rPr>
                <w:sz w:val="1"/>
                <w:szCs w:val="1"/>
                <w:color w:val="auto"/>
              </w:rPr>
            </w:pPr>
          </w:p>
        </w:tc>
      </w:tr>
      <w:tr>
        <w:trPr>
          <w:trHeight w:val="213"/>
        </w:trPr>
        <w:tc>
          <w:tcPr>
            <w:tcW w:w="5480" w:type="dxa"/>
            <w:vAlign w:val="bottom"/>
          </w:tcPr>
          <w:p>
            <w:pPr>
              <w:ind w:left="20"/>
              <w:spacing w:after="0"/>
              <w:rPr>
                <w:sz w:val="20"/>
                <w:szCs w:val="20"/>
                <w:color w:val="auto"/>
              </w:rPr>
            </w:pPr>
            <w:r>
              <w:rPr>
                <w:rFonts w:ascii="Arial" w:cs="Arial" w:eastAsia="Arial" w:hAnsi="Arial"/>
                <w:sz w:val="17"/>
                <w:szCs w:val="17"/>
                <w:color w:val="auto"/>
              </w:rPr>
              <w:t>Total</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gridSpan w:val="3"/>
          </w:tcPr>
          <w:p>
            <w:pPr>
              <w:jc w:val="right"/>
              <w:ind w:right="34"/>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791</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The total estimated pre-tax costs for actions that have been identified are approximately $885 million to $905 million and we expect to incur the costs through 2025. These estimates will be updated as the expanded initiatives are developed.</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116205</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46" w:name="page47"/>
    <w:bookmarkEnd w:id="46"/>
    <w:p>
      <w:pPr>
        <w:jc w:val="both"/>
        <w:ind w:firstLine="309"/>
        <w:spacing w:after="0" w:line="261" w:lineRule="auto"/>
        <w:rPr>
          <w:sz w:val="20"/>
          <w:szCs w:val="20"/>
          <w:color w:val="auto"/>
        </w:rPr>
      </w:pPr>
      <w:r>
        <w:rPr>
          <w:rFonts w:ascii="Arial" w:cs="Arial" w:eastAsia="Arial" w:hAnsi="Arial"/>
          <w:sz w:val="17"/>
          <w:szCs w:val="17"/>
          <w:color w:val="auto"/>
        </w:rPr>
        <w:t>We expect the costs for actions that have been identified to date to consist of the following: approximately $245 million to $250 million in severance pay and benefits; approximately $140 million in asset impairment and accelerated depreciation; and approximately $500 million to $515 million in implementation costs and other related costs. We expect these pre-tax costs to be associated with our segments as follows: Meals &amp; Beverages - approximately 32%; Snacks - approximately 43%; and Corporate - approximately 25%.</w:t>
      </w:r>
    </w:p>
    <w:p>
      <w:pPr>
        <w:spacing w:after="0" w:line="51"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Of the aggregate $885 million to $905 million of pre-tax costs identified to date, we expect approximately $705 million to $725 million will be cash expenditures. In addition, we expect to invest approximately $620 million in capital expenditures through 2025, of which we invested $467 million as of July 30, 2023. The capital expenditures primarily relate to optimization of production within our Meals &amp; Beverages manufacturing network, a U.S. warehouse optimization project, improvement of quality, safety and cost structure across the Snyder’s-Lance manufacturing network, optimization of information technology infrastructure and applications, implementation of our existing SAP enterprise-resource planning system for Snyder's-Lance, enhancements to our headquarters in Camden, New Jersey, and optimization of the Snyder’s-Lance warehouse and distribution network.</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summary of the restructuring activity and related reserves at July 30, 2023, is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Severance Pay</w:t>
            </w:r>
          </w:p>
        </w:tc>
        <w:tc>
          <w:tcPr>
            <w:tcW w:w="12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Implementation</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78"/>
              </w:rPr>
              <w:t>Asset</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Other Non-</w:t>
            </w: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Costs and Other</w:t>
            </w:r>
          </w:p>
        </w:tc>
        <w:tc>
          <w:tcPr>
            <w:tcW w:w="16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1"/>
              </w:rPr>
              <w:t>Impairment/Accelerated</w:t>
            </w:r>
          </w:p>
        </w:tc>
        <w:tc>
          <w:tcPr>
            <w:tcW w:w="98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0"/>
              </w:rPr>
              <w:t>Cash Exit</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Total Charges</w:t>
            </w:r>
          </w:p>
        </w:tc>
        <w:tc>
          <w:tcPr>
            <w:tcW w:w="0" w:type="dxa"/>
            <w:vAlign w:val="bottom"/>
          </w:tcPr>
          <w:p>
            <w:pPr>
              <w:spacing w:after="0"/>
              <w:rPr>
                <w:sz w:val="1"/>
                <w:szCs w:val="1"/>
                <w:color w:val="auto"/>
              </w:rPr>
            </w:pPr>
          </w:p>
        </w:tc>
      </w:tr>
      <w:tr>
        <w:trPr>
          <w:trHeight w:val="193"/>
        </w:trPr>
        <w:tc>
          <w:tcPr>
            <w:tcW w:w="51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56"/>
              <w:spacing w:after="0"/>
              <w:rPr>
                <w:sz w:val="20"/>
                <w:szCs w:val="20"/>
                <w:color w:val="auto"/>
              </w:rPr>
            </w:pPr>
            <w:r>
              <w:rPr>
                <w:rFonts w:ascii="Arial" w:cs="Arial" w:eastAsia="Arial" w:hAnsi="Arial"/>
                <w:sz w:val="14"/>
                <w:szCs w:val="14"/>
                <w:b w:val="1"/>
                <w:bCs w:val="1"/>
                <w:color w:val="auto"/>
                <w:w w:val="88"/>
              </w:rPr>
              <w:t>and Benefits</w:t>
            </w:r>
          </w:p>
        </w:tc>
        <w:tc>
          <w:tcPr>
            <w:tcW w:w="120" w:type="dxa"/>
            <w:vAlign w:val="bottom"/>
          </w:tcPr>
          <w:p>
            <w:pPr>
              <w:spacing w:after="0"/>
              <w:rPr>
                <w:sz w:val="16"/>
                <w:szCs w:val="16"/>
                <w:color w:val="auto"/>
              </w:rPr>
            </w:pPr>
          </w:p>
        </w:tc>
        <w:tc>
          <w:tcPr>
            <w:tcW w:w="1400" w:type="dxa"/>
            <w:vAlign w:val="bottom"/>
            <w:gridSpan w:val="2"/>
          </w:tcPr>
          <w:p>
            <w:pPr>
              <w:ind w:left="200"/>
              <w:spacing w:after="0" w:line="194" w:lineRule="exact"/>
              <w:rPr>
                <w:sz w:val="20"/>
                <w:szCs w:val="20"/>
                <w:color w:val="auto"/>
              </w:rPr>
            </w:pPr>
            <w:r>
              <w:rPr>
                <w:rFonts w:ascii="Arial" w:cs="Arial" w:eastAsia="Arial" w:hAnsi="Arial"/>
                <w:sz w:val="14"/>
                <w:szCs w:val="14"/>
                <w:b w:val="1"/>
                <w:bCs w:val="1"/>
                <w:color w:val="auto"/>
              </w:rPr>
              <w:t>Related Costs</w:t>
            </w:r>
            <w:r>
              <w:rPr>
                <w:rFonts w:ascii="Arial" w:cs="Arial" w:eastAsia="Arial" w:hAnsi="Arial"/>
                <w:sz w:val="17"/>
                <w:szCs w:val="17"/>
                <w:b w:val="1"/>
                <w:bCs w:val="1"/>
                <w:color w:val="auto"/>
                <w:vertAlign w:val="superscript"/>
              </w:rPr>
              <w:t>(3)</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Depreciation</w:t>
            </w:r>
          </w:p>
        </w:tc>
        <w:tc>
          <w:tcPr>
            <w:tcW w:w="980" w:type="dxa"/>
            <w:vAlign w:val="bottom"/>
            <w:gridSpan w:val="2"/>
          </w:tcPr>
          <w:p>
            <w:pPr>
              <w:jc w:val="center"/>
              <w:ind w:right="120"/>
              <w:spacing w:after="0" w:line="194" w:lineRule="exact"/>
              <w:rPr>
                <w:sz w:val="20"/>
                <w:szCs w:val="20"/>
                <w:color w:val="auto"/>
              </w:rPr>
            </w:pPr>
            <w:r>
              <w:rPr>
                <w:rFonts w:ascii="Arial" w:cs="Arial" w:eastAsia="Arial" w:hAnsi="Arial"/>
                <w:sz w:val="14"/>
                <w:szCs w:val="14"/>
                <w:b w:val="1"/>
                <w:bCs w:val="1"/>
                <w:color w:val="auto"/>
                <w:w w:val="79"/>
              </w:rPr>
              <w:t>Costs</w:t>
            </w:r>
            <w:r>
              <w:rPr>
                <w:rFonts w:ascii="Arial" w:cs="Arial" w:eastAsia="Arial" w:hAnsi="Arial"/>
                <w:sz w:val="17"/>
                <w:szCs w:val="17"/>
                <w:b w:val="1"/>
                <w:bCs w:val="1"/>
                <w:color w:val="auto"/>
                <w:w w:val="79"/>
                <w:vertAlign w:val="superscript"/>
              </w:rPr>
              <w:t>(4)</w:t>
            </w: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160" w:type="dxa"/>
            <w:vAlign w:val="bottom"/>
            <w:tcBorders>
              <w:top w:val="single" w:sz="8" w:color="CCEEFF"/>
            </w:tcBorders>
            <w:shd w:val="clear" w:color="auto" w:fill="CCEEFF"/>
          </w:tcPr>
          <w:p>
            <w:pPr>
              <w:ind w:left="20"/>
              <w:spacing w:after="0" w:line="211" w:lineRule="exact"/>
              <w:rPr>
                <w:sz w:val="20"/>
                <w:szCs w:val="20"/>
                <w:color w:val="auto"/>
              </w:rPr>
            </w:pPr>
            <w:r>
              <w:rPr>
                <w:rFonts w:ascii="Arial" w:cs="Arial" w:eastAsia="Arial" w:hAnsi="Arial"/>
                <w:sz w:val="17"/>
                <w:szCs w:val="17"/>
                <w:color w:val="auto"/>
              </w:rPr>
              <w:t>Accrued balance at August 1, 2021</w:t>
            </w:r>
            <w:r>
              <w:rPr>
                <w:rFonts w:ascii="Arial" w:cs="Arial" w:eastAsia="Arial" w:hAnsi="Arial"/>
                <w:sz w:val="22"/>
                <w:szCs w:val="22"/>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60" w:type="dxa"/>
            <w:vAlign w:val="bottom"/>
          </w:tcPr>
          <w:p>
            <w:pPr>
              <w:ind w:left="220"/>
              <w:spacing w:after="0"/>
              <w:rPr>
                <w:sz w:val="20"/>
                <w:szCs w:val="20"/>
                <w:color w:val="auto"/>
              </w:rPr>
            </w:pPr>
            <w:r>
              <w:rPr>
                <w:rFonts w:ascii="Arial" w:cs="Arial" w:eastAsia="Arial" w:hAnsi="Arial"/>
                <w:sz w:val="17"/>
                <w:szCs w:val="17"/>
                <w:color w:val="auto"/>
              </w:rPr>
              <w:t>2022 charges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8"/>
                <w:szCs w:val="18"/>
                <w:color w:val="auto"/>
              </w:rPr>
            </w:pPr>
          </w:p>
        </w:tc>
        <w:tc>
          <w:tcPr>
            <w:tcW w:w="1600" w:type="dxa"/>
            <w:vAlign w:val="bottom"/>
            <w:gridSpan w:val="2"/>
          </w:tcPr>
          <w:p>
            <w:pPr>
              <w:ind w:left="12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jc w:val="right"/>
              <w:ind w:right="220"/>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20"/>
        </w:trPr>
        <w:tc>
          <w:tcPr>
            <w:tcW w:w="5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2022 cash payments</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160" w:type="dxa"/>
            <w:vAlign w:val="bottom"/>
          </w:tcPr>
          <w:p>
            <w:pPr>
              <w:ind w:left="20"/>
              <w:spacing w:after="0"/>
              <w:rPr>
                <w:sz w:val="20"/>
                <w:szCs w:val="20"/>
                <w:color w:val="auto"/>
              </w:rPr>
            </w:pPr>
            <w:r>
              <w:rPr>
                <w:rFonts w:ascii="Arial" w:cs="Arial" w:eastAsia="Arial" w:hAnsi="Arial"/>
                <w:sz w:val="17"/>
                <w:szCs w:val="17"/>
                <w:color w:val="auto"/>
              </w:rPr>
              <w:t>Accrued balance at July 31, 2022</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160" w:type="dxa"/>
            <w:vAlign w:val="bottom"/>
            <w:shd w:val="clear" w:color="auto" w:fill="CCEEFF"/>
          </w:tcPr>
          <w:p>
            <w:pPr>
              <w:ind w:left="220"/>
              <w:spacing w:after="0"/>
              <w:rPr>
                <w:sz w:val="20"/>
                <w:szCs w:val="20"/>
                <w:color w:val="auto"/>
              </w:rPr>
            </w:pPr>
            <w:r>
              <w:rPr>
                <w:rFonts w:ascii="Arial" w:cs="Arial" w:eastAsia="Arial" w:hAnsi="Arial"/>
                <w:sz w:val="17"/>
                <w:szCs w:val="17"/>
                <w:b w:val="1"/>
                <w:bCs w:val="1"/>
                <w:color w:val="auto"/>
              </w:rPr>
              <w:t>2023 charges</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26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ind w:left="1260"/>
              <w:spacing w:after="0"/>
              <w:rPr>
                <w:sz w:val="20"/>
                <w:szCs w:val="20"/>
                <w:color w:val="auto"/>
              </w:rPr>
            </w:pPr>
            <w:r>
              <w:rPr>
                <w:rFonts w:ascii="Arial" w:cs="Arial" w:eastAsia="Arial" w:hAnsi="Arial"/>
                <w:sz w:val="17"/>
                <w:szCs w:val="17"/>
                <w:b w:val="1"/>
                <w:bCs w:val="1"/>
                <w:color w:val="auto"/>
              </w:rPr>
              <w:t>24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0"/>
              <w:spacing w:after="0"/>
              <w:rPr>
                <w:sz w:val="20"/>
                <w:szCs w:val="20"/>
                <w:color w:val="auto"/>
              </w:rPr>
            </w:pPr>
            <w:r>
              <w:rPr>
                <w:rFonts w:ascii="Arial" w:cs="Arial" w:eastAsia="Arial" w:hAnsi="Arial"/>
                <w:sz w:val="17"/>
                <w:szCs w:val="17"/>
                <w:b w:val="1"/>
                <w:bCs w:val="1"/>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66</w:t>
            </w:r>
          </w:p>
        </w:tc>
        <w:tc>
          <w:tcPr>
            <w:tcW w:w="0" w:type="dxa"/>
            <w:vAlign w:val="bottom"/>
          </w:tcPr>
          <w:p>
            <w:pPr>
              <w:spacing w:after="0"/>
              <w:rPr>
                <w:sz w:val="1"/>
                <w:szCs w:val="1"/>
                <w:color w:val="auto"/>
              </w:rPr>
            </w:pPr>
          </w:p>
        </w:tc>
      </w:tr>
      <w:tr>
        <w:trPr>
          <w:trHeight w:val="219"/>
        </w:trPr>
        <w:tc>
          <w:tcPr>
            <w:tcW w:w="5160" w:type="dxa"/>
            <w:vAlign w:val="bottom"/>
            <w:tcBorders>
              <w:bottom w:val="single" w:sz="8" w:color="CCEEFF"/>
            </w:tcBorders>
          </w:tcPr>
          <w:p>
            <w:pPr>
              <w:ind w:left="220"/>
              <w:spacing w:after="0"/>
              <w:rPr>
                <w:sz w:val="20"/>
                <w:szCs w:val="20"/>
                <w:color w:val="auto"/>
              </w:rPr>
            </w:pPr>
            <w:r>
              <w:rPr>
                <w:rFonts w:ascii="Arial" w:cs="Arial" w:eastAsia="Arial" w:hAnsi="Arial"/>
                <w:sz w:val="17"/>
                <w:szCs w:val="17"/>
                <w:b w:val="1"/>
                <w:bCs w:val="1"/>
                <w:color w:val="auto"/>
              </w:rPr>
              <w:t>2023 cash payments</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0"/>
              <w:spacing w:after="0" w:line="211" w:lineRule="exact"/>
              <w:rPr>
                <w:sz w:val="20"/>
                <w:szCs w:val="20"/>
                <w:color w:val="auto"/>
              </w:rPr>
            </w:pPr>
            <w:r>
              <w:rPr>
                <w:rFonts w:ascii="Arial" w:cs="Arial" w:eastAsia="Arial" w:hAnsi="Arial"/>
                <w:sz w:val="17"/>
                <w:szCs w:val="17"/>
                <w:b w:val="1"/>
                <w:bCs w:val="1"/>
                <w:color w:val="auto"/>
              </w:rPr>
              <w:t>Accrued balance at July 30, 2023</w:t>
            </w:r>
            <w:r>
              <w:rPr>
                <w:rFonts w:ascii="Arial" w:cs="Arial" w:eastAsia="Arial" w:hAnsi="Arial"/>
                <w:sz w:val="22"/>
                <w:szCs w:val="22"/>
                <w:b w:val="1"/>
                <w:bCs w:val="1"/>
                <w:color w:val="auto"/>
                <w:vertAlign w:val="superscript"/>
              </w:rPr>
              <w:t>(2)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w:t>
      </w:r>
    </w:p>
    <w:p>
      <w:pPr>
        <w:spacing w:after="0" w:line="26" w:lineRule="exact"/>
        <w:rPr>
          <w:sz w:val="20"/>
          <w:szCs w:val="20"/>
          <w:color w:val="auto"/>
        </w:rPr>
      </w:pPr>
    </w:p>
    <w:p>
      <w:pPr>
        <w:ind w:left="300" w:hanging="297"/>
        <w:spacing w:after="0"/>
        <w:tabs>
          <w:tab w:leader="none" w:pos="300" w:val="left"/>
        </w:tabs>
        <w:numPr>
          <w:ilvl w:val="0"/>
          <w:numId w:val="39"/>
        </w:numPr>
        <w:rPr>
          <w:rFonts w:ascii="Arial" w:cs="Arial" w:eastAsia="Arial" w:hAnsi="Arial"/>
          <w:sz w:val="22"/>
          <w:szCs w:val="22"/>
          <w:color w:val="auto"/>
          <w:vertAlign w:val="superscript"/>
        </w:rPr>
      </w:pPr>
      <w:r>
        <w:rPr>
          <w:rFonts w:ascii="Arial" w:cs="Arial" w:eastAsia="Arial" w:hAnsi="Arial"/>
          <w:sz w:val="17"/>
          <w:szCs w:val="17"/>
          <w:color w:val="auto"/>
        </w:rPr>
        <w:t>Includes $1 million of severance pay and benefits recorded in Other liabilities in the Consolidated Balance Sheet.</w:t>
      </w:r>
    </w:p>
    <w:p>
      <w:pPr>
        <w:spacing w:after="0" w:line="54" w:lineRule="exact"/>
        <w:rPr>
          <w:rFonts w:ascii="Arial" w:cs="Arial" w:eastAsia="Arial" w:hAnsi="Arial"/>
          <w:sz w:val="22"/>
          <w:szCs w:val="22"/>
          <w:color w:val="auto"/>
          <w:vertAlign w:val="superscript"/>
        </w:rPr>
      </w:pPr>
    </w:p>
    <w:p>
      <w:pPr>
        <w:ind w:left="300" w:hanging="297"/>
        <w:spacing w:after="0" w:line="192" w:lineRule="auto"/>
        <w:tabs>
          <w:tab w:leader="none" w:pos="300" w:val="left"/>
        </w:tabs>
        <w:numPr>
          <w:ilvl w:val="0"/>
          <w:numId w:val="39"/>
        </w:numPr>
        <w:rPr>
          <w:rFonts w:ascii="Arial" w:cs="Arial" w:eastAsia="Arial" w:hAnsi="Arial"/>
          <w:sz w:val="22"/>
          <w:szCs w:val="22"/>
          <w:color w:val="auto"/>
          <w:vertAlign w:val="superscript"/>
        </w:rPr>
      </w:pPr>
      <w:r>
        <w:rPr>
          <w:rFonts w:ascii="Arial" w:cs="Arial" w:eastAsia="Arial" w:hAnsi="Arial"/>
          <w:sz w:val="17"/>
          <w:szCs w:val="17"/>
          <w:color w:val="auto"/>
        </w:rPr>
        <w:t>Includes $7 million of severance pay and benefits recorded in Other liabilities in the Consolidated Balance Sheet.</w:t>
      </w:r>
    </w:p>
    <w:p>
      <w:pPr>
        <w:spacing w:after="0" w:line="55" w:lineRule="exact"/>
        <w:rPr>
          <w:rFonts w:ascii="Arial" w:cs="Arial" w:eastAsia="Arial" w:hAnsi="Arial"/>
          <w:sz w:val="22"/>
          <w:szCs w:val="22"/>
          <w:color w:val="auto"/>
          <w:vertAlign w:val="superscript"/>
        </w:rPr>
      </w:pPr>
    </w:p>
    <w:p>
      <w:pPr>
        <w:jc w:val="both"/>
        <w:ind w:left="320" w:hanging="317"/>
        <w:spacing w:after="0" w:line="229" w:lineRule="auto"/>
        <w:tabs>
          <w:tab w:leader="none" w:pos="308" w:val="left"/>
        </w:tabs>
        <w:numPr>
          <w:ilvl w:val="0"/>
          <w:numId w:val="39"/>
        </w:numPr>
        <w:rPr>
          <w:rFonts w:ascii="Arial" w:cs="Arial" w:eastAsia="Arial" w:hAnsi="Arial"/>
          <w:sz w:val="22"/>
          <w:szCs w:val="22"/>
          <w:color w:val="auto"/>
          <w:vertAlign w:val="superscript"/>
        </w:rPr>
      </w:pPr>
      <w:r>
        <w:rPr>
          <w:rFonts w:ascii="Arial" w:cs="Arial" w:eastAsia="Arial" w:hAnsi="Arial"/>
          <w:sz w:val="17"/>
          <w:szCs w:val="17"/>
          <w:color w:val="auto"/>
        </w:rPr>
        <w:t>Includes other costs recognized as incurred that are not reflected in the restructuring reserves in the Consolidated Balance Sheets. The costs are included in Administrative expenses, Cost of products sold, Marketing and selling expenses and Research and development expenses in the Consolidated Statements of Earnings.</w:t>
      </w:r>
    </w:p>
    <w:p>
      <w:pPr>
        <w:spacing w:after="0" w:line="5"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39"/>
        </w:numPr>
        <w:rPr>
          <w:rFonts w:ascii="Arial" w:cs="Arial" w:eastAsia="Arial" w:hAnsi="Arial"/>
          <w:sz w:val="22"/>
          <w:szCs w:val="22"/>
          <w:color w:val="auto"/>
          <w:vertAlign w:val="superscript"/>
        </w:rPr>
      </w:pPr>
      <w:r>
        <w:rPr>
          <w:rFonts w:ascii="Arial" w:cs="Arial" w:eastAsia="Arial" w:hAnsi="Arial"/>
          <w:sz w:val="17"/>
          <w:szCs w:val="17"/>
          <w:color w:val="auto"/>
        </w:rPr>
        <w:t>Includes non-cash costs that are not reflected in the restructuring reserves in the Consolidated Balance Sheets.</w:t>
      </w:r>
    </w:p>
    <w:p>
      <w:pPr>
        <w:spacing w:after="0" w:line="80" w:lineRule="exact"/>
        <w:rPr>
          <w:sz w:val="20"/>
          <w:szCs w:val="20"/>
          <w:color w:val="auto"/>
        </w:rPr>
      </w:pPr>
    </w:p>
    <w:p>
      <w:pPr>
        <w:jc w:val="both"/>
        <w:ind w:firstLine="309"/>
        <w:spacing w:after="0" w:line="278" w:lineRule="auto"/>
        <w:rPr>
          <w:sz w:val="20"/>
          <w:szCs w:val="20"/>
          <w:color w:val="auto"/>
        </w:rPr>
      </w:pPr>
      <w:r>
        <w:rPr>
          <w:rFonts w:ascii="Arial" w:cs="Arial" w:eastAsia="Arial" w:hAnsi="Arial"/>
          <w:sz w:val="17"/>
          <w:szCs w:val="17"/>
          <w:color w:val="auto"/>
        </w:rPr>
        <w:t>Segment operating results do not include restructuring charges, implementation costs and other related costs because we evaluate segment performance excluding such charges. A summary of the pre-tax costs associated with segments is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4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360" w:type="dxa"/>
            <w:vAlign w:val="bottom"/>
          </w:tcPr>
          <w:p>
            <w:pPr>
              <w:spacing w:after="0"/>
              <w:rPr>
                <w:sz w:val="15"/>
                <w:szCs w:val="15"/>
                <w:color w:val="auto"/>
              </w:rPr>
            </w:pPr>
          </w:p>
        </w:tc>
        <w:tc>
          <w:tcPr>
            <w:tcW w:w="1180" w:type="dxa"/>
            <w:vAlign w:val="bottom"/>
          </w:tcPr>
          <w:p>
            <w:pPr>
              <w:jc w:val="right"/>
              <w:ind w:right="55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152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3"/>
              </w:rPr>
              <w:t>Costs Incurred to Date</w:t>
            </w:r>
          </w:p>
        </w:tc>
      </w:tr>
      <w:tr>
        <w:trPr>
          <w:trHeight w:val="24"/>
        </w:trPr>
        <w:tc>
          <w:tcPr>
            <w:tcW w:w="8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2"/>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Meals &amp; Beverages</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60"/>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r>
      <w:tr>
        <w:trPr>
          <w:trHeight w:val="218"/>
        </w:trPr>
        <w:tc>
          <w:tcPr>
            <w:tcW w:w="8040" w:type="dxa"/>
            <w:vAlign w:val="bottom"/>
          </w:tcPr>
          <w:p>
            <w:pPr>
              <w:ind w:left="20"/>
              <w:spacing w:after="0"/>
              <w:rPr>
                <w:sz w:val="20"/>
                <w:szCs w:val="20"/>
                <w:color w:val="auto"/>
              </w:rPr>
            </w:pPr>
            <w:r>
              <w:rPr>
                <w:rFonts w:ascii="Arial" w:cs="Arial" w:eastAsia="Arial" w:hAnsi="Arial"/>
                <w:sz w:val="17"/>
                <w:szCs w:val="17"/>
                <w:color w:val="auto"/>
              </w:rPr>
              <w:t>Snacks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345</w:t>
            </w:r>
          </w:p>
        </w:tc>
      </w:tr>
      <w:tr>
        <w:trPr>
          <w:trHeight w:val="219"/>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Corporate</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w:t>
            </w:r>
          </w:p>
        </w:tc>
      </w:tr>
      <w:tr>
        <w:trPr>
          <w:trHeight w:val="213"/>
        </w:trPr>
        <w:tc>
          <w:tcPr>
            <w:tcW w:w="8040" w:type="dxa"/>
            <w:vAlign w:val="bottom"/>
          </w:tcPr>
          <w:p>
            <w:pPr>
              <w:ind w:left="20"/>
              <w:spacing w:after="0"/>
              <w:rPr>
                <w:sz w:val="20"/>
                <w:szCs w:val="20"/>
                <w:color w:val="auto"/>
              </w:rPr>
            </w:pPr>
            <w:r>
              <w:rPr>
                <w:rFonts w:ascii="Arial" w:cs="Arial" w:eastAsia="Arial" w:hAnsi="Arial"/>
                <w:sz w:val="17"/>
                <w:szCs w:val="17"/>
                <w:color w:val="auto"/>
              </w:rPr>
              <w:t>Total</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w:t>
            </w: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ind w:right="460"/>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791</w:t>
            </w: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In addition, in the second quarter of 2021, we recorded a $19 million deferred tax charge in connection with a legal entity reorganization as part of the continued integration of Snyder's-Lance.</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Earnings per Share (EPS)</w:t>
      </w:r>
    </w:p>
    <w:p>
      <w:pPr>
        <w:spacing w:after="0" w:line="94"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For the periods presented in the Consolidated Statements of Earnings, the calculations of basic EPS and EPS assuming dilution vary in that the weighted average shares outstanding assuming dilution include the incremental effect of stock options and other share-based payment awards, except when such effect would be antidilutive. The earnings per share calculation for 2023 excludes less than 1 million stock options that would have been antidilutive. The earnings per share calculation for 2022 and 2021 excludes approximately 1 million stock options that would have been antidilutive.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124460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color w:val="auto"/>
        </w:rPr>
        <w:t>9. Pension and Postretirement Benefits</w:t>
      </w:r>
    </w:p>
    <w:p>
      <w:pPr>
        <w:spacing w:after="0" w:line="94"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i w:val="1"/>
          <w:iCs w:val="1"/>
          <w:color w:val="auto"/>
        </w:rPr>
        <w:t xml:space="preserve">Pension Benefits — </w:t>
      </w:r>
      <w:r>
        <w:rPr>
          <w:rFonts w:ascii="Arial" w:cs="Arial" w:eastAsia="Arial" w:hAnsi="Arial"/>
          <w:sz w:val="16"/>
          <w:szCs w:val="16"/>
          <w:color w:val="auto"/>
        </w:rPr>
        <w:t>We sponsor a number of noncontributory defined benefit pension plans to provide retirement benefits to eligible U.S. and non-U.S.</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The benefits provided under these plans are based primarily on years of service and compensation levels. Benefits are paid from funds previously provided to trustees or are paid directly by us from general funds. In 1999, we implemented significant amendments to certain U.S. pension plans. Under a new formula, retirement benefits are determined based on percentages of annual pay and age. To minimize the impact of converting to the new formula, service and earnings credit continued to accrue for fifteen years for certain active employees participating in the plans under the old formula prior to the amendments. Employees will receive the benefit from either the new or old formula, whichever is higher. Effective as of January 1, 2011, our U.S. pension plans were amended so that employees hired or rehired on or after that date and who are not covered by collective bargaining agreements will not be eligible to participate in the plans. All collective bargaining units adopted this amendment by December 31, 2011.</w:t>
      </w:r>
    </w:p>
    <w:p>
      <w:pPr>
        <w:spacing w:after="0" w:line="5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In June 2023, we settled $245 million of our pension benefit obligations associated with approximately 6,000 retired participants currently receiving benefits within our U.S. defined benefit pension plans. A group annuity contract was purchased on behalf of these participants with a third-party insurance provider and funded directly by $241 million from the assets of our pension plans, resulting in an actuarial gain of $4 million.</w:t>
      </w:r>
    </w:p>
    <w:p>
      <w:pPr>
        <w:spacing w:after="0" w:line="58" w:lineRule="exact"/>
        <w:rPr>
          <w:sz w:val="20"/>
          <w:szCs w:val="20"/>
          <w:color w:val="auto"/>
        </w:rPr>
      </w:pPr>
    </w:p>
    <w:p>
      <w:pPr>
        <w:jc w:val="both"/>
        <w:ind w:firstLine="309"/>
        <w:spacing w:after="0" w:line="275" w:lineRule="auto"/>
        <w:rPr>
          <w:sz w:val="20"/>
          <w:szCs w:val="20"/>
          <w:color w:val="auto"/>
        </w:rPr>
      </w:pPr>
      <w:r>
        <w:rPr>
          <w:rFonts w:ascii="Arial" w:cs="Arial" w:eastAsia="Arial" w:hAnsi="Arial"/>
          <w:sz w:val="16"/>
          <w:szCs w:val="16"/>
          <w:i w:val="1"/>
          <w:iCs w:val="1"/>
          <w:color w:val="auto"/>
        </w:rPr>
        <w:t xml:space="preserve">Postretirement Benefits — </w:t>
      </w:r>
      <w:r>
        <w:rPr>
          <w:rFonts w:ascii="Arial" w:cs="Arial" w:eastAsia="Arial" w:hAnsi="Arial"/>
          <w:sz w:val="16"/>
          <w:szCs w:val="16"/>
          <w:color w:val="auto"/>
        </w:rPr>
        <w:t>We provide postretirement benefits, including health care and life insurance to eligible retired U.S. employees, and where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their dependents. Accordingly, we sponsor a retiree medical program for eligible retired U.S. employees and fund applicable retiree medical accounts intended to provide reimbursement for eligible health care expenses on a tax-favored basis for retirees who satisfy certain eligibility requirements. Effective as of January 1, 2019, we no longer sponsor our own retiree medical coverage for substantially all retired U.S. employees that are Medicare eligible. Instead, we offer these Medicare-eligible retirees access to health care coverage through a private exchange and offer a health reimbursement account to subsidize benefits for a select group of such retirees. We also provide postretirement life insurance to all eligible U.S. employees who retired prior to January 1, 2018, as well as certain eligible retired employees covered by one of our collective bargaining agreements who retired prior to January 1, 2023.</w:t>
      </w:r>
    </w:p>
    <w:p>
      <w:pPr>
        <w:spacing w:after="0" w:line="44"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Determining net periodic benefit expense (income) is dependent on various actuarial assumptions, including discount rates, expected return on plan assets, compensation increases, turnover rates and health care trend rates. Actuarial gains and losses are recognized immediately in Other expenses / (income) in the Consolidated Statements of Earnings as of the measurement date, which is our fiscal year end, or more frequently if an interim remeasurement is required. We use the fair value of plan assets to calculate the expected return on plan assets.</w:t>
      </w:r>
    </w:p>
    <w:p>
      <w:pPr>
        <w:spacing w:after="0" w:line="64"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Components of net periodic benefit expense (income)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Pension</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Postretirement</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52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Service cost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3520" w:type="dxa"/>
            <w:vAlign w:val="bottom"/>
          </w:tcPr>
          <w:p>
            <w:pPr>
              <w:ind w:left="20"/>
              <w:spacing w:after="0"/>
              <w:rPr>
                <w:sz w:val="20"/>
                <w:szCs w:val="20"/>
                <w:color w:val="auto"/>
              </w:rPr>
            </w:pPr>
            <w:r>
              <w:rPr>
                <w:rFonts w:ascii="Arial" w:cs="Arial" w:eastAsia="Arial" w:hAnsi="Arial"/>
                <w:sz w:val="17"/>
                <w:szCs w:val="17"/>
                <w:color w:val="auto"/>
              </w:rPr>
              <w:t>Interest cost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return on plan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9"/>
        </w:trPr>
        <w:tc>
          <w:tcPr>
            <w:tcW w:w="3520" w:type="dxa"/>
            <w:vAlign w:val="bottom"/>
          </w:tcPr>
          <w:p>
            <w:pPr>
              <w:ind w:left="20"/>
              <w:spacing w:after="0"/>
              <w:rPr>
                <w:sz w:val="20"/>
                <w:szCs w:val="20"/>
                <w:color w:val="auto"/>
              </w:rPr>
            </w:pPr>
            <w:r>
              <w:rPr>
                <w:rFonts w:ascii="Arial" w:cs="Arial" w:eastAsia="Arial" w:hAnsi="Arial"/>
                <w:sz w:val="17"/>
                <w:szCs w:val="17"/>
                <w:color w:val="auto"/>
              </w:rPr>
              <w:t>Amortization of prior service credit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Actuarial losses (gains)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2"/>
        </w:trPr>
        <w:tc>
          <w:tcPr>
            <w:tcW w:w="3520" w:type="dxa"/>
            <w:vAlign w:val="bottom"/>
          </w:tcPr>
          <w:p>
            <w:pPr>
              <w:ind w:left="20"/>
              <w:spacing w:after="0"/>
              <w:rPr>
                <w:sz w:val="20"/>
                <w:szCs w:val="20"/>
                <w:color w:val="auto"/>
              </w:rPr>
            </w:pPr>
            <w:r>
              <w:rPr>
                <w:rFonts w:ascii="Arial" w:cs="Arial" w:eastAsia="Arial" w:hAnsi="Arial"/>
                <w:sz w:val="17"/>
                <w:szCs w:val="17"/>
                <w:color w:val="auto"/>
              </w:rPr>
              <w:t>Net periodic benefit expense (income)</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components of net periodic benefit expense (income) other than the service cost component are included in Other expenses / (income) in the Consolidated Statements of Earnings.</w:t>
      </w:r>
    </w:p>
    <w:p>
      <w:pPr>
        <w:spacing w:after="0" w:line="48"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The pension actuarial gains recognized in 2023 were primarily due to increases in discount rates used to determine the benefit obligation and the gain from the annuity settlement, partially offset by losses on plan assets and plan experience. The pension actuarial losses recognized in 2022 were primarily due to losses on plan assets, partially offset by increases in discount rates used to determine the benefit obligation. The pension actuarial gains recognized in 2021 were primarily due to higher than anticipated investment gains on plan assets and increases in discount rates used to determine the benefit obligation.</w:t>
      </w:r>
    </w:p>
    <w:p>
      <w:pPr>
        <w:spacing w:after="0" w:line="46"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postretirement actuarial gains recognized in 2023, 2022 and 2021 were primarily due to increases in discount rates used to determine the benefit obligation.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116205</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i w:val="1"/>
          <w:iCs w:val="1"/>
          <w:color w:val="auto"/>
        </w:rPr>
        <w:t>Change in benefit obligation: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5"/>
          </w:tcPr>
          <w:p>
            <w:pPr>
              <w:ind w:left="840"/>
              <w:spacing w:after="0"/>
              <w:rPr>
                <w:sz w:val="20"/>
                <w:szCs w:val="20"/>
                <w:color w:val="auto"/>
              </w:rPr>
            </w:pPr>
            <w:r>
              <w:rPr>
                <w:rFonts w:ascii="Arial" w:cs="Arial" w:eastAsia="Arial" w:hAnsi="Arial"/>
                <w:sz w:val="14"/>
                <w:szCs w:val="14"/>
                <w:b w:val="1"/>
                <w:bCs w:val="1"/>
                <w:color w:val="auto"/>
                <w:w w:val="95"/>
              </w:rPr>
              <w:t>Pension</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Postretirement</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68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Obligation at beginning of year</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1,737</w:t>
            </w: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172</w:t>
            </w:r>
          </w:p>
        </w:tc>
        <w:tc>
          <w:tcPr>
            <w:tcW w:w="6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0" w:type="dxa"/>
            <w:vAlign w:val="bottom"/>
          </w:tcPr>
          <w:p>
            <w:pPr>
              <w:spacing w:after="0"/>
              <w:rPr>
                <w:sz w:val="1"/>
                <w:szCs w:val="1"/>
                <w:color w:val="auto"/>
              </w:rPr>
            </w:pPr>
          </w:p>
        </w:tc>
      </w:tr>
      <w:tr>
        <w:trPr>
          <w:trHeight w:val="219"/>
        </w:trPr>
        <w:tc>
          <w:tcPr>
            <w:tcW w:w="5680" w:type="dxa"/>
            <w:vAlign w:val="bottom"/>
          </w:tcPr>
          <w:p>
            <w:pPr>
              <w:ind w:left="20"/>
              <w:spacing w:after="0"/>
              <w:rPr>
                <w:sz w:val="20"/>
                <w:szCs w:val="20"/>
                <w:color w:val="auto"/>
              </w:rPr>
            </w:pPr>
            <w:r>
              <w:rPr>
                <w:rFonts w:ascii="Arial" w:cs="Arial" w:eastAsia="Arial" w:hAnsi="Arial"/>
                <w:sz w:val="17"/>
                <w:szCs w:val="17"/>
                <w:color w:val="auto"/>
              </w:rPr>
              <w:t>Service cost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13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cost</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73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9"/>
        </w:trPr>
        <w:tc>
          <w:tcPr>
            <w:tcW w:w="5680" w:type="dxa"/>
            <w:vAlign w:val="bottom"/>
          </w:tcPr>
          <w:p>
            <w:pPr>
              <w:ind w:left="20"/>
              <w:spacing w:after="0"/>
              <w:rPr>
                <w:sz w:val="20"/>
                <w:szCs w:val="20"/>
                <w:color w:val="auto"/>
              </w:rPr>
            </w:pPr>
            <w:r>
              <w:rPr>
                <w:rFonts w:ascii="Arial" w:cs="Arial" w:eastAsia="Arial" w:hAnsi="Arial"/>
                <w:sz w:val="17"/>
                <w:szCs w:val="17"/>
                <w:color w:val="auto"/>
              </w:rPr>
              <w:t>Actuarial losses (gains)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3"/>
          </w:tcPr>
          <w:p>
            <w:pPr>
              <w:ind w:left="620"/>
              <w:spacing w:after="0"/>
              <w:rPr>
                <w:sz w:val="20"/>
                <w:szCs w:val="20"/>
                <w:color w:val="auto"/>
              </w:rPr>
            </w:pPr>
            <w:r>
              <w:rPr>
                <w:rFonts w:ascii="Arial" w:cs="Arial" w:eastAsia="Arial" w:hAnsi="Arial"/>
                <w:sz w:val="17"/>
                <w:szCs w:val="17"/>
                <w:b w:val="1"/>
                <w:bCs w:val="1"/>
                <w:color w:val="auto"/>
                <w:w w:val="90"/>
              </w:rPr>
              <w:t>(108)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(310)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Benefits paid</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ind w:left="620"/>
              <w:spacing w:after="0"/>
              <w:rPr>
                <w:sz w:val="20"/>
                <w:szCs w:val="20"/>
                <w:color w:val="auto"/>
              </w:rPr>
            </w:pPr>
            <w:r>
              <w:rPr>
                <w:rFonts w:ascii="Arial" w:cs="Arial" w:eastAsia="Arial" w:hAnsi="Arial"/>
                <w:sz w:val="17"/>
                <w:szCs w:val="17"/>
                <w:b w:val="1"/>
                <w:bCs w:val="1"/>
                <w:color w:val="auto"/>
                <w:w w:val="90"/>
              </w:rPr>
              <w:t>(104)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(17)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9"/>
        </w:trPr>
        <w:tc>
          <w:tcPr>
            <w:tcW w:w="5680" w:type="dxa"/>
            <w:vAlign w:val="bottom"/>
          </w:tcPr>
          <w:p>
            <w:pPr>
              <w:ind w:left="20"/>
              <w:spacing w:after="0"/>
              <w:rPr>
                <w:sz w:val="20"/>
                <w:szCs w:val="20"/>
                <w:color w:val="auto"/>
              </w:rPr>
            </w:pPr>
            <w:r>
              <w:rPr>
                <w:rFonts w:ascii="Arial" w:cs="Arial" w:eastAsia="Arial" w:hAnsi="Arial"/>
                <w:sz w:val="17"/>
                <w:szCs w:val="17"/>
                <w:color w:val="auto"/>
              </w:rPr>
              <w:t>Settlements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3"/>
          </w:tcPr>
          <w:p>
            <w:pPr>
              <w:ind w:left="620"/>
              <w:spacing w:after="0"/>
              <w:rPr>
                <w:sz w:val="20"/>
                <w:szCs w:val="20"/>
                <w:color w:val="auto"/>
              </w:rPr>
            </w:pPr>
            <w:r>
              <w:rPr>
                <w:rFonts w:ascii="Arial" w:cs="Arial" w:eastAsia="Arial" w:hAnsi="Arial"/>
                <w:sz w:val="17"/>
                <w:szCs w:val="17"/>
                <w:b w:val="1"/>
                <w:bCs w:val="1"/>
                <w:color w:val="auto"/>
                <w:w w:val="90"/>
              </w:rPr>
              <w:t>(352)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Foreign currency adjustment</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ind w:left="780"/>
              <w:spacing w:after="0"/>
              <w:rPr>
                <w:sz w:val="20"/>
                <w:szCs w:val="20"/>
                <w:color w:val="auto"/>
              </w:rPr>
            </w:pPr>
            <w:r>
              <w:rPr>
                <w:rFonts w:ascii="Arial" w:cs="Arial" w:eastAsia="Arial" w:hAnsi="Arial"/>
                <w:sz w:val="17"/>
                <w:szCs w:val="17"/>
                <w:b w:val="1"/>
                <w:bCs w:val="1"/>
                <w:color w:val="auto"/>
                <w:w w:val="96"/>
              </w:rPr>
              <w:t>(2)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2"/>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Benefit obligation at end of year</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1,257</w:t>
            </w: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1,737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153</w:t>
            </w:r>
          </w:p>
        </w:tc>
        <w:tc>
          <w:tcPr>
            <w:tcW w:w="60" w:type="dxa"/>
            <w:vAlign w:val="bottom"/>
            <w:shd w:val="clear" w:color="auto" w:fill="CCEEFF"/>
          </w:tcPr>
          <w:p>
            <w:pPr>
              <w:spacing w:after="0"/>
              <w:rPr>
                <w:sz w:val="20"/>
                <w:szCs w:val="20"/>
                <w:color w:val="auto"/>
              </w:rPr>
            </w:pPr>
          </w:p>
        </w:tc>
        <w:tc>
          <w:tcPr>
            <w:tcW w:w="52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7"/>
                <w:szCs w:val="17"/>
                <w:b w:val="1"/>
                <w:bCs w:val="1"/>
                <w:i w:val="1"/>
                <w:iCs w:val="1"/>
                <w:color w:val="auto"/>
              </w:rPr>
              <w:t>Change in the fair value of pension plan assets:</w:t>
            </w: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5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568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438"/>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437"/>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4"/>
        </w:trPr>
        <w:tc>
          <w:tcPr>
            <w:tcW w:w="56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at beginning of year</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1,763</w:t>
            </w:r>
          </w:p>
        </w:tc>
        <w:tc>
          <w:tcPr>
            <w:tcW w:w="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2,220</w:t>
            </w:r>
          </w:p>
        </w:tc>
        <w:tc>
          <w:tcPr>
            <w:tcW w:w="0" w:type="dxa"/>
            <w:vAlign w:val="bottom"/>
          </w:tcPr>
          <w:p>
            <w:pPr>
              <w:spacing w:after="0"/>
              <w:rPr>
                <w:sz w:val="1"/>
                <w:szCs w:val="1"/>
                <w:color w:val="auto"/>
              </w:rPr>
            </w:pPr>
          </w:p>
        </w:tc>
      </w:tr>
      <w:tr>
        <w:trPr>
          <w:trHeight w:val="219"/>
        </w:trPr>
        <w:tc>
          <w:tcPr>
            <w:tcW w:w="5680" w:type="dxa"/>
            <w:vAlign w:val="bottom"/>
          </w:tcPr>
          <w:p>
            <w:pPr>
              <w:ind w:left="20"/>
              <w:spacing w:after="0"/>
              <w:rPr>
                <w:sz w:val="20"/>
                <w:szCs w:val="20"/>
                <w:color w:val="auto"/>
              </w:rPr>
            </w:pPr>
            <w:r>
              <w:rPr>
                <w:rFonts w:ascii="Arial" w:cs="Arial" w:eastAsia="Arial" w:hAnsi="Arial"/>
                <w:sz w:val="17"/>
                <w:szCs w:val="17"/>
                <w:color w:val="auto"/>
              </w:rPr>
              <w:t>Actual return on plan assets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(272)</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Employer contributions</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680" w:type="dxa"/>
            <w:vAlign w:val="bottom"/>
          </w:tcPr>
          <w:p>
            <w:pPr>
              <w:ind w:left="20"/>
              <w:spacing w:after="0"/>
              <w:rPr>
                <w:sz w:val="20"/>
                <w:szCs w:val="20"/>
                <w:color w:val="auto"/>
              </w:rPr>
            </w:pPr>
            <w:r>
              <w:rPr>
                <w:rFonts w:ascii="Arial" w:cs="Arial" w:eastAsia="Arial" w:hAnsi="Arial"/>
                <w:sz w:val="17"/>
                <w:szCs w:val="17"/>
                <w:color w:val="auto"/>
              </w:rPr>
              <w:t>Benefits paid</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(91)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Settlements</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(352)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19"/>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Foreign currency adjustment</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32"/>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at end of year</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1,316</w:t>
            </w:r>
          </w:p>
        </w:tc>
        <w:tc>
          <w:tcPr>
            <w:tcW w:w="60" w:type="dxa"/>
            <w:vAlign w:val="bottom"/>
            <w:shd w:val="clear" w:color="auto" w:fill="CCEEFF"/>
          </w:tcPr>
          <w:p>
            <w:pPr>
              <w:spacing w:after="0"/>
              <w:rPr>
                <w:sz w:val="20"/>
                <w:szCs w:val="20"/>
                <w:color w:val="auto"/>
              </w:rPr>
            </w:pPr>
          </w:p>
        </w:tc>
        <w:tc>
          <w:tcPr>
            <w:tcW w:w="52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1,763</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7"/>
                <w:szCs w:val="17"/>
                <w:b w:val="1"/>
                <w:bCs w:val="1"/>
                <w:i w:val="1"/>
                <w:iCs w:val="1"/>
                <w:color w:val="auto"/>
              </w:rPr>
              <w:t>Net amounts recognized in the Consolidated Balance Sheets:</w:t>
            </w: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5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5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gridSpan w:val="5"/>
          </w:tcPr>
          <w:p>
            <w:pPr>
              <w:ind w:left="680"/>
              <w:spacing w:after="0"/>
              <w:rPr>
                <w:sz w:val="20"/>
                <w:szCs w:val="20"/>
                <w:color w:val="auto"/>
              </w:rPr>
            </w:pPr>
            <w:r>
              <w:rPr>
                <w:rFonts w:ascii="Arial" w:cs="Arial" w:eastAsia="Arial" w:hAnsi="Arial"/>
                <w:sz w:val="14"/>
                <w:szCs w:val="14"/>
                <w:b w:val="1"/>
                <w:bCs w:val="1"/>
                <w:color w:val="auto"/>
              </w:rPr>
              <w:t>Pension</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Postretirement</w:t>
            </w: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
        </w:trPr>
        <w:tc>
          <w:tcPr>
            <w:tcW w:w="5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68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ind w:left="520"/>
              <w:spacing w:after="0"/>
              <w:rPr>
                <w:sz w:val="20"/>
                <w:szCs w:val="20"/>
                <w:color w:val="auto"/>
              </w:rPr>
            </w:pPr>
            <w:r>
              <w:rPr>
                <w:rFonts w:ascii="Arial" w:cs="Arial" w:eastAsia="Arial" w:hAnsi="Arial"/>
                <w:sz w:val="17"/>
                <w:szCs w:val="17"/>
                <w:b w:val="1"/>
                <w:bCs w:val="1"/>
                <w:color w:val="auto"/>
              </w:rPr>
              <w:t>164</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680" w:type="dxa"/>
            <w:vAlign w:val="bottom"/>
          </w:tcPr>
          <w:p>
            <w:pPr>
              <w:ind w:left="20"/>
              <w:spacing w:after="0"/>
              <w:rPr>
                <w:sz w:val="20"/>
                <w:szCs w:val="20"/>
                <w:color w:val="auto"/>
              </w:rPr>
            </w:pPr>
            <w:r>
              <w:rPr>
                <w:rFonts w:ascii="Arial" w:cs="Arial" w:eastAsia="Arial" w:hAnsi="Arial"/>
                <w:sz w:val="17"/>
                <w:szCs w:val="17"/>
                <w:color w:val="auto"/>
              </w:rPr>
              <w:t>Accrued liabilities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ind w:left="620"/>
              <w:spacing w:after="0"/>
              <w:rPr>
                <w:sz w:val="20"/>
                <w:szCs w:val="20"/>
                <w:color w:val="auto"/>
              </w:rPr>
            </w:pPr>
            <w:r>
              <w:rPr>
                <w:rFonts w:ascii="Arial" w:cs="Arial" w:eastAsia="Arial" w:hAnsi="Arial"/>
                <w:sz w:val="17"/>
                <w:szCs w:val="17"/>
                <w:b w:val="1"/>
                <w:bCs w:val="1"/>
                <w:color w:val="auto"/>
              </w:rPr>
              <w:t>10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7"/>
                <w:szCs w:val="17"/>
                <w:b w:val="1"/>
                <w:bCs w:val="1"/>
                <w:color w:val="auto"/>
              </w:rPr>
              <w:t>95</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0" w:type="dxa"/>
            <w:vAlign w:val="bottom"/>
          </w:tcPr>
          <w:p>
            <w:pPr>
              <w:spacing w:after="0"/>
              <w:rPr>
                <w:sz w:val="1"/>
                <w:szCs w:val="1"/>
                <w:color w:val="auto"/>
              </w:rPr>
            </w:pPr>
          </w:p>
        </w:tc>
      </w:tr>
      <w:tr>
        <w:trPr>
          <w:trHeight w:val="212"/>
        </w:trPr>
        <w:tc>
          <w:tcPr>
            <w:tcW w:w="5680" w:type="dxa"/>
            <w:vAlign w:val="bottom"/>
          </w:tcPr>
          <w:p>
            <w:pPr>
              <w:ind w:left="20"/>
              <w:spacing w:after="0"/>
              <w:rPr>
                <w:sz w:val="20"/>
                <w:szCs w:val="20"/>
                <w:color w:val="auto"/>
              </w:rPr>
            </w:pPr>
            <w:r>
              <w:rPr>
                <w:rFonts w:ascii="Arial" w:cs="Arial" w:eastAsia="Arial" w:hAnsi="Arial"/>
                <w:sz w:val="17"/>
                <w:szCs w:val="17"/>
                <w:color w:val="auto"/>
              </w:rPr>
              <w:t>Net amounts recognized asset / (liability)</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7"/>
                <w:szCs w:val="17"/>
                <w:b w:val="1"/>
                <w:bCs w:val="1"/>
                <w:color w:val="auto"/>
              </w:rPr>
              <w:t>59</w:t>
            </w:r>
          </w:p>
        </w:tc>
        <w:tc>
          <w:tcPr>
            <w:tcW w:w="100" w:type="dxa"/>
            <w:vAlign w:val="bottom"/>
          </w:tcPr>
          <w:p>
            <w:pPr>
              <w:spacing w:after="0"/>
              <w:rPr>
                <w:sz w:val="18"/>
                <w:szCs w:val="18"/>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w w:val="84"/>
              </w:rPr>
              <w:t>$</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8"/>
                <w:szCs w:val="18"/>
                <w:color w:val="auto"/>
              </w:rPr>
            </w:pPr>
          </w:p>
        </w:tc>
        <w:tc>
          <w:tcPr>
            <w:tcW w:w="360" w:type="dxa"/>
            <w:vAlign w:val="bottom"/>
            <w:tcBorders>
              <w:bottom w:val="single" w:sz="8" w:color="auto"/>
            </w:tcBorders>
            <w:gridSpan w:val="2"/>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6140" w:type="dxa"/>
            <w:vAlign w:val="bottom"/>
            <w:gridSpan w:val="3"/>
          </w:tcPr>
          <w:p>
            <w:pPr>
              <w:ind w:left="320"/>
              <w:spacing w:after="0"/>
              <w:rPr>
                <w:sz w:val="20"/>
                <w:szCs w:val="20"/>
                <w:color w:val="auto"/>
              </w:rPr>
            </w:pPr>
            <w:r>
              <w:rPr>
                <w:rFonts w:ascii="Arial" w:cs="Arial" w:eastAsia="Arial" w:hAnsi="Arial"/>
                <w:sz w:val="17"/>
                <w:szCs w:val="17"/>
                <w:color w:val="auto"/>
                <w:w w:val="92"/>
              </w:rPr>
              <w:t>Amounts recognized in Accumulated other comprehensive income (loss) consist of:</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5"/>
          </w:tcPr>
          <w:p>
            <w:pPr>
              <w:ind w:left="680"/>
              <w:spacing w:after="0"/>
              <w:rPr>
                <w:sz w:val="20"/>
                <w:szCs w:val="20"/>
                <w:color w:val="auto"/>
              </w:rPr>
            </w:pPr>
            <w:r>
              <w:rPr>
                <w:rFonts w:ascii="Arial" w:cs="Arial" w:eastAsia="Arial" w:hAnsi="Arial"/>
                <w:sz w:val="14"/>
                <w:szCs w:val="14"/>
                <w:b w:val="1"/>
                <w:bCs w:val="1"/>
                <w:color w:val="auto"/>
              </w:rPr>
              <w:t>Pension</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Postretirement</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68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Prior service credit (cost)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ind w:left="620"/>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c>
          <w:tcPr>
            <w:tcW w:w="6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change in amounts recognized in Accumulated other comprehensive income (loss) associated with postretirement benefits was due to amortization in 2023 and 2022.</w:t>
      </w:r>
    </w:p>
    <w:p>
      <w:pPr>
        <w:spacing w:after="0" w:line="3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following table provides information for pension plans with projected benefit obligations in excess of plan assets and accumulated benefit obligations in excess of plan assets: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52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300" w:type="dxa"/>
            <w:vAlign w:val="bottom"/>
          </w:tcPr>
          <w:p>
            <w:pPr>
              <w:spacing w:after="0"/>
              <w:rPr>
                <w:sz w:val="15"/>
                <w:szCs w:val="15"/>
                <w:color w:val="auto"/>
              </w:rPr>
            </w:pPr>
          </w:p>
        </w:tc>
        <w:tc>
          <w:tcPr>
            <w:tcW w:w="1000" w:type="dxa"/>
            <w:vAlign w:val="bottom"/>
          </w:tcPr>
          <w:p>
            <w:pPr>
              <w:jc w:val="right"/>
              <w:ind w:right="43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8"/>
              <w:spacing w:after="0"/>
              <w:rPr>
                <w:sz w:val="20"/>
                <w:szCs w:val="20"/>
                <w:color w:val="auto"/>
              </w:rPr>
            </w:pPr>
            <w:r>
              <w:rPr>
                <w:rFonts w:ascii="Arial" w:cs="Arial" w:eastAsia="Arial" w:hAnsi="Arial"/>
                <w:sz w:val="14"/>
                <w:szCs w:val="14"/>
                <w:b w:val="1"/>
                <w:bCs w:val="1"/>
                <w:color w:val="auto"/>
              </w:rPr>
              <w:t>2022</w:t>
            </w:r>
          </w:p>
        </w:tc>
      </w:tr>
      <w:tr>
        <w:trPr>
          <w:trHeight w:val="24"/>
        </w:trPr>
        <w:tc>
          <w:tcPr>
            <w:tcW w:w="8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2"/>
        </w:trPr>
        <w:tc>
          <w:tcPr>
            <w:tcW w:w="8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Projected benefit obligation</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r>
      <w:tr>
        <w:trPr>
          <w:trHeight w:val="219"/>
        </w:trPr>
        <w:tc>
          <w:tcPr>
            <w:tcW w:w="8520" w:type="dxa"/>
            <w:vAlign w:val="bottom"/>
          </w:tcPr>
          <w:p>
            <w:pPr>
              <w:ind w:left="20"/>
              <w:spacing w:after="0"/>
              <w:rPr>
                <w:sz w:val="20"/>
                <w:szCs w:val="20"/>
                <w:color w:val="auto"/>
              </w:rPr>
            </w:pPr>
            <w:r>
              <w:rPr>
                <w:rFonts w:ascii="Arial" w:cs="Arial" w:eastAsia="Arial" w:hAnsi="Arial"/>
                <w:sz w:val="17"/>
                <w:szCs w:val="17"/>
                <w:color w:val="auto"/>
              </w:rPr>
              <w:t>Accumulated benefit obligation</w:t>
            </w:r>
          </w:p>
        </w:tc>
        <w:tc>
          <w:tcPr>
            <w:tcW w:w="300" w:type="dxa"/>
            <w:vAlign w:val="bottom"/>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104</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118</w:t>
            </w:r>
          </w:p>
        </w:tc>
      </w:tr>
      <w:tr>
        <w:trPr>
          <w:trHeight w:val="219"/>
        </w:trPr>
        <w:tc>
          <w:tcPr>
            <w:tcW w:w="8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of plan assets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15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accumulated benefit obligation for all pension plans was $1.24 billion at July 30, 2023, and $1.716 billion at July 31, 2022.</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124460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49" w:name="page50"/>
    <w:bookmarkEnd w:id="49"/>
    <w:p>
      <w:pPr>
        <w:ind w:left="160"/>
        <w:spacing w:after="0"/>
        <w:rPr>
          <w:sz w:val="20"/>
          <w:szCs w:val="20"/>
          <w:color w:val="auto"/>
        </w:rPr>
      </w:pPr>
      <w:r>
        <w:rPr>
          <w:rFonts w:ascii="Arial" w:cs="Arial" w:eastAsia="Arial" w:hAnsi="Arial"/>
          <w:sz w:val="17"/>
          <w:szCs w:val="17"/>
          <w:b w:val="1"/>
          <w:bCs w:val="1"/>
          <w:i w:val="1"/>
          <w:iCs w:val="1"/>
          <w:color w:val="auto"/>
        </w:rPr>
        <w:t>Weighted-average assumptions used to determine benefit obligations at the end of the year:</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00" w:type="dxa"/>
            <w:vAlign w:val="bottom"/>
          </w:tcPr>
          <w:p>
            <w:pPr>
              <w:spacing w:after="0"/>
              <w:rPr>
                <w:sz w:val="15"/>
                <w:szCs w:val="15"/>
                <w:color w:val="auto"/>
              </w:rPr>
            </w:pPr>
          </w:p>
        </w:tc>
        <w:tc>
          <w:tcPr>
            <w:tcW w:w="1700" w:type="dxa"/>
            <w:vAlign w:val="bottom"/>
            <w:gridSpan w:val="3"/>
          </w:tcPr>
          <w:p>
            <w:pPr>
              <w:ind w:left="1120"/>
              <w:spacing w:after="0"/>
              <w:rPr>
                <w:sz w:val="20"/>
                <w:szCs w:val="20"/>
                <w:color w:val="auto"/>
              </w:rPr>
            </w:pPr>
            <w:r>
              <w:rPr>
                <w:rFonts w:ascii="Arial" w:cs="Arial" w:eastAsia="Arial" w:hAnsi="Arial"/>
                <w:sz w:val="14"/>
                <w:szCs w:val="14"/>
                <w:b w:val="1"/>
                <w:bCs w:val="1"/>
                <w:color w:val="auto"/>
              </w:rPr>
              <w:t>Pension</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20" w:type="dxa"/>
            <w:vAlign w:val="bottom"/>
            <w:gridSpan w:val="3"/>
          </w:tcPr>
          <w:p>
            <w:pPr>
              <w:jc w:val="center"/>
              <w:ind w:right="851"/>
              <w:spacing w:after="0"/>
              <w:rPr>
                <w:sz w:val="20"/>
                <w:szCs w:val="20"/>
                <w:color w:val="auto"/>
              </w:rPr>
            </w:pPr>
            <w:r>
              <w:rPr>
                <w:rFonts w:ascii="Arial" w:cs="Arial" w:eastAsia="Arial" w:hAnsi="Arial"/>
                <w:sz w:val="14"/>
                <w:szCs w:val="14"/>
                <w:b w:val="1"/>
                <w:bCs w:val="1"/>
                <w:color w:val="auto"/>
                <w:w w:val="86"/>
              </w:rPr>
              <w:t>Postretirement</w:t>
            </w:r>
          </w:p>
        </w:tc>
      </w:tr>
      <w:tr>
        <w:trPr>
          <w:trHeight w:val="24"/>
        </w:trPr>
        <w:tc>
          <w:tcPr>
            <w:tcW w:w="56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r>
      <w:tr>
        <w:trPr>
          <w:trHeight w:val="179"/>
        </w:trPr>
        <w:tc>
          <w:tcPr>
            <w:tcW w:w="56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2023</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ind w:left="319"/>
              <w:spacing w:after="0"/>
              <w:rPr>
                <w:sz w:val="20"/>
                <w:szCs w:val="20"/>
                <w:color w:val="auto"/>
              </w:rPr>
            </w:pPr>
            <w:r>
              <w:rPr>
                <w:rFonts w:ascii="Arial" w:cs="Arial" w:eastAsia="Arial" w:hAnsi="Arial"/>
                <w:sz w:val="14"/>
                <w:szCs w:val="14"/>
                <w:b w:val="1"/>
                <w:bCs w:val="1"/>
                <w:color w:val="auto"/>
                <w:w w:val="89"/>
              </w:rPr>
              <w:t>2023</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r>
      <w:tr>
        <w:trPr>
          <w:trHeight w:val="219"/>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5.46%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right="218"/>
              <w:spacing w:after="0"/>
              <w:rPr>
                <w:sz w:val="20"/>
                <w:szCs w:val="20"/>
                <w:color w:val="auto"/>
              </w:rPr>
            </w:pPr>
            <w:r>
              <w:rPr>
                <w:rFonts w:ascii="Arial" w:cs="Arial" w:eastAsia="Arial" w:hAnsi="Arial"/>
                <w:sz w:val="17"/>
                <w:szCs w:val="17"/>
                <w:color w:val="auto"/>
                <w:w w:val="91"/>
              </w:rPr>
              <w:t>4.58%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319"/>
              <w:spacing w:after="0"/>
              <w:rPr>
                <w:sz w:val="20"/>
                <w:szCs w:val="20"/>
                <w:color w:val="auto"/>
              </w:rPr>
            </w:pPr>
            <w:r>
              <w:rPr>
                <w:rFonts w:ascii="Arial" w:cs="Arial" w:eastAsia="Arial" w:hAnsi="Arial"/>
                <w:sz w:val="17"/>
                <w:szCs w:val="17"/>
                <w:b w:val="1"/>
                <w:bCs w:val="1"/>
                <w:color w:val="auto"/>
                <w:w w:val="99"/>
              </w:rPr>
              <w:t>5.47%</w:t>
            </w:r>
          </w:p>
        </w:tc>
        <w:tc>
          <w:tcPr>
            <w:tcW w:w="1820" w:type="dxa"/>
            <w:vAlign w:val="bottom"/>
            <w:gridSpan w:val="3"/>
            <w:shd w:val="clear" w:color="auto" w:fill="CCEEFF"/>
          </w:tcPr>
          <w:p>
            <w:pPr>
              <w:jc w:val="center"/>
              <w:ind w:left="417"/>
              <w:spacing w:after="0"/>
              <w:rPr>
                <w:sz w:val="20"/>
                <w:szCs w:val="20"/>
                <w:color w:val="auto"/>
              </w:rPr>
            </w:pPr>
            <w:r>
              <w:rPr>
                <w:rFonts w:ascii="Arial" w:cs="Arial" w:eastAsia="Arial" w:hAnsi="Arial"/>
                <w:sz w:val="17"/>
                <w:szCs w:val="17"/>
                <w:color w:val="auto"/>
                <w:w w:val="91"/>
              </w:rPr>
              <w:t>4.48%</w:t>
            </w:r>
          </w:p>
        </w:tc>
      </w:tr>
      <w:tr>
        <w:trPr>
          <w:trHeight w:val="219"/>
        </w:trPr>
        <w:tc>
          <w:tcPr>
            <w:tcW w:w="5600" w:type="dxa"/>
            <w:vAlign w:val="bottom"/>
          </w:tcPr>
          <w:p>
            <w:pPr>
              <w:ind w:left="20"/>
              <w:spacing w:after="0"/>
              <w:rPr>
                <w:sz w:val="20"/>
                <w:szCs w:val="20"/>
                <w:color w:val="auto"/>
              </w:rPr>
            </w:pPr>
            <w:r>
              <w:rPr>
                <w:rFonts w:ascii="Arial" w:cs="Arial" w:eastAsia="Arial" w:hAnsi="Arial"/>
                <w:sz w:val="17"/>
                <w:szCs w:val="17"/>
                <w:color w:val="auto"/>
              </w:rPr>
              <w:t>Rate of compensation increase</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95"/>
              </w:rPr>
              <w:t>3.23%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center"/>
              <w:ind w:right="218"/>
              <w:spacing w:after="0"/>
              <w:rPr>
                <w:sz w:val="20"/>
                <w:szCs w:val="20"/>
                <w:color w:val="auto"/>
              </w:rPr>
            </w:pPr>
            <w:r>
              <w:rPr>
                <w:rFonts w:ascii="Arial" w:cs="Arial" w:eastAsia="Arial" w:hAnsi="Arial"/>
                <w:sz w:val="17"/>
                <w:szCs w:val="17"/>
                <w:color w:val="auto"/>
                <w:w w:val="91"/>
              </w:rPr>
              <w:t>3.23%</w:t>
            </w:r>
          </w:p>
        </w:tc>
        <w:tc>
          <w:tcPr>
            <w:tcW w:w="100" w:type="dxa"/>
            <w:vAlign w:val="bottom"/>
          </w:tcPr>
          <w:p>
            <w:pPr>
              <w:spacing w:after="0"/>
              <w:rPr>
                <w:sz w:val="19"/>
                <w:szCs w:val="19"/>
                <w:color w:val="auto"/>
              </w:rPr>
            </w:pPr>
          </w:p>
        </w:tc>
        <w:tc>
          <w:tcPr>
            <w:tcW w:w="920" w:type="dxa"/>
            <w:vAlign w:val="bottom"/>
          </w:tcPr>
          <w:p>
            <w:pPr>
              <w:jc w:val="center"/>
              <w:ind w:left="319"/>
              <w:spacing w:after="0"/>
              <w:rPr>
                <w:sz w:val="20"/>
                <w:szCs w:val="20"/>
                <w:color w:val="auto"/>
              </w:rPr>
            </w:pPr>
            <w:r>
              <w:rPr>
                <w:rFonts w:ascii="Arial" w:cs="Arial" w:eastAsia="Arial" w:hAnsi="Arial"/>
                <w:sz w:val="17"/>
                <w:szCs w:val="17"/>
                <w:b w:val="1"/>
                <w:bCs w:val="1"/>
                <w:color w:val="auto"/>
                <w:w w:val="99"/>
              </w:rPr>
              <w:t>3.25%</w:t>
            </w:r>
          </w:p>
        </w:tc>
        <w:tc>
          <w:tcPr>
            <w:tcW w:w="1820" w:type="dxa"/>
            <w:vAlign w:val="bottom"/>
            <w:gridSpan w:val="3"/>
          </w:tcPr>
          <w:p>
            <w:pPr>
              <w:jc w:val="center"/>
              <w:ind w:left="417"/>
              <w:spacing w:after="0"/>
              <w:rPr>
                <w:sz w:val="20"/>
                <w:szCs w:val="20"/>
                <w:color w:val="auto"/>
              </w:rPr>
            </w:pPr>
            <w:r>
              <w:rPr>
                <w:rFonts w:ascii="Arial" w:cs="Arial" w:eastAsia="Arial" w:hAnsi="Arial"/>
                <w:sz w:val="17"/>
                <w:szCs w:val="17"/>
                <w:color w:val="auto"/>
                <w:w w:val="91"/>
              </w:rPr>
              <w:t>3.25%</w:t>
            </w:r>
          </w:p>
        </w:tc>
      </w:tr>
      <w:tr>
        <w:trPr>
          <w:trHeight w:val="219"/>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crediting rate</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4.00%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right="218"/>
              <w:spacing w:after="0"/>
              <w:rPr>
                <w:sz w:val="20"/>
                <w:szCs w:val="20"/>
                <w:color w:val="auto"/>
              </w:rPr>
            </w:pPr>
            <w:r>
              <w:rPr>
                <w:rFonts w:ascii="Arial" w:cs="Arial" w:eastAsia="Arial" w:hAnsi="Arial"/>
                <w:sz w:val="17"/>
                <w:szCs w:val="17"/>
                <w:color w:val="auto"/>
                <w:w w:val="91"/>
              </w:rPr>
              <w:t>4.00%</w:t>
            </w:r>
          </w:p>
        </w:tc>
        <w:tc>
          <w:tcPr>
            <w:tcW w:w="100" w:type="dxa"/>
            <w:vAlign w:val="bottom"/>
            <w:shd w:val="clear" w:color="auto" w:fill="CCEEFF"/>
          </w:tcPr>
          <w:p>
            <w:pPr>
              <w:spacing w:after="0"/>
              <w:rPr>
                <w:sz w:val="19"/>
                <w:szCs w:val="19"/>
                <w:color w:val="auto"/>
              </w:rPr>
            </w:pPr>
          </w:p>
        </w:tc>
        <w:tc>
          <w:tcPr>
            <w:tcW w:w="2740" w:type="dxa"/>
            <w:vAlign w:val="bottom"/>
            <w:gridSpan w:val="4"/>
            <w:shd w:val="clear" w:color="auto" w:fill="CCEEFF"/>
          </w:tcPr>
          <w:p>
            <w:pPr>
              <w:jc w:val="center"/>
              <w:spacing w:after="0"/>
              <w:rPr>
                <w:sz w:val="20"/>
                <w:szCs w:val="20"/>
                <w:color w:val="auto"/>
              </w:rPr>
            </w:pPr>
            <w:r>
              <w:rPr>
                <w:rFonts w:ascii="Arial" w:cs="Arial" w:eastAsia="Arial" w:hAnsi="Arial"/>
                <w:sz w:val="17"/>
                <w:szCs w:val="17"/>
                <w:color w:val="auto"/>
                <w:w w:val="94"/>
              </w:rPr>
              <w:t>Not applicable</w:t>
            </w:r>
          </w:p>
        </w:tc>
      </w:tr>
      <w:tr>
        <w:trPr>
          <w:trHeight w:val="385"/>
        </w:trPr>
        <w:tc>
          <w:tcPr>
            <w:tcW w:w="7300" w:type="dxa"/>
            <w:vAlign w:val="bottom"/>
            <w:gridSpan w:val="4"/>
          </w:tcPr>
          <w:p>
            <w:pPr>
              <w:ind w:left="160"/>
              <w:spacing w:after="0"/>
              <w:rPr>
                <w:sz w:val="20"/>
                <w:szCs w:val="20"/>
                <w:color w:val="auto"/>
              </w:rPr>
            </w:pPr>
            <w:r>
              <w:rPr>
                <w:rFonts w:ascii="Arial" w:cs="Arial" w:eastAsia="Arial" w:hAnsi="Arial"/>
                <w:sz w:val="17"/>
                <w:szCs w:val="17"/>
                <w:b w:val="1"/>
                <w:bCs w:val="1"/>
                <w:i w:val="1"/>
                <w:iCs w:val="1"/>
                <w:color w:val="auto"/>
                <w:w w:val="91"/>
              </w:rPr>
              <w:t>Weighted-average assumptions used to determine net periodic benefit cost for the years ended:</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3"/>
        </w:trPr>
        <w:tc>
          <w:tcPr>
            <w:tcW w:w="56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ind w:left="440"/>
              <w:spacing w:after="0"/>
              <w:rPr>
                <w:sz w:val="20"/>
                <w:szCs w:val="20"/>
                <w:color w:val="auto"/>
              </w:rPr>
            </w:pPr>
            <w:r>
              <w:rPr>
                <w:rFonts w:ascii="Arial" w:cs="Arial" w:eastAsia="Arial" w:hAnsi="Arial"/>
                <w:sz w:val="14"/>
                <w:szCs w:val="14"/>
                <w:b w:val="1"/>
                <w:bCs w:val="1"/>
                <w:color w:val="auto"/>
                <w:w w:val="84"/>
              </w:rPr>
              <w:t>Pension</w:t>
            </w: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4"/>
        </w:trPr>
        <w:tc>
          <w:tcPr>
            <w:tcW w:w="5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r>
      <w:tr>
        <w:trPr>
          <w:trHeight w:val="179"/>
        </w:trPr>
        <w:tc>
          <w:tcPr>
            <w:tcW w:w="560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ind w:left="319"/>
              <w:spacing w:after="0"/>
              <w:rPr>
                <w:sz w:val="20"/>
                <w:szCs w:val="20"/>
                <w:color w:val="auto"/>
              </w:rPr>
            </w:pPr>
            <w:r>
              <w:rPr>
                <w:rFonts w:ascii="Arial" w:cs="Arial" w:eastAsia="Arial" w:hAnsi="Arial"/>
                <w:sz w:val="14"/>
                <w:szCs w:val="14"/>
                <w:b w:val="1"/>
                <w:bCs w:val="1"/>
                <w:color w:val="auto"/>
                <w:w w:val="89"/>
              </w:rPr>
              <w:t>2022</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r>
      <w:tr>
        <w:trPr>
          <w:trHeight w:val="219"/>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right="218"/>
              <w:spacing w:after="0"/>
              <w:rPr>
                <w:sz w:val="20"/>
                <w:szCs w:val="20"/>
                <w:color w:val="auto"/>
              </w:rPr>
            </w:pPr>
            <w:r>
              <w:rPr>
                <w:rFonts w:ascii="Arial" w:cs="Arial" w:eastAsia="Arial" w:hAnsi="Arial"/>
                <w:sz w:val="17"/>
                <w:szCs w:val="17"/>
                <w:b w:val="1"/>
                <w:bCs w:val="1"/>
                <w:color w:val="auto"/>
                <w:w w:val="99"/>
              </w:rPr>
              <w:t>5.03%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319"/>
              <w:spacing w:after="0"/>
              <w:rPr>
                <w:sz w:val="20"/>
                <w:szCs w:val="20"/>
                <w:color w:val="auto"/>
              </w:rPr>
            </w:pPr>
            <w:r>
              <w:rPr>
                <w:rFonts w:ascii="Arial" w:cs="Arial" w:eastAsia="Arial" w:hAnsi="Arial"/>
                <w:sz w:val="17"/>
                <w:szCs w:val="17"/>
                <w:color w:val="auto"/>
                <w:w w:val="91"/>
              </w:rPr>
              <w:t>3.13%</w:t>
            </w:r>
          </w:p>
        </w:tc>
        <w:tc>
          <w:tcPr>
            <w:tcW w:w="1820" w:type="dxa"/>
            <w:vAlign w:val="bottom"/>
            <w:gridSpan w:val="3"/>
            <w:shd w:val="clear" w:color="auto" w:fill="CCEEFF"/>
          </w:tcPr>
          <w:p>
            <w:pPr>
              <w:jc w:val="center"/>
              <w:ind w:left="417"/>
              <w:spacing w:after="0"/>
              <w:rPr>
                <w:sz w:val="20"/>
                <w:szCs w:val="20"/>
                <w:color w:val="auto"/>
              </w:rPr>
            </w:pPr>
            <w:r>
              <w:rPr>
                <w:rFonts w:ascii="Arial" w:cs="Arial" w:eastAsia="Arial" w:hAnsi="Arial"/>
                <w:sz w:val="17"/>
                <w:szCs w:val="17"/>
                <w:color w:val="auto"/>
                <w:w w:val="91"/>
              </w:rPr>
              <w:t>2.47%</w:t>
            </w:r>
          </w:p>
        </w:tc>
      </w:tr>
      <w:tr>
        <w:trPr>
          <w:trHeight w:val="219"/>
        </w:trPr>
        <w:tc>
          <w:tcPr>
            <w:tcW w:w="5600" w:type="dxa"/>
            <w:vAlign w:val="bottom"/>
          </w:tcPr>
          <w:p>
            <w:pPr>
              <w:ind w:left="20"/>
              <w:spacing w:after="0"/>
              <w:rPr>
                <w:sz w:val="20"/>
                <w:szCs w:val="20"/>
                <w:color w:val="auto"/>
              </w:rPr>
            </w:pPr>
            <w:r>
              <w:rPr>
                <w:rFonts w:ascii="Arial" w:cs="Arial" w:eastAsia="Arial" w:hAnsi="Arial"/>
                <w:sz w:val="17"/>
                <w:szCs w:val="17"/>
                <w:color w:val="auto"/>
              </w:rPr>
              <w:t>Expected return on plan assets</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center"/>
              <w:ind w:right="218"/>
              <w:spacing w:after="0"/>
              <w:rPr>
                <w:sz w:val="20"/>
                <w:szCs w:val="20"/>
                <w:color w:val="auto"/>
              </w:rPr>
            </w:pPr>
            <w:r>
              <w:rPr>
                <w:rFonts w:ascii="Arial" w:cs="Arial" w:eastAsia="Arial" w:hAnsi="Arial"/>
                <w:sz w:val="17"/>
                <w:szCs w:val="17"/>
                <w:b w:val="1"/>
                <w:bCs w:val="1"/>
                <w:color w:val="auto"/>
                <w:w w:val="99"/>
              </w:rPr>
              <w:t>6.40%</w:t>
            </w:r>
          </w:p>
        </w:tc>
        <w:tc>
          <w:tcPr>
            <w:tcW w:w="100" w:type="dxa"/>
            <w:vAlign w:val="bottom"/>
          </w:tcPr>
          <w:p>
            <w:pPr>
              <w:spacing w:after="0"/>
              <w:rPr>
                <w:sz w:val="19"/>
                <w:szCs w:val="19"/>
                <w:color w:val="auto"/>
              </w:rPr>
            </w:pPr>
          </w:p>
        </w:tc>
        <w:tc>
          <w:tcPr>
            <w:tcW w:w="920" w:type="dxa"/>
            <w:vAlign w:val="bottom"/>
          </w:tcPr>
          <w:p>
            <w:pPr>
              <w:jc w:val="center"/>
              <w:ind w:left="319"/>
              <w:spacing w:after="0"/>
              <w:rPr>
                <w:sz w:val="20"/>
                <w:szCs w:val="20"/>
                <w:color w:val="auto"/>
              </w:rPr>
            </w:pPr>
            <w:r>
              <w:rPr>
                <w:rFonts w:ascii="Arial" w:cs="Arial" w:eastAsia="Arial" w:hAnsi="Arial"/>
                <w:sz w:val="17"/>
                <w:szCs w:val="17"/>
                <w:color w:val="auto"/>
                <w:w w:val="91"/>
              </w:rPr>
              <w:t>5.82%</w:t>
            </w:r>
          </w:p>
        </w:tc>
        <w:tc>
          <w:tcPr>
            <w:tcW w:w="1820" w:type="dxa"/>
            <w:vAlign w:val="bottom"/>
            <w:gridSpan w:val="3"/>
          </w:tcPr>
          <w:p>
            <w:pPr>
              <w:jc w:val="center"/>
              <w:ind w:left="417"/>
              <w:spacing w:after="0"/>
              <w:rPr>
                <w:sz w:val="20"/>
                <w:szCs w:val="20"/>
                <w:color w:val="auto"/>
              </w:rPr>
            </w:pPr>
            <w:r>
              <w:rPr>
                <w:rFonts w:ascii="Arial" w:cs="Arial" w:eastAsia="Arial" w:hAnsi="Arial"/>
                <w:sz w:val="17"/>
                <w:szCs w:val="17"/>
                <w:color w:val="auto"/>
                <w:w w:val="91"/>
              </w:rPr>
              <w:t>6.01%</w:t>
            </w:r>
          </w:p>
        </w:tc>
      </w:tr>
      <w:tr>
        <w:trPr>
          <w:trHeight w:val="219"/>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Rate of compensation increase</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right="218"/>
              <w:spacing w:after="0"/>
              <w:rPr>
                <w:sz w:val="20"/>
                <w:szCs w:val="20"/>
                <w:color w:val="auto"/>
              </w:rPr>
            </w:pPr>
            <w:r>
              <w:rPr>
                <w:rFonts w:ascii="Arial" w:cs="Arial" w:eastAsia="Arial" w:hAnsi="Arial"/>
                <w:sz w:val="17"/>
                <w:szCs w:val="17"/>
                <w:b w:val="1"/>
                <w:bCs w:val="1"/>
                <w:color w:val="auto"/>
                <w:w w:val="99"/>
              </w:rPr>
              <w:t>3.23%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319"/>
              <w:spacing w:after="0"/>
              <w:rPr>
                <w:sz w:val="20"/>
                <w:szCs w:val="20"/>
                <w:color w:val="auto"/>
              </w:rPr>
            </w:pPr>
            <w:r>
              <w:rPr>
                <w:rFonts w:ascii="Arial" w:cs="Arial" w:eastAsia="Arial" w:hAnsi="Arial"/>
                <w:sz w:val="17"/>
                <w:szCs w:val="17"/>
                <w:color w:val="auto"/>
                <w:w w:val="91"/>
              </w:rPr>
              <w:t>3.23%</w:t>
            </w:r>
          </w:p>
        </w:tc>
        <w:tc>
          <w:tcPr>
            <w:tcW w:w="1820" w:type="dxa"/>
            <w:vAlign w:val="bottom"/>
            <w:gridSpan w:val="3"/>
            <w:shd w:val="clear" w:color="auto" w:fill="CCEEFF"/>
          </w:tcPr>
          <w:p>
            <w:pPr>
              <w:jc w:val="center"/>
              <w:ind w:left="417"/>
              <w:spacing w:after="0"/>
              <w:rPr>
                <w:sz w:val="20"/>
                <w:szCs w:val="20"/>
                <w:color w:val="auto"/>
              </w:rPr>
            </w:pPr>
            <w:r>
              <w:rPr>
                <w:rFonts w:ascii="Arial" w:cs="Arial" w:eastAsia="Arial" w:hAnsi="Arial"/>
                <w:sz w:val="17"/>
                <w:szCs w:val="17"/>
                <w:color w:val="auto"/>
                <w:w w:val="91"/>
              </w:rPr>
              <w:t>3.23%</w:t>
            </w:r>
          </w:p>
        </w:tc>
      </w:tr>
      <w:tr>
        <w:trPr>
          <w:trHeight w:val="223"/>
        </w:trPr>
        <w:tc>
          <w:tcPr>
            <w:tcW w:w="5600" w:type="dxa"/>
            <w:vAlign w:val="bottom"/>
          </w:tcPr>
          <w:p>
            <w:pPr>
              <w:ind w:left="20"/>
              <w:spacing w:after="0"/>
              <w:rPr>
                <w:sz w:val="20"/>
                <w:szCs w:val="20"/>
                <w:color w:val="auto"/>
              </w:rPr>
            </w:pPr>
            <w:r>
              <w:rPr>
                <w:rFonts w:ascii="Arial" w:cs="Arial" w:eastAsia="Arial" w:hAnsi="Arial"/>
                <w:sz w:val="17"/>
                <w:szCs w:val="17"/>
                <w:color w:val="auto"/>
              </w:rPr>
              <w:t>Interest crediting rate</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center"/>
              <w:ind w:right="218"/>
              <w:spacing w:after="0"/>
              <w:rPr>
                <w:sz w:val="20"/>
                <w:szCs w:val="20"/>
                <w:color w:val="auto"/>
              </w:rPr>
            </w:pPr>
            <w:r>
              <w:rPr>
                <w:rFonts w:ascii="Arial" w:cs="Arial" w:eastAsia="Arial" w:hAnsi="Arial"/>
                <w:sz w:val="17"/>
                <w:szCs w:val="17"/>
                <w:b w:val="1"/>
                <w:bCs w:val="1"/>
                <w:color w:val="auto"/>
                <w:w w:val="99"/>
              </w:rPr>
              <w:t>4.00%</w:t>
            </w:r>
          </w:p>
        </w:tc>
        <w:tc>
          <w:tcPr>
            <w:tcW w:w="100" w:type="dxa"/>
            <w:vAlign w:val="bottom"/>
          </w:tcPr>
          <w:p>
            <w:pPr>
              <w:spacing w:after="0"/>
              <w:rPr>
                <w:sz w:val="19"/>
                <w:szCs w:val="19"/>
                <w:color w:val="auto"/>
              </w:rPr>
            </w:pPr>
          </w:p>
        </w:tc>
        <w:tc>
          <w:tcPr>
            <w:tcW w:w="920" w:type="dxa"/>
            <w:vAlign w:val="bottom"/>
          </w:tcPr>
          <w:p>
            <w:pPr>
              <w:jc w:val="center"/>
              <w:ind w:left="319"/>
              <w:spacing w:after="0"/>
              <w:rPr>
                <w:sz w:val="20"/>
                <w:szCs w:val="20"/>
                <w:color w:val="auto"/>
              </w:rPr>
            </w:pPr>
            <w:r>
              <w:rPr>
                <w:rFonts w:ascii="Arial" w:cs="Arial" w:eastAsia="Arial" w:hAnsi="Arial"/>
                <w:sz w:val="17"/>
                <w:szCs w:val="17"/>
                <w:color w:val="auto"/>
                <w:w w:val="91"/>
              </w:rPr>
              <w:t>4.00%</w:t>
            </w:r>
          </w:p>
        </w:tc>
        <w:tc>
          <w:tcPr>
            <w:tcW w:w="1820" w:type="dxa"/>
            <w:vAlign w:val="bottom"/>
            <w:gridSpan w:val="3"/>
          </w:tcPr>
          <w:p>
            <w:pPr>
              <w:jc w:val="center"/>
              <w:ind w:left="417"/>
              <w:spacing w:after="0"/>
              <w:rPr>
                <w:sz w:val="20"/>
                <w:szCs w:val="20"/>
                <w:color w:val="auto"/>
              </w:rPr>
            </w:pPr>
            <w:r>
              <w:rPr>
                <w:rFonts w:ascii="Arial" w:cs="Arial" w:eastAsia="Arial" w:hAnsi="Arial"/>
                <w:sz w:val="17"/>
                <w:szCs w:val="17"/>
                <w:color w:val="auto"/>
                <w:w w:val="91"/>
              </w:rPr>
              <w:t>4.00%</w:t>
            </w:r>
          </w:p>
        </w:tc>
      </w:tr>
    </w:tbl>
    <w:p>
      <w:pPr>
        <w:spacing w:after="0" w:line="164"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The discount rate is established as of the measurement date. In establishing the discount rate, we review published market indices of high-quality debt securities, adjusted as appropriate for duration. In addition, independent actuaries apply high-quality bond yield curves to the expected benefit payments of the plans. The expected return on plan assets is a long-term assumption based upon historical experience and expected future performance, considering our current and projected investment mix. This estimate is based on an estimate of future inflation, long-term projected real returns for each asset class and a premium for active management.</w:t>
      </w:r>
    </w:p>
    <w:p>
      <w:pPr>
        <w:spacing w:after="0" w:line="5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discount rate used to determine net periodic postretirement expense was 4.48% in 2023, 2.37% in 2022, and 2.15% in 2021.</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Assumed health care cost trend rates at the end of the year:</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4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r>
      <w:tr>
        <w:trPr>
          <w:trHeight w:val="24"/>
        </w:trPr>
        <w:tc>
          <w:tcPr>
            <w:tcW w:w="84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2"/>
        </w:trPr>
        <w:tc>
          <w:tcPr>
            <w:tcW w:w="8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Health care cost trend rate assumed for next year</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9"/>
              </w:rPr>
              <w:t>6.50%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6.50%</w:t>
            </w:r>
          </w:p>
        </w:tc>
      </w:tr>
      <w:tr>
        <w:trPr>
          <w:trHeight w:val="219"/>
        </w:trPr>
        <w:tc>
          <w:tcPr>
            <w:tcW w:w="8420" w:type="dxa"/>
            <w:vAlign w:val="bottom"/>
          </w:tcPr>
          <w:p>
            <w:pPr>
              <w:ind w:left="20"/>
              <w:spacing w:after="0"/>
              <w:rPr>
                <w:sz w:val="20"/>
                <w:szCs w:val="20"/>
                <w:color w:val="auto"/>
              </w:rPr>
            </w:pPr>
            <w:r>
              <w:rPr>
                <w:rFonts w:ascii="Arial" w:cs="Arial" w:eastAsia="Arial" w:hAnsi="Arial"/>
                <w:sz w:val="17"/>
                <w:szCs w:val="17"/>
                <w:color w:val="auto"/>
              </w:rPr>
              <w:t>Rate to which the cost trend rate is assumed to decline (ultimate trend rate)</w:t>
            </w:r>
          </w:p>
        </w:tc>
        <w:tc>
          <w:tcPr>
            <w:tcW w:w="1320" w:type="dxa"/>
            <w:vAlign w:val="bottom"/>
          </w:tcPr>
          <w:p>
            <w:pPr>
              <w:jc w:val="center"/>
              <w:spacing w:after="0"/>
              <w:rPr>
                <w:sz w:val="20"/>
                <w:szCs w:val="20"/>
                <w:color w:val="auto"/>
              </w:rPr>
            </w:pPr>
            <w:r>
              <w:rPr>
                <w:rFonts w:ascii="Arial" w:cs="Arial" w:eastAsia="Arial" w:hAnsi="Arial"/>
                <w:sz w:val="17"/>
                <w:szCs w:val="17"/>
                <w:b w:val="1"/>
                <w:bCs w:val="1"/>
                <w:color w:val="auto"/>
                <w:w w:val="99"/>
              </w:rPr>
              <w:t>5.00%</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5.00%</w:t>
            </w:r>
          </w:p>
        </w:tc>
      </w:tr>
      <w:tr>
        <w:trPr>
          <w:trHeight w:val="219"/>
        </w:trPr>
        <w:tc>
          <w:tcPr>
            <w:tcW w:w="8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Year that the rate reaches the ultimate trend rate</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2030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2027</w:t>
            </w:r>
          </w:p>
        </w:tc>
      </w:tr>
    </w:tbl>
    <w:p>
      <w:pPr>
        <w:spacing w:after="0" w:line="15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Pension Plan Assets</w:t>
      </w:r>
    </w:p>
    <w:p>
      <w:pPr>
        <w:spacing w:after="0" w:line="101" w:lineRule="exact"/>
        <w:rPr>
          <w:sz w:val="20"/>
          <w:szCs w:val="20"/>
          <w:color w:val="auto"/>
        </w:rPr>
      </w:pPr>
    </w:p>
    <w:p>
      <w:pPr>
        <w:jc w:val="both"/>
        <w:ind w:firstLine="309"/>
        <w:spacing w:after="0" w:line="307" w:lineRule="auto"/>
        <w:rPr>
          <w:sz w:val="20"/>
          <w:szCs w:val="20"/>
          <w:color w:val="auto"/>
        </w:rPr>
      </w:pPr>
      <w:r>
        <w:rPr>
          <w:rFonts w:ascii="Arial" w:cs="Arial" w:eastAsia="Arial" w:hAnsi="Arial"/>
          <w:sz w:val="15"/>
          <w:szCs w:val="15"/>
          <w:color w:val="auto"/>
        </w:rPr>
        <w:t>The fundamental goal underlying the investment policy is to ensure that the assets of the plans are invested in a prudent manner to meet the obligations of the plans as these obligations come due. The primary investment objectives include providing a total return which will promote the goal of benefit security by attaining an appropriate ratio of plan assets to plan obligations, to provide for real asset growth while also tracking plan obligations, to diversify investments across and within asset classes, to reduce the impact of losses in single investments, and to follow investment practices that comply with applicable laws and regulations.</w:t>
      </w:r>
    </w:p>
    <w:p>
      <w:pPr>
        <w:spacing w:after="0" w:line="19"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primary policy objectives will be met by investing assets to achieve a reasonable tradeoff between return and risk relative to plan obligations. This includes investing a portion of the assets in funds selected in part to hedge the interest rate sensitivity to plan obligations.</w:t>
      </w:r>
    </w:p>
    <w:p>
      <w:pPr>
        <w:spacing w:after="0" w:line="4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portfolio includes investments in the following asset classes: fixed income, equity, real estate and alternatives. Fixed income will provide a moderate expected return and partially hedge the exposure to interest rate risk of the plans’ obligations. Equities are used for their high expected return. Additional asset classes are used to provide diversification.</w:t>
      </w:r>
    </w:p>
    <w:p>
      <w:pPr>
        <w:spacing w:after="0" w:line="58"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Asset allocation is monitored on an ongoing basis relative to the established asset class targets. The interaction between plan assets and benefit obligations is periodically studied to assist in the establishment of strategic asset allocation targets. The investment policy permits variances from the targets within certain parameters. Asset rebalancing occurs when the underlying asset class allocations move outside these parameters, at which time the asset allocation is rebalanced back to the policy target weight.</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116205</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50" w:name="page51"/>
    <w:bookmarkEnd w:id="50"/>
    <w:p>
      <w:pPr>
        <w:ind w:left="320"/>
        <w:spacing w:after="0"/>
        <w:rPr>
          <w:sz w:val="20"/>
          <w:szCs w:val="20"/>
          <w:color w:val="auto"/>
        </w:rPr>
      </w:pPr>
      <w:r>
        <w:rPr>
          <w:rFonts w:ascii="Arial" w:cs="Arial" w:eastAsia="Arial" w:hAnsi="Arial"/>
          <w:sz w:val="17"/>
          <w:szCs w:val="17"/>
          <w:color w:val="auto"/>
        </w:rPr>
        <w:t>Our year-end pension plan weighted-average asset allocations by category were: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060" w:type="dxa"/>
            <w:vAlign w:val="bottom"/>
          </w:tcPr>
          <w:p>
            <w:pPr>
              <w:spacing w:after="0"/>
              <w:rPr>
                <w:sz w:val="15"/>
                <w:szCs w:val="15"/>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Strategic Target</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3"/>
              </w:rPr>
              <w:t>2022</w:t>
            </w:r>
          </w:p>
        </w:tc>
      </w:tr>
      <w:tr>
        <w:trPr>
          <w:trHeight w:val="24"/>
        </w:trPr>
        <w:tc>
          <w:tcPr>
            <w:tcW w:w="70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2"/>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securities</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26%</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9"/>
              </w:rPr>
              <w:t>27%</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34%</w:t>
            </w:r>
          </w:p>
        </w:tc>
      </w:tr>
      <w:tr>
        <w:trPr>
          <w:trHeight w:val="219"/>
        </w:trPr>
        <w:tc>
          <w:tcPr>
            <w:tcW w:w="7060" w:type="dxa"/>
            <w:vAlign w:val="bottom"/>
          </w:tcPr>
          <w:p>
            <w:pPr>
              <w:ind w:left="20"/>
              <w:spacing w:after="0"/>
              <w:rPr>
                <w:sz w:val="20"/>
                <w:szCs w:val="20"/>
                <w:color w:val="auto"/>
              </w:rPr>
            </w:pPr>
            <w:r>
              <w:rPr>
                <w:rFonts w:ascii="Arial" w:cs="Arial" w:eastAsia="Arial" w:hAnsi="Arial"/>
                <w:sz w:val="17"/>
                <w:szCs w:val="17"/>
                <w:color w:val="auto"/>
              </w:rPr>
              <w:t>Debt securities</w:t>
            </w:r>
          </w:p>
        </w:tc>
        <w:tc>
          <w:tcPr>
            <w:tcW w:w="1320" w:type="dxa"/>
            <w:vAlign w:val="bottom"/>
          </w:tcPr>
          <w:p>
            <w:pPr>
              <w:jc w:val="center"/>
              <w:spacing w:after="0"/>
              <w:rPr>
                <w:sz w:val="20"/>
                <w:szCs w:val="20"/>
                <w:color w:val="auto"/>
              </w:rPr>
            </w:pPr>
            <w:r>
              <w:rPr>
                <w:rFonts w:ascii="Arial" w:cs="Arial" w:eastAsia="Arial" w:hAnsi="Arial"/>
                <w:sz w:val="17"/>
                <w:szCs w:val="17"/>
                <w:color w:val="auto"/>
                <w:w w:val="93"/>
              </w:rPr>
              <w:t>68%</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99"/>
              </w:rPr>
              <w:t>66%</w:t>
            </w:r>
          </w:p>
        </w:tc>
        <w:tc>
          <w:tcPr>
            <w:tcW w:w="12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7"/>
                <w:szCs w:val="17"/>
                <w:color w:val="auto"/>
                <w:w w:val="88"/>
              </w:rPr>
              <w:t>59%</w:t>
            </w:r>
          </w:p>
        </w:tc>
      </w:tr>
      <w:tr>
        <w:trPr>
          <w:trHeight w:val="219"/>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 estate and other</w:t>
            </w:r>
          </w:p>
        </w:tc>
        <w:tc>
          <w:tcPr>
            <w:tcW w:w="1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7"/>
              </w:rPr>
              <w:t>6%</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rPr>
              <w:t>7%</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7%</w:t>
            </w:r>
          </w:p>
        </w:tc>
      </w:tr>
      <w:tr>
        <w:trPr>
          <w:trHeight w:val="212"/>
        </w:trPr>
        <w:tc>
          <w:tcPr>
            <w:tcW w:w="7060" w:type="dxa"/>
            <w:vAlign w:val="bottom"/>
          </w:tcPr>
          <w:p>
            <w:pPr>
              <w:ind w:left="2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100%</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100%</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100%</w:t>
            </w:r>
          </w:p>
        </w:tc>
      </w:tr>
      <w:tr>
        <w:trPr>
          <w:trHeight w:val="20"/>
        </w:trPr>
        <w:tc>
          <w:tcPr>
            <w:tcW w:w="70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Pension plan assets are categorized based on the following fair value hierarchy:</w:t>
      </w:r>
    </w:p>
    <w:p>
      <w:pPr>
        <w:spacing w:after="0" w:line="88" w:lineRule="exact"/>
        <w:rPr>
          <w:sz w:val="20"/>
          <w:szCs w:val="20"/>
          <w:color w:val="auto"/>
        </w:rPr>
      </w:pPr>
    </w:p>
    <w:p>
      <w:pPr>
        <w:ind w:left="620" w:hanging="308"/>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Level 1: Observable inputs that reflect quoted prices (unadjusted) for identical assets or liabilities in active markets.</w:t>
      </w:r>
    </w:p>
    <w:p>
      <w:pPr>
        <w:spacing w:after="0" w:line="100"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40"/>
        </w:numPr>
        <w:rPr>
          <w:rFonts w:ascii="Arial" w:cs="Arial" w:eastAsia="Arial" w:hAnsi="Arial"/>
          <w:sz w:val="17"/>
          <w:szCs w:val="17"/>
          <w:color w:val="auto"/>
        </w:rPr>
      </w:pPr>
      <w:r>
        <w:rPr>
          <w:rFonts w:ascii="Arial" w:cs="Arial" w:eastAsia="Arial" w:hAnsi="Arial"/>
          <w:sz w:val="17"/>
          <w:szCs w:val="17"/>
          <w:color w:val="auto"/>
        </w:rPr>
        <w:t>Level 2: Inputs other than quoted prices included in Level 1 that are observable for the asset or liability through corroboration with observable market data.</w:t>
      </w:r>
    </w:p>
    <w:p>
      <w:pPr>
        <w:spacing w:after="0" w:line="47" w:lineRule="exact"/>
        <w:rPr>
          <w:rFonts w:ascii="Arial" w:cs="Arial" w:eastAsia="Arial" w:hAnsi="Arial"/>
          <w:sz w:val="17"/>
          <w:szCs w:val="17"/>
          <w:color w:val="auto"/>
        </w:rPr>
      </w:pPr>
    </w:p>
    <w:p>
      <w:pPr>
        <w:ind w:left="320" w:right="120" w:hanging="8"/>
        <w:spacing w:after="0" w:line="374" w:lineRule="auto"/>
        <w:tabs>
          <w:tab w:leader="none" w:pos="625" w:val="left"/>
        </w:tabs>
        <w:numPr>
          <w:ilvl w:val="0"/>
          <w:numId w:val="40"/>
        </w:numPr>
        <w:rPr>
          <w:rFonts w:ascii="Arial" w:cs="Arial" w:eastAsia="Arial" w:hAnsi="Arial"/>
          <w:sz w:val="17"/>
          <w:szCs w:val="17"/>
          <w:color w:val="auto"/>
        </w:rPr>
      </w:pPr>
      <w:r>
        <w:rPr>
          <w:rFonts w:ascii="Arial" w:cs="Arial" w:eastAsia="Arial" w:hAnsi="Arial"/>
          <w:sz w:val="17"/>
          <w:szCs w:val="17"/>
          <w:color w:val="auto"/>
        </w:rPr>
        <w:t>Level 3: Unobservable inputs, which are valued based on our estimates of assumptions that market participants would use in pricing the asset or liability. The following table presents our pension plan assets by asset category at July 30, 2023, and July 31, 2022:</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20" w:type="dxa"/>
            <w:vAlign w:val="bottom"/>
            <w:gridSpan w:val="9"/>
          </w:tcPr>
          <w:p>
            <w:pPr>
              <w:jc w:val="center"/>
              <w:ind w:right="260"/>
              <w:spacing w:after="0"/>
              <w:rPr>
                <w:sz w:val="20"/>
                <w:szCs w:val="20"/>
                <w:color w:val="auto"/>
              </w:rPr>
            </w:pPr>
            <w:r>
              <w:rPr>
                <w:rFonts w:ascii="Arial" w:cs="Arial" w:eastAsia="Arial" w:hAnsi="Arial"/>
                <w:sz w:val="14"/>
                <w:szCs w:val="14"/>
                <w:b w:val="1"/>
                <w:bCs w:val="1"/>
                <w:color w:val="auto"/>
                <w:w w:val="89"/>
              </w:rPr>
              <w:t>Fair Value Measurements at</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60" w:type="dxa"/>
            <w:vAlign w:val="bottom"/>
            <w:gridSpan w:val="8"/>
          </w:tcPr>
          <w:p>
            <w:pPr>
              <w:jc w:val="center"/>
              <w:ind w:right="75"/>
              <w:spacing w:after="0"/>
              <w:rPr>
                <w:sz w:val="20"/>
                <w:szCs w:val="20"/>
                <w:color w:val="auto"/>
              </w:rPr>
            </w:pPr>
            <w:r>
              <w:rPr>
                <w:rFonts w:ascii="Arial" w:cs="Arial" w:eastAsia="Arial" w:hAnsi="Arial"/>
                <w:sz w:val="14"/>
                <w:szCs w:val="14"/>
                <w:b w:val="1"/>
                <w:bCs w:val="1"/>
                <w:color w:val="auto"/>
                <w:w w:val="89"/>
              </w:rPr>
              <w:t>Fair Value Measurements at</w:t>
            </w:r>
          </w:p>
        </w:tc>
        <w:tc>
          <w:tcPr>
            <w:tcW w:w="0" w:type="dxa"/>
            <w:vAlign w:val="bottom"/>
          </w:tcPr>
          <w:p>
            <w:pPr>
              <w:spacing w:after="0"/>
              <w:rPr>
                <w:sz w:val="1"/>
                <w:szCs w:val="1"/>
                <w:color w:val="auto"/>
              </w:rPr>
            </w:pPr>
          </w:p>
        </w:tc>
      </w:tr>
      <w:tr>
        <w:trPr>
          <w:trHeight w:val="138"/>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80" w:type="dxa"/>
            <w:vAlign w:val="bottom"/>
            <w:gridSpan w:val="6"/>
          </w:tcPr>
          <w:p>
            <w:pPr>
              <w:jc w:val="center"/>
              <w:ind w:right="14"/>
              <w:spacing w:after="0" w:line="139" w:lineRule="exact"/>
              <w:rPr>
                <w:sz w:val="20"/>
                <w:szCs w:val="20"/>
                <w:color w:val="auto"/>
              </w:rPr>
            </w:pPr>
            <w:r>
              <w:rPr>
                <w:rFonts w:ascii="Arial" w:cs="Arial" w:eastAsia="Arial" w:hAnsi="Arial"/>
                <w:sz w:val="14"/>
                <w:szCs w:val="14"/>
                <w:b w:val="1"/>
                <w:bCs w:val="1"/>
                <w:color w:val="auto"/>
                <w:w w:val="88"/>
              </w:rPr>
              <w:t>July 30, 2023 Using</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2"/>
              </w:rPr>
              <w:t>Fair Value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00" w:type="dxa"/>
            <w:vAlign w:val="bottom"/>
            <w:gridSpan w:val="6"/>
          </w:tcPr>
          <w:p>
            <w:pPr>
              <w:jc w:val="center"/>
              <w:ind w:right="34"/>
              <w:spacing w:after="0" w:line="139" w:lineRule="exact"/>
              <w:rPr>
                <w:sz w:val="20"/>
                <w:szCs w:val="20"/>
                <w:color w:val="auto"/>
              </w:rPr>
            </w:pPr>
            <w:r>
              <w:rPr>
                <w:rFonts w:ascii="Arial" w:cs="Arial" w:eastAsia="Arial" w:hAnsi="Arial"/>
                <w:sz w:val="14"/>
                <w:szCs w:val="14"/>
                <w:b w:val="1"/>
                <w:bCs w:val="1"/>
                <w:color w:val="auto"/>
                <w:w w:val="88"/>
              </w:rPr>
              <w:t>July 31, 2022 Using</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920" w:type="dxa"/>
            <w:vAlign w:val="bottom"/>
            <w:gridSpan w:val="7"/>
            <w:vMerge w:val="restart"/>
          </w:tcPr>
          <w:p>
            <w:pPr>
              <w:jc w:val="center"/>
              <w:ind w:left="457"/>
              <w:spacing w:after="0"/>
              <w:rPr>
                <w:sz w:val="20"/>
                <w:szCs w:val="20"/>
                <w:color w:val="auto"/>
              </w:rPr>
            </w:pPr>
            <w:r>
              <w:rPr>
                <w:rFonts w:ascii="Arial" w:cs="Arial" w:eastAsia="Arial" w:hAnsi="Arial"/>
                <w:sz w:val="14"/>
                <w:szCs w:val="14"/>
                <w:b w:val="1"/>
                <w:bCs w:val="1"/>
                <w:color w:val="auto"/>
                <w:w w:val="93"/>
              </w:rPr>
              <w:t>Fair Value Hierarchy</w:t>
            </w: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60" w:type="dxa"/>
            <w:vAlign w:val="bottom"/>
            <w:gridSpan w:val="7"/>
            <w:vMerge w:val="restart"/>
          </w:tcPr>
          <w:p>
            <w:pPr>
              <w:jc w:val="center"/>
              <w:ind w:left="457"/>
              <w:spacing w:after="0"/>
              <w:rPr>
                <w:sz w:val="20"/>
                <w:szCs w:val="20"/>
                <w:color w:val="auto"/>
              </w:rPr>
            </w:pPr>
            <w:r>
              <w:rPr>
                <w:rFonts w:ascii="Arial" w:cs="Arial" w:eastAsia="Arial" w:hAnsi="Arial"/>
                <w:sz w:val="14"/>
                <w:szCs w:val="14"/>
                <w:b w:val="1"/>
                <w:bCs w:val="1"/>
                <w:color w:val="auto"/>
                <w:w w:val="93"/>
              </w:rPr>
              <w:t>Fair Value Hierarchy</w:t>
            </w: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3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36"/>
              <w:spacing w:after="0" w:line="118" w:lineRule="exact"/>
              <w:rPr>
                <w:sz w:val="20"/>
                <w:szCs w:val="20"/>
                <w:color w:val="auto"/>
              </w:rPr>
            </w:pPr>
            <w:r>
              <w:rPr>
                <w:rFonts w:ascii="Arial" w:cs="Arial" w:eastAsia="Arial" w:hAnsi="Arial"/>
                <w:sz w:val="13"/>
                <w:szCs w:val="13"/>
                <w:b w:val="1"/>
                <w:bCs w:val="1"/>
                <w:color w:val="auto"/>
                <w:w w:val="85"/>
              </w:rPr>
              <w:t>as of</w:t>
            </w:r>
          </w:p>
        </w:tc>
        <w:tc>
          <w:tcPr>
            <w:tcW w:w="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gridSpan w:val="7"/>
            <w:vMerge w:val="continue"/>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16"/>
              <w:spacing w:after="0" w:line="118" w:lineRule="exact"/>
              <w:rPr>
                <w:sz w:val="20"/>
                <w:szCs w:val="20"/>
                <w:color w:val="auto"/>
              </w:rPr>
            </w:pPr>
            <w:r>
              <w:rPr>
                <w:rFonts w:ascii="Arial" w:cs="Arial" w:eastAsia="Arial" w:hAnsi="Arial"/>
                <w:sz w:val="13"/>
                <w:szCs w:val="13"/>
                <w:b w:val="1"/>
                <w:bCs w:val="1"/>
                <w:color w:val="auto"/>
                <w:w w:val="92"/>
              </w:rPr>
              <w:t>as of</w:t>
            </w:r>
          </w:p>
        </w:tc>
        <w:tc>
          <w:tcPr>
            <w:tcW w:w="1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gridSpan w:val="7"/>
            <w:vMerge w:val="continue"/>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(Millions)</w:t>
            </w: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July 30, 2023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Level 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8"/>
              </w:rPr>
              <w:t>Level 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Level 3</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July 31, 2022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Level 1</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8"/>
              </w:rPr>
              <w:t>Level 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Level 3</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Short-term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3580" w:type="dxa"/>
            <w:vAlign w:val="bottom"/>
          </w:tcPr>
          <w:p>
            <w:pPr>
              <w:ind w:left="140"/>
              <w:spacing w:after="0"/>
              <w:rPr>
                <w:sz w:val="20"/>
                <w:szCs w:val="20"/>
                <w:color w:val="auto"/>
              </w:rPr>
            </w:pPr>
            <w:r>
              <w:rPr>
                <w:rFonts w:ascii="Arial" w:cs="Arial" w:eastAsia="Arial" w:hAnsi="Arial"/>
                <w:sz w:val="17"/>
                <w:szCs w:val="17"/>
                <w:color w:val="auto"/>
              </w:rPr>
              <w:t>Equities: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U.S.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3580" w:type="dxa"/>
            <w:vAlign w:val="bottom"/>
          </w:tcPr>
          <w:p>
            <w:pPr>
              <w:ind w:left="300"/>
              <w:spacing w:after="0"/>
              <w:rPr>
                <w:sz w:val="20"/>
                <w:szCs w:val="20"/>
                <w:color w:val="auto"/>
              </w:rPr>
            </w:pPr>
            <w:r>
              <w:rPr>
                <w:rFonts w:ascii="Arial" w:cs="Arial" w:eastAsia="Arial" w:hAnsi="Arial"/>
                <w:sz w:val="17"/>
                <w:szCs w:val="17"/>
                <w:color w:val="auto"/>
              </w:rPr>
              <w:t>Non-U.S.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116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115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162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Corporate bonds: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80" w:type="dxa"/>
            <w:vAlign w:val="bottom"/>
          </w:tcPr>
          <w:p>
            <w:pPr>
              <w:ind w:left="300"/>
              <w:spacing w:after="0"/>
              <w:rPr>
                <w:sz w:val="20"/>
                <w:szCs w:val="20"/>
                <w:color w:val="auto"/>
              </w:rPr>
            </w:pPr>
            <w:r>
              <w:rPr>
                <w:rFonts w:ascii="Arial" w:cs="Arial" w:eastAsia="Arial" w:hAnsi="Arial"/>
                <w:sz w:val="17"/>
                <w:szCs w:val="17"/>
                <w:color w:val="auto"/>
              </w:rPr>
              <w:t>U.S.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448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448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Non-U.S.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3580" w:type="dxa"/>
            <w:vAlign w:val="bottom"/>
          </w:tcPr>
          <w:p>
            <w:pPr>
              <w:ind w:left="140"/>
              <w:spacing w:after="0"/>
              <w:rPr>
                <w:sz w:val="20"/>
                <w:szCs w:val="20"/>
                <w:color w:val="auto"/>
              </w:rPr>
            </w:pPr>
            <w:r>
              <w:rPr>
                <w:rFonts w:ascii="Arial" w:cs="Arial" w:eastAsia="Arial" w:hAnsi="Arial"/>
                <w:sz w:val="17"/>
                <w:szCs w:val="17"/>
                <w:color w:val="auto"/>
              </w:rPr>
              <w:t>Government and agency bonds: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U.S.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3580" w:type="dxa"/>
            <w:vAlign w:val="bottom"/>
          </w:tcPr>
          <w:p>
            <w:pPr>
              <w:ind w:left="300"/>
              <w:spacing w:after="0"/>
              <w:rPr>
                <w:sz w:val="20"/>
                <w:szCs w:val="20"/>
                <w:color w:val="auto"/>
              </w:rPr>
            </w:pPr>
            <w:r>
              <w:rPr>
                <w:rFonts w:ascii="Arial" w:cs="Arial" w:eastAsia="Arial" w:hAnsi="Arial"/>
                <w:sz w:val="17"/>
                <w:szCs w:val="17"/>
                <w:color w:val="auto"/>
              </w:rPr>
              <w:t>Non-U.S.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Municipal bonds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3580" w:type="dxa"/>
            <w:vAlign w:val="bottom"/>
          </w:tcPr>
          <w:p>
            <w:pPr>
              <w:ind w:left="140"/>
              <w:spacing w:after="0"/>
              <w:rPr>
                <w:sz w:val="20"/>
                <w:szCs w:val="20"/>
                <w:color w:val="auto"/>
              </w:rPr>
            </w:pPr>
            <w:r>
              <w:rPr>
                <w:rFonts w:ascii="Arial" w:cs="Arial" w:eastAsia="Arial" w:hAnsi="Arial"/>
                <w:sz w:val="17"/>
                <w:szCs w:val="17"/>
                <w:color w:val="auto"/>
              </w:rPr>
              <w:t>Mortgage and asset backed securities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Real estate</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9"/>
        </w:trPr>
        <w:tc>
          <w:tcPr>
            <w:tcW w:w="3580" w:type="dxa"/>
            <w:vAlign w:val="bottom"/>
          </w:tcPr>
          <w:p>
            <w:pPr>
              <w:ind w:left="140"/>
              <w:spacing w:after="0"/>
              <w:rPr>
                <w:sz w:val="20"/>
                <w:szCs w:val="20"/>
                <w:color w:val="auto"/>
              </w:rPr>
            </w:pPr>
            <w:r>
              <w:rPr>
                <w:rFonts w:ascii="Arial" w:cs="Arial" w:eastAsia="Arial" w:hAnsi="Arial"/>
                <w:sz w:val="17"/>
                <w:szCs w:val="17"/>
                <w:color w:val="auto"/>
              </w:rPr>
              <w:t>Hedge funds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Derivative assets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35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Derivative liabilities</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2"/>
        </w:trPr>
        <w:tc>
          <w:tcPr>
            <w:tcW w:w="3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assets at fair value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953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774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7"/>
                <w:szCs w:val="17"/>
                <w:color w:val="auto"/>
              </w:rPr>
              <w:t>Investments measured at net asset value:</w:t>
            </w: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5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Short-term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80" w:type="dxa"/>
            <w:vAlign w:val="bottom"/>
          </w:tcPr>
          <w:p>
            <w:pPr>
              <w:ind w:left="260"/>
              <w:spacing w:after="0"/>
              <w:rPr>
                <w:sz w:val="20"/>
                <w:szCs w:val="20"/>
                <w:color w:val="auto"/>
              </w:rPr>
            </w:pPr>
            <w:r>
              <w:rPr>
                <w:rFonts w:ascii="Arial" w:cs="Arial" w:eastAsia="Arial" w:hAnsi="Arial"/>
                <w:sz w:val="17"/>
                <w:szCs w:val="17"/>
                <w:color w:val="auto"/>
              </w:rPr>
              <w:t>Commingled equity funds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158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Commingled fixed income funds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80" w:type="dxa"/>
            <w:vAlign w:val="bottom"/>
          </w:tcPr>
          <w:p>
            <w:pPr>
              <w:ind w:left="260"/>
              <w:spacing w:after="0"/>
              <w:rPr>
                <w:sz w:val="20"/>
                <w:szCs w:val="20"/>
                <w:color w:val="auto"/>
              </w:rPr>
            </w:pPr>
            <w:r>
              <w:rPr>
                <w:rFonts w:ascii="Arial" w:cs="Arial" w:eastAsia="Arial" w:hAnsi="Arial"/>
                <w:sz w:val="17"/>
                <w:szCs w:val="17"/>
                <w:color w:val="auto"/>
              </w:rPr>
              <w:t>Real estate</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Hedge funds</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5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w w:val="95"/>
              </w:rPr>
              <w:t>Total investments measured at net asset value: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381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items to reconcile to fair value</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80" w:type="dxa"/>
            <w:vAlign w:val="bottom"/>
          </w:tcPr>
          <w:p>
            <w:pPr>
              <w:ind w:left="140"/>
              <w:spacing w:after="0"/>
              <w:rPr>
                <w:sz w:val="20"/>
                <w:szCs w:val="20"/>
                <w:color w:val="auto"/>
              </w:rPr>
            </w:pPr>
            <w:r>
              <w:rPr>
                <w:rFonts w:ascii="Arial" w:cs="Arial" w:eastAsia="Arial" w:hAnsi="Arial"/>
                <w:sz w:val="17"/>
                <w:szCs w:val="17"/>
                <w:color w:val="auto"/>
              </w:rPr>
              <w:t>Total pension plan assets at fair value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i w:val="1"/>
          <w:iCs w:val="1"/>
          <w:color w:val="auto"/>
        </w:rPr>
        <w:t xml:space="preserve">Short-term investments — </w:t>
      </w:r>
      <w:r>
        <w:rPr>
          <w:rFonts w:ascii="Arial" w:cs="Arial" w:eastAsia="Arial" w:hAnsi="Arial"/>
          <w:sz w:val="17"/>
          <w:szCs w:val="17"/>
          <w:color w:val="auto"/>
        </w:rPr>
        <w:t>Investments include cash and cash equivalents, and various short-term debt instruments and short-term investment funds.</w:t>
      </w:r>
      <w:r>
        <w:rPr>
          <w:rFonts w:ascii="Arial" w:cs="Arial" w:eastAsia="Arial" w:hAnsi="Arial"/>
          <w:sz w:val="17"/>
          <w:szCs w:val="17"/>
          <w:i w:val="1"/>
          <w:iCs w:val="1"/>
          <w:color w:val="auto"/>
        </w:rPr>
        <w:t xml:space="preserve"> </w:t>
      </w:r>
      <w:r>
        <w:rPr>
          <w:rFonts w:ascii="Arial" w:cs="Arial" w:eastAsia="Arial" w:hAnsi="Arial"/>
          <w:sz w:val="17"/>
          <w:szCs w:val="17"/>
          <w:color w:val="auto"/>
        </w:rPr>
        <w:t>Institutional short-term investment vehicles valued daily are classified as Level 1 at cost which</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124460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51" w:name="page52"/>
    <w:bookmarkEnd w:id="51"/>
    <w:p>
      <w:pPr>
        <w:spacing w:after="0" w:line="279" w:lineRule="auto"/>
        <w:rPr>
          <w:sz w:val="20"/>
          <w:szCs w:val="20"/>
          <w:color w:val="auto"/>
        </w:rPr>
      </w:pPr>
      <w:r>
        <w:rPr>
          <w:rFonts w:ascii="Arial" w:cs="Arial" w:eastAsia="Arial" w:hAnsi="Arial"/>
          <w:sz w:val="17"/>
          <w:szCs w:val="17"/>
          <w:color w:val="auto"/>
        </w:rPr>
        <w:t>approximates market value. Short-term debt instruments are classified at Level 2 and are valued based on bid quotations and recent trade data for identical or similar obligations. Other investments valued based upon net asset value are included as a reconciling item to the fair value table.</w:t>
      </w:r>
    </w:p>
    <w:p>
      <w:pPr>
        <w:spacing w:after="0" w:line="35"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Equities — </w:t>
      </w:r>
      <w:r>
        <w:rPr>
          <w:rFonts w:ascii="Arial" w:cs="Arial" w:eastAsia="Arial" w:hAnsi="Arial"/>
          <w:sz w:val="17"/>
          <w:szCs w:val="17"/>
          <w:color w:val="auto"/>
        </w:rPr>
        <w:t>Generally common stocks and preferred stocks are classified as Level 1 and are valued using quoted market prices in active markets.</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Corporate bonds — </w:t>
      </w:r>
      <w:r>
        <w:rPr>
          <w:rFonts w:ascii="Arial" w:cs="Arial" w:eastAsia="Arial" w:hAnsi="Arial"/>
          <w:sz w:val="17"/>
          <w:szCs w:val="17"/>
          <w:color w:val="auto"/>
        </w:rPr>
        <w:t>These investments are valued based on quoted market prices, yield curves and pricing models using current market rates.</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5"/>
          <w:szCs w:val="15"/>
          <w:i w:val="1"/>
          <w:iCs w:val="1"/>
          <w:color w:val="auto"/>
        </w:rPr>
        <w:t xml:space="preserve">Government and agency bonds — </w:t>
      </w:r>
      <w:r>
        <w:rPr>
          <w:rFonts w:ascii="Arial" w:cs="Arial" w:eastAsia="Arial" w:hAnsi="Arial"/>
          <w:sz w:val="15"/>
          <w:szCs w:val="15"/>
          <w:color w:val="auto"/>
        </w:rPr>
        <w:t>These investments are generally valued based on bid quotations and recent trade data for identical or similar obligations.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Municipal bonds — </w:t>
      </w:r>
      <w:r>
        <w:rPr>
          <w:rFonts w:ascii="Arial" w:cs="Arial" w:eastAsia="Arial" w:hAnsi="Arial"/>
          <w:sz w:val="17"/>
          <w:szCs w:val="17"/>
          <w:color w:val="auto"/>
        </w:rPr>
        <w:t>These investments are valued based on quoted market prices, yield curves and pricing models using current market rates.</w:t>
      </w:r>
    </w:p>
    <w:p>
      <w:pPr>
        <w:spacing w:after="0" w:line="101"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i w:val="1"/>
          <w:iCs w:val="1"/>
          <w:color w:val="auto"/>
        </w:rPr>
        <w:t xml:space="preserve">Mortgage and asset backed securities — </w:t>
      </w:r>
      <w:r>
        <w:rPr>
          <w:rFonts w:ascii="Arial" w:cs="Arial" w:eastAsia="Arial" w:hAnsi="Arial"/>
          <w:sz w:val="16"/>
          <w:szCs w:val="16"/>
          <w:color w:val="auto"/>
        </w:rPr>
        <w:t>These investments are valued based on prices obtained from third party pricing sources. The prices from third party</w:t>
      </w:r>
      <w:r>
        <w:rPr>
          <w:rFonts w:ascii="Arial" w:cs="Arial" w:eastAsia="Arial" w:hAnsi="Arial"/>
          <w:sz w:val="16"/>
          <w:szCs w:val="16"/>
          <w:i w:val="1"/>
          <w:iCs w:val="1"/>
          <w:color w:val="auto"/>
        </w:rPr>
        <w:t xml:space="preserve"> </w:t>
      </w:r>
      <w:r>
        <w:rPr>
          <w:rFonts w:ascii="Arial" w:cs="Arial" w:eastAsia="Arial" w:hAnsi="Arial"/>
          <w:sz w:val="16"/>
          <w:szCs w:val="16"/>
          <w:color w:val="auto"/>
        </w:rPr>
        <w:t>pricing sources may be based on bid quotes from dealers and recent trade data. Mortgage backed securities are traded in the over-the-counter market.</w:t>
      </w:r>
    </w:p>
    <w:p>
      <w:pPr>
        <w:spacing w:after="0" w:line="25" w:lineRule="exact"/>
        <w:rPr>
          <w:sz w:val="20"/>
          <w:szCs w:val="20"/>
          <w:color w:val="auto"/>
        </w:rPr>
      </w:pPr>
    </w:p>
    <w:p>
      <w:pPr>
        <w:jc w:val="both"/>
        <w:ind w:firstLine="309"/>
        <w:spacing w:after="0" w:line="297" w:lineRule="auto"/>
        <w:rPr>
          <w:sz w:val="20"/>
          <w:szCs w:val="20"/>
          <w:color w:val="auto"/>
        </w:rPr>
      </w:pPr>
      <w:r>
        <w:rPr>
          <w:rFonts w:ascii="Arial" w:cs="Arial" w:eastAsia="Arial" w:hAnsi="Arial"/>
          <w:sz w:val="15"/>
          <w:szCs w:val="15"/>
          <w:i w:val="1"/>
          <w:iCs w:val="1"/>
          <w:color w:val="auto"/>
        </w:rPr>
        <w:t xml:space="preserve">Real estate — </w:t>
      </w:r>
      <w:r>
        <w:rPr>
          <w:rFonts w:ascii="Arial" w:cs="Arial" w:eastAsia="Arial" w:hAnsi="Arial"/>
          <w:sz w:val="15"/>
          <w:szCs w:val="15"/>
          <w:color w:val="auto"/>
        </w:rPr>
        <w:t>Real estate investments consist of real estate investment trusts, property funds and limited partnerships. Real estate investment trusts are</w:t>
      </w:r>
      <w:r>
        <w:rPr>
          <w:rFonts w:ascii="Arial" w:cs="Arial" w:eastAsia="Arial" w:hAnsi="Arial"/>
          <w:sz w:val="15"/>
          <w:szCs w:val="15"/>
          <w:i w:val="1"/>
          <w:iCs w:val="1"/>
          <w:color w:val="auto"/>
        </w:rPr>
        <w:t xml:space="preserve"> </w:t>
      </w:r>
      <w:r>
        <w:rPr>
          <w:rFonts w:ascii="Arial" w:cs="Arial" w:eastAsia="Arial" w:hAnsi="Arial"/>
          <w:sz w:val="15"/>
          <w:szCs w:val="15"/>
          <w:color w:val="auto"/>
        </w:rPr>
        <w:t>classified as Level 1 and are valued based on quoted market prices. Property funds are classified as either Level 2 or Level 3 depending upon whether liquidity is limited or there are few observable market participant transactions. Property funds are valued based on third party appraisals. Limited partnerships are valued based upon valuations provided by the general partners of the funds. The values of limited partnerships are based upon an assessment of each underlying investment, incorporating valuations that consider the evaluation of financing and sales transactions with third parties, expected cash flows and market-based information, including comparable transactions and performance multiples among other factors. The investments are classified as Level 3 since the valuation is determined using unobservable inputs. Real estate investments valued at net asset value are included as a reconciling item to the fair value table.</w:t>
      </w:r>
    </w:p>
    <w:p>
      <w:pPr>
        <w:spacing w:after="0" w:line="2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i w:val="1"/>
          <w:iCs w:val="1"/>
          <w:color w:val="auto"/>
        </w:rPr>
        <w:t xml:space="preserve">Hedge funds — </w:t>
      </w:r>
      <w:r>
        <w:rPr>
          <w:rFonts w:ascii="Arial" w:cs="Arial" w:eastAsia="Arial" w:hAnsi="Arial"/>
          <w:sz w:val="17"/>
          <w:szCs w:val="17"/>
          <w:color w:val="auto"/>
        </w:rPr>
        <w:t>Hedge fund investments include hedge funds valued based upon a net asset value derived from the fair value of underlying securities. Hedge</w:t>
      </w:r>
      <w:r>
        <w:rPr>
          <w:rFonts w:ascii="Arial" w:cs="Arial" w:eastAsia="Arial" w:hAnsi="Arial"/>
          <w:sz w:val="17"/>
          <w:szCs w:val="17"/>
          <w:i w:val="1"/>
          <w:iCs w:val="1"/>
          <w:color w:val="auto"/>
        </w:rPr>
        <w:t xml:space="preserve"> </w:t>
      </w:r>
      <w:r>
        <w:rPr>
          <w:rFonts w:ascii="Arial" w:cs="Arial" w:eastAsia="Arial" w:hAnsi="Arial"/>
          <w:sz w:val="17"/>
          <w:szCs w:val="17"/>
          <w:color w:val="auto"/>
        </w:rPr>
        <w:t>fund investments that are subject to liquidity restrictions or that are based on unobservable inputs are classified as Level 3. Hedge fund investments may include long and short positions in equity and fixed income securities, derivative instruments such as futures and options, commodities and other types of securities. Hedge fund investments valued at net asset value are included as a reconciling item to the fair value table.</w:t>
      </w:r>
    </w:p>
    <w:p>
      <w:pPr>
        <w:spacing w:after="0" w:line="64"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i w:val="1"/>
          <w:iCs w:val="1"/>
          <w:color w:val="auto"/>
        </w:rPr>
        <w:t xml:space="preserve">Derivatives — </w:t>
      </w:r>
      <w:r>
        <w:rPr>
          <w:rFonts w:ascii="Arial" w:cs="Arial" w:eastAsia="Arial" w:hAnsi="Arial"/>
          <w:sz w:val="17"/>
          <w:szCs w:val="17"/>
          <w:color w:val="auto"/>
        </w:rPr>
        <w:t>Derivative financial instruments include forward currency contracts, futures contracts, options contracts, interest rate swaps and credit default</w:t>
      </w:r>
      <w:r>
        <w:rPr>
          <w:rFonts w:ascii="Arial" w:cs="Arial" w:eastAsia="Arial" w:hAnsi="Arial"/>
          <w:sz w:val="17"/>
          <w:szCs w:val="17"/>
          <w:i w:val="1"/>
          <w:iCs w:val="1"/>
          <w:color w:val="auto"/>
        </w:rPr>
        <w:t xml:space="preserve"> </w:t>
      </w:r>
      <w:r>
        <w:rPr>
          <w:rFonts w:ascii="Arial" w:cs="Arial" w:eastAsia="Arial" w:hAnsi="Arial"/>
          <w:sz w:val="17"/>
          <w:szCs w:val="17"/>
          <w:color w:val="auto"/>
        </w:rPr>
        <w:t>swaps. Derivative financial instruments are classified as Level 2 and are valued based on observable market transactions or prices.</w:t>
      </w:r>
    </w:p>
    <w:p>
      <w:pPr>
        <w:spacing w:after="0" w:line="4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i w:val="1"/>
          <w:iCs w:val="1"/>
          <w:color w:val="auto"/>
        </w:rPr>
        <w:t xml:space="preserve">Commingled funds — </w:t>
      </w:r>
      <w:r>
        <w:rPr>
          <w:rFonts w:ascii="Arial" w:cs="Arial" w:eastAsia="Arial" w:hAnsi="Arial"/>
          <w:sz w:val="17"/>
          <w:szCs w:val="17"/>
          <w:color w:val="auto"/>
        </w:rPr>
        <w:t>Investments in commingled funds are not traded in active markets. Commingled funds are valued based on the net asset values of such</w:t>
      </w:r>
      <w:r>
        <w:rPr>
          <w:rFonts w:ascii="Arial" w:cs="Arial" w:eastAsia="Arial" w:hAnsi="Arial"/>
          <w:sz w:val="17"/>
          <w:szCs w:val="17"/>
          <w:i w:val="1"/>
          <w:iCs w:val="1"/>
          <w:color w:val="auto"/>
        </w:rPr>
        <w:t xml:space="preserve"> </w:t>
      </w:r>
      <w:r>
        <w:rPr>
          <w:rFonts w:ascii="Arial" w:cs="Arial" w:eastAsia="Arial" w:hAnsi="Arial"/>
          <w:sz w:val="17"/>
          <w:szCs w:val="17"/>
          <w:color w:val="auto"/>
        </w:rPr>
        <w:t>funds and are included as a reconciling item to the fair value table.</w:t>
      </w:r>
    </w:p>
    <w:p>
      <w:pPr>
        <w:spacing w:after="0" w:line="3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Other items to reconcile to fair value of plan assets included amounts due for securities sold, amounts payable for securities purchased and other payables.</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changes in fair value of Level 3 investments for the years ended July 30, 2023, and July 31, 2022:</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06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22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Real Estate</w:t>
            </w:r>
          </w:p>
        </w:tc>
        <w:tc>
          <w:tcPr>
            <w:tcW w:w="1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Hedge Funds</w:t>
            </w:r>
          </w:p>
        </w:tc>
        <w:tc>
          <w:tcPr>
            <w:tcW w:w="300" w:type="dxa"/>
            <w:vAlign w:val="bottom"/>
          </w:tcPr>
          <w:p>
            <w:pPr>
              <w:spacing w:after="0"/>
              <w:rPr>
                <w:sz w:val="15"/>
                <w:szCs w:val="15"/>
                <w:color w:val="auto"/>
              </w:rPr>
            </w:pPr>
          </w:p>
        </w:tc>
        <w:tc>
          <w:tcPr>
            <w:tcW w:w="1000" w:type="dxa"/>
            <w:vAlign w:val="bottom"/>
          </w:tcPr>
          <w:p>
            <w:pPr>
              <w:jc w:val="right"/>
              <w:ind w:right="417"/>
              <w:spacing w:after="0"/>
              <w:rPr>
                <w:sz w:val="20"/>
                <w:szCs w:val="20"/>
                <w:color w:val="auto"/>
              </w:rPr>
            </w:pPr>
            <w:r>
              <w:rPr>
                <w:rFonts w:ascii="Arial" w:cs="Arial" w:eastAsia="Arial" w:hAnsi="Arial"/>
                <w:sz w:val="14"/>
                <w:szCs w:val="14"/>
                <w:b w:val="1"/>
                <w:bCs w:val="1"/>
                <w:color w:val="auto"/>
              </w:rPr>
              <w:t>Total</w:t>
            </w:r>
          </w:p>
        </w:tc>
      </w:tr>
      <w:tr>
        <w:trPr>
          <w:trHeight w:val="24"/>
        </w:trPr>
        <w:tc>
          <w:tcPr>
            <w:tcW w:w="7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2"/>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at July 31, 2022</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19"/>
        </w:trPr>
        <w:tc>
          <w:tcPr>
            <w:tcW w:w="7060" w:type="dxa"/>
            <w:vAlign w:val="bottom"/>
          </w:tcPr>
          <w:p>
            <w:pPr>
              <w:ind w:left="20"/>
              <w:spacing w:after="0"/>
              <w:rPr>
                <w:sz w:val="20"/>
                <w:szCs w:val="20"/>
                <w:color w:val="auto"/>
              </w:rPr>
            </w:pPr>
            <w:r>
              <w:rPr>
                <w:rFonts w:ascii="Arial" w:cs="Arial" w:eastAsia="Arial" w:hAnsi="Arial"/>
                <w:sz w:val="17"/>
                <w:szCs w:val="17"/>
                <w:b w:val="1"/>
                <w:bCs w:val="1"/>
                <w:color w:val="auto"/>
              </w:rPr>
              <w:t>Actual return on plan assets</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w:t>
            </w:r>
          </w:p>
        </w:tc>
      </w:tr>
      <w:tr>
        <w:trPr>
          <w:trHeight w:val="219"/>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Purchases, sales and settlements, net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r>
      <w:tr>
        <w:trPr>
          <w:trHeight w:val="219"/>
        </w:trPr>
        <w:tc>
          <w:tcPr>
            <w:tcW w:w="7060" w:type="dxa"/>
            <w:vAlign w:val="bottom"/>
          </w:tcPr>
          <w:p>
            <w:pPr>
              <w:ind w:left="20"/>
              <w:spacing w:after="0"/>
              <w:rPr>
                <w:sz w:val="20"/>
                <w:szCs w:val="20"/>
                <w:color w:val="auto"/>
              </w:rPr>
            </w:pPr>
            <w:r>
              <w:rPr>
                <w:rFonts w:ascii="Arial" w:cs="Arial" w:eastAsia="Arial" w:hAnsi="Arial"/>
                <w:sz w:val="17"/>
                <w:szCs w:val="17"/>
                <w:b w:val="1"/>
                <w:bCs w:val="1"/>
                <w:color w:val="auto"/>
              </w:rPr>
              <w:t>Transfers out of Level 3</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37"/>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July 30, 2023</w:t>
            </w: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43"/>
        </w:trPr>
        <w:tc>
          <w:tcPr>
            <w:tcW w:w="706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220" w:type="dxa"/>
            <w:vAlign w:val="bottom"/>
          </w:tcPr>
          <w:p>
            <w:pPr>
              <w:spacing w:after="0"/>
              <w:rPr>
                <w:sz w:val="21"/>
                <w:szCs w:val="21"/>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Real Estate</w:t>
            </w:r>
          </w:p>
        </w:tc>
        <w:tc>
          <w:tcPr>
            <w:tcW w:w="180" w:type="dxa"/>
            <w:vAlign w:val="bottom"/>
          </w:tcPr>
          <w:p>
            <w:pPr>
              <w:spacing w:after="0"/>
              <w:rPr>
                <w:sz w:val="21"/>
                <w:szCs w:val="21"/>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Hedge Funds</w:t>
            </w:r>
          </w:p>
        </w:tc>
        <w:tc>
          <w:tcPr>
            <w:tcW w:w="300" w:type="dxa"/>
            <w:vAlign w:val="bottom"/>
          </w:tcPr>
          <w:p>
            <w:pPr>
              <w:spacing w:after="0"/>
              <w:rPr>
                <w:sz w:val="21"/>
                <w:szCs w:val="21"/>
                <w:color w:val="auto"/>
              </w:rPr>
            </w:pPr>
          </w:p>
        </w:tc>
        <w:tc>
          <w:tcPr>
            <w:tcW w:w="1000" w:type="dxa"/>
            <w:vAlign w:val="bottom"/>
          </w:tcPr>
          <w:p>
            <w:pPr>
              <w:jc w:val="right"/>
              <w:ind w:right="417"/>
              <w:spacing w:after="0"/>
              <w:rPr>
                <w:sz w:val="20"/>
                <w:szCs w:val="20"/>
                <w:color w:val="auto"/>
              </w:rPr>
            </w:pPr>
            <w:r>
              <w:rPr>
                <w:rFonts w:ascii="Arial" w:cs="Arial" w:eastAsia="Arial" w:hAnsi="Arial"/>
                <w:sz w:val="14"/>
                <w:szCs w:val="14"/>
                <w:b w:val="1"/>
                <w:bCs w:val="1"/>
                <w:color w:val="auto"/>
              </w:rPr>
              <w:t>Total</w:t>
            </w:r>
          </w:p>
        </w:tc>
      </w:tr>
      <w:tr>
        <w:trPr>
          <w:trHeight w:val="24"/>
        </w:trPr>
        <w:tc>
          <w:tcPr>
            <w:tcW w:w="7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2"/>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at August 1, 2021</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18"/>
        </w:trPr>
        <w:tc>
          <w:tcPr>
            <w:tcW w:w="7060" w:type="dxa"/>
            <w:vAlign w:val="bottom"/>
          </w:tcPr>
          <w:p>
            <w:pPr>
              <w:ind w:left="20"/>
              <w:spacing w:after="0"/>
              <w:rPr>
                <w:sz w:val="20"/>
                <w:szCs w:val="20"/>
                <w:color w:val="auto"/>
              </w:rPr>
            </w:pPr>
            <w:r>
              <w:rPr>
                <w:rFonts w:ascii="Arial" w:cs="Arial" w:eastAsia="Arial" w:hAnsi="Arial"/>
                <w:sz w:val="17"/>
                <w:szCs w:val="17"/>
                <w:color w:val="auto"/>
              </w:rPr>
              <w:t>Actual return on plan assets</w:t>
            </w: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20"/>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Purchases, sales and settlements, net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18"/>
        </w:trPr>
        <w:tc>
          <w:tcPr>
            <w:tcW w:w="7060" w:type="dxa"/>
            <w:vAlign w:val="bottom"/>
          </w:tcPr>
          <w:p>
            <w:pPr>
              <w:ind w:left="20"/>
              <w:spacing w:after="0"/>
              <w:rPr>
                <w:sz w:val="20"/>
                <w:szCs w:val="20"/>
                <w:color w:val="auto"/>
              </w:rPr>
            </w:pPr>
            <w:r>
              <w:rPr>
                <w:rFonts w:ascii="Arial" w:cs="Arial" w:eastAsia="Arial" w:hAnsi="Arial"/>
                <w:sz w:val="17"/>
                <w:szCs w:val="17"/>
                <w:color w:val="auto"/>
              </w:rPr>
              <w:t>Transfers out of Level 3</w:t>
            </w: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7"/>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Fair value at July 31, 2022</w:t>
            </w: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124460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52" w:name="page53"/>
    <w:bookmarkEnd w:id="52"/>
    <w:p>
      <w:pPr>
        <w:ind w:left="320"/>
        <w:spacing w:after="0"/>
        <w:rPr>
          <w:sz w:val="20"/>
          <w:szCs w:val="20"/>
          <w:color w:val="auto"/>
        </w:rPr>
      </w:pPr>
      <w:r>
        <w:rPr>
          <w:rFonts w:ascii="Arial" w:cs="Arial" w:eastAsia="Arial" w:hAnsi="Arial"/>
          <w:sz w:val="17"/>
          <w:szCs w:val="17"/>
          <w:b w:val="1"/>
          <w:bCs w:val="1"/>
          <w:i w:val="1"/>
          <w:iCs w:val="1"/>
          <w:color w:val="auto"/>
        </w:rPr>
        <w:t>Estimated future benefit payments are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64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260" w:type="dxa"/>
            <w:vAlign w:val="bottom"/>
          </w:tcPr>
          <w:p>
            <w:pPr>
              <w:spacing w:after="0"/>
              <w:rPr>
                <w:sz w:val="15"/>
                <w:szCs w:val="15"/>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Pension</w:t>
            </w:r>
          </w:p>
        </w:tc>
        <w:tc>
          <w:tcPr>
            <w:tcW w:w="140" w:type="dxa"/>
            <w:vAlign w:val="bottom"/>
          </w:tcPr>
          <w:p>
            <w:pPr>
              <w:spacing w:after="0"/>
              <w:rPr>
                <w:sz w:val="15"/>
                <w:szCs w:val="15"/>
                <w:color w:val="auto"/>
              </w:rPr>
            </w:pPr>
          </w:p>
        </w:tc>
        <w:tc>
          <w:tcPr>
            <w:tcW w:w="1100" w:type="dxa"/>
            <w:vAlign w:val="bottom"/>
          </w:tcPr>
          <w:p>
            <w:pPr>
              <w:jc w:val="right"/>
              <w:ind w:right="97"/>
              <w:spacing w:after="0"/>
              <w:rPr>
                <w:sz w:val="20"/>
                <w:szCs w:val="20"/>
                <w:color w:val="auto"/>
              </w:rPr>
            </w:pPr>
            <w:r>
              <w:rPr>
                <w:rFonts w:ascii="Arial" w:cs="Arial" w:eastAsia="Arial" w:hAnsi="Arial"/>
                <w:sz w:val="14"/>
                <w:szCs w:val="14"/>
                <w:b w:val="1"/>
                <w:bCs w:val="1"/>
                <w:color w:val="auto"/>
                <w:w w:val="91"/>
              </w:rPr>
              <w:t>Postretirement</w:t>
            </w:r>
          </w:p>
        </w:tc>
      </w:tr>
      <w:tr>
        <w:trPr>
          <w:trHeight w:val="24"/>
        </w:trPr>
        <w:tc>
          <w:tcPr>
            <w:tcW w:w="8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2"/>
        </w:trPr>
        <w:tc>
          <w:tcPr>
            <w:tcW w:w="8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18"/>
        </w:trPr>
        <w:tc>
          <w:tcPr>
            <w:tcW w:w="8640" w:type="dxa"/>
            <w:vAlign w:val="bottom"/>
          </w:tcPr>
          <w:p>
            <w:pPr>
              <w:ind w:left="20"/>
              <w:spacing w:after="0"/>
              <w:rPr>
                <w:sz w:val="20"/>
                <w:szCs w:val="20"/>
                <w:color w:val="auto"/>
              </w:rPr>
            </w:pPr>
            <w:r>
              <w:rPr>
                <w:rFonts w:ascii="Arial" w:cs="Arial" w:eastAsia="Arial" w:hAnsi="Arial"/>
                <w:sz w:val="17"/>
                <w:szCs w:val="17"/>
                <w:color w:val="auto"/>
              </w:rPr>
              <w:t>2025</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118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20"/>
        </w:trPr>
        <w:tc>
          <w:tcPr>
            <w:tcW w:w="8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18"/>
        </w:trPr>
        <w:tc>
          <w:tcPr>
            <w:tcW w:w="8640" w:type="dxa"/>
            <w:vAlign w:val="bottom"/>
          </w:tcPr>
          <w:p>
            <w:pPr>
              <w:ind w:left="20"/>
              <w:spacing w:after="0"/>
              <w:rPr>
                <w:sz w:val="20"/>
                <w:szCs w:val="20"/>
                <w:color w:val="auto"/>
              </w:rPr>
            </w:pPr>
            <w:r>
              <w:rPr>
                <w:rFonts w:ascii="Arial" w:cs="Arial" w:eastAsia="Arial" w:hAnsi="Arial"/>
                <w:sz w:val="17"/>
                <w:szCs w:val="17"/>
                <w:color w:val="auto"/>
              </w:rPr>
              <w:t>2027</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110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20"/>
        </w:trPr>
        <w:tc>
          <w:tcPr>
            <w:tcW w:w="8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2028</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17"/>
        </w:trPr>
        <w:tc>
          <w:tcPr>
            <w:tcW w:w="8640" w:type="dxa"/>
            <w:vAlign w:val="bottom"/>
          </w:tcPr>
          <w:p>
            <w:pPr>
              <w:ind w:left="20"/>
              <w:spacing w:after="0"/>
              <w:rPr>
                <w:sz w:val="20"/>
                <w:szCs w:val="20"/>
                <w:color w:val="auto"/>
              </w:rPr>
            </w:pPr>
            <w:r>
              <w:rPr>
                <w:rFonts w:ascii="Arial" w:cs="Arial" w:eastAsia="Arial" w:hAnsi="Arial"/>
                <w:sz w:val="17"/>
                <w:szCs w:val="17"/>
                <w:color w:val="auto"/>
              </w:rPr>
              <w:t>2029-2033</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486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60</w:t>
            </w:r>
          </w:p>
        </w:tc>
      </w:tr>
    </w:tbl>
    <w:p>
      <w:pPr>
        <w:spacing w:after="0" w:line="16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estimated future benefit payments include payments from funded and unfunded plans.</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do not expect contributions to pension plans to be material in 2024.</w:t>
      </w:r>
    </w:p>
    <w:p>
      <w:pPr>
        <w:spacing w:after="0" w:line="10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i w:val="1"/>
          <w:iCs w:val="1"/>
          <w:color w:val="auto"/>
        </w:rPr>
        <w:t xml:space="preserve">Defined Contribution Plans — </w:t>
      </w:r>
      <w:r>
        <w:rPr>
          <w:rFonts w:ascii="Arial" w:cs="Arial" w:eastAsia="Arial" w:hAnsi="Arial"/>
          <w:sz w:val="17"/>
          <w:szCs w:val="17"/>
          <w:color w:val="auto"/>
        </w:rPr>
        <w:t>We sponsor a 401(k) Retirement Plan that covers substantially all U.S. employees and provide a matching contribution of 100%</w:t>
      </w:r>
      <w:r>
        <w:rPr>
          <w:rFonts w:ascii="Arial" w:cs="Arial" w:eastAsia="Arial" w:hAnsi="Arial"/>
          <w:sz w:val="17"/>
          <w:szCs w:val="17"/>
          <w:i w:val="1"/>
          <w:iCs w:val="1"/>
          <w:color w:val="auto"/>
        </w:rPr>
        <w:t xml:space="preserve"> </w:t>
      </w:r>
      <w:r>
        <w:rPr>
          <w:rFonts w:ascii="Arial" w:cs="Arial" w:eastAsia="Arial" w:hAnsi="Arial"/>
          <w:sz w:val="17"/>
          <w:szCs w:val="17"/>
          <w:color w:val="auto"/>
        </w:rPr>
        <w:t>of employee contributions up to 4% of eligible compensation. In addition, for employees not eligible to participate in defined benefit plans that we sponsor, we provide a contribution equal to 3% of eligible compensation regardless of their participation in the 401(k) Retirement Plan. Amounts charged to Costs and expenses were $73 million in 2023, $69 million in 2022 and $64 million in 2021.</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Leases</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lease warehouse and distribution facilities, office space, manufacturing facilities, equipment and vehicles, primarily through operating leases.</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Leases recorded on our Consolidated Balance Sheet have remaining terms primarily from 1 to 12 years.</w:t>
      </w:r>
    </w:p>
    <w:p>
      <w:pPr>
        <w:spacing w:after="0" w:line="101"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Our fleet leases generally include residual value guarantees that are assessed at lease inception in determining ROU assets and corresponding liabilities. No other significant restrictions or covenants are included in our leases.</w:t>
      </w:r>
    </w:p>
    <w:p>
      <w:pPr>
        <w:spacing w:after="0" w:line="3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components of lease costs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12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300" w:type="dxa"/>
            <w:vAlign w:val="bottom"/>
          </w:tcPr>
          <w:p>
            <w:pPr>
              <w:spacing w:after="0"/>
              <w:rPr>
                <w:sz w:val="15"/>
                <w:szCs w:val="15"/>
                <w:color w:val="auto"/>
              </w:rPr>
            </w:pPr>
          </w:p>
        </w:tc>
        <w:tc>
          <w:tcPr>
            <w:tcW w:w="1000" w:type="dxa"/>
            <w:vAlign w:val="bottom"/>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7"/>
              <w:spacing w:after="0"/>
              <w:rPr>
                <w:sz w:val="20"/>
                <w:szCs w:val="20"/>
                <w:color w:val="auto"/>
              </w:rPr>
            </w:pPr>
            <w:r>
              <w:rPr>
                <w:rFonts w:ascii="Arial" w:cs="Arial" w:eastAsia="Arial" w:hAnsi="Arial"/>
                <w:sz w:val="14"/>
                <w:szCs w:val="14"/>
                <w:b w:val="1"/>
                <w:bCs w:val="1"/>
                <w:color w:val="auto"/>
              </w:rPr>
              <w:t>2021</w:t>
            </w:r>
          </w:p>
        </w:tc>
      </w:tr>
      <w:tr>
        <w:trPr>
          <w:trHeight w:val="24"/>
        </w:trPr>
        <w:tc>
          <w:tcPr>
            <w:tcW w:w="7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2"/>
        </w:trPr>
        <w:tc>
          <w:tcPr>
            <w:tcW w:w="7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cost</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r>
      <w:tr>
        <w:trPr>
          <w:trHeight w:val="219"/>
        </w:trPr>
        <w:tc>
          <w:tcPr>
            <w:tcW w:w="7120" w:type="dxa"/>
            <w:vAlign w:val="bottom"/>
          </w:tcPr>
          <w:p>
            <w:pPr>
              <w:ind w:left="20"/>
              <w:spacing w:after="0"/>
              <w:rPr>
                <w:sz w:val="20"/>
                <w:szCs w:val="20"/>
                <w:color w:val="auto"/>
              </w:rPr>
            </w:pPr>
            <w:r>
              <w:rPr>
                <w:rFonts w:ascii="Arial" w:cs="Arial" w:eastAsia="Arial" w:hAnsi="Arial"/>
                <w:sz w:val="17"/>
                <w:szCs w:val="17"/>
                <w:color w:val="auto"/>
              </w:rPr>
              <w:t>Finance lease - amortization of ROU assets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19"/>
        </w:trPr>
        <w:tc>
          <w:tcPr>
            <w:tcW w:w="7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lease cost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r>
      <w:tr>
        <w:trPr>
          <w:trHeight w:val="219"/>
        </w:trPr>
        <w:tc>
          <w:tcPr>
            <w:tcW w:w="7120" w:type="dxa"/>
            <w:vAlign w:val="bottom"/>
          </w:tcPr>
          <w:p>
            <w:pPr>
              <w:ind w:left="20"/>
              <w:spacing w:after="0" w:line="219" w:lineRule="exact"/>
              <w:rPr>
                <w:sz w:val="20"/>
                <w:szCs w:val="20"/>
                <w:color w:val="auto"/>
              </w:rPr>
            </w:pPr>
            <w:r>
              <w:rPr>
                <w:rFonts w:ascii="Arial" w:cs="Arial" w:eastAsia="Arial" w:hAnsi="Arial"/>
                <w:sz w:val="17"/>
                <w:szCs w:val="17"/>
                <w:color w:val="auto"/>
              </w:rPr>
              <w:t>Variable lease cost</w:t>
            </w:r>
            <w:r>
              <w:rPr>
                <w:rFonts w:ascii="Arial" w:cs="Arial" w:eastAsia="Arial" w:hAnsi="Arial"/>
                <w:sz w:val="22"/>
                <w:szCs w:val="22"/>
                <w:color w:val="auto"/>
                <w:vertAlign w:val="superscript"/>
              </w:rPr>
              <w:t>(1)</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201</w:t>
            </w:r>
          </w:p>
        </w:tc>
      </w:tr>
      <w:tr>
        <w:trPr>
          <w:trHeight w:val="219"/>
        </w:trPr>
        <w:tc>
          <w:tcPr>
            <w:tcW w:w="7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Sublease income</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12"/>
        </w:trPr>
        <w:tc>
          <w:tcPr>
            <w:tcW w:w="7120" w:type="dxa"/>
            <w:vAlign w:val="bottom"/>
          </w:tcPr>
          <w:p>
            <w:pPr>
              <w:ind w:left="20"/>
              <w:spacing w:after="0"/>
              <w:rPr>
                <w:sz w:val="20"/>
                <w:szCs w:val="20"/>
                <w:color w:val="auto"/>
              </w:rPr>
            </w:pPr>
            <w:r>
              <w:rPr>
                <w:rFonts w:ascii="Arial" w:cs="Arial" w:eastAsia="Arial" w:hAnsi="Arial"/>
                <w:sz w:val="17"/>
                <w:szCs w:val="17"/>
                <w:color w:val="auto"/>
              </w:rPr>
              <w:t>Total</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373</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354</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333</w:t>
            </w:r>
          </w:p>
        </w:tc>
      </w:tr>
      <w:tr>
        <w:trPr>
          <w:trHeight w:val="20"/>
        </w:trPr>
        <w:tc>
          <w:tcPr>
            <w:tcW w:w="7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__________________________________________</w:t>
      </w:r>
    </w:p>
    <w:p>
      <w:pPr>
        <w:spacing w:after="0" w:line="19" w:lineRule="exact"/>
        <w:rPr>
          <w:sz w:val="20"/>
          <w:szCs w:val="20"/>
          <w:color w:val="auto"/>
        </w:rPr>
      </w:pPr>
    </w:p>
    <w:p>
      <w:pPr>
        <w:ind w:left="300" w:hanging="297"/>
        <w:spacing w:after="0"/>
        <w:tabs>
          <w:tab w:leader="none" w:pos="300" w:val="left"/>
        </w:tabs>
        <w:numPr>
          <w:ilvl w:val="0"/>
          <w:numId w:val="41"/>
        </w:numPr>
        <w:rPr>
          <w:rFonts w:ascii="Arial" w:cs="Arial" w:eastAsia="Arial" w:hAnsi="Arial"/>
          <w:sz w:val="22"/>
          <w:szCs w:val="22"/>
          <w:color w:val="auto"/>
          <w:vertAlign w:val="superscript"/>
        </w:rPr>
      </w:pPr>
      <w:r>
        <w:rPr>
          <w:rFonts w:ascii="Arial" w:cs="Arial" w:eastAsia="Arial" w:hAnsi="Arial"/>
          <w:sz w:val="17"/>
          <w:szCs w:val="17"/>
          <w:color w:val="auto"/>
        </w:rPr>
        <w:t>Includes labor and other overhead included in our service contracts with embedded leases.</w:t>
      </w:r>
    </w:p>
    <w:p>
      <w:pPr>
        <w:spacing w:after="0" w:line="79" w:lineRule="exact"/>
        <w:rPr>
          <w:rFonts w:ascii="Arial" w:cs="Arial" w:eastAsia="Arial" w:hAnsi="Arial"/>
          <w:sz w:val="22"/>
          <w:szCs w:val="22"/>
          <w:color w:val="auto"/>
          <w:vertAlign w:val="superscript"/>
        </w:rPr>
      </w:pPr>
    </w:p>
    <w:p>
      <w:pPr>
        <w:ind w:left="320"/>
        <w:spacing w:after="0"/>
        <w:rPr>
          <w:rFonts w:ascii="Arial" w:cs="Arial" w:eastAsia="Arial" w:hAnsi="Arial"/>
          <w:sz w:val="22"/>
          <w:szCs w:val="22"/>
          <w:color w:val="auto"/>
          <w:vertAlign w:val="superscript"/>
        </w:rPr>
      </w:pPr>
      <w:r>
        <w:rPr>
          <w:rFonts w:ascii="Arial" w:cs="Arial" w:eastAsia="Arial" w:hAnsi="Arial"/>
          <w:sz w:val="17"/>
          <w:szCs w:val="17"/>
          <w:color w:val="auto"/>
        </w:rPr>
        <w:t>The following table summarizes the lease amounts recorded in the Consolidated Balance Sheets: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3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0" w:type="dxa"/>
            <w:vAlign w:val="bottom"/>
            <w:gridSpan w:val="3"/>
          </w:tcPr>
          <w:p>
            <w:pPr>
              <w:jc w:val="right"/>
              <w:ind w:right="34"/>
              <w:spacing w:after="0"/>
              <w:rPr>
                <w:sz w:val="20"/>
                <w:szCs w:val="20"/>
                <w:color w:val="auto"/>
              </w:rPr>
            </w:pPr>
            <w:r>
              <w:rPr>
                <w:rFonts w:ascii="Arial" w:cs="Arial" w:eastAsia="Arial" w:hAnsi="Arial"/>
                <w:sz w:val="14"/>
                <w:szCs w:val="14"/>
                <w:b w:val="1"/>
                <w:bCs w:val="1"/>
                <w:color w:val="auto"/>
                <w:w w:val="90"/>
              </w:rPr>
              <w:t>Operating Leases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2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300" w:type="dxa"/>
            <w:vAlign w:val="bottom"/>
            <w:tcBorders>
              <w:bottom w:val="single" w:sz="8" w:color="CCEEFF"/>
            </w:tcBorders>
            <w:vMerge w:val="continue"/>
          </w:tcPr>
          <w:p>
            <w:pPr>
              <w:spacing w:after="0"/>
              <w:rPr>
                <w:sz w:val="15"/>
                <w:szCs w:val="15"/>
                <w:color w:val="auto"/>
              </w:rPr>
            </w:pPr>
          </w:p>
        </w:tc>
        <w:tc>
          <w:tcPr>
            <w:tcW w:w="240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w w:val="88"/>
              </w:rPr>
              <w:t>Balance Sheet Classification</w:t>
            </w: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ROU assets, net</w:t>
            </w:r>
          </w:p>
        </w:tc>
        <w:tc>
          <w:tcPr>
            <w:tcW w:w="2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b w:val="1"/>
                <w:bCs w:val="1"/>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w:t>
            </w:r>
          </w:p>
        </w:tc>
        <w:tc>
          <w:tcPr>
            <w:tcW w:w="0" w:type="dxa"/>
            <w:vAlign w:val="bottom"/>
          </w:tcPr>
          <w:p>
            <w:pPr>
              <w:spacing w:after="0"/>
              <w:rPr>
                <w:sz w:val="1"/>
                <w:szCs w:val="1"/>
                <w:color w:val="auto"/>
              </w:rPr>
            </w:pPr>
          </w:p>
        </w:tc>
      </w:tr>
      <w:tr>
        <w:trPr>
          <w:trHeight w:val="219"/>
        </w:trPr>
        <w:tc>
          <w:tcPr>
            <w:tcW w:w="5300" w:type="dxa"/>
            <w:vAlign w:val="bottom"/>
          </w:tcPr>
          <w:p>
            <w:pPr>
              <w:ind w:left="20"/>
              <w:spacing w:after="0"/>
              <w:rPr>
                <w:sz w:val="20"/>
                <w:szCs w:val="20"/>
                <w:color w:val="auto"/>
              </w:rPr>
            </w:pPr>
            <w:r>
              <w:rPr>
                <w:rFonts w:ascii="Arial" w:cs="Arial" w:eastAsia="Arial" w:hAnsi="Arial"/>
                <w:sz w:val="17"/>
                <w:szCs w:val="17"/>
                <w:color w:val="auto"/>
              </w:rPr>
              <w:t>Lease liabilities (current)</w:t>
            </w:r>
          </w:p>
        </w:tc>
        <w:tc>
          <w:tcPr>
            <w:tcW w:w="2400" w:type="dxa"/>
            <w:vAlign w:val="bottom"/>
          </w:tcPr>
          <w:p>
            <w:pPr>
              <w:ind w:left="20"/>
              <w:spacing w:after="0"/>
              <w:rPr>
                <w:sz w:val="20"/>
                <w:szCs w:val="20"/>
                <w:color w:val="auto"/>
              </w:rPr>
            </w:pPr>
            <w:r>
              <w:rPr>
                <w:rFonts w:ascii="Arial" w:cs="Arial" w:eastAsia="Arial" w:hAnsi="Arial"/>
                <w:sz w:val="17"/>
                <w:szCs w:val="17"/>
                <w:color w:val="auto"/>
              </w:rPr>
              <w:t>Accrued liabilities</w:t>
            </w:r>
          </w:p>
        </w:tc>
        <w:tc>
          <w:tcPr>
            <w:tcW w:w="1200" w:type="dxa"/>
            <w:vAlign w:val="bottom"/>
            <w:gridSpan w:val="3"/>
          </w:tcPr>
          <w:p>
            <w:pPr>
              <w:jc w:val="right"/>
              <w:ind w:right="194"/>
              <w:spacing w:after="0"/>
              <w:rPr>
                <w:sz w:val="20"/>
                <w:szCs w:val="20"/>
                <w:color w:val="auto"/>
              </w:rPr>
            </w:pPr>
            <w:r>
              <w:rPr>
                <w:rFonts w:ascii="Arial" w:cs="Arial" w:eastAsia="Arial" w:hAnsi="Arial"/>
                <w:sz w:val="17"/>
                <w:szCs w:val="17"/>
                <w:b w:val="1"/>
                <w:bCs w:val="1"/>
                <w:color w:val="auto"/>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70</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 liabilities (noncurrent)</w:t>
            </w:r>
          </w:p>
        </w:tc>
        <w:tc>
          <w:tcPr>
            <w:tcW w:w="2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1200" w:type="dxa"/>
            <w:vAlign w:val="bottom"/>
            <w:gridSpan w:val="3"/>
            <w:shd w:val="clear" w:color="auto" w:fill="CCEEFF"/>
          </w:tcPr>
          <w:p>
            <w:pPr>
              <w:jc w:val="right"/>
              <w:ind w:right="194"/>
              <w:spacing w:after="0"/>
              <w:rPr>
                <w:sz w:val="20"/>
                <w:szCs w:val="20"/>
                <w:color w:val="auto"/>
              </w:rPr>
            </w:pPr>
            <w:r>
              <w:rPr>
                <w:rFonts w:ascii="Arial" w:cs="Arial" w:eastAsia="Arial" w:hAnsi="Arial"/>
                <w:sz w:val="17"/>
                <w:szCs w:val="17"/>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0" w:type="dxa"/>
            <w:vAlign w:val="bottom"/>
          </w:tcPr>
          <w:p>
            <w:pPr>
              <w:spacing w:after="0"/>
              <w:rPr>
                <w:sz w:val="1"/>
                <w:szCs w:val="1"/>
                <w:color w:val="auto"/>
              </w:rPr>
            </w:pPr>
          </w:p>
        </w:tc>
      </w:tr>
      <w:tr>
        <w:trPr>
          <w:trHeight w:val="426"/>
        </w:trPr>
        <w:tc>
          <w:tcPr>
            <w:tcW w:w="53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0" w:type="dxa"/>
            <w:vAlign w:val="bottom"/>
            <w:gridSpan w:val="3"/>
          </w:tcPr>
          <w:p>
            <w:pPr>
              <w:jc w:val="right"/>
              <w:ind w:right="34"/>
              <w:spacing w:after="0"/>
              <w:rPr>
                <w:sz w:val="20"/>
                <w:szCs w:val="20"/>
                <w:color w:val="auto"/>
              </w:rPr>
            </w:pPr>
            <w:r>
              <w:rPr>
                <w:rFonts w:ascii="Arial" w:cs="Arial" w:eastAsia="Arial" w:hAnsi="Arial"/>
                <w:sz w:val="14"/>
                <w:szCs w:val="14"/>
                <w:b w:val="1"/>
                <w:bCs w:val="1"/>
                <w:color w:val="auto"/>
                <w:w w:val="90"/>
              </w:rPr>
              <w:t>Financing Leases</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2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300" w:type="dxa"/>
            <w:vAlign w:val="bottom"/>
            <w:tcBorders>
              <w:bottom w:val="single" w:sz="8" w:color="CCEEFF"/>
            </w:tcBorders>
            <w:vMerge w:val="continue"/>
          </w:tcPr>
          <w:p>
            <w:pPr>
              <w:spacing w:after="0"/>
              <w:rPr>
                <w:sz w:val="15"/>
                <w:szCs w:val="15"/>
                <w:color w:val="auto"/>
              </w:rPr>
            </w:pPr>
          </w:p>
        </w:tc>
        <w:tc>
          <w:tcPr>
            <w:tcW w:w="240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w w:val="88"/>
              </w:rPr>
              <w:t>Balance Sheet Classification</w:t>
            </w: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ROU assets, net</w:t>
            </w:r>
          </w:p>
        </w:tc>
        <w:tc>
          <w:tcPr>
            <w:tcW w:w="24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7"/>
              </w:rPr>
              <w:t>Plant assets, net of depreciation</w:t>
            </w: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b w:val="1"/>
                <w:bCs w:val="1"/>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19"/>
        </w:trPr>
        <w:tc>
          <w:tcPr>
            <w:tcW w:w="5300" w:type="dxa"/>
            <w:vAlign w:val="bottom"/>
          </w:tcPr>
          <w:p>
            <w:pPr>
              <w:ind w:left="20"/>
              <w:spacing w:after="0"/>
              <w:rPr>
                <w:sz w:val="20"/>
                <w:szCs w:val="20"/>
                <w:color w:val="auto"/>
              </w:rPr>
            </w:pPr>
            <w:r>
              <w:rPr>
                <w:rFonts w:ascii="Arial" w:cs="Arial" w:eastAsia="Arial" w:hAnsi="Arial"/>
                <w:sz w:val="17"/>
                <w:szCs w:val="17"/>
                <w:color w:val="auto"/>
              </w:rPr>
              <w:t>Lease liabilities (current)</w:t>
            </w:r>
          </w:p>
        </w:tc>
        <w:tc>
          <w:tcPr>
            <w:tcW w:w="2400" w:type="dxa"/>
            <w:vAlign w:val="bottom"/>
          </w:tcPr>
          <w:p>
            <w:pPr>
              <w:ind w:left="20"/>
              <w:spacing w:after="0"/>
              <w:rPr>
                <w:sz w:val="20"/>
                <w:szCs w:val="20"/>
                <w:color w:val="auto"/>
              </w:rPr>
            </w:pPr>
            <w:r>
              <w:rPr>
                <w:rFonts w:ascii="Arial" w:cs="Arial" w:eastAsia="Arial" w:hAnsi="Arial"/>
                <w:sz w:val="17"/>
                <w:szCs w:val="17"/>
                <w:color w:val="auto"/>
              </w:rPr>
              <w:t>Short-term borrowings</w:t>
            </w:r>
          </w:p>
        </w:tc>
        <w:tc>
          <w:tcPr>
            <w:tcW w:w="1200" w:type="dxa"/>
            <w:vAlign w:val="bottom"/>
            <w:gridSpan w:val="3"/>
          </w:tcPr>
          <w:p>
            <w:pPr>
              <w:jc w:val="right"/>
              <w:ind w:right="194"/>
              <w:spacing w:after="0"/>
              <w:rPr>
                <w:sz w:val="20"/>
                <w:szCs w:val="20"/>
                <w:color w:val="auto"/>
              </w:rPr>
            </w:pPr>
            <w:r>
              <w:rPr>
                <w:rFonts w:ascii="Arial" w:cs="Arial" w:eastAsia="Arial" w:hAnsi="Arial"/>
                <w:sz w:val="17"/>
                <w:szCs w:val="17"/>
                <w:b w:val="1"/>
                <w:bCs w:val="1"/>
                <w:color w:val="auto"/>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13</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 liabilities (noncurrent)</w:t>
            </w:r>
          </w:p>
        </w:tc>
        <w:tc>
          <w:tcPr>
            <w:tcW w:w="2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debt</w:t>
            </w:r>
          </w:p>
        </w:tc>
        <w:tc>
          <w:tcPr>
            <w:tcW w:w="1200" w:type="dxa"/>
            <w:vAlign w:val="bottom"/>
            <w:gridSpan w:val="3"/>
            <w:shd w:val="clear" w:color="auto" w:fill="CCEEFF"/>
          </w:tcPr>
          <w:p>
            <w:pPr>
              <w:jc w:val="right"/>
              <w:ind w:right="194"/>
              <w:spacing w:after="0"/>
              <w:rPr>
                <w:sz w:val="20"/>
                <w:szCs w:val="20"/>
                <w:color w:val="auto"/>
              </w:rPr>
            </w:pPr>
            <w:r>
              <w:rPr>
                <w:rFonts w:ascii="Arial" w:cs="Arial" w:eastAsia="Arial" w:hAnsi="Arial"/>
                <w:sz w:val="17"/>
                <w:szCs w:val="17"/>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733"/>
        </w:trPr>
        <w:tc>
          <w:tcPr>
            <w:tcW w:w="5300" w:type="dxa"/>
            <w:vAlign w:val="bottom"/>
          </w:tcPr>
          <w:p>
            <w:pPr>
              <w:spacing w:after="0"/>
              <w:rPr>
                <w:sz w:val="24"/>
                <w:szCs w:val="24"/>
                <w:color w:val="auto"/>
              </w:rPr>
            </w:pPr>
          </w:p>
        </w:tc>
        <w:tc>
          <w:tcPr>
            <w:tcW w:w="2400" w:type="dxa"/>
            <w:vAlign w:val="bottom"/>
          </w:tcPr>
          <w:p>
            <w:pPr>
              <w:ind w:left="240"/>
              <w:spacing w:after="0"/>
              <w:rPr>
                <w:sz w:val="20"/>
                <w:szCs w:val="20"/>
                <w:color w:val="auto"/>
              </w:rPr>
            </w:pPr>
            <w:r>
              <w:rPr>
                <w:rFonts w:ascii="Arial" w:cs="Arial" w:eastAsia="Arial" w:hAnsi="Arial"/>
                <w:sz w:val="17"/>
                <w:szCs w:val="17"/>
                <w:color w:val="auto"/>
              </w:rPr>
              <w:t>53</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300" w:type="dxa"/>
            <w:vAlign w:val="bottom"/>
            <w:tcBorders>
              <w:bottom w:val="single" w:sz="8" w:color="9A9A9A"/>
            </w:tcBorders>
          </w:tcPr>
          <w:p>
            <w:pPr>
              <w:spacing w:after="0"/>
              <w:rPr>
                <w:sz w:val="17"/>
                <w:szCs w:val="17"/>
                <w:color w:val="auto"/>
              </w:rPr>
            </w:pPr>
          </w:p>
        </w:tc>
        <w:tc>
          <w:tcPr>
            <w:tcW w:w="240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53" w:name="page54"/>
    <w:bookmarkEnd w:id="53"/>
    <w:p>
      <w:pPr>
        <w:ind w:left="320"/>
        <w:spacing w:after="0"/>
        <w:rPr>
          <w:sz w:val="20"/>
          <w:szCs w:val="20"/>
          <w:color w:val="auto"/>
        </w:rPr>
      </w:pPr>
      <w:r>
        <w:rPr>
          <w:rFonts w:ascii="Arial" w:cs="Arial" w:eastAsia="Arial" w:hAnsi="Arial"/>
          <w:sz w:val="17"/>
          <w:szCs w:val="17"/>
          <w:color w:val="auto"/>
        </w:rPr>
        <w:t>Weighted-average lease terms and discount rates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360" w:type="dxa"/>
            <w:vAlign w:val="bottom"/>
          </w:tcPr>
          <w:p>
            <w:pPr>
              <w:spacing w:after="0"/>
              <w:rPr>
                <w:sz w:val="15"/>
                <w:szCs w:val="15"/>
                <w:color w:val="auto"/>
              </w:rPr>
            </w:pPr>
          </w:p>
        </w:tc>
        <w:tc>
          <w:tcPr>
            <w:tcW w:w="1620" w:type="dxa"/>
            <w:vAlign w:val="bottom"/>
            <w:gridSpan w:val="3"/>
          </w:tcPr>
          <w:p>
            <w:pPr>
              <w:ind w:left="840"/>
              <w:spacing w:after="0"/>
              <w:rPr>
                <w:sz w:val="20"/>
                <w:szCs w:val="20"/>
                <w:color w:val="auto"/>
              </w:rPr>
            </w:pPr>
            <w:r>
              <w:rPr>
                <w:rFonts w:ascii="Arial" w:cs="Arial" w:eastAsia="Arial" w:hAnsi="Arial"/>
                <w:sz w:val="14"/>
                <w:szCs w:val="14"/>
                <w:b w:val="1"/>
                <w:bCs w:val="1"/>
                <w:color w:val="auto"/>
                <w:w w:val="87"/>
              </w:rPr>
              <w:t>July 30, 2023</w:t>
            </w: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gridSpan w:val="7"/>
          </w:tcPr>
          <w:p>
            <w:pPr>
              <w:jc w:val="right"/>
              <w:ind w:right="697"/>
              <w:spacing w:after="0"/>
              <w:rPr>
                <w:sz w:val="20"/>
                <w:szCs w:val="20"/>
                <w:color w:val="auto"/>
              </w:rPr>
            </w:pPr>
            <w:r>
              <w:rPr>
                <w:rFonts w:ascii="Arial" w:cs="Arial" w:eastAsia="Arial" w:hAnsi="Arial"/>
                <w:sz w:val="14"/>
                <w:szCs w:val="14"/>
                <w:b w:val="1"/>
                <w:bCs w:val="1"/>
                <w:color w:val="auto"/>
              </w:rPr>
              <w:t>July 31, 2022</w:t>
            </w:r>
          </w:p>
        </w:tc>
        <w:tc>
          <w:tcPr>
            <w:tcW w:w="0" w:type="dxa"/>
            <w:vAlign w:val="bottom"/>
          </w:tcPr>
          <w:p>
            <w:pPr>
              <w:spacing w:after="0"/>
              <w:rPr>
                <w:sz w:val="1"/>
                <w:szCs w:val="1"/>
                <w:color w:val="auto"/>
              </w:rPr>
            </w:pPr>
          </w:p>
        </w:tc>
      </w:tr>
      <w:tr>
        <w:trPr>
          <w:trHeight w:val="24"/>
        </w:trPr>
        <w:tc>
          <w:tcPr>
            <w:tcW w:w="6360" w:type="dxa"/>
            <w:vAlign w:val="bottom"/>
          </w:tcPr>
          <w:p>
            <w:pPr>
              <w:spacing w:after="0"/>
              <w:rPr>
                <w:sz w:val="2"/>
                <w:szCs w:val="2"/>
                <w:color w:val="auto"/>
              </w:rPr>
            </w:pPr>
          </w:p>
        </w:tc>
        <w:tc>
          <w:tcPr>
            <w:tcW w:w="1620" w:type="dxa"/>
            <w:vAlign w:val="bottom"/>
            <w:gridSpan w:val="3"/>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6360" w:type="dxa"/>
            <w:vAlign w:val="bottom"/>
          </w:tcPr>
          <w:p>
            <w:pPr>
              <w:spacing w:after="0"/>
              <w:rPr>
                <w:sz w:val="15"/>
                <w:szCs w:val="15"/>
                <w:color w:val="auto"/>
              </w:rPr>
            </w:pPr>
          </w:p>
        </w:tc>
        <w:tc>
          <w:tcPr>
            <w:tcW w:w="1620" w:type="dxa"/>
            <w:vAlign w:val="bottom"/>
            <w:tcBorders>
              <w:top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Operating</w:t>
            </w:r>
          </w:p>
        </w:tc>
        <w:tc>
          <w:tcPr>
            <w:tcW w:w="840" w:type="dxa"/>
            <w:vAlign w:val="bottom"/>
            <w:tcBorders>
              <w:top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w w:val="86"/>
              </w:rPr>
              <w:t>Finance</w:t>
            </w:r>
          </w:p>
        </w:tc>
        <w:tc>
          <w:tcPr>
            <w:tcW w:w="100" w:type="dxa"/>
            <w:vAlign w:val="bottom"/>
          </w:tcPr>
          <w:p>
            <w:pPr>
              <w:spacing w:after="0"/>
              <w:rPr>
                <w:sz w:val="15"/>
                <w:szCs w:val="15"/>
                <w:color w:val="auto"/>
              </w:rPr>
            </w:pPr>
          </w:p>
        </w:tc>
        <w:tc>
          <w:tcPr>
            <w:tcW w:w="102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Operating</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Finance</w:t>
            </w:r>
          </w:p>
        </w:tc>
        <w:tc>
          <w:tcPr>
            <w:tcW w:w="0" w:type="dxa"/>
            <w:vAlign w:val="bottom"/>
          </w:tcPr>
          <w:p>
            <w:pPr>
              <w:spacing w:after="0"/>
              <w:rPr>
                <w:sz w:val="1"/>
                <w:szCs w:val="1"/>
                <w:color w:val="auto"/>
              </w:rPr>
            </w:pPr>
          </w:p>
        </w:tc>
      </w:tr>
      <w:tr>
        <w:trPr>
          <w:trHeight w:val="219"/>
        </w:trPr>
        <w:tc>
          <w:tcPr>
            <w:tcW w:w="6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Weighted-average remaining term in years</w:t>
            </w:r>
          </w:p>
        </w:tc>
        <w:tc>
          <w:tcPr>
            <w:tcW w:w="1180" w:type="dxa"/>
            <w:vAlign w:val="bottom"/>
            <w:tcBorders>
              <w:top w:val="single" w:sz="8" w:color="auto"/>
            </w:tcBorders>
            <w:shd w:val="clear" w:color="auto" w:fill="CCEEFF"/>
          </w:tcPr>
          <w:p>
            <w:pPr>
              <w:jc w:val="right"/>
              <w:ind w:right="283"/>
              <w:spacing w:after="0"/>
              <w:rPr>
                <w:sz w:val="20"/>
                <w:szCs w:val="20"/>
                <w:color w:val="auto"/>
              </w:rPr>
            </w:pPr>
            <w:r>
              <w:rPr>
                <w:rFonts w:ascii="Arial" w:cs="Arial" w:eastAsia="Arial" w:hAnsi="Arial"/>
                <w:sz w:val="17"/>
                <w:szCs w:val="17"/>
                <w:b w:val="1"/>
                <w:bCs w:val="1"/>
                <w:color w:val="auto"/>
              </w:rPr>
              <w:t>5.1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2.6</w:t>
            </w:r>
          </w:p>
        </w:tc>
        <w:tc>
          <w:tcPr>
            <w:tcW w:w="2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5.7</w:t>
            </w:r>
          </w:p>
        </w:tc>
        <w:tc>
          <w:tcPr>
            <w:tcW w:w="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23"/>
        </w:trPr>
        <w:tc>
          <w:tcPr>
            <w:tcW w:w="6360" w:type="dxa"/>
            <w:vAlign w:val="bottom"/>
          </w:tcPr>
          <w:p>
            <w:pPr>
              <w:ind w:left="40"/>
              <w:spacing w:after="0"/>
              <w:rPr>
                <w:sz w:val="20"/>
                <w:szCs w:val="20"/>
                <w:color w:val="auto"/>
              </w:rPr>
            </w:pPr>
            <w:r>
              <w:rPr>
                <w:rFonts w:ascii="Arial" w:cs="Arial" w:eastAsia="Arial" w:hAnsi="Arial"/>
                <w:sz w:val="17"/>
                <w:szCs w:val="17"/>
                <w:color w:val="auto"/>
              </w:rPr>
              <w:t>Weighted-average discount rate</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3.2   %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2.8   %</w:t>
            </w:r>
          </w:p>
        </w:tc>
        <w:tc>
          <w:tcPr>
            <w:tcW w:w="100" w:type="dxa"/>
            <w:vAlign w:val="bottom"/>
          </w:tcPr>
          <w:p>
            <w:pPr>
              <w:spacing w:after="0"/>
              <w:rPr>
                <w:sz w:val="19"/>
                <w:szCs w:val="19"/>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7"/>
                <w:szCs w:val="17"/>
                <w:color w:val="auto"/>
              </w:rPr>
              <w:t>2.2  %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0.8  %</w:t>
            </w:r>
          </w:p>
        </w:tc>
        <w:tc>
          <w:tcPr>
            <w:tcW w:w="0" w:type="dxa"/>
            <w:vAlign w:val="bottom"/>
          </w:tcPr>
          <w:p>
            <w:pPr>
              <w:spacing w:after="0"/>
              <w:rPr>
                <w:sz w:val="1"/>
                <w:szCs w:val="1"/>
                <w:color w:val="auto"/>
              </w:rPr>
            </w:pPr>
          </w:p>
        </w:tc>
      </w:tr>
      <w:tr>
        <w:trPr>
          <w:trHeight w:val="381"/>
        </w:trPr>
        <w:tc>
          <w:tcPr>
            <w:tcW w:w="6360" w:type="dxa"/>
            <w:vAlign w:val="bottom"/>
          </w:tcPr>
          <w:p>
            <w:pPr>
              <w:ind w:left="320"/>
              <w:spacing w:after="0"/>
              <w:rPr>
                <w:sz w:val="20"/>
                <w:szCs w:val="20"/>
                <w:color w:val="auto"/>
              </w:rPr>
            </w:pPr>
            <w:r>
              <w:rPr>
                <w:rFonts w:ascii="Arial" w:cs="Arial" w:eastAsia="Arial" w:hAnsi="Arial"/>
                <w:sz w:val="17"/>
                <w:szCs w:val="17"/>
                <w:color w:val="auto"/>
              </w:rPr>
              <w:t>Future minimum lease payments are as follows: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6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rPr>
              <w:t>July 30, 2023</w:t>
            </w: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
        </w:trPr>
        <w:tc>
          <w:tcPr>
            <w:tcW w:w="6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6360" w:type="dxa"/>
            <w:vAlign w:val="bottom"/>
            <w:tcBorders>
              <w:bottom w:val="single" w:sz="8" w:color="CCEEFF"/>
            </w:tcBorders>
            <w:vMerge w:val="continue"/>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Operating</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w w:val="86"/>
              </w:rPr>
              <w:t>Finance</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77</w:t>
            </w:r>
          </w:p>
        </w:tc>
        <w:tc>
          <w:tcPr>
            <w:tcW w:w="460" w:type="dxa"/>
            <w:vAlign w:val="bottom"/>
            <w:gridSpan w:val="4"/>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8"/>
        </w:trPr>
        <w:tc>
          <w:tcPr>
            <w:tcW w:w="6360" w:type="dxa"/>
            <w:vAlign w:val="bottom"/>
          </w:tcPr>
          <w:p>
            <w:pPr>
              <w:ind w:left="20"/>
              <w:spacing w:after="0"/>
              <w:rPr>
                <w:sz w:val="20"/>
                <w:szCs w:val="20"/>
                <w:color w:val="auto"/>
              </w:rPr>
            </w:pPr>
            <w:r>
              <w:rPr>
                <w:rFonts w:ascii="Arial" w:cs="Arial" w:eastAsia="Arial" w:hAnsi="Arial"/>
                <w:sz w:val="17"/>
                <w:szCs w:val="17"/>
                <w:color w:val="auto"/>
              </w:rPr>
              <w:t>2025</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20"/>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8"/>
        </w:trPr>
        <w:tc>
          <w:tcPr>
            <w:tcW w:w="6360" w:type="dxa"/>
            <w:vAlign w:val="bottom"/>
          </w:tcPr>
          <w:p>
            <w:pPr>
              <w:ind w:left="20"/>
              <w:spacing w:after="0"/>
              <w:rPr>
                <w:sz w:val="20"/>
                <w:szCs w:val="20"/>
                <w:color w:val="auto"/>
              </w:rPr>
            </w:pPr>
            <w:r>
              <w:rPr>
                <w:rFonts w:ascii="Arial" w:cs="Arial" w:eastAsia="Arial" w:hAnsi="Arial"/>
                <w:sz w:val="17"/>
                <w:szCs w:val="17"/>
                <w:color w:val="auto"/>
              </w:rPr>
              <w:t>2027</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0"/>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2028</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46</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future undiscounted lease payments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18"/>
        </w:trPr>
        <w:tc>
          <w:tcPr>
            <w:tcW w:w="63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Less imputed interest</w:t>
            </w:r>
          </w:p>
        </w:tc>
        <w:tc>
          <w:tcPr>
            <w:tcW w:w="1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25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33"/>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reported lease liability</w:t>
            </w: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278</w:t>
            </w:r>
          </w:p>
        </w:tc>
        <w:tc>
          <w:tcPr>
            <w:tcW w:w="460" w:type="dxa"/>
            <w:vAlign w:val="bottom"/>
            <w:gridSpan w:val="4"/>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7"/>
                <w:szCs w:val="17"/>
                <w:color w:val="auto"/>
                <w:w w:val="98"/>
              </w:rPr>
              <w:t>The following table summarizes cash flow and other information related to leases:</w:t>
            </w: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636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636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43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ind w:left="6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4"/>
        </w:trPr>
        <w:tc>
          <w:tcPr>
            <w:tcW w:w="63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360" w:type="dxa"/>
            <w:vAlign w:val="bottom"/>
          </w:tcPr>
          <w:p>
            <w:pPr>
              <w:ind w:left="120"/>
              <w:spacing w:after="0"/>
              <w:rPr>
                <w:sz w:val="20"/>
                <w:szCs w:val="20"/>
                <w:color w:val="auto"/>
              </w:rPr>
            </w:pPr>
            <w:r>
              <w:rPr>
                <w:rFonts w:ascii="Arial" w:cs="Arial" w:eastAsia="Arial" w:hAnsi="Arial"/>
                <w:sz w:val="17"/>
                <w:szCs w:val="17"/>
                <w:color w:val="auto"/>
              </w:rPr>
              <w:t>Operating cash flows from operating leases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84</w:t>
            </w:r>
          </w:p>
        </w:tc>
        <w:tc>
          <w:tcPr>
            <w:tcW w:w="1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Financing cash flows from finance leases</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w:t>
            </w:r>
          </w:p>
        </w:tc>
        <w:tc>
          <w:tcPr>
            <w:tcW w:w="10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58"/>
        </w:trPr>
        <w:tc>
          <w:tcPr>
            <w:tcW w:w="6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ROU assets obtained in exchange for lease obligations:</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360" w:type="dxa"/>
            <w:vAlign w:val="bottom"/>
          </w:tcPr>
          <w:p>
            <w:pPr>
              <w:ind w:left="120"/>
              <w:spacing w:after="0"/>
              <w:rPr>
                <w:sz w:val="20"/>
                <w:szCs w:val="20"/>
                <w:color w:val="auto"/>
              </w:rPr>
            </w:pPr>
            <w:r>
              <w:rPr>
                <w:rFonts w:ascii="Arial" w:cs="Arial" w:eastAsia="Arial" w:hAnsi="Arial"/>
                <w:sz w:val="17"/>
                <w:szCs w:val="17"/>
                <w:color w:val="auto"/>
              </w:rPr>
              <w:t>Operating leases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117</w:t>
            </w:r>
          </w:p>
        </w:tc>
        <w:tc>
          <w:tcPr>
            <w:tcW w:w="1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Finance leases</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w:t>
            </w:r>
          </w:p>
        </w:tc>
        <w:tc>
          <w:tcPr>
            <w:tcW w:w="10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Taxes on Earnings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provision for income taxes on earnings from continuing operations consists of the following: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8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3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48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taxes:</w:t>
            </w:r>
          </w:p>
        </w:tc>
        <w:tc>
          <w:tcPr>
            <w:tcW w:w="3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80" w:type="dxa"/>
            <w:vAlign w:val="bottom"/>
          </w:tcPr>
          <w:p>
            <w:pPr>
              <w:ind w:left="140"/>
              <w:spacing w:after="0"/>
              <w:rPr>
                <w:sz w:val="20"/>
                <w:szCs w:val="20"/>
                <w:color w:val="auto"/>
              </w:rPr>
            </w:pPr>
            <w:r>
              <w:rPr>
                <w:rFonts w:ascii="Arial" w:cs="Arial" w:eastAsia="Arial" w:hAnsi="Arial"/>
                <w:sz w:val="17"/>
                <w:szCs w:val="17"/>
                <w:color w:val="auto"/>
              </w:rPr>
              <w:t>Currently payable:</w:t>
            </w:r>
          </w:p>
        </w:tc>
        <w:tc>
          <w:tcPr>
            <w:tcW w:w="3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Federal</w:t>
            </w:r>
          </w:p>
        </w:tc>
        <w:tc>
          <w:tcPr>
            <w:tcW w:w="384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tcPr>
          <w:p>
            <w:pPr>
              <w:ind w:left="140"/>
              <w:spacing w:after="0"/>
              <w:rPr>
                <w:sz w:val="20"/>
                <w:szCs w:val="20"/>
                <w:color w:val="auto"/>
              </w:rPr>
            </w:pPr>
            <w:r>
              <w:rPr>
                <w:rFonts w:ascii="Arial" w:cs="Arial" w:eastAsia="Arial" w:hAnsi="Arial"/>
                <w:sz w:val="17"/>
                <w:szCs w:val="17"/>
                <w:color w:val="auto"/>
              </w:rPr>
              <w:t>State</w:t>
            </w:r>
          </w:p>
        </w:tc>
        <w:tc>
          <w:tcPr>
            <w:tcW w:w="3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Non-U.S.</w:t>
            </w:r>
          </w:p>
        </w:tc>
        <w:tc>
          <w:tcPr>
            <w:tcW w:w="35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480" w:type="dxa"/>
            <w:vAlign w:val="bottom"/>
            <w:tcBorders>
              <w:bottom w:val="single" w:sz="8" w:color="CCEEFF"/>
            </w:tcBorders>
          </w:tcPr>
          <w:p>
            <w:pPr>
              <w:spacing w:after="0"/>
              <w:rPr>
                <w:sz w:val="18"/>
                <w:szCs w:val="18"/>
                <w:color w:val="auto"/>
              </w:rPr>
            </w:pPr>
          </w:p>
        </w:tc>
        <w:tc>
          <w:tcPr>
            <w:tcW w:w="35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w:t>
            </w:r>
          </w:p>
        </w:tc>
        <w:tc>
          <w:tcPr>
            <w:tcW w:w="3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480" w:type="dxa"/>
            <w:vAlign w:val="bottom"/>
          </w:tcPr>
          <w:p>
            <w:pPr>
              <w:ind w:left="140"/>
              <w:spacing w:after="0"/>
              <w:rPr>
                <w:sz w:val="20"/>
                <w:szCs w:val="20"/>
                <w:color w:val="auto"/>
              </w:rPr>
            </w:pPr>
            <w:r>
              <w:rPr>
                <w:rFonts w:ascii="Arial" w:cs="Arial" w:eastAsia="Arial" w:hAnsi="Arial"/>
                <w:sz w:val="17"/>
                <w:szCs w:val="17"/>
                <w:color w:val="auto"/>
              </w:rPr>
              <w:t>Federal</w:t>
            </w:r>
          </w:p>
        </w:tc>
        <w:tc>
          <w:tcPr>
            <w:tcW w:w="3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State</w:t>
            </w:r>
          </w:p>
        </w:tc>
        <w:tc>
          <w:tcPr>
            <w:tcW w:w="3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Non-U.S.</w:t>
            </w:r>
          </w:p>
        </w:tc>
        <w:tc>
          <w:tcPr>
            <w:tcW w:w="35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48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520" w:type="dxa"/>
            <w:vAlign w:val="bottom"/>
            <w:vMerge w:val="restart"/>
          </w:tcPr>
          <w:p>
            <w:pPr>
              <w:jc w:val="right"/>
              <w:ind w:right="1214"/>
              <w:spacing w:after="0"/>
              <w:rPr>
                <w:sz w:val="20"/>
                <w:szCs w:val="20"/>
                <w:color w:val="auto"/>
              </w:rPr>
            </w:pPr>
            <w:r>
              <w:rPr>
                <w:rFonts w:ascii="Arial" w:cs="Arial" w:eastAsia="Arial" w:hAnsi="Arial"/>
                <w:sz w:val="17"/>
                <w:szCs w:val="17"/>
                <w:color w:val="auto"/>
              </w:rPr>
              <w:t>54</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4"/>
        </w:trPr>
        <w:tc>
          <w:tcPr>
            <w:tcW w:w="348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480" w:type="dxa"/>
            <w:vAlign w:val="bottom"/>
            <w:tcBorders>
              <w:bottom w:val="single" w:sz="8" w:color="9A9A9A"/>
            </w:tcBorders>
          </w:tcPr>
          <w:p>
            <w:pPr>
              <w:spacing w:after="0"/>
              <w:rPr>
                <w:sz w:val="17"/>
                <w:szCs w:val="17"/>
                <w:color w:val="auto"/>
              </w:rPr>
            </w:pPr>
          </w:p>
        </w:tc>
        <w:tc>
          <w:tcPr>
            <w:tcW w:w="352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06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300" w:type="dxa"/>
            <w:vAlign w:val="bottom"/>
          </w:tcPr>
          <w:p>
            <w:pPr>
              <w:spacing w:after="0"/>
              <w:rPr>
                <w:sz w:val="15"/>
                <w:szCs w:val="15"/>
                <w:color w:val="auto"/>
              </w:rPr>
            </w:pPr>
          </w:p>
        </w:tc>
        <w:tc>
          <w:tcPr>
            <w:tcW w:w="1020" w:type="dxa"/>
            <w:vAlign w:val="bottom"/>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ind w:right="456"/>
              <w:spacing w:after="0"/>
              <w:rPr>
                <w:sz w:val="20"/>
                <w:szCs w:val="20"/>
                <w:color w:val="auto"/>
              </w:rPr>
            </w:pPr>
            <w:r>
              <w:rPr>
                <w:rFonts w:ascii="Arial" w:cs="Arial" w:eastAsia="Arial" w:hAnsi="Arial"/>
                <w:sz w:val="14"/>
                <w:szCs w:val="14"/>
                <w:b w:val="1"/>
                <w:bCs w:val="1"/>
                <w:color w:val="auto"/>
              </w:rPr>
              <w:t>2021</w:t>
            </w:r>
          </w:p>
        </w:tc>
      </w:tr>
      <w:tr>
        <w:trPr>
          <w:trHeight w:val="24"/>
        </w:trPr>
        <w:tc>
          <w:tcPr>
            <w:tcW w:w="20" w:type="dxa"/>
            <w:vAlign w:val="bottom"/>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9"/>
        </w:trPr>
        <w:tc>
          <w:tcPr>
            <w:tcW w:w="20" w:type="dxa"/>
            <w:vAlign w:val="bottom"/>
          </w:tcPr>
          <w:p>
            <w:pPr>
              <w:spacing w:after="0"/>
              <w:rPr>
                <w:sz w:val="17"/>
                <w:szCs w:val="17"/>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from continuing operations before income taxes: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Arial" w:cs="Arial" w:eastAsia="Arial" w:hAnsi="Arial"/>
                <w:sz w:val="17"/>
                <w:szCs w:val="17"/>
                <w:color w:val="auto"/>
              </w:rPr>
              <w:t>United States</w:t>
            </w:r>
          </w:p>
        </w:tc>
        <w:tc>
          <w:tcPr>
            <w:tcW w:w="300" w:type="dxa"/>
            <w:vAlign w:val="bottom"/>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1,105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948</w:t>
            </w:r>
          </w:p>
        </w:tc>
        <w:tc>
          <w:tcPr>
            <w:tcW w:w="10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1,308</w:t>
            </w:r>
          </w:p>
        </w:tc>
      </w:tr>
      <w:tr>
        <w:trPr>
          <w:trHeight w:val="219"/>
        </w:trPr>
        <w:tc>
          <w:tcPr>
            <w:tcW w:w="20" w:type="dxa"/>
            <w:vAlign w:val="bottom"/>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Non-U.S.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r>
      <w:tr>
        <w:trPr>
          <w:trHeight w:val="212"/>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1,128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975</w:t>
            </w:r>
          </w:p>
        </w:tc>
        <w:tc>
          <w:tcPr>
            <w:tcW w:w="100" w:type="dxa"/>
            <w:vAlign w:val="bottom"/>
          </w:tcPr>
          <w:p>
            <w:pPr>
              <w:spacing w:after="0"/>
              <w:rPr>
                <w:sz w:val="18"/>
                <w:szCs w:val="18"/>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1,336</w:t>
            </w: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9900" w:type="dxa"/>
            <w:vAlign w:val="bottom"/>
            <w:gridSpan w:val="8"/>
          </w:tcPr>
          <w:p>
            <w:pPr>
              <w:ind w:left="300"/>
              <w:spacing w:after="0"/>
              <w:rPr>
                <w:sz w:val="20"/>
                <w:szCs w:val="20"/>
                <w:color w:val="auto"/>
              </w:rPr>
            </w:pPr>
            <w:r>
              <w:rPr>
                <w:rFonts w:ascii="Arial" w:cs="Arial" w:eastAsia="Arial" w:hAnsi="Arial"/>
                <w:sz w:val="17"/>
                <w:szCs w:val="17"/>
                <w:color w:val="auto"/>
                <w:w w:val="95"/>
              </w:rPr>
              <w:t>The following is a reconciliation of the effective income tax rate on continuing operations to the U.S. federal statutory income tax rate: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6"/>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17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ind w:right="27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ind w:right="376"/>
              <w:spacing w:after="0"/>
              <w:rPr>
                <w:sz w:val="20"/>
                <w:szCs w:val="20"/>
                <w:color w:val="auto"/>
              </w:rPr>
            </w:pPr>
            <w:r>
              <w:rPr>
                <w:rFonts w:ascii="Arial" w:cs="Arial" w:eastAsia="Arial" w:hAnsi="Arial"/>
                <w:sz w:val="14"/>
                <w:szCs w:val="14"/>
                <w:b w:val="1"/>
                <w:bCs w:val="1"/>
                <w:color w:val="auto"/>
              </w:rPr>
              <w:t>2021</w:t>
            </w:r>
          </w:p>
        </w:tc>
      </w:tr>
      <w:tr>
        <w:trPr>
          <w:trHeight w:val="24"/>
        </w:trPr>
        <w:tc>
          <w:tcPr>
            <w:tcW w:w="708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2"/>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Federal statutory income tax rate</w:t>
            </w: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21.0 %</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r>
      <w:tr>
        <w:trPr>
          <w:trHeight w:val="219"/>
        </w:trPr>
        <w:tc>
          <w:tcPr>
            <w:tcW w:w="7080" w:type="dxa"/>
            <w:vAlign w:val="bottom"/>
            <w:gridSpan w:val="2"/>
          </w:tcPr>
          <w:p>
            <w:pPr>
              <w:ind w:left="20"/>
              <w:spacing w:after="0"/>
              <w:rPr>
                <w:sz w:val="20"/>
                <w:szCs w:val="20"/>
                <w:color w:val="auto"/>
              </w:rPr>
            </w:pPr>
            <w:r>
              <w:rPr>
                <w:rFonts w:ascii="Arial" w:cs="Arial" w:eastAsia="Arial" w:hAnsi="Arial"/>
                <w:sz w:val="17"/>
                <w:szCs w:val="17"/>
                <w:color w:val="auto"/>
              </w:rPr>
              <w:t>State income taxes (net of federal tax benefit)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16"/>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ind w:right="116"/>
              <w:spacing w:after="0"/>
              <w:rPr>
                <w:sz w:val="20"/>
                <w:szCs w:val="20"/>
                <w:color w:val="auto"/>
              </w:rPr>
            </w:pPr>
            <w:r>
              <w:rPr>
                <w:rFonts w:ascii="Arial" w:cs="Arial" w:eastAsia="Arial" w:hAnsi="Arial"/>
                <w:sz w:val="17"/>
                <w:szCs w:val="17"/>
                <w:color w:val="auto"/>
              </w:rPr>
              <w:t>2.8</w:t>
            </w:r>
          </w:p>
        </w:tc>
      </w:tr>
      <w:tr>
        <w:trPr>
          <w:trHeight w:val="219"/>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Tax effect of international items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0.2</w:t>
            </w:r>
          </w:p>
        </w:tc>
      </w:tr>
      <w:tr>
        <w:trPr>
          <w:trHeight w:val="219"/>
        </w:trPr>
        <w:tc>
          <w:tcPr>
            <w:tcW w:w="7080" w:type="dxa"/>
            <w:vAlign w:val="bottom"/>
            <w:gridSpan w:val="2"/>
          </w:tcPr>
          <w:p>
            <w:pPr>
              <w:ind w:left="20"/>
              <w:spacing w:after="0"/>
              <w:rPr>
                <w:sz w:val="20"/>
                <w:szCs w:val="20"/>
                <w:color w:val="auto"/>
              </w:rPr>
            </w:pPr>
            <w:r>
              <w:rPr>
                <w:rFonts w:ascii="Arial" w:cs="Arial" w:eastAsia="Arial" w:hAnsi="Arial"/>
                <w:sz w:val="17"/>
                <w:szCs w:val="17"/>
                <w:color w:val="auto"/>
              </w:rPr>
              <w:t>State income tax law changes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ind w:right="116"/>
              <w:spacing w:after="0"/>
              <w:rPr>
                <w:sz w:val="20"/>
                <w:szCs w:val="20"/>
                <w:color w:val="auto"/>
              </w:rPr>
            </w:pPr>
            <w:r>
              <w:rPr>
                <w:rFonts w:ascii="Arial" w:cs="Arial" w:eastAsia="Arial" w:hAnsi="Arial"/>
                <w:sz w:val="17"/>
                <w:szCs w:val="17"/>
                <w:color w:val="auto"/>
              </w:rPr>
              <w:t>0.3</w:t>
            </w:r>
          </w:p>
        </w:tc>
      </w:tr>
      <w:tr>
        <w:trPr>
          <w:trHeight w:val="219"/>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Divestiture impact on deferred taxes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(0.9)</w:t>
            </w:r>
          </w:p>
        </w:tc>
      </w:tr>
      <w:tr>
        <w:trPr>
          <w:trHeight w:val="219"/>
        </w:trPr>
        <w:tc>
          <w:tcPr>
            <w:tcW w:w="7080" w:type="dxa"/>
            <w:vAlign w:val="bottom"/>
            <w:gridSpan w:val="2"/>
          </w:tcPr>
          <w:p>
            <w:pPr>
              <w:ind w:left="20"/>
              <w:spacing w:after="0"/>
              <w:rPr>
                <w:sz w:val="20"/>
                <w:szCs w:val="20"/>
                <w:color w:val="auto"/>
              </w:rPr>
            </w:pPr>
            <w:r>
              <w:rPr>
                <w:rFonts w:ascii="Arial" w:cs="Arial" w:eastAsia="Arial" w:hAnsi="Arial"/>
                <w:sz w:val="17"/>
                <w:szCs w:val="17"/>
                <w:color w:val="auto"/>
              </w:rPr>
              <w:t>Legal entity reorganization</w:t>
            </w: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ind w:right="116"/>
              <w:spacing w:after="0"/>
              <w:rPr>
                <w:sz w:val="20"/>
                <w:szCs w:val="20"/>
                <w:color w:val="auto"/>
              </w:rPr>
            </w:pPr>
            <w:r>
              <w:rPr>
                <w:rFonts w:ascii="Arial" w:cs="Arial" w:eastAsia="Arial" w:hAnsi="Arial"/>
                <w:sz w:val="17"/>
                <w:szCs w:val="17"/>
                <w:color w:val="auto"/>
              </w:rPr>
              <w:t>1.4</w:t>
            </w:r>
          </w:p>
        </w:tc>
      </w:tr>
      <w:tr>
        <w:trPr>
          <w:trHeight w:val="219"/>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Capital loss on the sale of the Plum baby food and snacks business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(1.3)</w:t>
            </w:r>
          </w:p>
        </w:tc>
      </w:tr>
      <w:tr>
        <w:trPr>
          <w:trHeight w:val="219"/>
        </w:trPr>
        <w:tc>
          <w:tcPr>
            <w:tcW w:w="7080" w:type="dxa"/>
            <w:vAlign w:val="bottom"/>
            <w:gridSpan w:val="2"/>
          </w:tcPr>
          <w:p>
            <w:pPr>
              <w:ind w:left="20"/>
              <w:spacing w:after="0"/>
              <w:rPr>
                <w:sz w:val="20"/>
                <w:szCs w:val="20"/>
                <w:color w:val="auto"/>
              </w:rPr>
            </w:pPr>
            <w:r>
              <w:rPr>
                <w:rFonts w:ascii="Arial" w:cs="Arial" w:eastAsia="Arial" w:hAnsi="Arial"/>
                <w:sz w:val="17"/>
                <w:szCs w:val="17"/>
                <w:color w:val="auto"/>
              </w:rPr>
              <w:t>Capital loss valuation allowance on the sale of the Plum baby food and snacks business</w:t>
            </w: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ind w:right="116"/>
              <w:spacing w:after="0"/>
              <w:rPr>
                <w:sz w:val="20"/>
                <w:szCs w:val="20"/>
                <w:color w:val="auto"/>
              </w:rPr>
            </w:pPr>
            <w:r>
              <w:rPr>
                <w:rFonts w:ascii="Arial" w:cs="Arial" w:eastAsia="Arial" w:hAnsi="Arial"/>
                <w:sz w:val="17"/>
                <w:szCs w:val="17"/>
                <w:color w:val="auto"/>
              </w:rPr>
              <w:t>1.3</w:t>
            </w:r>
          </w:p>
        </w:tc>
      </w:tr>
      <w:tr>
        <w:trPr>
          <w:trHeight w:val="219"/>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300" w:type="dxa"/>
            <w:vAlign w:val="bottom"/>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(0.1)</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(0.2)</w:t>
            </w:r>
          </w:p>
        </w:tc>
      </w:tr>
      <w:tr>
        <w:trPr>
          <w:trHeight w:val="212"/>
        </w:trPr>
        <w:tc>
          <w:tcPr>
            <w:tcW w:w="7080" w:type="dxa"/>
            <w:vAlign w:val="bottom"/>
            <w:gridSpan w:val="2"/>
          </w:tcPr>
          <w:p>
            <w:pPr>
              <w:ind w:left="20"/>
              <w:spacing w:after="0"/>
              <w:rPr>
                <w:sz w:val="20"/>
                <w:szCs w:val="20"/>
                <w:color w:val="auto"/>
              </w:rPr>
            </w:pPr>
            <w:r>
              <w:rPr>
                <w:rFonts w:ascii="Arial" w:cs="Arial" w:eastAsia="Arial" w:hAnsi="Arial"/>
                <w:sz w:val="17"/>
                <w:szCs w:val="17"/>
                <w:color w:val="auto"/>
              </w:rPr>
              <w:t>Effective income tax rate</w:t>
            </w:r>
          </w:p>
        </w:tc>
        <w:tc>
          <w:tcPr>
            <w:tcW w:w="300" w:type="dxa"/>
            <w:vAlign w:val="bottom"/>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23.9 %</w:t>
            </w:r>
          </w:p>
        </w:tc>
        <w:tc>
          <w:tcPr>
            <w:tcW w:w="100" w:type="dxa"/>
            <w:vAlign w:val="bottom"/>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22.4 %</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24.6 %</w:t>
            </w: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In the second quarter of 2021, we recorded a $19 million deferred tax charge in connection with a legal entity reorganization as part of the continued integration of Snyder's-Lance.</w:t>
      </w:r>
    </w:p>
    <w:p>
      <w:pPr>
        <w:spacing w:after="0" w:line="48"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On August 16, 2022, the Inflation Reduction Act (IRA) was signed into law. The IRA introduces a corporate alternative minimum tax beginning in 2024, a 1% excise tax on share repurchases in excess of issuances after January 1, 2023, and several tax incentives to promote clean energy. Any excise tax incurred is recognized as part of the cost basis of the shares acquired in the Consolidated Statements of Equity. We do not expect the provisions of the IRA to have a material impact on our consolidated financial statements.</w:t>
      </w:r>
    </w:p>
    <w:p>
      <w:pPr>
        <w:spacing w:after="0" w:line="5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Deferred tax liabilities and assets are comprised of the following: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44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4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44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w:t>
            </w:r>
          </w:p>
        </w:tc>
        <w:tc>
          <w:tcPr>
            <w:tcW w:w="40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tcPr>
          <w:p>
            <w:pPr>
              <w:ind w:left="20"/>
              <w:spacing w:after="0"/>
              <w:rPr>
                <w:sz w:val="20"/>
                <w:szCs w:val="20"/>
                <w:color w:val="auto"/>
              </w:rPr>
            </w:pPr>
            <w:r>
              <w:rPr>
                <w:rFonts w:ascii="Arial" w:cs="Arial" w:eastAsia="Arial" w:hAnsi="Arial"/>
                <w:sz w:val="17"/>
                <w:szCs w:val="17"/>
                <w:color w:val="auto"/>
              </w:rPr>
              <w:t>Amortization</w:t>
            </w:r>
          </w:p>
        </w:tc>
        <w:tc>
          <w:tcPr>
            <w:tcW w:w="4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881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ROU assets</w:t>
            </w:r>
          </w:p>
        </w:tc>
        <w:tc>
          <w:tcPr>
            <w:tcW w:w="4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440" w:type="dxa"/>
            <w:vAlign w:val="bottom"/>
          </w:tcPr>
          <w:p>
            <w:pPr>
              <w:ind w:left="20"/>
              <w:spacing w:after="0"/>
              <w:rPr>
                <w:sz w:val="20"/>
                <w:szCs w:val="20"/>
                <w:color w:val="auto"/>
              </w:rPr>
            </w:pPr>
            <w:r>
              <w:rPr>
                <w:rFonts w:ascii="Arial" w:cs="Arial" w:eastAsia="Arial" w:hAnsi="Arial"/>
                <w:sz w:val="17"/>
                <w:szCs w:val="17"/>
                <w:color w:val="auto"/>
              </w:rPr>
              <w:t>Pension</w:t>
            </w:r>
          </w:p>
        </w:tc>
        <w:tc>
          <w:tcPr>
            <w:tcW w:w="4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40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4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Deferred tax liabilities</w:t>
            </w:r>
          </w:p>
        </w:tc>
        <w:tc>
          <w:tcPr>
            <w:tcW w:w="40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1,337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Benefits and compensation</w:t>
            </w:r>
          </w:p>
        </w:tc>
        <w:tc>
          <w:tcPr>
            <w:tcW w:w="4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tcPr>
          <w:p>
            <w:pPr>
              <w:ind w:left="20"/>
              <w:spacing w:after="0"/>
              <w:rPr>
                <w:sz w:val="20"/>
                <w:szCs w:val="20"/>
                <w:color w:val="auto"/>
              </w:rPr>
            </w:pPr>
            <w:r>
              <w:rPr>
                <w:rFonts w:ascii="Arial" w:cs="Arial" w:eastAsia="Arial" w:hAnsi="Arial"/>
                <w:sz w:val="17"/>
                <w:szCs w:val="17"/>
                <w:color w:val="auto"/>
              </w:rPr>
              <w:t>Pension benefits</w:t>
            </w:r>
          </w:p>
        </w:tc>
        <w:tc>
          <w:tcPr>
            <w:tcW w:w="4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loss carryforwards</w:t>
            </w:r>
          </w:p>
        </w:tc>
        <w:tc>
          <w:tcPr>
            <w:tcW w:w="4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440" w:type="dxa"/>
            <w:vAlign w:val="bottom"/>
          </w:tcPr>
          <w:p>
            <w:pPr>
              <w:ind w:left="20"/>
              <w:spacing w:after="0"/>
              <w:rPr>
                <w:sz w:val="20"/>
                <w:szCs w:val="20"/>
                <w:color w:val="auto"/>
              </w:rPr>
            </w:pPr>
            <w:r>
              <w:rPr>
                <w:rFonts w:ascii="Arial" w:cs="Arial" w:eastAsia="Arial" w:hAnsi="Arial"/>
                <w:sz w:val="17"/>
                <w:szCs w:val="17"/>
                <w:color w:val="auto"/>
              </w:rPr>
              <w:t>Capital loss carryforwards</w:t>
            </w:r>
          </w:p>
        </w:tc>
        <w:tc>
          <w:tcPr>
            <w:tcW w:w="4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liabilities</w:t>
            </w:r>
          </w:p>
        </w:tc>
        <w:tc>
          <w:tcPr>
            <w:tcW w:w="4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440" w:type="dxa"/>
            <w:vAlign w:val="bottom"/>
          </w:tcPr>
          <w:p>
            <w:pPr>
              <w:ind w:left="20"/>
              <w:spacing w:after="0"/>
              <w:rPr>
                <w:sz w:val="20"/>
                <w:szCs w:val="20"/>
                <w:color w:val="auto"/>
              </w:rPr>
            </w:pPr>
            <w:r>
              <w:rPr>
                <w:rFonts w:ascii="Arial" w:cs="Arial" w:eastAsia="Arial" w:hAnsi="Arial"/>
                <w:sz w:val="17"/>
                <w:szCs w:val="17"/>
                <w:color w:val="auto"/>
              </w:rPr>
              <w:t>Capitalized research and development</w:t>
            </w:r>
          </w:p>
        </w:tc>
        <w:tc>
          <w:tcPr>
            <w:tcW w:w="4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40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440" w:type="dxa"/>
            <w:vAlign w:val="bottom"/>
          </w:tcPr>
          <w:p>
            <w:pPr>
              <w:ind w:left="140"/>
              <w:spacing w:after="0"/>
              <w:rPr>
                <w:sz w:val="20"/>
                <w:szCs w:val="20"/>
                <w:color w:val="auto"/>
              </w:rPr>
            </w:pPr>
            <w:r>
              <w:rPr>
                <w:rFonts w:ascii="Arial" w:cs="Arial" w:eastAsia="Arial" w:hAnsi="Arial"/>
                <w:sz w:val="17"/>
                <w:szCs w:val="17"/>
                <w:color w:val="auto"/>
              </w:rPr>
              <w:t>Gross deferred tax assets</w:t>
            </w:r>
          </w:p>
        </w:tc>
        <w:tc>
          <w:tcPr>
            <w:tcW w:w="4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401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 valuation allowance</w:t>
            </w:r>
          </w:p>
        </w:tc>
        <w:tc>
          <w:tcPr>
            <w:tcW w:w="40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4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Deferred tax assets, net of valuation allowance</w:t>
            </w:r>
          </w:p>
        </w:tc>
        <w:tc>
          <w:tcPr>
            <w:tcW w:w="40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deferred tax liability</w:t>
            </w:r>
          </w:p>
        </w:tc>
        <w:tc>
          <w:tcPr>
            <w:tcW w:w="40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1,065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bottom w:val="single" w:sz="8" w:color="CCEEFF"/>
            </w:tcBorders>
            <w:vMerge w:val="restart"/>
          </w:tcPr>
          <w:p>
            <w:pPr>
              <w:jc w:val="right"/>
              <w:ind w:right="2654"/>
              <w:spacing w:after="0"/>
              <w:rPr>
                <w:sz w:val="20"/>
                <w:szCs w:val="20"/>
                <w:color w:val="auto"/>
              </w:rPr>
            </w:pPr>
            <w:r>
              <w:rPr>
                <w:rFonts w:ascii="Arial" w:cs="Arial" w:eastAsia="Arial" w:hAnsi="Arial"/>
                <w:sz w:val="17"/>
                <w:szCs w:val="17"/>
                <w:color w:val="auto"/>
              </w:rPr>
              <w:t>55</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4"/>
        </w:trPr>
        <w:tc>
          <w:tcPr>
            <w:tcW w:w="444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440" w:type="dxa"/>
            <w:vAlign w:val="bottom"/>
            <w:tcBorders>
              <w:bottom w:val="single" w:sz="8" w:color="9A9A9A"/>
            </w:tcBorders>
          </w:tcPr>
          <w:p>
            <w:pPr>
              <w:spacing w:after="0"/>
              <w:rPr>
                <w:sz w:val="16"/>
                <w:szCs w:val="16"/>
                <w:color w:val="auto"/>
              </w:rPr>
            </w:pPr>
          </w:p>
        </w:tc>
        <w:tc>
          <w:tcPr>
            <w:tcW w:w="400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2" w:right="339" w:bottom="1440" w:gutter="0" w:footer="0" w:header="0"/>
        </w:sectPr>
      </w:pPr>
    </w:p>
    <w:bookmarkStart w:id="55" w:name="page56"/>
    <w:bookmarkEnd w:id="55"/>
    <w:p>
      <w:pPr>
        <w:jc w:val="both"/>
        <w:ind w:firstLine="309"/>
        <w:spacing w:after="0" w:line="259" w:lineRule="auto"/>
        <w:rPr>
          <w:sz w:val="20"/>
          <w:szCs w:val="20"/>
          <w:color w:val="auto"/>
        </w:rPr>
      </w:pPr>
      <w:r>
        <w:rPr>
          <w:rFonts w:ascii="Arial" w:cs="Arial" w:eastAsia="Arial" w:hAnsi="Arial"/>
          <w:sz w:val="17"/>
          <w:szCs w:val="17"/>
          <w:color w:val="auto"/>
        </w:rPr>
        <w:t>At July 30, 2023, our U.S. and non-U.S. subsidiaries had tax loss carryforwards of approximately $192 million. Of these carryforwards, $4 million may be carried forward indefinitely, and $188 million expire between 2024 and 2037, with the majority expiring after 2028. At July 30, 2023, deferred tax asset valuation allowances have been established to offset $40 million of these tax loss carryforwards. Additionally, as of July 30, 2023, our U.S. and non-U.S. subsidiaries had capital loss carryforwards of approximately $474 million, all of which were offset by valuation allowances. Of these capital loss carryforwards, $349 million expire in 2024, $77 million expire in 2026, and $48 million may be carried forward indefinitely.</w:t>
      </w:r>
    </w:p>
    <w:p>
      <w:pPr>
        <w:spacing w:after="0" w:line="40" w:lineRule="exact"/>
        <w:rPr>
          <w:sz w:val="20"/>
          <w:szCs w:val="20"/>
          <w:color w:val="auto"/>
        </w:rPr>
      </w:pPr>
    </w:p>
    <w:p>
      <w:pPr>
        <w:jc w:val="both"/>
        <w:ind w:firstLine="309"/>
        <w:spacing w:after="0" w:line="245" w:lineRule="auto"/>
        <w:rPr>
          <w:sz w:val="20"/>
          <w:szCs w:val="20"/>
          <w:color w:val="auto"/>
        </w:rPr>
      </w:pPr>
      <w:r>
        <w:rPr>
          <w:rFonts w:ascii="Arial" w:cs="Arial" w:eastAsia="Arial" w:hAnsi="Arial"/>
          <w:sz w:val="17"/>
          <w:szCs w:val="17"/>
          <w:color w:val="auto"/>
        </w:rPr>
        <w:t>The net change in the deferred tax asset valuation allowance in 2023 was a decrease of $2 million. The decrease was primarily due to state tax loss carryforwards. The net change in the deferred tax asset valuation allowance in 2022 was a decrease of $11 million. The decrease was primarily due to the liquidation of an inactive subsidiary. The net change in the deferred tax asset valuation allowance in 2021 was an increase of $20 million. The increase was primarily due to the sale of the Plum baby food and snacks business.</w:t>
      </w:r>
    </w:p>
    <w:p>
      <w:pPr>
        <w:spacing w:after="0" w:line="77"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As of July 30, 2023, other deferred tax assets included $12 million of state tax credit carryforwards related to various states that expire in 2025. As of July 31, 2022, other deferred tax assets included $13 million of state tax credit carryforwards. As of July 30, 2023, and July 31, 2022, deferred tax asset valuation allowances have been established to offset the state tax credit carryforwards.</w:t>
      </w:r>
    </w:p>
    <w:p>
      <w:pPr>
        <w:spacing w:after="0" w:line="4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As of July 30, 2023, we had approximately $11 million of undistributed earnings of foreign subsidiaries which are deemed to be permanently reinvested and for which we have not recognized a deferred tax liability. We estimate that the tax liability that might be incurred if permanently reinvested earnings were remitted to the U.S. would not be material. Foreign subsidiary earnings in 2021 and thereafter are not considered permanently reinvested and we have therefore recognized a deferred tax liability and expense.</w:t>
      </w:r>
    </w:p>
    <w:p>
      <w:pPr>
        <w:spacing w:after="0" w:line="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reconciliation of the activity related to unrecognized tax benefits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00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320" w:type="dxa"/>
            <w:vAlign w:val="bottom"/>
          </w:tcPr>
          <w:p>
            <w:pPr>
              <w:spacing w:after="0"/>
              <w:rPr>
                <w:sz w:val="15"/>
                <w:szCs w:val="15"/>
                <w:color w:val="auto"/>
              </w:rPr>
            </w:pPr>
          </w:p>
        </w:tc>
        <w:tc>
          <w:tcPr>
            <w:tcW w:w="1000" w:type="dxa"/>
            <w:vAlign w:val="bottom"/>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36"/>
              <w:spacing w:after="0"/>
              <w:rPr>
                <w:sz w:val="20"/>
                <w:szCs w:val="20"/>
                <w:color w:val="auto"/>
              </w:rPr>
            </w:pPr>
            <w:r>
              <w:rPr>
                <w:rFonts w:ascii="Arial" w:cs="Arial" w:eastAsia="Arial" w:hAnsi="Arial"/>
                <w:sz w:val="14"/>
                <w:szCs w:val="14"/>
                <w:b w:val="1"/>
                <w:bCs w:val="1"/>
                <w:color w:val="auto"/>
              </w:rPr>
              <w:t>2021</w:t>
            </w:r>
          </w:p>
        </w:tc>
      </w:tr>
      <w:tr>
        <w:trPr>
          <w:trHeight w:val="24"/>
        </w:trPr>
        <w:tc>
          <w:tcPr>
            <w:tcW w:w="7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2"/>
        </w:trPr>
        <w:tc>
          <w:tcPr>
            <w:tcW w:w="7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beginning of year</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219"/>
        </w:trPr>
        <w:tc>
          <w:tcPr>
            <w:tcW w:w="7000" w:type="dxa"/>
            <w:vAlign w:val="bottom"/>
          </w:tcPr>
          <w:p>
            <w:pPr>
              <w:ind w:left="140"/>
              <w:spacing w:after="0"/>
              <w:rPr>
                <w:sz w:val="20"/>
                <w:szCs w:val="20"/>
                <w:color w:val="auto"/>
              </w:rPr>
            </w:pPr>
            <w:r>
              <w:rPr>
                <w:rFonts w:ascii="Arial" w:cs="Arial" w:eastAsia="Arial" w:hAnsi="Arial"/>
                <w:sz w:val="17"/>
                <w:szCs w:val="17"/>
                <w:color w:val="auto"/>
              </w:rPr>
              <w:t>Increases related to prior-year tax positions</w:t>
            </w:r>
          </w:p>
        </w:tc>
        <w:tc>
          <w:tcPr>
            <w:tcW w:w="3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7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Decreases related to prior-year tax positions</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9"/>
        </w:trPr>
        <w:tc>
          <w:tcPr>
            <w:tcW w:w="7000" w:type="dxa"/>
            <w:vAlign w:val="bottom"/>
          </w:tcPr>
          <w:p>
            <w:pPr>
              <w:ind w:left="140"/>
              <w:spacing w:after="0"/>
              <w:rPr>
                <w:sz w:val="20"/>
                <w:szCs w:val="20"/>
                <w:color w:val="auto"/>
              </w:rPr>
            </w:pPr>
            <w:r>
              <w:rPr>
                <w:rFonts w:ascii="Arial" w:cs="Arial" w:eastAsia="Arial" w:hAnsi="Arial"/>
                <w:sz w:val="17"/>
                <w:szCs w:val="17"/>
                <w:color w:val="auto"/>
              </w:rPr>
              <w:t>Increases related to current-year tax positions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19"/>
        </w:trPr>
        <w:tc>
          <w:tcPr>
            <w:tcW w:w="7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Settlements</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70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Lapse of statute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r>
      <w:tr>
        <w:trPr>
          <w:trHeight w:val="237"/>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end of year</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increase of unrecognized tax benefits was primarily due current-year tax positions. The amount of unrecognized tax benefits that, if recognized, would impact the annual effective tax rate was $12 million as of July 30, 2023, and July 31, 2022, and $18 million as of August 1, 2021. The total amount of unrecognized tax benefits can change due to audit settlements, tax examination activities, statute expirations and the recognition and measurement criteria under accounting for uncertainty in income taxes.</w:t>
      </w:r>
    </w:p>
    <w:p>
      <w:pPr>
        <w:spacing w:after="0" w:line="64" w:lineRule="exact"/>
        <w:rPr>
          <w:sz w:val="20"/>
          <w:szCs w:val="20"/>
          <w:color w:val="auto"/>
        </w:rPr>
      </w:pPr>
    </w:p>
    <w:p>
      <w:pPr>
        <w:jc w:val="both"/>
        <w:ind w:firstLine="309"/>
        <w:spacing w:after="0" w:line="317" w:lineRule="auto"/>
        <w:rPr>
          <w:sz w:val="20"/>
          <w:szCs w:val="20"/>
          <w:color w:val="auto"/>
        </w:rPr>
      </w:pPr>
      <w:r>
        <w:rPr>
          <w:rFonts w:ascii="Arial" w:cs="Arial" w:eastAsia="Arial" w:hAnsi="Arial"/>
          <w:sz w:val="15"/>
          <w:szCs w:val="15"/>
          <w:color w:val="auto"/>
        </w:rPr>
        <w:t>Our accounting policy for interest and penalties attributable to income taxes is to reflect any expense or benefit as a component of our income tax provision. The total amount of interest and penalties recognized in the Consolidated Statements of Earnings was not material in 2023, 2022, and 2021. The total amount of interest and penalties recognized in the Consolidated Balance Sheets in Other liabilities was $5 million as of July 30, 2023, and $4 million as of July 31, 2022.</w:t>
      </w:r>
    </w:p>
    <w:p>
      <w:pPr>
        <w:spacing w:after="0" w:line="1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file income tax returns in the U.S. federal jurisdiction and various state and non-U.S. jurisdictions. In the normal course of business, we are subject to examination by taxing authorities, including the U.S. and Canada. With limited exceptions, we have been audited for income tax purposes in the U.S. through 2021 and in Canada through 2016. In addition, several state income tax examinations are in progress for the years 2017 to 2021.</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124460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56" w:name="page57"/>
    <w:bookmarkEnd w:id="56"/>
    <w:p>
      <w:pPr>
        <w:ind w:left="320" w:right="7640" w:hanging="317"/>
        <w:spacing w:after="0" w:line="427" w:lineRule="auto"/>
        <w:tabs>
          <w:tab w:leader="none" w:pos="268" w:val="left"/>
        </w:tabs>
        <w:numPr>
          <w:ilvl w:val="0"/>
          <w:numId w:val="4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Short-term Borrowings and Long-term Debt </w:t>
      </w:r>
      <w:r>
        <w:rPr>
          <w:rFonts w:ascii="Arial" w:cs="Arial" w:eastAsia="Arial" w:hAnsi="Arial"/>
          <w:sz w:val="15"/>
          <w:szCs w:val="15"/>
          <w:color w:val="auto"/>
        </w:rPr>
        <w:t>Short-term borrowings consist of the following:</w:t>
      </w:r>
    </w:p>
    <w:tbl>
      <w:tblPr>
        <w:tblLayout w:type="fixed"/>
        <w:tblInd w:w="0" w:type="dxa"/>
        <w:tblCellMar>
          <w:top w:w="0" w:type="dxa"/>
          <w:left w:w="0" w:type="dxa"/>
          <w:bottom w:w="0" w:type="dxa"/>
          <w:right w:w="0" w:type="dxa"/>
        </w:tblCellMar>
      </w:tblPr>
      <w:tr>
        <w:trPr>
          <w:trHeight w:val="178"/>
        </w:trPr>
        <w:tc>
          <w:tcPr>
            <w:tcW w:w="804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360" w:type="dxa"/>
            <w:vAlign w:val="bottom"/>
          </w:tcPr>
          <w:p>
            <w:pPr>
              <w:spacing w:after="0"/>
              <w:rPr>
                <w:sz w:val="15"/>
                <w:szCs w:val="15"/>
                <w:color w:val="auto"/>
              </w:rPr>
            </w:pPr>
          </w:p>
        </w:tc>
        <w:tc>
          <w:tcPr>
            <w:tcW w:w="1180" w:type="dxa"/>
            <w:vAlign w:val="bottom"/>
          </w:tcPr>
          <w:p>
            <w:pPr>
              <w:jc w:val="right"/>
              <w:ind w:right="55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37"/>
              <w:spacing w:after="0"/>
              <w:rPr>
                <w:sz w:val="20"/>
                <w:szCs w:val="20"/>
                <w:color w:val="auto"/>
              </w:rPr>
            </w:pPr>
            <w:r>
              <w:rPr>
                <w:rFonts w:ascii="Arial" w:cs="Arial" w:eastAsia="Arial" w:hAnsi="Arial"/>
                <w:sz w:val="14"/>
                <w:szCs w:val="14"/>
                <w:b w:val="1"/>
                <w:bCs w:val="1"/>
                <w:color w:val="auto"/>
              </w:rPr>
              <w:t>2022</w:t>
            </w:r>
          </w:p>
        </w:tc>
      </w:tr>
      <w:tr>
        <w:trPr>
          <w:trHeight w:val="24"/>
        </w:trPr>
        <w:tc>
          <w:tcPr>
            <w:tcW w:w="8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2"/>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Commercial paper</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w:t>
            </w:r>
          </w:p>
        </w:tc>
      </w:tr>
      <w:tr>
        <w:trPr>
          <w:trHeight w:val="219"/>
        </w:trPr>
        <w:tc>
          <w:tcPr>
            <w:tcW w:w="8040" w:type="dxa"/>
            <w:vAlign w:val="bottom"/>
          </w:tcPr>
          <w:p>
            <w:pPr>
              <w:ind w:left="20"/>
              <w:spacing w:after="0"/>
              <w:rPr>
                <w:sz w:val="20"/>
                <w:szCs w:val="20"/>
                <w:color w:val="auto"/>
              </w:rPr>
            </w:pPr>
            <w:r>
              <w:rPr>
                <w:rFonts w:ascii="Arial" w:cs="Arial" w:eastAsia="Arial" w:hAnsi="Arial"/>
                <w:sz w:val="17"/>
                <w:szCs w:val="17"/>
                <w:color w:val="auto"/>
              </w:rPr>
              <w:t>Notes</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566</w:t>
            </w:r>
          </w:p>
        </w:tc>
      </w:tr>
      <w:tr>
        <w:trPr>
          <w:trHeight w:val="219"/>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leases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19"/>
        </w:trPr>
        <w:tc>
          <w:tcPr>
            <w:tcW w:w="8040" w:type="dxa"/>
            <w:vAlign w:val="bottom"/>
          </w:tcPr>
          <w:p>
            <w:pPr>
              <w:ind w:left="20"/>
              <w:spacing w:after="0" w:line="219"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(1)</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37"/>
        </w:trPr>
        <w:tc>
          <w:tcPr>
            <w:tcW w:w="80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short-term borrowings</w:t>
            </w:r>
          </w:p>
        </w:tc>
        <w:tc>
          <w:tcPr>
            <w:tcW w:w="36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814</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w:t>
      </w:r>
    </w:p>
    <w:p>
      <w:pPr>
        <w:spacing w:after="0" w:line="26" w:lineRule="exact"/>
        <w:rPr>
          <w:sz w:val="20"/>
          <w:szCs w:val="20"/>
          <w:color w:val="auto"/>
        </w:rPr>
      </w:pPr>
    </w:p>
    <w:p>
      <w:pPr>
        <w:ind w:left="300" w:hanging="297"/>
        <w:spacing w:after="0"/>
        <w:tabs>
          <w:tab w:leader="none" w:pos="300" w:val="left"/>
        </w:tabs>
        <w:numPr>
          <w:ilvl w:val="0"/>
          <w:numId w:val="43"/>
        </w:numPr>
        <w:rPr>
          <w:rFonts w:ascii="Arial" w:cs="Arial" w:eastAsia="Arial" w:hAnsi="Arial"/>
          <w:sz w:val="22"/>
          <w:szCs w:val="22"/>
          <w:color w:val="auto"/>
          <w:vertAlign w:val="superscript"/>
        </w:rPr>
      </w:pPr>
      <w:r>
        <w:rPr>
          <w:rFonts w:ascii="Arial" w:cs="Arial" w:eastAsia="Arial" w:hAnsi="Arial"/>
          <w:sz w:val="17"/>
          <w:szCs w:val="17"/>
          <w:color w:val="auto"/>
        </w:rPr>
        <w:t>Includes unamortized net discount/premium on debt issuances and debt issuance costs.</w:t>
      </w:r>
    </w:p>
    <w:p>
      <w:pPr>
        <w:spacing w:after="0" w:line="66" w:lineRule="exact"/>
        <w:rPr>
          <w:rFonts w:ascii="Arial" w:cs="Arial" w:eastAsia="Arial" w:hAnsi="Arial"/>
          <w:sz w:val="22"/>
          <w:szCs w:val="22"/>
          <w:color w:val="auto"/>
          <w:vertAlign w:val="superscript"/>
        </w:rPr>
      </w:pPr>
    </w:p>
    <w:p>
      <w:pPr>
        <w:ind w:left="320"/>
        <w:spacing w:after="0"/>
        <w:rPr>
          <w:rFonts w:ascii="Arial" w:cs="Arial" w:eastAsia="Arial" w:hAnsi="Arial"/>
          <w:sz w:val="22"/>
          <w:szCs w:val="22"/>
          <w:color w:val="auto"/>
          <w:vertAlign w:val="superscript"/>
        </w:rPr>
      </w:pPr>
      <w:r>
        <w:rPr>
          <w:rFonts w:ascii="Arial" w:cs="Arial" w:eastAsia="Arial" w:hAnsi="Arial"/>
          <w:sz w:val="15"/>
          <w:szCs w:val="15"/>
          <w:color w:val="auto"/>
        </w:rPr>
        <w:t>The weighted-average interest rate of commercial paper, which consisted of U.S. borrowings, was 5.43% as of July 30, 2023, and 2.63% as of July 31, 2022.</w:t>
      </w:r>
    </w:p>
    <w:p>
      <w:pPr>
        <w:spacing w:after="0" w:line="123"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As of July 30, 2023, we issued $29 million of standby letters of credit. On September 27, 2021, we entered into a committed revolving credit facility totaling $1.85 billion scheduled to mature on September 27, 2026. This facility remained unused at July 30, 2023, except for $1 million of standby letters of credit that we issued under it. The facility contains customary covenants, including a financial covenant with respect to a minimum consolidated interest coverage ratio of consolidated adjusted EBITDA to consolidated interest expense (as each is defined in the credit facility) of not less than 3.25:1.00, measured quarterly, and customary events of default for credit facilities of this type. Loans under this facility will bear interest at the rates specified in the facility, which vary based on the type of loan and certain other customary conditions. The facility supports our commercial paper program and other general corporate purposes.</w:t>
      </w:r>
    </w:p>
    <w:p>
      <w:pPr>
        <w:spacing w:after="0" w:line="52"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On April 4, 2023, we entered into an amendment to our existing revolving credit facility to replace remaining LIBOR-based benchmark rates applicable to borrowings under the revolving credit facility with SOFR-based benchmark rates, in advance of the cessation of LIBOR occurring on June 30, 2023.</w:t>
      </w:r>
    </w:p>
    <w:p>
      <w:pPr>
        <w:spacing w:after="0" w:line="1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Long-term debt consists of the following:</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gridSpan w:val="3"/>
          </w:tcPr>
          <w:p>
            <w:pPr>
              <w:spacing w:after="0"/>
              <w:rPr>
                <w:sz w:val="20"/>
                <w:szCs w:val="20"/>
                <w:color w:val="auto"/>
              </w:rPr>
            </w:pPr>
            <w:r>
              <w:rPr>
                <w:rFonts w:ascii="Arial" w:cs="Arial" w:eastAsia="Arial" w:hAnsi="Arial"/>
                <w:sz w:val="14"/>
                <w:szCs w:val="14"/>
                <w:b w:val="1"/>
                <w:bCs w:val="1"/>
                <w:color w:val="auto"/>
              </w:rPr>
              <w:t>(Millions)</w:t>
            </w:r>
          </w:p>
        </w:tc>
        <w:tc>
          <w:tcPr>
            <w:tcW w:w="360" w:type="dxa"/>
            <w:vAlign w:val="bottom"/>
          </w:tcPr>
          <w:p>
            <w:pPr>
              <w:spacing w:after="0"/>
              <w:rPr>
                <w:sz w:val="14"/>
                <w:szCs w:val="14"/>
                <w:color w:val="auto"/>
              </w:rPr>
            </w:pPr>
          </w:p>
        </w:tc>
        <w:tc>
          <w:tcPr>
            <w:tcW w:w="1160" w:type="dxa"/>
            <w:vAlign w:val="bottom"/>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535"/>
              <w:spacing w:after="0"/>
              <w:rPr>
                <w:sz w:val="20"/>
                <w:szCs w:val="20"/>
                <w:color w:val="auto"/>
              </w:rPr>
            </w:pPr>
            <w:r>
              <w:rPr>
                <w:rFonts w:ascii="Arial" w:cs="Arial" w:eastAsia="Arial" w:hAnsi="Arial"/>
                <w:sz w:val="14"/>
                <w:szCs w:val="14"/>
                <w:b w:val="1"/>
                <w:bCs w:val="1"/>
                <w:color w:val="auto"/>
              </w:rPr>
              <w:t>2022</w:t>
            </w:r>
          </w:p>
        </w:tc>
      </w:tr>
      <w:tr>
        <w:trPr>
          <w:trHeight w:val="32"/>
        </w:trPr>
        <w:tc>
          <w:tcPr>
            <w:tcW w:w="20" w:type="dxa"/>
            <w:vAlign w:val="bottom"/>
            <w:tcBorders>
              <w:bottom w:val="single" w:sz="8" w:color="CCEEFF"/>
            </w:tcBorders>
          </w:tcPr>
          <w:p>
            <w:pPr>
              <w:spacing w:after="0"/>
              <w:rPr>
                <w:sz w:val="2"/>
                <w:szCs w:val="2"/>
                <w:color w:val="auto"/>
              </w:rPr>
            </w:pPr>
          </w:p>
        </w:tc>
        <w:tc>
          <w:tcPr>
            <w:tcW w:w="460" w:type="dxa"/>
            <w:vAlign w:val="bottom"/>
            <w:tcBorders>
              <w:top w:val="single" w:sz="8" w:color="auto"/>
              <w:bottom w:val="single" w:sz="8" w:color="CCEEFF"/>
            </w:tcBorders>
          </w:tcPr>
          <w:p>
            <w:pPr>
              <w:spacing w:after="0"/>
              <w:rPr>
                <w:sz w:val="2"/>
                <w:szCs w:val="2"/>
                <w:color w:val="auto"/>
              </w:rPr>
            </w:pPr>
          </w:p>
        </w:tc>
        <w:tc>
          <w:tcPr>
            <w:tcW w:w="120" w:type="dxa"/>
            <w:vAlign w:val="bottom"/>
            <w:tcBorders>
              <w:top w:val="single" w:sz="8" w:color="auto"/>
              <w:bottom w:val="single" w:sz="8" w:color="CCEEFF"/>
            </w:tcBorders>
          </w:tcPr>
          <w:p>
            <w:pPr>
              <w:spacing w:after="0"/>
              <w:rPr>
                <w:sz w:val="2"/>
                <w:szCs w:val="2"/>
                <w:color w:val="auto"/>
              </w:rPr>
            </w:pPr>
          </w:p>
        </w:tc>
        <w:tc>
          <w:tcPr>
            <w:tcW w:w="7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2"/>
        </w:trPr>
        <w:tc>
          <w:tcPr>
            <w:tcW w:w="4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1"/>
              </w:rPr>
              <w:t>3.65%</w:t>
            </w:r>
          </w:p>
        </w:tc>
        <w:tc>
          <w:tcPr>
            <w:tcW w:w="7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Notes due March 15, 2023</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w:t>
            </w:r>
          </w:p>
        </w:tc>
      </w:tr>
      <w:tr>
        <w:trPr>
          <w:trHeight w:val="219"/>
        </w:trPr>
        <w:tc>
          <w:tcPr>
            <w:tcW w:w="480" w:type="dxa"/>
            <w:vAlign w:val="bottom"/>
            <w:gridSpan w:val="2"/>
          </w:tcPr>
          <w:p>
            <w:pPr>
              <w:ind w:left="20"/>
              <w:spacing w:after="0"/>
              <w:rPr>
                <w:sz w:val="20"/>
                <w:szCs w:val="20"/>
                <w:color w:val="auto"/>
              </w:rPr>
            </w:pPr>
            <w:r>
              <w:rPr>
                <w:rFonts w:ascii="Arial" w:cs="Arial" w:eastAsia="Arial" w:hAnsi="Arial"/>
                <w:sz w:val="17"/>
                <w:szCs w:val="17"/>
                <w:color w:val="auto"/>
                <w:w w:val="91"/>
              </w:rPr>
              <w:t>3.95%</w:t>
            </w:r>
          </w:p>
        </w:tc>
        <w:tc>
          <w:tcPr>
            <w:tcW w:w="7600" w:type="dxa"/>
            <w:vAlign w:val="bottom"/>
            <w:gridSpan w:val="2"/>
          </w:tcPr>
          <w:p>
            <w:pPr>
              <w:ind w:left="20"/>
              <w:spacing w:after="0"/>
              <w:rPr>
                <w:sz w:val="20"/>
                <w:szCs w:val="20"/>
                <w:color w:val="auto"/>
              </w:rPr>
            </w:pPr>
            <w:r>
              <w:rPr>
                <w:rFonts w:ascii="Arial" w:cs="Arial" w:eastAsia="Arial" w:hAnsi="Arial"/>
                <w:sz w:val="17"/>
                <w:szCs w:val="17"/>
                <w:color w:val="auto"/>
              </w:rPr>
              <w:t>Notes due March 15, 2025</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850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850</w:t>
            </w:r>
          </w:p>
        </w:tc>
      </w:tr>
      <w:tr>
        <w:trPr>
          <w:trHeight w:val="219"/>
        </w:trPr>
        <w:tc>
          <w:tcPr>
            <w:tcW w:w="4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1"/>
              </w:rPr>
              <w:t>3.30%</w:t>
            </w:r>
          </w:p>
        </w:tc>
        <w:tc>
          <w:tcPr>
            <w:tcW w:w="7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Notes due March 19, 2025</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r>
      <w:tr>
        <w:trPr>
          <w:trHeight w:val="219"/>
        </w:trPr>
        <w:tc>
          <w:tcPr>
            <w:tcW w:w="20" w:type="dxa"/>
            <w:vAlign w:val="bottom"/>
          </w:tcPr>
          <w:p>
            <w:pPr>
              <w:spacing w:after="0"/>
              <w:rPr>
                <w:sz w:val="19"/>
                <w:szCs w:val="19"/>
                <w:color w:val="auto"/>
              </w:rPr>
            </w:pPr>
          </w:p>
        </w:tc>
        <w:tc>
          <w:tcPr>
            <w:tcW w:w="8060" w:type="dxa"/>
            <w:vAlign w:val="bottom"/>
            <w:gridSpan w:val="3"/>
          </w:tcPr>
          <w:p>
            <w:pPr>
              <w:spacing w:after="0"/>
              <w:rPr>
                <w:sz w:val="20"/>
                <w:szCs w:val="20"/>
                <w:color w:val="auto"/>
              </w:rPr>
            </w:pPr>
            <w:r>
              <w:rPr>
                <w:rFonts w:ascii="Arial" w:cs="Arial" w:eastAsia="Arial" w:hAnsi="Arial"/>
                <w:sz w:val="17"/>
                <w:szCs w:val="17"/>
                <w:color w:val="auto"/>
              </w:rPr>
              <w:t>Variable-rate term loan due November 15, 2025</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500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4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1"/>
              </w:rPr>
              <w:t>4.15%</w:t>
            </w:r>
          </w:p>
        </w:tc>
        <w:tc>
          <w:tcPr>
            <w:tcW w:w="7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Notes due March 15, 2028</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19"/>
        </w:trPr>
        <w:tc>
          <w:tcPr>
            <w:tcW w:w="20" w:type="dxa"/>
            <w:vAlign w:val="bottom"/>
          </w:tcPr>
          <w:p>
            <w:pPr>
              <w:spacing w:after="0"/>
              <w:rPr>
                <w:sz w:val="19"/>
                <w:szCs w:val="19"/>
                <w:color w:val="auto"/>
              </w:rPr>
            </w:pPr>
          </w:p>
        </w:tc>
        <w:tc>
          <w:tcPr>
            <w:tcW w:w="8060" w:type="dxa"/>
            <w:vAlign w:val="bottom"/>
            <w:gridSpan w:val="3"/>
          </w:tcPr>
          <w:p>
            <w:pPr>
              <w:spacing w:after="0"/>
              <w:rPr>
                <w:sz w:val="20"/>
                <w:szCs w:val="20"/>
                <w:color w:val="auto"/>
              </w:rPr>
            </w:pPr>
            <w:r>
              <w:rPr>
                <w:rFonts w:ascii="Arial" w:cs="Arial" w:eastAsia="Arial" w:hAnsi="Arial"/>
                <w:sz w:val="17"/>
                <w:szCs w:val="17"/>
                <w:color w:val="auto"/>
              </w:rPr>
              <w:t>2.375% Notes due April 24, 2030</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500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500</w:t>
            </w:r>
          </w:p>
        </w:tc>
      </w:tr>
      <w:tr>
        <w:trPr>
          <w:trHeight w:val="219"/>
        </w:trPr>
        <w:tc>
          <w:tcPr>
            <w:tcW w:w="4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1"/>
              </w:rPr>
              <w:t>3.80%</w:t>
            </w:r>
          </w:p>
        </w:tc>
        <w:tc>
          <w:tcPr>
            <w:tcW w:w="7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Notes due August 2, 2042</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r>
      <w:tr>
        <w:trPr>
          <w:trHeight w:val="219"/>
        </w:trPr>
        <w:tc>
          <w:tcPr>
            <w:tcW w:w="480" w:type="dxa"/>
            <w:vAlign w:val="bottom"/>
            <w:gridSpan w:val="2"/>
          </w:tcPr>
          <w:p>
            <w:pPr>
              <w:ind w:left="20"/>
              <w:spacing w:after="0"/>
              <w:rPr>
                <w:sz w:val="20"/>
                <w:szCs w:val="20"/>
                <w:color w:val="auto"/>
              </w:rPr>
            </w:pPr>
            <w:r>
              <w:rPr>
                <w:rFonts w:ascii="Arial" w:cs="Arial" w:eastAsia="Arial" w:hAnsi="Arial"/>
                <w:sz w:val="17"/>
                <w:szCs w:val="17"/>
                <w:color w:val="auto"/>
                <w:w w:val="91"/>
              </w:rPr>
              <w:t>4.80%</w:t>
            </w:r>
          </w:p>
        </w:tc>
        <w:tc>
          <w:tcPr>
            <w:tcW w:w="7600" w:type="dxa"/>
            <w:vAlign w:val="bottom"/>
            <w:gridSpan w:val="2"/>
          </w:tcPr>
          <w:p>
            <w:pPr>
              <w:ind w:left="20"/>
              <w:spacing w:after="0"/>
              <w:rPr>
                <w:sz w:val="20"/>
                <w:szCs w:val="20"/>
                <w:color w:val="auto"/>
              </w:rPr>
            </w:pPr>
            <w:r>
              <w:rPr>
                <w:rFonts w:ascii="Arial" w:cs="Arial" w:eastAsia="Arial" w:hAnsi="Arial"/>
                <w:sz w:val="17"/>
                <w:szCs w:val="17"/>
                <w:color w:val="auto"/>
              </w:rPr>
              <w:t>Notes due March 15, 2048</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700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700</w:t>
            </w: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3.125% Notes due April 24, 2050</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r>
      <w:tr>
        <w:trPr>
          <w:trHeight w:val="219"/>
        </w:trPr>
        <w:tc>
          <w:tcPr>
            <w:tcW w:w="20" w:type="dxa"/>
            <w:vAlign w:val="bottom"/>
          </w:tcPr>
          <w:p>
            <w:pPr>
              <w:spacing w:after="0"/>
              <w:rPr>
                <w:sz w:val="19"/>
                <w:szCs w:val="19"/>
                <w:color w:val="auto"/>
              </w:rPr>
            </w:pPr>
          </w:p>
        </w:tc>
        <w:tc>
          <w:tcPr>
            <w:tcW w:w="8060" w:type="dxa"/>
            <w:vAlign w:val="bottom"/>
            <w:gridSpan w:val="3"/>
          </w:tcPr>
          <w:p>
            <w:pPr>
              <w:spacing w:after="0"/>
              <w:rPr>
                <w:sz w:val="20"/>
                <w:szCs w:val="20"/>
                <w:color w:val="auto"/>
              </w:rPr>
            </w:pPr>
            <w:r>
              <w:rPr>
                <w:rFonts w:ascii="Arial" w:cs="Arial" w:eastAsia="Arial" w:hAnsi="Arial"/>
                <w:sz w:val="17"/>
                <w:szCs w:val="17"/>
                <w:color w:val="auto"/>
              </w:rPr>
              <w:t>Finance leases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3"/>
            <w:shd w:val="clear" w:color="auto" w:fill="CCEEFF"/>
          </w:tcPr>
          <w:p>
            <w:pPr>
              <w:spacing w:after="0" w:line="219"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212"/>
        </w:trPr>
        <w:tc>
          <w:tcPr>
            <w:tcW w:w="20" w:type="dxa"/>
            <w:vAlign w:val="bottom"/>
          </w:tcPr>
          <w:p>
            <w:pPr>
              <w:spacing w:after="0"/>
              <w:rPr>
                <w:sz w:val="18"/>
                <w:szCs w:val="18"/>
                <w:color w:val="auto"/>
              </w:rPr>
            </w:pPr>
          </w:p>
        </w:tc>
        <w:tc>
          <w:tcPr>
            <w:tcW w:w="8060" w:type="dxa"/>
            <w:vAlign w:val="bottom"/>
            <w:gridSpan w:val="3"/>
          </w:tcPr>
          <w:p>
            <w:pPr>
              <w:ind w:left="200"/>
              <w:spacing w:after="0"/>
              <w:rPr>
                <w:sz w:val="20"/>
                <w:szCs w:val="20"/>
                <w:color w:val="auto"/>
              </w:rPr>
            </w:pPr>
            <w:r>
              <w:rPr>
                <w:rFonts w:ascii="Arial" w:cs="Arial" w:eastAsia="Arial" w:hAnsi="Arial"/>
                <w:sz w:val="17"/>
                <w:szCs w:val="17"/>
                <w:color w:val="auto"/>
              </w:rPr>
              <w:t>Total</w:t>
            </w:r>
          </w:p>
        </w:tc>
        <w:tc>
          <w:tcPr>
            <w:tcW w:w="360" w:type="dxa"/>
            <w:vAlign w:val="bottom"/>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4,498</w:t>
            </w:r>
          </w:p>
        </w:tc>
        <w:tc>
          <w:tcPr>
            <w:tcW w:w="12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4,561</w:t>
            </w: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Less current portion</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w:t>
            </w:r>
          </w:p>
        </w:tc>
      </w:tr>
      <w:tr>
        <w:trPr>
          <w:trHeight w:val="212"/>
        </w:trPr>
        <w:tc>
          <w:tcPr>
            <w:tcW w:w="20" w:type="dxa"/>
            <w:vAlign w:val="bottom"/>
          </w:tcPr>
          <w:p>
            <w:pPr>
              <w:spacing w:after="0"/>
              <w:rPr>
                <w:sz w:val="18"/>
                <w:szCs w:val="18"/>
                <w:color w:val="auto"/>
              </w:rPr>
            </w:pPr>
          </w:p>
        </w:tc>
        <w:tc>
          <w:tcPr>
            <w:tcW w:w="8060" w:type="dxa"/>
            <w:vAlign w:val="bottom"/>
            <w:gridSpan w:val="3"/>
          </w:tcPr>
          <w:p>
            <w:pPr>
              <w:ind w:left="200"/>
              <w:spacing w:after="0"/>
              <w:rPr>
                <w:sz w:val="20"/>
                <w:szCs w:val="20"/>
                <w:color w:val="auto"/>
              </w:rPr>
            </w:pPr>
            <w:r>
              <w:rPr>
                <w:rFonts w:ascii="Arial" w:cs="Arial" w:eastAsia="Arial" w:hAnsi="Arial"/>
                <w:sz w:val="17"/>
                <w:szCs w:val="17"/>
                <w:color w:val="auto"/>
              </w:rPr>
              <w:t>Total long-term debt</w:t>
            </w: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4,498</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3,996</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w:t>
      </w:r>
    </w:p>
    <w:p>
      <w:pPr>
        <w:spacing w:after="0" w:line="62" w:lineRule="exact"/>
        <w:rPr>
          <w:sz w:val="20"/>
          <w:szCs w:val="20"/>
          <w:color w:val="auto"/>
        </w:rPr>
      </w:pPr>
    </w:p>
    <w:p>
      <w:pPr>
        <w:ind w:left="5540" w:right="4980" w:hanging="5537"/>
        <w:spacing w:after="0" w:line="807" w:lineRule="auto"/>
        <w:tabs>
          <w:tab w:leader="none" w:pos="302" w:val="left"/>
        </w:tabs>
        <w:numPr>
          <w:ilvl w:val="0"/>
          <w:numId w:val="44"/>
        </w:numPr>
        <w:rPr>
          <w:rFonts w:ascii="Arial" w:cs="Arial" w:eastAsia="Arial" w:hAnsi="Arial"/>
          <w:sz w:val="21"/>
          <w:szCs w:val="21"/>
          <w:color w:val="auto"/>
          <w:vertAlign w:val="superscript"/>
        </w:rPr>
      </w:pPr>
      <w:r>
        <w:rPr>
          <w:rFonts w:ascii="Arial" w:cs="Arial" w:eastAsia="Arial" w:hAnsi="Arial"/>
          <w:sz w:val="16"/>
          <w:szCs w:val="16"/>
          <w:color w:val="auto"/>
        </w:rPr>
        <w:t>Includes unamortized net discount/premium on debt issuances and debt issuance costs.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-250190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57" w:name="page58"/>
    <w:bookmarkEnd w:id="57"/>
    <w:p>
      <w:pPr>
        <w:ind w:left="320"/>
        <w:spacing w:after="0"/>
        <w:rPr>
          <w:sz w:val="20"/>
          <w:szCs w:val="20"/>
          <w:color w:val="auto"/>
        </w:rPr>
      </w:pPr>
      <w:r>
        <w:rPr>
          <w:rFonts w:ascii="Arial" w:cs="Arial" w:eastAsia="Arial" w:hAnsi="Arial"/>
          <w:sz w:val="17"/>
          <w:szCs w:val="17"/>
          <w:color w:val="auto"/>
        </w:rPr>
        <w:t>Principal amounts of long-term debt mature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34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50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
        </w:trPr>
        <w:tc>
          <w:tcPr>
            <w:tcW w:w="5340" w:type="dxa"/>
            <w:vAlign w:val="bottom"/>
          </w:tcPr>
          <w:p>
            <w:pPr>
              <w:spacing w:after="0"/>
              <w:rPr>
                <w:sz w:val="2"/>
                <w:szCs w:val="2"/>
                <w:color w:val="auto"/>
              </w:rPr>
            </w:pPr>
          </w:p>
        </w:tc>
        <w:tc>
          <w:tcPr>
            <w:tcW w:w="50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9"/>
        </w:trPr>
        <w:tc>
          <w:tcPr>
            <w:tcW w:w="5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50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1,158</w:t>
            </w:r>
          </w:p>
        </w:tc>
      </w:tr>
      <w:tr>
        <w:trPr>
          <w:trHeight w:val="218"/>
        </w:trPr>
        <w:tc>
          <w:tcPr>
            <w:tcW w:w="5340" w:type="dxa"/>
            <w:vAlign w:val="bottom"/>
          </w:tcPr>
          <w:p>
            <w:pPr>
              <w:ind w:left="20"/>
              <w:spacing w:after="0"/>
              <w:rPr>
                <w:sz w:val="20"/>
                <w:szCs w:val="20"/>
                <w:color w:val="auto"/>
              </w:rPr>
            </w:pPr>
            <w:r>
              <w:rPr>
                <w:rFonts w:ascii="Arial" w:cs="Arial" w:eastAsia="Arial" w:hAnsi="Arial"/>
                <w:sz w:val="17"/>
                <w:szCs w:val="17"/>
                <w:color w:val="auto"/>
              </w:rPr>
              <w:t>2026</w:t>
            </w:r>
          </w:p>
        </w:tc>
        <w:tc>
          <w:tcPr>
            <w:tcW w:w="5080" w:type="dxa"/>
            <w:vAlign w:val="bottom"/>
          </w:tcPr>
          <w:p>
            <w:pPr>
              <w:jc w:val="right"/>
              <w:ind w:right="29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507</w:t>
            </w:r>
          </w:p>
        </w:tc>
      </w:tr>
      <w:tr>
        <w:trPr>
          <w:trHeight w:val="220"/>
        </w:trPr>
        <w:tc>
          <w:tcPr>
            <w:tcW w:w="5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50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340" w:type="dxa"/>
            <w:vAlign w:val="bottom"/>
          </w:tcPr>
          <w:p>
            <w:pPr>
              <w:ind w:left="20"/>
              <w:spacing w:after="0"/>
              <w:rPr>
                <w:sz w:val="20"/>
                <w:szCs w:val="20"/>
                <w:color w:val="auto"/>
              </w:rPr>
            </w:pPr>
            <w:r>
              <w:rPr>
                <w:rFonts w:ascii="Arial" w:cs="Arial" w:eastAsia="Arial" w:hAnsi="Arial"/>
                <w:sz w:val="17"/>
                <w:szCs w:val="17"/>
                <w:color w:val="auto"/>
              </w:rPr>
              <w:t>2028</w:t>
            </w:r>
          </w:p>
        </w:tc>
        <w:tc>
          <w:tcPr>
            <w:tcW w:w="5080" w:type="dxa"/>
            <w:vAlign w:val="bottom"/>
          </w:tcPr>
          <w:p>
            <w:pPr>
              <w:jc w:val="right"/>
              <w:ind w:right="29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1,000</w:t>
            </w:r>
          </w:p>
        </w:tc>
      </w:tr>
      <w:tr>
        <w:trPr>
          <w:trHeight w:val="220"/>
        </w:trPr>
        <w:tc>
          <w:tcPr>
            <w:tcW w:w="5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Thereafter</w:t>
            </w:r>
          </w:p>
        </w:tc>
        <w:tc>
          <w:tcPr>
            <w:tcW w:w="50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1,863</w:t>
            </w:r>
          </w:p>
        </w:tc>
      </w:tr>
    </w:tbl>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Extinguishments</w:t>
      </w:r>
    </w:p>
    <w:p>
      <w:pPr>
        <w:spacing w:after="0" w:line="88"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On March 4, 2022, we completed the redemption of all $450 million outstanding aggregate principal amount of our 2.50% Senior Notes due August 2, 2022. The consideration for the redemption was $453 million, including $3 million of premium. We recognized a loss of $4 million (including the $3 million of premium and other costs), which was recorded in Interest expense in the Consolidated Statement of Earnings. In addition, we paid accrued and unpaid interest on the redeemed notes through the date of settlement. We used a combination of cash on hand and short-term debt to fund the redemption.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Repayments</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March 2023, we repaid our 3.65% $566 million Notes.</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March 2021, we repaid our 3.30% $321 million Notes and floating rate $400 million Notes, and in May 2021, we repaid our 8.875% $200 million Notes.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Issuances</w:t>
      </w:r>
    </w:p>
    <w:p>
      <w:pPr>
        <w:spacing w:after="0" w:line="101"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On November 15, 2022, we entered into a delayed draw term loan credit agreement (the DDTL Credit Agreement) totaling up to $500 million scheduled to mature on November 15, 2025. Loans under the DDTL Credit Agreement bear interest at the rates specified in the DDTL Credit Agreement, which vary based on the type of loan and certain other conditions. The DDTL Credit Agreement contains customary representations and warranties, affirmative and negative covenants, including a financial covenant with respect to a minimum consolidated interest coverage ratio of consolidated adjusted EBITDA to consolidated interest expense (as each is defined in the DDTL Credit Agreement) of not less than 3.25:1.00, and events of default for credit facilities of this type. We borrowed $500 million under the DDTL Credit Agreement on March 13, 2023, and used the proceeds and cash on hand to repay the 3.65% $566 million Notes that matured on March 15, 2023.</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Financial Instruments</w:t>
      </w:r>
    </w:p>
    <w:p>
      <w:pPr>
        <w:spacing w:after="0" w:line="107"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The principal market risks to which we are exposed are changes in foreign currency exchange rates, interest rates and commodity prices. In addition, we are exposed to equity price changes related to certain deferred compensation obligations. In order to manage these exposures, we follow established risk management policies and procedures, including the use of derivative contracts such as swaps, rate locks, options, forwards and commodity futures.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instruments that qualify for hedge accounting treatment and instruments that are not designated as accounting hedges.</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88" w:lineRule="exact"/>
        <w:rPr>
          <w:sz w:val="20"/>
          <w:szCs w:val="20"/>
          <w:color w:val="auto"/>
        </w:rPr>
      </w:pPr>
    </w:p>
    <w:p>
      <w:pPr>
        <w:jc w:val="both"/>
        <w:ind w:firstLine="309"/>
        <w:spacing w:after="0" w:line="317" w:lineRule="auto"/>
        <w:rPr>
          <w:sz w:val="20"/>
          <w:szCs w:val="20"/>
          <w:color w:val="auto"/>
        </w:rPr>
      </w:pPr>
      <w:r>
        <w:rPr>
          <w:rFonts w:ascii="Arial" w:cs="Arial" w:eastAsia="Arial" w:hAnsi="Arial"/>
          <w:sz w:val="15"/>
          <w:szCs w:val="15"/>
          <w:color w:val="auto"/>
        </w:rPr>
        <w:t>We are exposed to the risk that counterparties to derivative contracts will fail to meet their contractual obligations. To mitigate counterparty credit risk, we enter into contracts only with carefully selected, leading, credit-worthy financial institutions, and distribute contracts among several financial institutions to reduce the concentration of credit risk. We did not have credit risk-related contingent features in our derivative instruments as of July 30, 2023, or July 31, 2022.</w:t>
      </w:r>
    </w:p>
    <w:p>
      <w:pPr>
        <w:spacing w:after="0" w:line="25" w:lineRule="exact"/>
        <w:rPr>
          <w:sz w:val="20"/>
          <w:szCs w:val="20"/>
          <w:color w:val="auto"/>
        </w:rPr>
      </w:pPr>
    </w:p>
    <w:p>
      <w:pPr>
        <w:jc w:val="both"/>
        <w:ind w:firstLine="309"/>
        <w:spacing w:after="0" w:line="263" w:lineRule="auto"/>
        <w:rPr>
          <w:sz w:val="20"/>
          <w:szCs w:val="20"/>
          <w:color w:val="auto"/>
        </w:rPr>
      </w:pPr>
      <w:r>
        <w:rPr>
          <w:rFonts w:ascii="Arial" w:cs="Arial" w:eastAsia="Arial" w:hAnsi="Arial"/>
          <w:sz w:val="17"/>
          <w:szCs w:val="17"/>
          <w:color w:val="auto"/>
        </w:rPr>
        <w:t>We are also exposed to credit risk from our customers. During 2023, our largest customer accounted for approximately 22% of consolidated net sales. Our five largest customers accounted for approximately 47% of our consolidated net sales in 2023.</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closely monitor credit risk associated with counterparties and customers.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Exchange Risk</w:t>
      </w:r>
    </w:p>
    <w:p>
      <w:pPr>
        <w:spacing w:after="0" w:line="88"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We are exposed to foreign currency exchange risk, primarily the Canadian dollar, related to intercompany transactions and third-party transactions. We utilize foreign exchange forward purchase and sale contracts to hedge these exposures. The contracts are either designated as cash-flow hedging instruments or are undesignated. We hedge portions of our forecasted foreign currency transaction exposure with foreign exchange forward contracts for periods typically up to 18 months. The notional amount of foreign exchange forward contracts accounted for as cash-flow hedges was $125 million as of</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124460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58" w:name="page59"/>
    <w:bookmarkEnd w:id="58"/>
    <w:p>
      <w:pPr>
        <w:jc w:val="both"/>
        <w:spacing w:after="0" w:line="275" w:lineRule="auto"/>
        <w:rPr>
          <w:sz w:val="20"/>
          <w:szCs w:val="20"/>
          <w:color w:val="auto"/>
        </w:rPr>
      </w:pPr>
      <w:r>
        <w:rPr>
          <w:rFonts w:ascii="Arial" w:cs="Arial" w:eastAsia="Arial" w:hAnsi="Arial"/>
          <w:sz w:val="16"/>
          <w:szCs w:val="16"/>
          <w:color w:val="auto"/>
        </w:rPr>
        <w:t>July 30, 2023, and $140 million as of July 31, 2022. Changes in the fair value on the portion of the derivative included in the assessment of hedge effectiveness of cash-flow hedges are recorded in other comprehensive income (loss), until earnings are affected by the variability of cash flows. For derivatives that are designated and qualify as hedging instruments, the initial fair value of hedge components excluded from the assessment of effectiveness is recognized in earnings under a systematic and rational method over the life of the hedging instrument and is presented in the same statement of earnings line item as the earnings effect of the hedged item. Any difference between the change in the fair value of the hedge components excluded from the assessment of effectiveness and the amounts recognized in earnings is recorded as a component of other comprehensive income (loss). The notional amount of foreign exchange forward contracts that are not designated as accounting hedges was $15 million as of July 30, 2023, and $13 million as of July 31, 2022.</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88"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We manage our exposure to changes in interest rates by optimizing the use of variable-rate and fixed-rate debt and by utilizing interest rate swaps in order to maintain our variable-to-total debt ratio within targeted guidelines. There were no interest rate swaps outstanding as of July 30, 2023, or July 31, 2022.</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Commodity Price Risk</w:t>
      </w:r>
    </w:p>
    <w:p>
      <w:pPr>
        <w:spacing w:after="0" w:line="101"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diesel fuel, natural gas, soybean oil, aluminum, cocoa, corn, soybean meal and butter. Commodity futures, options and swap contracts are either designated as cash-flow hedging instruments or are undesignated. We hedge a portion of commodity requirements for periods typically up to 18 months. There were no commodity contracts designated as cash-flow hedges as of July 30, 2023. The notional amount of commodity contracts designated as cash-flow hedges was $3 million as of July 31, 2022. Changes in the fair value on the portion of the derivative included in the assessment of hedge effectiveness of cash-flow hedges are recorded in other comprehensive income (loss), until earnings are affected by the variability of cash flows. The notional amount of commodity contracts not designated as accounting hedges was $194 million as of July 30, 2023, and $254 million as of July 31, 2022. The change in fair value on undesignated instruments is recorded in Cost of products sold.</w:t>
      </w:r>
    </w:p>
    <w:p>
      <w:pPr>
        <w:spacing w:after="0" w:line="41" w:lineRule="exact"/>
        <w:rPr>
          <w:sz w:val="20"/>
          <w:szCs w:val="20"/>
          <w:color w:val="auto"/>
        </w:rPr>
      </w:pPr>
    </w:p>
    <w:p>
      <w:pPr>
        <w:jc w:val="both"/>
        <w:ind w:firstLine="309"/>
        <w:spacing w:after="0" w:line="251" w:lineRule="auto"/>
        <w:rPr>
          <w:sz w:val="20"/>
          <w:szCs w:val="20"/>
          <w:color w:val="auto"/>
        </w:rPr>
      </w:pPr>
      <w:r>
        <w:rPr>
          <w:rFonts w:ascii="Arial" w:cs="Arial" w:eastAsia="Arial" w:hAnsi="Arial"/>
          <w:sz w:val="17"/>
          <w:szCs w:val="17"/>
          <w:color w:val="auto"/>
        </w:rPr>
        <w:t>We have a supply contract under which prices for certain raw materials are established based on anticipated volume requirements over a twelve-month period. Certain prices under the contract are based in part on certain component parts of the raw materials that are in excess of our needs or not required for our operations, thereby creating an embedded derivative requiring bifurcation. We net settle amounts due under the contract with our counterparty. The notional amount was approximately $47 million as of July 30, 2023, and $39 million as of July 31, 2022. The change in fair value on the embedded derivative is recorded in Cost of products sold.</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Compensation Obligation Price Risk</w:t>
      </w:r>
    </w:p>
    <w:p>
      <w:pPr>
        <w:spacing w:after="0" w:line="88"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We enter into swap contracts which hedge a portion of exposures relating to the total return of certain deferred compensation obligations. These contracts are not designated as hedges for accounting purposes. Unrealized gains (losses) and settlements are included in Administrative expenses in the Consolidated Statements of Earnings. We enter into these contracts for periods typically not exceeding 12 months. The notional amounts of the contracts as of July 30, 2023, and July 31, 2022, were $42 million and $50 million, respectively.</w:t>
      </w:r>
    </w:p>
    <w:p>
      <w:pPr>
        <w:spacing w:after="0" w:line="64" w:lineRule="exact"/>
        <w:rPr>
          <w:sz w:val="20"/>
          <w:szCs w:val="20"/>
          <w:color w:val="auto"/>
        </w:rPr>
      </w:pPr>
    </w:p>
    <w:p>
      <w:pPr>
        <w:jc w:val="both"/>
        <w:ind w:firstLine="309"/>
        <w:spacing w:after="0" w:line="262" w:lineRule="auto"/>
        <w:rPr>
          <w:sz w:val="20"/>
          <w:szCs w:val="20"/>
          <w:color w:val="auto"/>
        </w:rPr>
      </w:pPr>
      <w:r>
        <w:rPr>
          <w:rFonts w:ascii="Arial" w:cs="Arial" w:eastAsia="Arial" w:hAnsi="Arial"/>
          <w:sz w:val="17"/>
          <w:szCs w:val="17"/>
          <w:color w:val="auto"/>
        </w:rPr>
        <w:t>The following tables summarize the fair value of derivative instruments on a gross basis as recorded in the Consolidated Balance Sheets as of July 30, 2023, and July 31,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4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4340" w:type="dxa"/>
            <w:vAlign w:val="bottom"/>
            <w:gridSpan w:val="2"/>
          </w:tcPr>
          <w:p>
            <w:pPr>
              <w:ind w:left="1300"/>
              <w:spacing w:after="0"/>
              <w:rPr>
                <w:sz w:val="20"/>
                <w:szCs w:val="20"/>
                <w:color w:val="auto"/>
              </w:rPr>
            </w:pPr>
            <w:r>
              <w:rPr>
                <w:rFonts w:ascii="Arial" w:cs="Arial" w:eastAsia="Arial" w:hAnsi="Arial"/>
                <w:sz w:val="14"/>
                <w:szCs w:val="14"/>
                <w:b w:val="1"/>
                <w:bCs w:val="1"/>
                <w:color w:val="auto"/>
              </w:rPr>
              <w:t>Balance Sheet Classification</w:t>
            </w:r>
          </w:p>
        </w:tc>
        <w:tc>
          <w:tcPr>
            <w:tcW w:w="300" w:type="dxa"/>
            <w:vAlign w:val="bottom"/>
          </w:tcPr>
          <w:p>
            <w:pPr>
              <w:spacing w:after="0"/>
              <w:rPr>
                <w:sz w:val="15"/>
                <w:szCs w:val="15"/>
                <w:color w:val="auto"/>
              </w:rPr>
            </w:pPr>
          </w:p>
        </w:tc>
        <w:tc>
          <w:tcPr>
            <w:tcW w:w="1000" w:type="dxa"/>
            <w:vAlign w:val="bottom"/>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140" w:type="dxa"/>
            <w:vAlign w:val="bottom"/>
            <w:tcBorders>
              <w:bottom w:val="single" w:sz="8" w:color="CCEEFF"/>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 Derivatives</w:t>
            </w:r>
          </w:p>
        </w:tc>
        <w:tc>
          <w:tcPr>
            <w:tcW w:w="4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140" w:type="dxa"/>
            <w:vAlign w:val="bottom"/>
          </w:tcPr>
          <w:p>
            <w:pPr>
              <w:ind w:left="20"/>
              <w:spacing w:after="0"/>
              <w:rPr>
                <w:sz w:val="20"/>
                <w:szCs w:val="20"/>
                <w:color w:val="auto"/>
              </w:rPr>
            </w:pPr>
            <w:r>
              <w:rPr>
                <w:rFonts w:ascii="Arial" w:cs="Arial" w:eastAsia="Arial" w:hAnsi="Arial"/>
                <w:sz w:val="17"/>
                <w:szCs w:val="17"/>
                <w:color w:val="auto"/>
              </w:rPr>
              <w:t>Derivatives designated as hedges:</w:t>
            </w: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Commodity contracts</w:t>
            </w: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current assets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140" w:type="dxa"/>
            <w:vAlign w:val="bottom"/>
          </w:tcPr>
          <w:p>
            <w:pPr>
              <w:ind w:left="140"/>
              <w:spacing w:after="0"/>
              <w:rPr>
                <w:sz w:val="20"/>
                <w:szCs w:val="20"/>
                <w:color w:val="auto"/>
              </w:rPr>
            </w:pPr>
            <w:r>
              <w:rPr>
                <w:rFonts w:ascii="Arial" w:cs="Arial" w:eastAsia="Arial" w:hAnsi="Arial"/>
                <w:sz w:val="17"/>
                <w:szCs w:val="17"/>
                <w:color w:val="auto"/>
              </w:rPr>
              <w:t>Foreign exchange forward contracts</w:t>
            </w:r>
          </w:p>
        </w:tc>
        <w:tc>
          <w:tcPr>
            <w:tcW w:w="4340" w:type="dxa"/>
            <w:vAlign w:val="bottom"/>
            <w:gridSpan w:val="2"/>
          </w:tcPr>
          <w:p>
            <w:pPr>
              <w:ind w:left="20"/>
              <w:spacing w:after="0"/>
              <w:rPr>
                <w:sz w:val="20"/>
                <w:szCs w:val="20"/>
                <w:color w:val="auto"/>
              </w:rPr>
            </w:pPr>
            <w:r>
              <w:rPr>
                <w:rFonts w:ascii="Arial" w:cs="Arial" w:eastAsia="Arial" w:hAnsi="Arial"/>
                <w:sz w:val="17"/>
                <w:szCs w:val="17"/>
                <w:color w:val="auto"/>
              </w:rPr>
              <w:t>Other current assets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derivatives designated as hedges</w:t>
            </w:r>
          </w:p>
        </w:tc>
        <w:tc>
          <w:tcPr>
            <w:tcW w:w="4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40" w:type="dxa"/>
            <w:vAlign w:val="bottom"/>
          </w:tcPr>
          <w:p>
            <w:pPr>
              <w:ind w:left="20"/>
              <w:spacing w:after="0"/>
              <w:rPr>
                <w:sz w:val="20"/>
                <w:szCs w:val="20"/>
                <w:color w:val="auto"/>
              </w:rPr>
            </w:pPr>
            <w:r>
              <w:rPr>
                <w:rFonts w:ascii="Arial" w:cs="Arial" w:eastAsia="Arial" w:hAnsi="Arial"/>
                <w:sz w:val="17"/>
                <w:szCs w:val="17"/>
                <w:color w:val="auto"/>
              </w:rPr>
              <w:t>Derivatives not designated as hedges:</w:t>
            </w:r>
          </w:p>
        </w:tc>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Commodity contracts</w:t>
            </w: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current assets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140" w:type="dxa"/>
            <w:vAlign w:val="bottom"/>
          </w:tcPr>
          <w:p>
            <w:pPr>
              <w:ind w:left="140"/>
              <w:spacing w:after="0"/>
              <w:rPr>
                <w:sz w:val="20"/>
                <w:szCs w:val="20"/>
                <w:color w:val="auto"/>
              </w:rPr>
            </w:pPr>
            <w:r>
              <w:rPr>
                <w:rFonts w:ascii="Arial" w:cs="Arial" w:eastAsia="Arial" w:hAnsi="Arial"/>
                <w:sz w:val="17"/>
                <w:szCs w:val="17"/>
                <w:color w:val="auto"/>
              </w:rPr>
              <w:t>Deferred compensation contracts</w:t>
            </w:r>
          </w:p>
        </w:tc>
        <w:tc>
          <w:tcPr>
            <w:tcW w:w="4340" w:type="dxa"/>
            <w:vAlign w:val="bottom"/>
            <w:gridSpan w:val="2"/>
          </w:tcPr>
          <w:p>
            <w:pPr>
              <w:ind w:left="20"/>
              <w:spacing w:after="0"/>
              <w:rPr>
                <w:sz w:val="20"/>
                <w:szCs w:val="20"/>
                <w:color w:val="auto"/>
              </w:rPr>
            </w:pPr>
            <w:r>
              <w:rPr>
                <w:rFonts w:ascii="Arial" w:cs="Arial" w:eastAsia="Arial" w:hAnsi="Arial"/>
                <w:sz w:val="17"/>
                <w:szCs w:val="17"/>
                <w:color w:val="auto"/>
              </w:rPr>
              <w:t>Other current assets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Commodity contracts</w:t>
            </w: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derivatives not designated as hedges</w:t>
            </w:r>
          </w:p>
        </w:tc>
        <w:tc>
          <w:tcPr>
            <w:tcW w:w="4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 derivatives</w:t>
            </w:r>
          </w:p>
        </w:tc>
        <w:tc>
          <w:tcPr>
            <w:tcW w:w="4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bottom w:val="single" w:sz="8" w:color="CCEEFF"/>
            </w:tcBorders>
            <w:vMerge w:val="restart"/>
          </w:tcPr>
          <w:p>
            <w:pPr>
              <w:ind w:left="1400"/>
              <w:spacing w:after="0"/>
              <w:rPr>
                <w:sz w:val="20"/>
                <w:szCs w:val="20"/>
                <w:color w:val="auto"/>
              </w:rPr>
            </w:pPr>
            <w:r>
              <w:rPr>
                <w:rFonts w:ascii="Arial" w:cs="Arial" w:eastAsia="Arial" w:hAnsi="Arial"/>
                <w:sz w:val="17"/>
                <w:szCs w:val="17"/>
                <w:color w:val="auto"/>
              </w:rPr>
              <w:t>59</w:t>
            </w: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4"/>
        </w:trPr>
        <w:tc>
          <w:tcPr>
            <w:tcW w:w="414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140" w:type="dxa"/>
            <w:vAlign w:val="bottom"/>
            <w:tcBorders>
              <w:bottom w:val="single" w:sz="8" w:color="9A9A9A"/>
            </w:tcBorders>
          </w:tcPr>
          <w:p>
            <w:pPr>
              <w:spacing w:after="0"/>
              <w:rPr>
                <w:sz w:val="16"/>
                <w:szCs w:val="16"/>
                <w:color w:val="auto"/>
              </w:rPr>
            </w:pPr>
          </w:p>
        </w:tc>
        <w:tc>
          <w:tcPr>
            <w:tcW w:w="424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59" w:name="page60"/>
    <w:bookmarkEnd w:id="59"/>
    <w:tbl>
      <w:tblPr>
        <w:tblLayout w:type="fixed"/>
        <w:tblInd w:w="20" w:type="dxa"/>
        <w:tblCellMar>
          <w:top w:w="0" w:type="dxa"/>
          <w:left w:w="0" w:type="dxa"/>
          <w:bottom w:w="0" w:type="dxa"/>
          <w:right w:w="0" w:type="dxa"/>
        </w:tblCellMar>
      </w:tblPr>
      <w:tr>
        <w:trPr>
          <w:trHeight w:val="178"/>
        </w:trPr>
        <w:tc>
          <w:tcPr>
            <w:tcW w:w="414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4340" w:type="dxa"/>
            <w:vAlign w:val="bottom"/>
            <w:gridSpan w:val="2"/>
          </w:tcPr>
          <w:p>
            <w:pPr>
              <w:ind w:left="1300"/>
              <w:spacing w:after="0"/>
              <w:rPr>
                <w:sz w:val="20"/>
                <w:szCs w:val="20"/>
                <w:color w:val="auto"/>
              </w:rPr>
            </w:pPr>
            <w:r>
              <w:rPr>
                <w:rFonts w:ascii="Arial" w:cs="Arial" w:eastAsia="Arial" w:hAnsi="Arial"/>
                <w:sz w:val="14"/>
                <w:szCs w:val="14"/>
                <w:b w:val="1"/>
                <w:bCs w:val="1"/>
                <w:color w:val="auto"/>
              </w:rPr>
              <w:t>Balance Sheet Classification</w:t>
            </w:r>
          </w:p>
        </w:tc>
        <w:tc>
          <w:tcPr>
            <w:tcW w:w="300" w:type="dxa"/>
            <w:vAlign w:val="bottom"/>
          </w:tcPr>
          <w:p>
            <w:pPr>
              <w:spacing w:after="0"/>
              <w:rPr>
                <w:sz w:val="15"/>
                <w:szCs w:val="15"/>
                <w:color w:val="auto"/>
              </w:rPr>
            </w:pPr>
          </w:p>
        </w:tc>
        <w:tc>
          <w:tcPr>
            <w:tcW w:w="1020" w:type="dxa"/>
            <w:vAlign w:val="bottom"/>
          </w:tcPr>
          <w:p>
            <w:pPr>
              <w:jc w:val="right"/>
              <w:ind w:right="45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57"/>
              <w:spacing w:after="0"/>
              <w:rPr>
                <w:sz w:val="20"/>
                <w:szCs w:val="20"/>
                <w:color w:val="auto"/>
              </w:rPr>
            </w:pPr>
            <w:r>
              <w:rPr>
                <w:rFonts w:ascii="Arial" w:cs="Arial" w:eastAsia="Arial" w:hAnsi="Arial"/>
                <w:sz w:val="14"/>
                <w:szCs w:val="14"/>
                <w:b w:val="1"/>
                <w:bCs w:val="1"/>
                <w:color w:val="auto"/>
              </w:rPr>
              <w:t>2022</w:t>
            </w:r>
          </w:p>
        </w:tc>
      </w:tr>
      <w:tr>
        <w:trPr>
          <w:trHeight w:val="24"/>
        </w:trPr>
        <w:tc>
          <w:tcPr>
            <w:tcW w:w="4140" w:type="dxa"/>
            <w:vAlign w:val="bottom"/>
            <w:tcBorders>
              <w:bottom w:val="single" w:sz="8" w:color="CCEEFF"/>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9"/>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Liability Derivatives</w:t>
            </w:r>
          </w:p>
        </w:tc>
        <w:tc>
          <w:tcPr>
            <w:tcW w:w="4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8"/>
        </w:trPr>
        <w:tc>
          <w:tcPr>
            <w:tcW w:w="4140" w:type="dxa"/>
            <w:vAlign w:val="bottom"/>
          </w:tcPr>
          <w:p>
            <w:pPr>
              <w:ind w:left="20"/>
              <w:spacing w:after="0"/>
              <w:rPr>
                <w:sz w:val="20"/>
                <w:szCs w:val="20"/>
                <w:color w:val="auto"/>
              </w:rPr>
            </w:pPr>
            <w:r>
              <w:rPr>
                <w:rFonts w:ascii="Arial" w:cs="Arial" w:eastAsia="Arial" w:hAnsi="Arial"/>
                <w:sz w:val="17"/>
                <w:szCs w:val="17"/>
                <w:color w:val="auto"/>
              </w:rPr>
              <w:t>Derivatives designated as hedges:</w:t>
            </w: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0"/>
        </w:trPr>
        <w:tc>
          <w:tcPr>
            <w:tcW w:w="4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Foreign exchange forward contracts</w:t>
            </w: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Accrued liabilities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derivatives designated as hedges</w:t>
            </w:r>
          </w:p>
        </w:tc>
        <w:tc>
          <w:tcPr>
            <w:tcW w:w="4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199"/>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Derivatives not designated as hedges:</w:t>
            </w:r>
          </w:p>
        </w:tc>
        <w:tc>
          <w:tcPr>
            <w:tcW w:w="4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9"/>
        </w:trPr>
        <w:tc>
          <w:tcPr>
            <w:tcW w:w="4140" w:type="dxa"/>
            <w:vAlign w:val="bottom"/>
          </w:tcPr>
          <w:p>
            <w:pPr>
              <w:ind w:left="140"/>
              <w:spacing w:after="0"/>
              <w:rPr>
                <w:sz w:val="20"/>
                <w:szCs w:val="20"/>
                <w:color w:val="auto"/>
              </w:rPr>
            </w:pPr>
            <w:r>
              <w:rPr>
                <w:rFonts w:ascii="Arial" w:cs="Arial" w:eastAsia="Arial" w:hAnsi="Arial"/>
                <w:sz w:val="17"/>
                <w:szCs w:val="17"/>
                <w:color w:val="auto"/>
              </w:rPr>
              <w:t>Commodity contracts</w:t>
            </w:r>
          </w:p>
        </w:tc>
        <w:tc>
          <w:tcPr>
            <w:tcW w:w="4340" w:type="dxa"/>
            <w:vAlign w:val="bottom"/>
            <w:gridSpan w:val="2"/>
          </w:tcPr>
          <w:p>
            <w:pPr>
              <w:ind w:left="20"/>
              <w:spacing w:after="0"/>
              <w:rPr>
                <w:sz w:val="20"/>
                <w:szCs w:val="20"/>
                <w:color w:val="auto"/>
              </w:rPr>
            </w:pPr>
            <w:r>
              <w:rPr>
                <w:rFonts w:ascii="Arial" w:cs="Arial" w:eastAsia="Arial" w:hAnsi="Arial"/>
                <w:sz w:val="17"/>
                <w:szCs w:val="17"/>
                <w:color w:val="auto"/>
              </w:rPr>
              <w:t>Accrued liabilities</w:t>
            </w:r>
          </w:p>
        </w:tc>
        <w:tc>
          <w:tcPr>
            <w:tcW w:w="300" w:type="dxa"/>
            <w:vAlign w:val="bottom"/>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5</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19"/>
        </w:trPr>
        <w:tc>
          <w:tcPr>
            <w:tcW w:w="4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 compensation contracts</w:t>
            </w: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Accrued liabilities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12"/>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derivatives not designated as hedges</w:t>
            </w:r>
          </w:p>
        </w:tc>
        <w:tc>
          <w:tcPr>
            <w:tcW w:w="4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w:t>
            </w:r>
          </w:p>
        </w:tc>
      </w:tr>
      <w:tr>
        <w:trPr>
          <w:trHeight w:val="237"/>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liability derivatives</w:t>
            </w:r>
          </w:p>
        </w:tc>
        <w:tc>
          <w:tcPr>
            <w:tcW w:w="4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do not offset the fair values of derivative assets and liabilities executed with the same counterparty that are generally subject to enforceable netting agreements. However, if we were to offset and record the asset and liability balances of derivatives on a net basis, the amounts presented in the Consolidated Balance Sheets as of July 30, 2023, and July 31, 2022, would be adjusted as detailed in the following table:</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ind w:right="47"/>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84"/>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3"/>
          </w:tcPr>
          <w:p>
            <w:pPr>
              <w:jc w:val="center"/>
              <w:ind w:right="120"/>
              <w:spacing w:after="0" w:line="122" w:lineRule="exact"/>
              <w:rPr>
                <w:sz w:val="20"/>
                <w:szCs w:val="20"/>
                <w:color w:val="auto"/>
              </w:rPr>
            </w:pPr>
            <w:r>
              <w:rPr>
                <w:rFonts w:ascii="Arial" w:cs="Arial" w:eastAsia="Arial" w:hAnsi="Arial"/>
                <w:sz w:val="14"/>
                <w:szCs w:val="14"/>
                <w:b w:val="1"/>
                <w:bCs w:val="1"/>
                <w:color w:val="auto"/>
                <w:w w:val="87"/>
              </w:rPr>
              <w:t>Gross Amounts Not</w:t>
            </w: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7"/>
              </w:rPr>
              <w:t>Gross Amounts Not</w:t>
            </w: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7"/>
              </w:rPr>
              <w:t>Gross Amounts</w:t>
            </w:r>
          </w:p>
        </w:tc>
        <w:tc>
          <w:tcPr>
            <w:tcW w:w="100" w:type="dxa"/>
            <w:vAlign w:val="bottom"/>
          </w:tcPr>
          <w:p>
            <w:pPr>
              <w:spacing w:after="0"/>
              <w:rPr>
                <w:sz w:val="12"/>
                <w:szCs w:val="12"/>
                <w:color w:val="auto"/>
              </w:rPr>
            </w:pPr>
          </w:p>
        </w:tc>
        <w:tc>
          <w:tcPr>
            <w:tcW w:w="13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88"/>
              </w:rPr>
              <w:t>Offset in the</w:t>
            </w: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7"/>
              </w:rPr>
              <w:t>Gross Amounts</w:t>
            </w:r>
          </w:p>
        </w:tc>
        <w:tc>
          <w:tcPr>
            <w:tcW w:w="14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5"/>
              </w:rPr>
              <w:t>Consolidated</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8"/>
              </w:rPr>
              <w:t>Offset in the</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88"/>
              </w:rPr>
              <w:t>Presented in the</w:t>
            </w:r>
          </w:p>
        </w:tc>
        <w:tc>
          <w:tcPr>
            <w:tcW w:w="100" w:type="dxa"/>
            <w:vAlign w:val="bottom"/>
          </w:tcPr>
          <w:p>
            <w:pPr>
              <w:spacing w:after="0"/>
              <w:rPr>
                <w:sz w:val="12"/>
                <w:szCs w:val="12"/>
                <w:color w:val="auto"/>
              </w:rPr>
            </w:pPr>
          </w:p>
        </w:tc>
        <w:tc>
          <w:tcPr>
            <w:tcW w:w="13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5"/>
              </w:rPr>
              <w:t>Balance Sheet</w:t>
            </w: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86"/>
              </w:rPr>
              <w:t>Presented in the</w:t>
            </w:r>
          </w:p>
        </w:tc>
        <w:tc>
          <w:tcPr>
            <w:tcW w:w="1420" w:type="dxa"/>
            <w:vAlign w:val="bottom"/>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86"/>
              </w:rPr>
              <w:t>Consolidated Balance</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85"/>
              </w:rPr>
              <w:t>Consolidated</w:t>
            </w:r>
          </w:p>
        </w:tc>
        <w:tc>
          <w:tcPr>
            <w:tcW w:w="100" w:type="dxa"/>
            <w:vAlign w:val="bottom"/>
          </w:tcPr>
          <w:p>
            <w:pPr>
              <w:spacing w:after="0"/>
              <w:rPr>
                <w:sz w:val="12"/>
                <w:szCs w:val="12"/>
                <w:color w:val="auto"/>
              </w:rPr>
            </w:pPr>
          </w:p>
        </w:tc>
        <w:tc>
          <w:tcPr>
            <w:tcW w:w="13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8"/>
              </w:rPr>
              <w:t>Subject to Netting</w:t>
            </w:r>
          </w:p>
        </w:tc>
        <w:tc>
          <w:tcPr>
            <w:tcW w:w="200" w:type="dxa"/>
            <w:vAlign w:val="bottom"/>
          </w:tcPr>
          <w:p>
            <w:pPr>
              <w:spacing w:after="0"/>
              <w:rPr>
                <w:sz w:val="12"/>
                <w:szCs w:val="12"/>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 Amount</w:t>
            </w:r>
          </w:p>
        </w:tc>
        <w:tc>
          <w:tcPr>
            <w:tcW w:w="142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87"/>
              </w:rPr>
              <w:t>Consolidated Balance</w:t>
            </w: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85"/>
              </w:rPr>
              <w:t>Sheet Subject to</w:t>
            </w:r>
          </w:p>
        </w:tc>
        <w:tc>
          <w:tcPr>
            <w:tcW w:w="180" w:type="dxa"/>
            <w:vAlign w:val="bottom"/>
          </w:tcPr>
          <w:p>
            <w:pPr>
              <w:spacing w:after="0"/>
              <w:rPr>
                <w:sz w:val="12"/>
                <w:szCs w:val="12"/>
                <w:color w:val="auto"/>
              </w:rPr>
            </w:pPr>
          </w:p>
        </w:tc>
        <w:tc>
          <w:tcPr>
            <w:tcW w:w="11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6"/>
        </w:trPr>
        <w:tc>
          <w:tcPr>
            <w:tcW w:w="2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Balance Sheet</w:t>
            </w: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Agreements</w:t>
            </w:r>
          </w:p>
        </w:tc>
        <w:tc>
          <w:tcPr>
            <w:tcW w:w="2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Sheet</w:t>
            </w: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Netting Agreements</w:t>
            </w:r>
          </w:p>
        </w:tc>
        <w:tc>
          <w:tcPr>
            <w:tcW w:w="1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 derivatives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7"/>
                <w:szCs w:val="17"/>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23"/>
        </w:trPr>
        <w:tc>
          <w:tcPr>
            <w:tcW w:w="2840" w:type="dxa"/>
            <w:vAlign w:val="bottom"/>
          </w:tcPr>
          <w:p>
            <w:pPr>
              <w:ind w:left="20"/>
              <w:spacing w:after="0"/>
              <w:rPr>
                <w:sz w:val="20"/>
                <w:szCs w:val="20"/>
                <w:color w:val="auto"/>
              </w:rPr>
            </w:pPr>
            <w:r>
              <w:rPr>
                <w:rFonts w:ascii="Arial" w:cs="Arial" w:eastAsia="Arial" w:hAnsi="Arial"/>
                <w:sz w:val="17"/>
                <w:szCs w:val="17"/>
                <w:color w:val="auto"/>
              </w:rPr>
              <w:t>Total liability derivatives</w:t>
            </w: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6</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(5)</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4"/>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bl>
    <w:p>
      <w:pPr>
        <w:spacing w:after="0" w:line="15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are required to maintain cash margin accounts in connection with funding the settlement of open positions for exchange-traded commodity derivative instruments. A cash margin asset balance of $2 million at July 30, 2023, and $8 million at July 31, 2022, were included in Other current assets in the Consolidated Balance Sheets.</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tables show the effect of our derivative instruments designated as cash-flow hedges for the years ended July 30, 2023, July 31, 2022, and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August 1, 2021 in other comprehensive income (loss) (OCI) and the Consolidated Statements of Earnings: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6"/>
          </w:tcPr>
          <w:p>
            <w:pPr>
              <w:jc w:val="right"/>
              <w:ind w:right="34"/>
              <w:spacing w:after="0"/>
              <w:rPr>
                <w:sz w:val="20"/>
                <w:szCs w:val="20"/>
                <w:color w:val="auto"/>
              </w:rPr>
            </w:pPr>
            <w:r>
              <w:rPr>
                <w:rFonts w:ascii="Arial" w:cs="Arial" w:eastAsia="Arial" w:hAnsi="Arial"/>
                <w:sz w:val="14"/>
                <w:szCs w:val="14"/>
                <w:b w:val="1"/>
                <w:bCs w:val="1"/>
                <w:color w:val="auto"/>
              </w:rPr>
              <w:t>Total Cash-Flow Hedge</w:t>
            </w:r>
          </w:p>
        </w:tc>
        <w:tc>
          <w:tcPr>
            <w:tcW w:w="740" w:type="dxa"/>
            <w:vAlign w:val="bottom"/>
          </w:tcPr>
          <w:p>
            <w:pPr>
              <w:spacing w:after="0"/>
              <w:rPr>
                <w:sz w:val="14"/>
                <w:szCs w:val="14"/>
                <w:color w:val="auto"/>
              </w:rPr>
            </w:pPr>
          </w:p>
        </w:tc>
      </w:tr>
      <w:tr>
        <w:trPr>
          <w:trHeight w:val="183"/>
        </w:trPr>
        <w:tc>
          <w:tcPr>
            <w:tcW w:w="55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OCI Activity</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r>
        <w:trPr>
          <w:trHeight w:val="186"/>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(Millions)</w:t>
            </w:r>
          </w:p>
        </w:tc>
        <w:tc>
          <w:tcPr>
            <w:tcW w:w="154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2021</w:t>
            </w:r>
          </w:p>
        </w:tc>
      </w:tr>
      <w:tr>
        <w:trPr>
          <w:trHeight w:val="219"/>
        </w:trPr>
        <w:tc>
          <w:tcPr>
            <w:tcW w:w="5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OCI derivative gain (loss) at beginning of year</w:t>
            </w:r>
          </w:p>
        </w:tc>
        <w:tc>
          <w:tcPr>
            <w:tcW w:w="1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18"/>
        </w:trPr>
        <w:tc>
          <w:tcPr>
            <w:tcW w:w="5540" w:type="dxa"/>
            <w:vAlign w:val="bottom"/>
          </w:tcPr>
          <w:p>
            <w:pPr>
              <w:ind w:left="20"/>
              <w:spacing w:after="0"/>
              <w:rPr>
                <w:sz w:val="20"/>
                <w:szCs w:val="20"/>
                <w:color w:val="auto"/>
              </w:rPr>
            </w:pPr>
            <w:r>
              <w:rPr>
                <w:rFonts w:ascii="Arial" w:cs="Arial" w:eastAsia="Arial" w:hAnsi="Arial"/>
                <w:sz w:val="17"/>
                <w:szCs w:val="17"/>
                <w:color w:val="auto"/>
              </w:rPr>
              <w:t>Effective portion of changes in fair value recognized in OCI:</w:t>
            </w:r>
          </w:p>
        </w:tc>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0"/>
        </w:trPr>
        <w:tc>
          <w:tcPr>
            <w:tcW w:w="5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Commodity contracts</w:t>
            </w:r>
          </w:p>
        </w:tc>
        <w:tc>
          <w:tcPr>
            <w:tcW w:w="1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19"/>
        </w:trPr>
        <w:tc>
          <w:tcPr>
            <w:tcW w:w="5540" w:type="dxa"/>
            <w:vAlign w:val="bottom"/>
          </w:tcPr>
          <w:p>
            <w:pPr>
              <w:ind w:left="140"/>
              <w:spacing w:after="0"/>
              <w:rPr>
                <w:sz w:val="20"/>
                <w:szCs w:val="20"/>
                <w:color w:val="auto"/>
              </w:rPr>
            </w:pPr>
            <w:r>
              <w:rPr>
                <w:rFonts w:ascii="Arial" w:cs="Arial" w:eastAsia="Arial" w:hAnsi="Arial"/>
                <w:sz w:val="17"/>
                <w:szCs w:val="17"/>
                <w:color w:val="auto"/>
              </w:rPr>
              <w:t>Foreign exchange forward contracts</w:t>
            </w:r>
          </w:p>
        </w:tc>
        <w:tc>
          <w:tcPr>
            <w:tcW w:w="1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199"/>
        </w:trPr>
        <w:tc>
          <w:tcPr>
            <w:tcW w:w="554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color w:val="auto"/>
              </w:rPr>
              <w:t>Amount of loss (gain) reclassified from OCI to earnings:</w:t>
            </w:r>
          </w:p>
        </w:tc>
        <w:tc>
          <w:tcPr>
            <w:tcW w:w="2780" w:type="dxa"/>
            <w:vAlign w:val="bottom"/>
            <w:gridSpan w:val="3"/>
            <w:shd w:val="clear" w:color="auto" w:fill="CCEEFF"/>
          </w:tcPr>
          <w:p>
            <w:pPr>
              <w:spacing w:after="0" w:line="180" w:lineRule="exact"/>
              <w:rPr>
                <w:sz w:val="20"/>
                <w:szCs w:val="20"/>
                <w:color w:val="auto"/>
              </w:rPr>
            </w:pPr>
            <w:r>
              <w:rPr>
                <w:rFonts w:ascii="Arial" w:cs="Arial" w:eastAsia="Arial" w:hAnsi="Arial"/>
                <w:sz w:val="17"/>
                <w:szCs w:val="17"/>
                <w:b w:val="1"/>
                <w:bCs w:val="1"/>
                <w:color w:val="auto"/>
              </w:rPr>
              <w:t>Location in Earnings</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9"/>
        </w:trPr>
        <w:tc>
          <w:tcPr>
            <w:tcW w:w="5540" w:type="dxa"/>
            <w:vAlign w:val="bottom"/>
            <w:tcBorders>
              <w:top w:val="single" w:sz="8" w:color="CCEEFF"/>
            </w:tcBorders>
          </w:tcPr>
          <w:p>
            <w:pPr>
              <w:ind w:left="140"/>
              <w:spacing w:after="0"/>
              <w:rPr>
                <w:sz w:val="20"/>
                <w:szCs w:val="20"/>
                <w:color w:val="auto"/>
              </w:rPr>
            </w:pPr>
            <w:r>
              <w:rPr>
                <w:rFonts w:ascii="Arial" w:cs="Arial" w:eastAsia="Arial" w:hAnsi="Arial"/>
                <w:sz w:val="17"/>
                <w:szCs w:val="17"/>
                <w:color w:val="auto"/>
              </w:rPr>
              <w:t>Commodity contracts</w:t>
            </w:r>
          </w:p>
        </w:tc>
        <w:tc>
          <w:tcPr>
            <w:tcW w:w="1540" w:type="dxa"/>
            <w:vAlign w:val="bottom"/>
            <w:tcBorders>
              <w:top w:val="single" w:sz="8" w:color="auto"/>
            </w:tcBorders>
          </w:tcPr>
          <w:p>
            <w:pPr>
              <w:spacing w:after="0"/>
              <w:rPr>
                <w:sz w:val="20"/>
                <w:szCs w:val="20"/>
                <w:color w:val="auto"/>
              </w:rPr>
            </w:pPr>
            <w:r>
              <w:rPr>
                <w:rFonts w:ascii="Arial" w:cs="Arial" w:eastAsia="Arial" w:hAnsi="Arial"/>
                <w:sz w:val="17"/>
                <w:szCs w:val="17"/>
                <w:color w:val="auto"/>
                <w:w w:val="95"/>
              </w:rPr>
              <w:t>Cost of products sold</w:t>
            </w:r>
          </w:p>
        </w:tc>
        <w:tc>
          <w:tcPr>
            <w:tcW w:w="1240" w:type="dxa"/>
            <w:vAlign w:val="bottom"/>
            <w:tcBorders>
              <w:top w:val="single" w:sz="8" w:color="CCEEFF"/>
            </w:tcBorders>
            <w:gridSpan w:val="2"/>
          </w:tcPr>
          <w:p>
            <w:pPr>
              <w:spacing w:after="0"/>
              <w:rPr>
                <w:sz w:val="19"/>
                <w:szCs w:val="19"/>
                <w:color w:val="auto"/>
              </w:rPr>
            </w:pP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7"/>
                <w:szCs w:val="17"/>
                <w:b w:val="1"/>
                <w:bCs w:val="1"/>
                <w:color w:val="auto"/>
              </w:rPr>
              <w:t>(3)</w:t>
            </w: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(14)</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5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Foreign exchange forward contracts</w:t>
            </w:r>
          </w:p>
        </w:tc>
        <w:tc>
          <w:tcPr>
            <w:tcW w:w="27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Cost of products sold</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19"/>
        </w:trPr>
        <w:tc>
          <w:tcPr>
            <w:tcW w:w="5540" w:type="dxa"/>
            <w:vAlign w:val="bottom"/>
          </w:tcPr>
          <w:p>
            <w:pPr>
              <w:ind w:left="140"/>
              <w:spacing w:after="0"/>
              <w:rPr>
                <w:sz w:val="20"/>
                <w:szCs w:val="20"/>
                <w:color w:val="auto"/>
              </w:rPr>
            </w:pPr>
            <w:r>
              <w:rPr>
                <w:rFonts w:ascii="Arial" w:cs="Arial" w:eastAsia="Arial" w:hAnsi="Arial"/>
                <w:sz w:val="17"/>
                <w:szCs w:val="17"/>
                <w:color w:val="auto"/>
              </w:rPr>
              <w:t>Foreign exchange forward contracts</w:t>
            </w:r>
          </w:p>
        </w:tc>
        <w:tc>
          <w:tcPr>
            <w:tcW w:w="2780" w:type="dxa"/>
            <w:vAlign w:val="bottom"/>
            <w:gridSpan w:val="3"/>
          </w:tcPr>
          <w:p>
            <w:pPr>
              <w:spacing w:after="0"/>
              <w:rPr>
                <w:sz w:val="20"/>
                <w:szCs w:val="20"/>
                <w:color w:val="auto"/>
              </w:rPr>
            </w:pPr>
            <w:r>
              <w:rPr>
                <w:rFonts w:ascii="Arial" w:cs="Arial" w:eastAsia="Arial" w:hAnsi="Arial"/>
                <w:sz w:val="17"/>
                <w:szCs w:val="17"/>
                <w:color w:val="auto"/>
              </w:rPr>
              <w:t>Other expenses / (income)</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9"/>
        </w:trPr>
        <w:tc>
          <w:tcPr>
            <w:tcW w:w="5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Forward starting interest rate swaps</w:t>
            </w:r>
          </w:p>
        </w:tc>
        <w:tc>
          <w:tcPr>
            <w:tcW w:w="2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2"/>
        </w:trPr>
        <w:tc>
          <w:tcPr>
            <w:tcW w:w="5540" w:type="dxa"/>
            <w:vAlign w:val="bottom"/>
          </w:tcPr>
          <w:p>
            <w:pPr>
              <w:ind w:left="20"/>
              <w:spacing w:after="0"/>
              <w:rPr>
                <w:sz w:val="20"/>
                <w:szCs w:val="20"/>
                <w:color w:val="auto"/>
              </w:rPr>
            </w:pPr>
            <w:r>
              <w:rPr>
                <w:rFonts w:ascii="Arial" w:cs="Arial" w:eastAsia="Arial" w:hAnsi="Arial"/>
                <w:sz w:val="17"/>
                <w:szCs w:val="17"/>
                <w:color w:val="auto"/>
              </w:rPr>
              <w:t>OCI derivative gain (loss) at end of year</w:t>
            </w:r>
          </w:p>
        </w:tc>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0"/>
        </w:trPr>
        <w:tc>
          <w:tcPr>
            <w:tcW w:w="5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Based on current valuations, the amount expected to be reclassified from OCI into earnings within the next 12 months is a loss of $2 million.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116205</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0" w:name="page61"/>
    <w:bookmarkEnd w:id="60"/>
    <w:p>
      <w:pPr>
        <w:ind w:firstLine="309"/>
        <w:spacing w:after="0" w:line="348" w:lineRule="auto"/>
        <w:rPr>
          <w:sz w:val="20"/>
          <w:szCs w:val="20"/>
          <w:color w:val="auto"/>
        </w:rPr>
      </w:pPr>
      <w:r>
        <w:rPr>
          <w:rFonts w:ascii="Arial" w:cs="Arial" w:eastAsia="Arial" w:hAnsi="Arial"/>
          <w:sz w:val="15"/>
          <w:szCs w:val="15"/>
          <w:color w:val="auto"/>
        </w:rPr>
        <w:t>The following table shows the total amounts of line items presented in the Consolidated Statements of Earnings for the years ended 2023, 2022, and 2021 in which the effects of derivative instruments designated as cash-flow hedges are recorded and the total effect of hedge activity on these line items are as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24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4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ind w:left="80"/>
              <w:spacing w:after="0" w:line="125" w:lineRule="exact"/>
              <w:rPr>
                <w:sz w:val="20"/>
                <w:szCs w:val="20"/>
                <w:color w:val="auto"/>
              </w:rPr>
            </w:pPr>
            <w:r>
              <w:rPr>
                <w:rFonts w:ascii="Arial" w:cs="Arial" w:eastAsia="Arial" w:hAnsi="Arial"/>
                <w:sz w:val="14"/>
                <w:szCs w:val="14"/>
                <w:b w:val="1"/>
                <w:bCs w:val="1"/>
                <w:color w:val="auto"/>
              </w:rPr>
              <w:t>Cost of</w:t>
            </w: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163"/>
              <w:spacing w:after="0" w:line="125" w:lineRule="exact"/>
              <w:rPr>
                <w:sz w:val="20"/>
                <w:szCs w:val="20"/>
                <w:color w:val="auto"/>
              </w:rPr>
            </w:pPr>
            <w:r>
              <w:rPr>
                <w:rFonts w:ascii="Arial" w:cs="Arial" w:eastAsia="Arial" w:hAnsi="Arial"/>
                <w:sz w:val="14"/>
                <w:szCs w:val="14"/>
                <w:b w:val="1"/>
                <w:bCs w:val="1"/>
                <w:color w:val="auto"/>
                <w:w w:val="98"/>
              </w:rPr>
              <w:t>Interest</w:t>
            </w: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ind w:left="80"/>
              <w:spacing w:after="0" w:line="125" w:lineRule="exact"/>
              <w:rPr>
                <w:sz w:val="20"/>
                <w:szCs w:val="20"/>
                <w:color w:val="auto"/>
              </w:rPr>
            </w:pPr>
            <w:r>
              <w:rPr>
                <w:rFonts w:ascii="Arial" w:cs="Arial" w:eastAsia="Arial" w:hAnsi="Arial"/>
                <w:sz w:val="14"/>
                <w:szCs w:val="14"/>
                <w:b w:val="1"/>
                <w:bCs w:val="1"/>
                <w:color w:val="auto"/>
              </w:rPr>
              <w:t>Cost of</w:t>
            </w: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ind w:left="60"/>
              <w:spacing w:after="0" w:line="125" w:lineRule="exact"/>
              <w:rPr>
                <w:sz w:val="20"/>
                <w:szCs w:val="20"/>
                <w:color w:val="auto"/>
              </w:rPr>
            </w:pPr>
            <w:r>
              <w:rPr>
                <w:rFonts w:ascii="Arial" w:cs="Arial" w:eastAsia="Arial" w:hAnsi="Arial"/>
                <w:sz w:val="14"/>
                <w:szCs w:val="14"/>
                <w:b w:val="1"/>
                <w:bCs w:val="1"/>
                <w:color w:val="auto"/>
              </w:rPr>
              <w:t>Interest</w:t>
            </w: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ind w:right="260"/>
              <w:spacing w:after="0" w:line="125" w:lineRule="exact"/>
              <w:rPr>
                <w:sz w:val="20"/>
                <w:szCs w:val="20"/>
                <w:color w:val="auto"/>
              </w:rPr>
            </w:pPr>
            <w:r>
              <w:rPr>
                <w:rFonts w:ascii="Arial" w:cs="Arial" w:eastAsia="Arial" w:hAnsi="Arial"/>
                <w:sz w:val="14"/>
                <w:szCs w:val="14"/>
                <w:b w:val="1"/>
                <w:bCs w:val="1"/>
                <w:color w:val="auto"/>
                <w:w w:val="87"/>
              </w:rPr>
              <w:t>Cost of</w:t>
            </w:r>
          </w:p>
        </w:tc>
        <w:tc>
          <w:tcPr>
            <w:tcW w:w="1040" w:type="dxa"/>
            <w:vAlign w:val="bottom"/>
            <w:tcBorders>
              <w:top w:val="single" w:sz="8" w:color="auto"/>
            </w:tcBorders>
            <w:gridSpan w:val="3"/>
          </w:tcPr>
          <w:p>
            <w:pPr>
              <w:ind w:left="20"/>
              <w:spacing w:after="0" w:line="125" w:lineRule="exact"/>
              <w:rPr>
                <w:sz w:val="20"/>
                <w:szCs w:val="20"/>
                <w:color w:val="auto"/>
              </w:rPr>
            </w:pPr>
            <w:r>
              <w:rPr>
                <w:rFonts w:ascii="Arial" w:cs="Arial" w:eastAsia="Arial" w:hAnsi="Arial"/>
                <w:sz w:val="14"/>
                <w:szCs w:val="14"/>
                <w:b w:val="1"/>
                <w:bCs w:val="1"/>
                <w:color w:val="auto"/>
                <w:w w:val="95"/>
              </w:rPr>
              <w:t>Other expenses</w:t>
            </w: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163"/>
              <w:spacing w:after="0" w:line="125" w:lineRule="exact"/>
              <w:rPr>
                <w:sz w:val="20"/>
                <w:szCs w:val="20"/>
                <w:color w:val="auto"/>
              </w:rPr>
            </w:pPr>
            <w:r>
              <w:rPr>
                <w:rFonts w:ascii="Arial" w:cs="Arial" w:eastAsia="Arial" w:hAnsi="Arial"/>
                <w:sz w:val="14"/>
                <w:szCs w:val="14"/>
                <w:b w:val="1"/>
                <w:bCs w:val="1"/>
                <w:color w:val="auto"/>
                <w:w w:val="98"/>
              </w:rPr>
              <w:t>Interest</w:t>
            </w:r>
          </w:p>
        </w:tc>
        <w:tc>
          <w:tcPr>
            <w:tcW w:w="0" w:type="dxa"/>
            <w:vAlign w:val="bottom"/>
          </w:tcPr>
          <w:p>
            <w:pPr>
              <w:spacing w:after="0"/>
              <w:rPr>
                <w:sz w:val="1"/>
                <w:szCs w:val="1"/>
                <w:color w:val="auto"/>
              </w:rPr>
            </w:pPr>
          </w:p>
        </w:tc>
      </w:tr>
      <w:tr>
        <w:trPr>
          <w:trHeight w:val="184"/>
        </w:trPr>
        <w:tc>
          <w:tcPr>
            <w:tcW w:w="4140" w:type="dxa"/>
            <w:vAlign w:val="bottom"/>
            <w:vMerge w:val="continue"/>
          </w:tcPr>
          <w:p>
            <w:pPr>
              <w:spacing w:after="0"/>
              <w:rPr>
                <w:sz w:val="16"/>
                <w:szCs w:val="16"/>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0"/>
              </w:rPr>
              <w:t>products sold</w:t>
            </w:r>
          </w:p>
        </w:tc>
        <w:tc>
          <w:tcPr>
            <w:tcW w:w="180" w:type="dxa"/>
            <w:vAlign w:val="bottom"/>
          </w:tcPr>
          <w:p>
            <w:pPr>
              <w:spacing w:after="0"/>
              <w:rPr>
                <w:sz w:val="16"/>
                <w:szCs w:val="16"/>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expense</w:t>
            </w:r>
          </w:p>
        </w:tc>
        <w:tc>
          <w:tcPr>
            <w:tcW w:w="10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0"/>
              </w:rPr>
              <w:t>products sold</w:t>
            </w:r>
          </w:p>
        </w:tc>
        <w:tc>
          <w:tcPr>
            <w:tcW w:w="18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expense</w:t>
            </w: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products sold</w:t>
            </w: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 (income)</w:t>
            </w:r>
          </w:p>
        </w:tc>
        <w:tc>
          <w:tcPr>
            <w:tcW w:w="180" w:type="dxa"/>
            <w:vAlign w:val="bottom"/>
          </w:tcPr>
          <w:p>
            <w:pPr>
              <w:spacing w:after="0"/>
              <w:rPr>
                <w:sz w:val="16"/>
                <w:szCs w:val="16"/>
                <w:color w:val="auto"/>
              </w:rPr>
            </w:pPr>
          </w:p>
        </w:tc>
        <w:tc>
          <w:tcPr>
            <w:tcW w:w="760" w:type="dxa"/>
            <w:vAlign w:val="bottom"/>
          </w:tcPr>
          <w:p>
            <w:pPr>
              <w:jc w:val="right"/>
              <w:ind w:right="163"/>
              <w:spacing w:after="0"/>
              <w:rPr>
                <w:sz w:val="20"/>
                <w:szCs w:val="20"/>
                <w:color w:val="auto"/>
              </w:rPr>
            </w:pPr>
            <w:r>
              <w:rPr>
                <w:rFonts w:ascii="Arial" w:cs="Arial" w:eastAsia="Arial" w:hAnsi="Arial"/>
                <w:sz w:val="14"/>
                <w:szCs w:val="14"/>
                <w:b w:val="1"/>
                <w:bCs w:val="1"/>
                <w:color w:val="auto"/>
                <w:w w:val="89"/>
              </w:rPr>
              <w:t>expense</w:t>
            </w:r>
          </w:p>
        </w:tc>
        <w:tc>
          <w:tcPr>
            <w:tcW w:w="0" w:type="dxa"/>
            <w:vAlign w:val="bottom"/>
          </w:tcPr>
          <w:p>
            <w:pPr>
              <w:spacing w:after="0"/>
              <w:rPr>
                <w:sz w:val="1"/>
                <w:szCs w:val="1"/>
                <w:color w:val="auto"/>
              </w:rPr>
            </w:pPr>
          </w:p>
        </w:tc>
      </w:tr>
      <w:tr>
        <w:trPr>
          <w:trHeight w:val="218"/>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Consolidated Statements of Earnings: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7"/>
                <w:szCs w:val="17"/>
                <w:b w:val="1"/>
                <w:bCs w:val="1"/>
                <w:color w:val="auto"/>
              </w:rPr>
              <w:t>6,440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7"/>
                <w:szCs w:val="17"/>
                <w:b w:val="1"/>
                <w:bCs w:val="1"/>
                <w:color w:val="auto"/>
              </w:rPr>
              <w:t>188</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5,935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5,665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0" w:type="dxa"/>
            <w:vAlign w:val="bottom"/>
          </w:tcPr>
          <w:p>
            <w:pPr>
              <w:spacing w:after="0"/>
              <w:rPr>
                <w:sz w:val="1"/>
                <w:szCs w:val="1"/>
                <w:color w:val="auto"/>
              </w:rPr>
            </w:pPr>
          </w:p>
        </w:tc>
      </w:tr>
      <w:tr>
        <w:trPr>
          <w:trHeight w:val="258"/>
        </w:trPr>
        <w:tc>
          <w:tcPr>
            <w:tcW w:w="4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(gain) on cash-flow hedges:</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140"/>
              <w:spacing w:after="0"/>
              <w:rPr>
                <w:sz w:val="20"/>
                <w:szCs w:val="20"/>
                <w:color w:val="auto"/>
              </w:rPr>
            </w:pPr>
            <w:r>
              <w:rPr>
                <w:rFonts w:ascii="Arial" w:cs="Arial" w:eastAsia="Arial" w:hAnsi="Arial"/>
                <w:sz w:val="17"/>
                <w:szCs w:val="17"/>
                <w:color w:val="auto"/>
                <w:w w:val="96"/>
              </w:rPr>
              <w:t>Amount of loss (gain) reclassified from OCI to earnings</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(11)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760" w:type="dxa"/>
            <w:vAlign w:val="bottom"/>
          </w:tcPr>
          <w:p>
            <w:pPr>
              <w:jc w:val="right"/>
              <w:ind w:right="3"/>
              <w:spacing w:after="0"/>
              <w:rPr>
                <w:sz w:val="20"/>
                <w:szCs w:val="20"/>
                <w:color w:val="auto"/>
              </w:rPr>
            </w:pPr>
            <w:r>
              <w:rPr>
                <w:rFonts w:ascii="Arial" w:cs="Arial" w:eastAsia="Arial" w:hAnsi="Arial"/>
                <w:sz w:val="17"/>
                <w:szCs w:val="17"/>
                <w:b w:val="1"/>
                <w:bCs w:val="1"/>
                <w:color w:val="auto"/>
              </w:rPr>
              <w:t>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3"/>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amount excluded from effectiveness testing recognized in each line item of earnings using an amortization approach was not material in all periods presented.</w:t>
      </w:r>
    </w:p>
    <w:p>
      <w:pPr>
        <w:spacing w:after="0" w:line="3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shows the effects of our derivative instruments not designated as hedges in the Consolidated Statements of Earnings: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3260" w:type="dxa"/>
            <w:vAlign w:val="bottom"/>
            <w:gridSpan w:val="2"/>
          </w:tcPr>
          <w:p>
            <w:pPr>
              <w:ind w:left="880"/>
              <w:spacing w:after="0"/>
              <w:rPr>
                <w:sz w:val="20"/>
                <w:szCs w:val="20"/>
                <w:color w:val="auto"/>
              </w:rPr>
            </w:pPr>
            <w:r>
              <w:rPr>
                <w:rFonts w:ascii="Arial" w:cs="Arial" w:eastAsia="Arial" w:hAnsi="Arial"/>
                <w:sz w:val="14"/>
                <w:szCs w:val="14"/>
                <w:b w:val="1"/>
                <w:bCs w:val="1"/>
                <w:color w:val="auto"/>
              </w:rPr>
              <w:t>Location of Loss (Gain)</w:t>
            </w:r>
          </w:p>
        </w:tc>
        <w:tc>
          <w:tcPr>
            <w:tcW w:w="260" w:type="dxa"/>
            <w:vAlign w:val="bottom"/>
          </w:tcPr>
          <w:p>
            <w:pPr>
              <w:spacing w:after="0"/>
              <w:rPr>
                <w:sz w:val="14"/>
                <w:szCs w:val="14"/>
                <w:color w:val="auto"/>
              </w:rPr>
            </w:pPr>
          </w:p>
        </w:tc>
        <w:tc>
          <w:tcPr>
            <w:tcW w:w="820" w:type="dxa"/>
            <w:vAlign w:val="bottom"/>
            <w:vMerge w:val="restart"/>
          </w:tcPr>
          <w:p>
            <w:pPr>
              <w:jc w:val="right"/>
              <w:ind w:right="31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31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31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4"/>
        </w:trPr>
        <w:tc>
          <w:tcPr>
            <w:tcW w:w="4500" w:type="dxa"/>
            <w:vAlign w:val="bottom"/>
            <w:tcBorders>
              <w:bottom w:val="single" w:sz="8" w:color="CCEEFF"/>
            </w:tcBorders>
            <w:vMerge w:val="continue"/>
          </w:tcPr>
          <w:p>
            <w:pPr>
              <w:spacing w:after="0"/>
              <w:rPr>
                <w:sz w:val="16"/>
                <w:szCs w:val="16"/>
                <w:color w:val="auto"/>
              </w:rPr>
            </w:pPr>
          </w:p>
        </w:tc>
        <w:tc>
          <w:tcPr>
            <w:tcW w:w="316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Recognized in Earnings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exchange forward contracts</w:t>
            </w:r>
          </w:p>
        </w:tc>
        <w:tc>
          <w:tcPr>
            <w:tcW w:w="3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Cost of products sold</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9"/>
        </w:trPr>
        <w:tc>
          <w:tcPr>
            <w:tcW w:w="4500" w:type="dxa"/>
            <w:vAlign w:val="bottom"/>
          </w:tcPr>
          <w:p>
            <w:pPr>
              <w:ind w:left="20"/>
              <w:spacing w:after="0"/>
              <w:rPr>
                <w:sz w:val="20"/>
                <w:szCs w:val="20"/>
                <w:color w:val="auto"/>
              </w:rPr>
            </w:pPr>
            <w:r>
              <w:rPr>
                <w:rFonts w:ascii="Arial" w:cs="Arial" w:eastAsia="Arial" w:hAnsi="Arial"/>
                <w:sz w:val="17"/>
                <w:szCs w:val="17"/>
                <w:color w:val="auto"/>
              </w:rPr>
              <w:t>Commodity contracts</w:t>
            </w:r>
          </w:p>
        </w:tc>
        <w:tc>
          <w:tcPr>
            <w:tcW w:w="3260" w:type="dxa"/>
            <w:vAlign w:val="bottom"/>
            <w:gridSpan w:val="2"/>
          </w:tcPr>
          <w:p>
            <w:pPr>
              <w:ind w:left="20"/>
              <w:spacing w:after="0"/>
              <w:rPr>
                <w:sz w:val="20"/>
                <w:szCs w:val="20"/>
                <w:color w:val="auto"/>
              </w:rPr>
            </w:pPr>
            <w:r>
              <w:rPr>
                <w:rFonts w:ascii="Arial" w:cs="Arial" w:eastAsia="Arial" w:hAnsi="Arial"/>
                <w:sz w:val="17"/>
                <w:szCs w:val="17"/>
                <w:color w:val="auto"/>
              </w:rPr>
              <w:t>Cost of products sold</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19"/>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compensation contracts</w:t>
            </w:r>
          </w:p>
        </w:tc>
        <w:tc>
          <w:tcPr>
            <w:tcW w:w="3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Administrative expenses</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2"/>
        </w:trPr>
        <w:tc>
          <w:tcPr>
            <w:tcW w:w="4500" w:type="dxa"/>
            <w:vAlign w:val="bottom"/>
          </w:tcPr>
          <w:p>
            <w:pPr>
              <w:ind w:left="20"/>
              <w:spacing w:after="0"/>
              <w:rPr>
                <w:sz w:val="20"/>
                <w:szCs w:val="20"/>
                <w:color w:val="auto"/>
              </w:rPr>
            </w:pPr>
            <w:r>
              <w:rPr>
                <w:rFonts w:ascii="Arial" w:cs="Arial" w:eastAsia="Arial" w:hAnsi="Arial"/>
                <w:sz w:val="17"/>
                <w:szCs w:val="17"/>
                <w:color w:val="auto"/>
              </w:rPr>
              <w:t>Total</w:t>
            </w: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Fair Value Measurements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categorize financial assets and liabilities based on the following fair value hierarchy:</w:t>
      </w:r>
    </w:p>
    <w:p>
      <w:pPr>
        <w:spacing w:after="0" w:line="101" w:lineRule="exact"/>
        <w:rPr>
          <w:sz w:val="20"/>
          <w:szCs w:val="20"/>
          <w:color w:val="auto"/>
        </w:rPr>
      </w:pPr>
    </w:p>
    <w:p>
      <w:pPr>
        <w:ind w:left="620" w:hanging="308"/>
        <w:spacing w:after="0"/>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Level 1: Observable inputs that reflect quoted prices (unadjusted) for identical assets or liabilities in active markets.</w:t>
      </w:r>
    </w:p>
    <w:p>
      <w:pPr>
        <w:spacing w:after="0" w:line="87"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45"/>
        </w:numPr>
        <w:rPr>
          <w:rFonts w:ascii="Arial" w:cs="Arial" w:eastAsia="Arial" w:hAnsi="Arial"/>
          <w:sz w:val="17"/>
          <w:szCs w:val="17"/>
          <w:color w:val="auto"/>
        </w:rPr>
      </w:pPr>
      <w:r>
        <w:rPr>
          <w:rFonts w:ascii="Arial" w:cs="Arial" w:eastAsia="Arial" w:hAnsi="Arial"/>
          <w:sz w:val="17"/>
          <w:szCs w:val="17"/>
          <w:color w:val="auto"/>
        </w:rPr>
        <w:t>Level 2: Inputs other than quoted prices included in Level 1 that are observable for the asset or liability through corroboration with observable market data.</w:t>
      </w:r>
    </w:p>
    <w:p>
      <w:pPr>
        <w:spacing w:after="0" w:line="47" w:lineRule="exact"/>
        <w:rPr>
          <w:rFonts w:ascii="Arial" w:cs="Arial" w:eastAsia="Arial" w:hAnsi="Arial"/>
          <w:sz w:val="17"/>
          <w:szCs w:val="17"/>
          <w:color w:val="auto"/>
        </w:rPr>
      </w:pPr>
    </w:p>
    <w:p>
      <w:pPr>
        <w:ind w:left="620" w:hanging="308"/>
        <w:spacing w:after="0"/>
        <w:tabs>
          <w:tab w:leader="none" w:pos="6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Level 3: Unobservable inputs, which are valued based on our estimates of assumptions that market participants would use in pricing the asset or liability.</w:t>
      </w:r>
    </w:p>
    <w:p>
      <w:pPr>
        <w:spacing w:after="0" w:line="124" w:lineRule="exact"/>
        <w:rPr>
          <w:sz w:val="20"/>
          <w:szCs w:val="20"/>
          <w:color w:val="auto"/>
        </w:rPr>
      </w:pPr>
    </w:p>
    <w:p>
      <w:pPr>
        <w:ind w:firstLine="309"/>
        <w:spacing w:after="0" w:line="294" w:lineRule="auto"/>
        <w:rPr>
          <w:sz w:val="20"/>
          <w:szCs w:val="20"/>
          <w:color w:val="auto"/>
        </w:rPr>
      </w:pPr>
      <w:r>
        <w:rPr>
          <w:rFonts w:ascii="Arial" w:cs="Arial" w:eastAsia="Arial" w:hAnsi="Arial"/>
          <w:sz w:val="15"/>
          <w:szCs w:val="15"/>
          <w:color w:val="auto"/>
        </w:rPr>
        <w:t>Fair value is defined as the exit price, or the amount that would be received to sell an asset or paid to transfer a liability in an orderly transaction between market participants as of the measurement date. When available, we use unadjusted quoted market prices to measure the fair value and classify such items as Level</w:t>
      </w:r>
    </w:p>
    <w:p>
      <w:pPr>
        <w:ind w:firstLine="3"/>
        <w:spacing w:after="0" w:line="333" w:lineRule="auto"/>
        <w:tabs>
          <w:tab w:leader="none" w:pos="181" w:val="left"/>
        </w:tabs>
        <w:numPr>
          <w:ilvl w:val="0"/>
          <w:numId w:val="46"/>
        </w:numPr>
        <w:rPr>
          <w:rFonts w:ascii="Arial" w:cs="Arial" w:eastAsia="Arial" w:hAnsi="Arial"/>
          <w:sz w:val="15"/>
          <w:szCs w:val="15"/>
          <w:color w:val="auto"/>
        </w:rPr>
      </w:pPr>
      <w:r>
        <w:rPr>
          <w:rFonts w:ascii="Arial" w:cs="Arial" w:eastAsia="Arial" w:hAnsi="Arial"/>
          <w:sz w:val="15"/>
          <w:szCs w:val="15"/>
          <w:color w:val="auto"/>
        </w:rPr>
        <w:t>If quoted market prices are not available, we base fair value upon internally developed models that use current market-based or independently sourced market parameters such as interest rates and currency rates. Included in the fair value of derivative instruments is an adjustment for credit and nonperformance risk.</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116205</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61" w:name="page62"/>
    <w:bookmarkEnd w:id="61"/>
    <w:p>
      <w:pPr>
        <w:ind w:left="320"/>
        <w:spacing w:after="0"/>
        <w:rPr>
          <w:sz w:val="20"/>
          <w:szCs w:val="20"/>
          <w:color w:val="auto"/>
        </w:rPr>
      </w:pPr>
      <w:r>
        <w:rPr>
          <w:rFonts w:ascii="Arial" w:cs="Arial" w:eastAsia="Arial" w:hAnsi="Arial"/>
          <w:sz w:val="17"/>
          <w:szCs w:val="17"/>
          <w:b w:val="1"/>
          <w:bCs w:val="1"/>
          <w:i w:val="1"/>
          <w:iCs w:val="1"/>
          <w:color w:val="auto"/>
        </w:rPr>
        <w:t>Assets and Liabilities Measured at Fair Value on a Recurring Basis</w:t>
      </w:r>
    </w:p>
    <w:p>
      <w:pPr>
        <w:spacing w:after="0" w:line="88"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The following tables present our financial assets and liabilities that are measured at fair value on a recurring basis as of July 30, 2023, and July 31, 2022, consistent with the fair value hierarchy:</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10"/>
          </w:tcPr>
          <w:p>
            <w:pPr>
              <w:jc w:val="center"/>
              <w:ind w:left="479"/>
              <w:spacing w:after="0"/>
              <w:rPr>
                <w:sz w:val="20"/>
                <w:szCs w:val="20"/>
                <w:color w:val="auto"/>
              </w:rPr>
            </w:pPr>
            <w:r>
              <w:rPr>
                <w:rFonts w:ascii="Arial" w:cs="Arial" w:eastAsia="Arial" w:hAnsi="Arial"/>
                <w:sz w:val="14"/>
                <w:szCs w:val="14"/>
                <w:b w:val="1"/>
                <w:bCs w:val="1"/>
                <w:color w:val="auto"/>
                <w:w w:val="89"/>
              </w:rPr>
              <w:t>Fair Value Measurements at</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10"/>
          </w:tcPr>
          <w:p>
            <w:pPr>
              <w:jc w:val="center"/>
              <w:ind w:left="499"/>
              <w:spacing w:after="0"/>
              <w:rPr>
                <w:sz w:val="20"/>
                <w:szCs w:val="20"/>
                <w:color w:val="auto"/>
              </w:rPr>
            </w:pPr>
            <w:r>
              <w:rPr>
                <w:rFonts w:ascii="Arial" w:cs="Arial" w:eastAsia="Arial" w:hAnsi="Arial"/>
                <w:sz w:val="14"/>
                <w:szCs w:val="14"/>
                <w:b w:val="1"/>
                <w:bCs w:val="1"/>
                <w:color w:val="auto"/>
                <w:w w:val="89"/>
              </w:rPr>
              <w:t>Fair Value Measurements at</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2"/>
              </w:rPr>
              <w:t>Fair Value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7"/>
          </w:tcPr>
          <w:p>
            <w:pPr>
              <w:jc w:val="center"/>
              <w:ind w:right="60"/>
              <w:spacing w:after="0" w:line="142" w:lineRule="exact"/>
              <w:rPr>
                <w:sz w:val="20"/>
                <w:szCs w:val="20"/>
                <w:color w:val="auto"/>
              </w:rPr>
            </w:pPr>
            <w:r>
              <w:rPr>
                <w:rFonts w:ascii="Arial" w:cs="Arial" w:eastAsia="Arial" w:hAnsi="Arial"/>
                <w:sz w:val="14"/>
                <w:szCs w:val="14"/>
                <w:b w:val="1"/>
                <w:bCs w:val="1"/>
                <w:color w:val="auto"/>
                <w:w w:val="88"/>
              </w:rPr>
              <w:t>July 30, 2023 Using</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2"/>
              </w:rPr>
              <w:t>Fair Value</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6"/>
          </w:tcPr>
          <w:p>
            <w:pPr>
              <w:jc w:val="center"/>
              <w:ind w:right="20"/>
              <w:spacing w:after="0" w:line="142" w:lineRule="exact"/>
              <w:rPr>
                <w:sz w:val="20"/>
                <w:szCs w:val="20"/>
                <w:color w:val="auto"/>
              </w:rPr>
            </w:pPr>
            <w:r>
              <w:rPr>
                <w:rFonts w:ascii="Arial" w:cs="Arial" w:eastAsia="Arial" w:hAnsi="Arial"/>
                <w:sz w:val="14"/>
                <w:szCs w:val="14"/>
                <w:b w:val="1"/>
                <w:bCs w:val="1"/>
                <w:color w:val="auto"/>
                <w:w w:val="88"/>
              </w:rPr>
              <w:t>July 31, 2022 Using</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00" w:type="dxa"/>
            <w:vAlign w:val="bottom"/>
            <w:gridSpan w:val="8"/>
            <w:vMerge w:val="restart"/>
          </w:tcPr>
          <w:p>
            <w:pPr>
              <w:jc w:val="center"/>
              <w:ind w:right="20"/>
              <w:spacing w:after="0"/>
              <w:rPr>
                <w:sz w:val="20"/>
                <w:szCs w:val="20"/>
                <w:color w:val="auto"/>
              </w:rPr>
            </w:pPr>
            <w:r>
              <w:rPr>
                <w:rFonts w:ascii="Arial" w:cs="Arial" w:eastAsia="Arial" w:hAnsi="Arial"/>
                <w:sz w:val="14"/>
                <w:szCs w:val="14"/>
                <w:b w:val="1"/>
                <w:bCs w:val="1"/>
                <w:color w:val="auto"/>
                <w:w w:val="91"/>
              </w:rPr>
              <w:t>Fair Value Hierarchy</w:t>
            </w: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gridSpan w:val="6"/>
            <w:vMerge w:val="restart"/>
          </w:tcPr>
          <w:p>
            <w:pPr>
              <w:jc w:val="center"/>
              <w:ind w:right="20"/>
              <w:spacing w:after="0"/>
              <w:rPr>
                <w:sz w:val="20"/>
                <w:szCs w:val="20"/>
                <w:color w:val="auto"/>
              </w:rPr>
            </w:pPr>
            <w:r>
              <w:rPr>
                <w:rFonts w:ascii="Arial" w:cs="Arial" w:eastAsia="Arial" w:hAnsi="Arial"/>
                <w:sz w:val="14"/>
                <w:szCs w:val="14"/>
                <w:b w:val="1"/>
                <w:bCs w:val="1"/>
                <w:color w:val="auto"/>
                <w:w w:val="93"/>
              </w:rPr>
              <w:t>Fair Value Hierarchy</w:t>
            </w: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3"/>
          </w:tcPr>
          <w:p>
            <w:pPr>
              <w:jc w:val="center"/>
              <w:ind w:right="240"/>
              <w:spacing w:after="0" w:line="118" w:lineRule="exact"/>
              <w:rPr>
                <w:sz w:val="20"/>
                <w:szCs w:val="20"/>
                <w:color w:val="auto"/>
              </w:rPr>
            </w:pPr>
            <w:r>
              <w:rPr>
                <w:rFonts w:ascii="Arial" w:cs="Arial" w:eastAsia="Arial" w:hAnsi="Arial"/>
                <w:sz w:val="13"/>
                <w:szCs w:val="13"/>
                <w:b w:val="1"/>
                <w:bCs w:val="1"/>
                <w:color w:val="auto"/>
                <w:w w:val="85"/>
              </w:rPr>
              <w:t>as of</w:t>
            </w: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8"/>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tcPr>
          <w:p>
            <w:pPr>
              <w:jc w:val="center"/>
              <w:ind w:right="220"/>
              <w:spacing w:after="0" w:line="118" w:lineRule="exact"/>
              <w:rPr>
                <w:sz w:val="20"/>
                <w:szCs w:val="20"/>
                <w:color w:val="auto"/>
              </w:rPr>
            </w:pPr>
            <w:r>
              <w:rPr>
                <w:rFonts w:ascii="Arial" w:cs="Arial" w:eastAsia="Arial" w:hAnsi="Arial"/>
                <w:sz w:val="13"/>
                <w:szCs w:val="13"/>
                <w:b w:val="1"/>
                <w:bCs w:val="1"/>
                <w:color w:val="auto"/>
                <w:w w:val="85"/>
              </w:rPr>
              <w:t>as of</w:t>
            </w:r>
          </w:p>
        </w:tc>
        <w:tc>
          <w:tcPr>
            <w:tcW w:w="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6"/>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(Millions)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July 30, 2023</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259"/>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8"/>
              </w:rPr>
              <w:t>Level 2</w:t>
            </w:r>
          </w:p>
        </w:tc>
        <w:tc>
          <w:tcPr>
            <w:tcW w:w="260" w:type="dxa"/>
            <w:vAlign w:val="bottom"/>
          </w:tcPr>
          <w:p>
            <w:pPr>
              <w:spacing w:after="0"/>
              <w:rPr>
                <w:sz w:val="16"/>
                <w:szCs w:val="16"/>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July 31, 2022</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259"/>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Level 2</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257"/>
              <w:spacing w:after="0"/>
              <w:rPr>
                <w:sz w:val="20"/>
                <w:szCs w:val="20"/>
                <w:color w:val="auto"/>
              </w:rPr>
            </w:pPr>
            <w:r>
              <w:rPr>
                <w:rFonts w:ascii="Arial" w:cs="Arial" w:eastAsia="Arial" w:hAnsi="Arial"/>
                <w:sz w:val="14"/>
                <w:szCs w:val="14"/>
                <w:b w:val="1"/>
                <w:bCs w:val="1"/>
                <w:color w:val="auto"/>
                <w:w w:val="96"/>
              </w:rPr>
              <w:t>Level 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1760" w:type="dxa"/>
            <w:vAlign w:val="bottom"/>
            <w:tcBorders>
              <w:top w:val="single" w:sz="8" w:color="CCEEFF"/>
            </w:tcBorders>
            <w:gridSpan w:val="3"/>
            <w:shd w:val="clear" w:color="auto" w:fill="CCEEFF"/>
          </w:tcPr>
          <w:p>
            <w:pPr>
              <w:spacing w:after="0" w:line="166" w:lineRule="exact"/>
              <w:rPr>
                <w:sz w:val="20"/>
                <w:szCs w:val="20"/>
                <w:color w:val="auto"/>
              </w:rPr>
            </w:pPr>
            <w:r>
              <w:rPr>
                <w:rFonts w:ascii="Arial" w:cs="Arial" w:eastAsia="Arial" w:hAnsi="Arial"/>
                <w:sz w:val="17"/>
                <w:szCs w:val="17"/>
                <w:color w:val="auto"/>
              </w:rPr>
              <w:t>Assets</w:t>
            </w: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40" w:type="dxa"/>
            <w:vAlign w:val="bottom"/>
            <w:tcBorders>
              <w:right w:val="single" w:sz="8" w:color="auto"/>
            </w:tcBorders>
            <w:shd w:val="clear" w:color="auto" w:fill="CCEEFF"/>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Pr>
          <w:p>
            <w:pPr>
              <w:spacing w:after="0"/>
              <w:rPr>
                <w:sz w:val="15"/>
                <w:szCs w:val="15"/>
                <w:color w:val="auto"/>
              </w:rPr>
            </w:pPr>
          </w:p>
        </w:tc>
        <w:tc>
          <w:tcPr>
            <w:tcW w:w="1760" w:type="dxa"/>
            <w:vAlign w:val="bottom"/>
            <w:gridSpan w:val="3"/>
          </w:tcPr>
          <w:p>
            <w:pPr>
              <w:ind w:left="100"/>
              <w:spacing w:after="0" w:line="174" w:lineRule="exact"/>
              <w:rPr>
                <w:sz w:val="20"/>
                <w:szCs w:val="20"/>
                <w:color w:val="auto"/>
              </w:rPr>
            </w:pPr>
            <w:r>
              <w:rPr>
                <w:rFonts w:ascii="Arial" w:cs="Arial" w:eastAsia="Arial" w:hAnsi="Arial"/>
                <w:sz w:val="17"/>
                <w:szCs w:val="17"/>
                <w:color w:val="auto"/>
              </w:rPr>
              <w:t>Foreign exchange</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760" w:type="dxa"/>
            <w:vAlign w:val="bottom"/>
            <w:gridSpan w:val="3"/>
          </w:tcPr>
          <w:p>
            <w:pPr>
              <w:ind w:left="100"/>
              <w:spacing w:after="0" w:line="225" w:lineRule="exact"/>
              <w:rPr>
                <w:sz w:val="20"/>
                <w:szCs w:val="20"/>
                <w:color w:val="auto"/>
              </w:rPr>
            </w:pPr>
            <w:r>
              <w:rPr>
                <w:rFonts w:ascii="Arial" w:cs="Arial" w:eastAsia="Arial" w:hAnsi="Arial"/>
                <w:sz w:val="17"/>
                <w:szCs w:val="17"/>
                <w:color w:val="auto"/>
              </w:rPr>
              <w:t>forward contracts</w:t>
            </w:r>
            <w:r>
              <w:rPr>
                <w:rFonts w:ascii="Arial" w:cs="Arial" w:eastAsia="Arial" w:hAnsi="Arial"/>
                <w:sz w:val="22"/>
                <w:szCs w:val="22"/>
                <w:color w:val="auto"/>
                <w:vertAlign w:val="superscript"/>
              </w:rPr>
              <w:t>(1)</w:t>
            </w:r>
          </w:p>
        </w:tc>
        <w:tc>
          <w:tcPr>
            <w:tcW w:w="14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w w:val="84"/>
              </w:rPr>
              <w:t>$</w:t>
            </w:r>
          </w:p>
        </w:tc>
        <w:tc>
          <w:tcPr>
            <w:tcW w:w="1060" w:type="dxa"/>
            <w:vAlign w:val="bottom"/>
            <w:gridSpan w:val="3"/>
          </w:tcPr>
          <w:p>
            <w:pPr>
              <w:jc w:val="right"/>
              <w:ind w:right="180"/>
              <w:spacing w:after="0"/>
              <w:rPr>
                <w:sz w:val="20"/>
                <w:szCs w:val="20"/>
                <w:color w:val="auto"/>
              </w:rPr>
            </w:pPr>
            <w:r>
              <w:rPr>
                <w:rFonts w:ascii="Arial" w:cs="Arial" w:eastAsia="Arial" w:hAnsi="Arial"/>
                <w:sz w:val="17"/>
                <w:szCs w:val="17"/>
                <w:b w:val="1"/>
                <w:bCs w:val="1"/>
                <w:color w:val="auto"/>
              </w:rPr>
              <w:t>—</w:t>
            </w:r>
          </w:p>
        </w:tc>
        <w:tc>
          <w:tcPr>
            <w:tcW w:w="2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320" w:type="dxa"/>
            <w:vAlign w:val="bottom"/>
            <w:gridSpan w:val="4"/>
          </w:tcPr>
          <w:p>
            <w:pPr>
              <w:jc w:val="right"/>
              <w:ind w:right="120"/>
              <w:spacing w:after="0"/>
              <w:rPr>
                <w:sz w:val="20"/>
                <w:szCs w:val="20"/>
                <w:color w:val="auto"/>
              </w:rPr>
            </w:pPr>
            <w:r>
              <w:rPr>
                <w:rFonts w:ascii="Arial" w:cs="Arial" w:eastAsia="Arial" w:hAnsi="Arial"/>
                <w:sz w:val="17"/>
                <w:szCs w:val="17"/>
                <w:b w:val="1"/>
                <w:bCs w:val="1"/>
                <w:color w:val="auto"/>
              </w:rPr>
              <w:t>$</w:t>
            </w:r>
          </w:p>
        </w:tc>
        <w:tc>
          <w:tcPr>
            <w:tcW w:w="980" w:type="dxa"/>
            <w:vAlign w:val="bottom"/>
            <w:gridSpan w:val="4"/>
          </w:tcPr>
          <w:p>
            <w:pPr>
              <w:jc w:val="right"/>
              <w:ind w:right="200"/>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jc w:val="right"/>
              <w:ind w:right="100"/>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4"/>
          </w:tcPr>
          <w:p>
            <w:pPr>
              <w:jc w:val="right"/>
              <w:ind w:right="1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0" w:type="dxa"/>
            <w:vAlign w:val="bottom"/>
            <w:tcBorders>
              <w:right w:val="single" w:sz="8" w:color="CCEEFF"/>
            </w:tcBorders>
            <w:shd w:val="clear" w:color="auto" w:fill="CCEEFF"/>
          </w:tcPr>
          <w:p>
            <w:pPr>
              <w:spacing w:after="0"/>
              <w:rPr>
                <w:sz w:val="15"/>
                <w:szCs w:val="15"/>
                <w:color w:val="auto"/>
              </w:rPr>
            </w:pPr>
          </w:p>
        </w:tc>
        <w:tc>
          <w:tcPr>
            <w:tcW w:w="1760" w:type="dxa"/>
            <w:vAlign w:val="bottom"/>
            <w:gridSpan w:val="3"/>
            <w:shd w:val="clear" w:color="auto" w:fill="CCEEFF"/>
          </w:tcPr>
          <w:p>
            <w:pPr>
              <w:ind w:left="100"/>
              <w:spacing w:after="0" w:line="174" w:lineRule="exact"/>
              <w:rPr>
                <w:sz w:val="20"/>
                <w:szCs w:val="20"/>
                <w:color w:val="auto"/>
              </w:rPr>
            </w:pPr>
            <w:r>
              <w:rPr>
                <w:rFonts w:ascii="Arial" w:cs="Arial" w:eastAsia="Arial" w:hAnsi="Arial"/>
                <w:sz w:val="17"/>
                <w:szCs w:val="17"/>
                <w:color w:val="auto"/>
              </w:rPr>
              <w:t>Commodity derivative</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0" w:type="dxa"/>
            <w:vAlign w:val="bottom"/>
            <w:tcBorders>
              <w:right w:val="single" w:sz="8" w:color="CCEEFF"/>
            </w:tcBorders>
            <w:shd w:val="clear" w:color="auto" w:fill="CCEEFF"/>
          </w:tcPr>
          <w:p>
            <w:pPr>
              <w:spacing w:after="0"/>
              <w:rPr>
                <w:sz w:val="19"/>
                <w:szCs w:val="19"/>
                <w:color w:val="auto"/>
              </w:rPr>
            </w:pPr>
          </w:p>
        </w:tc>
        <w:tc>
          <w:tcPr>
            <w:tcW w:w="1760" w:type="dxa"/>
            <w:vAlign w:val="bottom"/>
            <w:gridSpan w:val="3"/>
            <w:shd w:val="clear" w:color="auto" w:fill="CCEEFF"/>
          </w:tcPr>
          <w:p>
            <w:pPr>
              <w:ind w:left="100"/>
              <w:spacing w:after="0" w:line="225" w:lineRule="exact"/>
              <w:rPr>
                <w:sz w:val="20"/>
                <w:szCs w:val="20"/>
                <w:color w:val="auto"/>
              </w:rPr>
            </w:pPr>
            <w:r>
              <w:rPr>
                <w:rFonts w:ascii="Arial" w:cs="Arial" w:eastAsia="Arial" w:hAnsi="Arial"/>
                <w:sz w:val="17"/>
                <w:szCs w:val="17"/>
                <w:color w:val="auto"/>
              </w:rPr>
              <w:t>contracts</w:t>
            </w:r>
            <w:r>
              <w:rPr>
                <w:rFonts w:ascii="Arial" w:cs="Arial" w:eastAsia="Arial" w:hAnsi="Arial"/>
                <w:sz w:val="22"/>
                <w:szCs w:val="22"/>
                <w:color w:val="auto"/>
                <w:vertAlign w:val="superscript"/>
              </w:rPr>
              <w:t>(2)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1760" w:type="dxa"/>
            <w:vAlign w:val="bottom"/>
            <w:gridSpan w:val="3"/>
          </w:tcPr>
          <w:p>
            <w:pPr>
              <w:ind w:left="100"/>
              <w:spacing w:after="0" w:line="174" w:lineRule="exact"/>
              <w:rPr>
                <w:sz w:val="20"/>
                <w:szCs w:val="20"/>
                <w:color w:val="auto"/>
              </w:rPr>
            </w:pPr>
            <w:r>
              <w:rPr>
                <w:rFonts w:ascii="Arial" w:cs="Arial" w:eastAsia="Arial" w:hAnsi="Arial"/>
                <w:sz w:val="17"/>
                <w:szCs w:val="17"/>
                <w:color w:val="auto"/>
                <w:w w:val="92"/>
              </w:rPr>
              <w:t>Deferred compensation</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760" w:type="dxa"/>
            <w:vAlign w:val="bottom"/>
            <w:gridSpan w:val="3"/>
          </w:tcPr>
          <w:p>
            <w:pPr>
              <w:ind w:left="100"/>
              <w:spacing w:after="0" w:line="225" w:lineRule="exact"/>
              <w:rPr>
                <w:sz w:val="20"/>
                <w:szCs w:val="20"/>
                <w:color w:val="auto"/>
              </w:rPr>
            </w:pPr>
            <w:r>
              <w:rPr>
                <w:rFonts w:ascii="Arial" w:cs="Arial" w:eastAsia="Arial" w:hAnsi="Arial"/>
                <w:sz w:val="17"/>
                <w:szCs w:val="17"/>
                <w:color w:val="auto"/>
                <w:w w:val="99"/>
              </w:rPr>
              <w:t>derivative contracts</w:t>
            </w:r>
            <w:r>
              <w:rPr>
                <w:rFonts w:ascii="Arial" w:cs="Arial" w:eastAsia="Arial" w:hAnsi="Arial"/>
                <w:sz w:val="22"/>
                <w:szCs w:val="22"/>
                <w:color w:val="auto"/>
                <w:w w:val="99"/>
                <w:vertAlign w:val="superscript"/>
              </w:rPr>
              <w:t>(3)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0" w:type="dxa"/>
            <w:vAlign w:val="bottom"/>
            <w:tcBorders>
              <w:right w:val="single" w:sz="8" w:color="CCEEFF"/>
            </w:tcBorders>
            <w:shd w:val="clear" w:color="auto" w:fill="CCEEFF"/>
          </w:tcPr>
          <w:p>
            <w:pPr>
              <w:spacing w:after="0"/>
              <w:rPr>
                <w:sz w:val="15"/>
                <w:szCs w:val="15"/>
                <w:color w:val="auto"/>
              </w:rPr>
            </w:pPr>
          </w:p>
        </w:tc>
        <w:tc>
          <w:tcPr>
            <w:tcW w:w="1760" w:type="dxa"/>
            <w:vAlign w:val="bottom"/>
            <w:gridSpan w:val="3"/>
            <w:shd w:val="clear" w:color="auto" w:fill="CCEEFF"/>
          </w:tcPr>
          <w:p>
            <w:pPr>
              <w:ind w:left="100"/>
              <w:spacing w:after="0" w:line="174" w:lineRule="exact"/>
              <w:rPr>
                <w:sz w:val="20"/>
                <w:szCs w:val="20"/>
                <w:color w:val="auto"/>
              </w:rPr>
            </w:pPr>
            <w:r>
              <w:rPr>
                <w:rFonts w:ascii="Arial" w:cs="Arial" w:eastAsia="Arial" w:hAnsi="Arial"/>
                <w:sz w:val="17"/>
                <w:szCs w:val="17"/>
                <w:color w:val="auto"/>
                <w:w w:val="92"/>
              </w:rPr>
              <w:t>Deferred compensation</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0" w:type="dxa"/>
            <w:vAlign w:val="bottom"/>
            <w:tcBorders>
              <w:right w:val="single" w:sz="8" w:color="CCEEFF"/>
            </w:tcBorders>
            <w:shd w:val="clear" w:color="auto" w:fill="CCEEFF"/>
          </w:tcPr>
          <w:p>
            <w:pPr>
              <w:spacing w:after="0"/>
              <w:rPr>
                <w:sz w:val="19"/>
                <w:szCs w:val="19"/>
                <w:color w:val="auto"/>
              </w:rPr>
            </w:pPr>
          </w:p>
        </w:tc>
        <w:tc>
          <w:tcPr>
            <w:tcW w:w="1760" w:type="dxa"/>
            <w:vAlign w:val="bottom"/>
            <w:gridSpan w:val="3"/>
            <w:shd w:val="clear" w:color="auto" w:fill="CCEEFF"/>
          </w:tcPr>
          <w:p>
            <w:pPr>
              <w:ind w:left="100"/>
              <w:spacing w:after="0" w:line="225" w:lineRule="exact"/>
              <w:rPr>
                <w:sz w:val="20"/>
                <w:szCs w:val="20"/>
                <w:color w:val="auto"/>
              </w:rPr>
            </w:pPr>
            <w:r>
              <w:rPr>
                <w:rFonts w:ascii="Arial" w:cs="Arial" w:eastAsia="Arial" w:hAnsi="Arial"/>
                <w:sz w:val="17"/>
                <w:szCs w:val="17"/>
                <w:color w:val="auto"/>
              </w:rPr>
              <w:t>investments</w:t>
            </w:r>
            <w:r>
              <w:rPr>
                <w:rFonts w:ascii="Arial" w:cs="Arial" w:eastAsia="Arial" w:hAnsi="Arial"/>
                <w:sz w:val="22"/>
                <w:szCs w:val="22"/>
                <w:color w:val="auto"/>
                <w:vertAlign w:val="superscript"/>
              </w:rPr>
              <w:t>(4)</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gridSpan w:val="2"/>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1760" w:type="dxa"/>
            <w:vAlign w:val="bottom"/>
            <w:gridSpan w:val="3"/>
          </w:tcPr>
          <w:p>
            <w:pPr>
              <w:spacing w:after="0"/>
              <w:rPr>
                <w:sz w:val="20"/>
                <w:szCs w:val="20"/>
                <w:color w:val="auto"/>
              </w:rPr>
            </w:pPr>
            <w:r>
              <w:rPr>
                <w:rFonts w:ascii="Arial" w:cs="Arial" w:eastAsia="Arial" w:hAnsi="Arial"/>
                <w:sz w:val="17"/>
                <w:szCs w:val="17"/>
                <w:color w:val="auto"/>
                <w:w w:val="94"/>
              </w:rPr>
              <w:t>Total assets at fair value</w:t>
            </w: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00"/>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gridSpan w:val="2"/>
          </w:tcPr>
          <w:p>
            <w:pPr>
              <w:spacing w:after="0"/>
              <w:rPr>
                <w:sz w:val="18"/>
                <w:szCs w:val="18"/>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10"/>
          </w:tcPr>
          <w:p>
            <w:pPr>
              <w:jc w:val="center"/>
              <w:ind w:left="559"/>
              <w:spacing w:after="0"/>
              <w:rPr>
                <w:sz w:val="20"/>
                <w:szCs w:val="20"/>
                <w:color w:val="auto"/>
              </w:rPr>
            </w:pPr>
            <w:r>
              <w:rPr>
                <w:rFonts w:ascii="Arial" w:cs="Arial" w:eastAsia="Arial" w:hAnsi="Arial"/>
                <w:sz w:val="14"/>
                <w:szCs w:val="14"/>
                <w:b w:val="1"/>
                <w:bCs w:val="1"/>
                <w:color w:val="auto"/>
                <w:w w:val="89"/>
              </w:rPr>
              <w:t>Fair Value Measurements at</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10"/>
          </w:tcPr>
          <w:p>
            <w:pPr>
              <w:jc w:val="center"/>
              <w:ind w:left="539"/>
              <w:spacing w:after="0"/>
              <w:rPr>
                <w:sz w:val="20"/>
                <w:szCs w:val="20"/>
                <w:color w:val="auto"/>
              </w:rPr>
            </w:pPr>
            <w:r>
              <w:rPr>
                <w:rFonts w:ascii="Arial" w:cs="Arial" w:eastAsia="Arial" w:hAnsi="Arial"/>
                <w:sz w:val="14"/>
                <w:szCs w:val="14"/>
                <w:b w:val="1"/>
                <w:bCs w:val="1"/>
                <w:color w:val="auto"/>
                <w:w w:val="89"/>
              </w:rPr>
              <w:t>Fair Value Measurements at</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2"/>
              </w:rPr>
              <w:t>Fair Value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7"/>
          </w:tcPr>
          <w:p>
            <w:pPr>
              <w:jc w:val="center"/>
              <w:spacing w:after="0" w:line="139" w:lineRule="exact"/>
              <w:rPr>
                <w:sz w:val="20"/>
                <w:szCs w:val="20"/>
                <w:color w:val="auto"/>
              </w:rPr>
            </w:pPr>
            <w:r>
              <w:rPr>
                <w:rFonts w:ascii="Arial" w:cs="Arial" w:eastAsia="Arial" w:hAnsi="Arial"/>
                <w:sz w:val="14"/>
                <w:szCs w:val="14"/>
                <w:b w:val="1"/>
                <w:bCs w:val="1"/>
                <w:color w:val="auto"/>
                <w:w w:val="88"/>
              </w:rPr>
              <w:t>July 30, 2023 Using</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2"/>
              </w:rPr>
              <w:t>Fair Value</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6"/>
          </w:tcPr>
          <w:p>
            <w:pPr>
              <w:jc w:val="center"/>
              <w:spacing w:after="0" w:line="139" w:lineRule="exact"/>
              <w:rPr>
                <w:sz w:val="20"/>
                <w:szCs w:val="20"/>
                <w:color w:val="auto"/>
              </w:rPr>
            </w:pPr>
            <w:r>
              <w:rPr>
                <w:rFonts w:ascii="Arial" w:cs="Arial" w:eastAsia="Arial" w:hAnsi="Arial"/>
                <w:sz w:val="14"/>
                <w:szCs w:val="14"/>
                <w:b w:val="1"/>
                <w:bCs w:val="1"/>
                <w:color w:val="auto"/>
                <w:w w:val="88"/>
              </w:rPr>
              <w:t>July 31, 2022 Using</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gridSpan w:val="7"/>
            <w:vMerge w:val="restart"/>
          </w:tcPr>
          <w:p>
            <w:pPr>
              <w:jc w:val="center"/>
              <w:spacing w:after="0"/>
              <w:rPr>
                <w:sz w:val="20"/>
                <w:szCs w:val="20"/>
                <w:color w:val="auto"/>
              </w:rPr>
            </w:pPr>
            <w:r>
              <w:rPr>
                <w:rFonts w:ascii="Arial" w:cs="Arial" w:eastAsia="Arial" w:hAnsi="Arial"/>
                <w:sz w:val="14"/>
                <w:szCs w:val="14"/>
                <w:b w:val="1"/>
                <w:bCs w:val="1"/>
                <w:color w:val="auto"/>
                <w:w w:val="91"/>
              </w:rPr>
              <w:t>Fair Value Hierarchy</w:t>
            </w: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93"/>
              </w:rPr>
              <w:t>Fair Value Hierarchy</w:t>
            </w: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3"/>
          </w:tcPr>
          <w:p>
            <w:pPr>
              <w:jc w:val="center"/>
              <w:ind w:right="200"/>
              <w:spacing w:after="0" w:line="118" w:lineRule="exact"/>
              <w:rPr>
                <w:sz w:val="20"/>
                <w:szCs w:val="20"/>
                <w:color w:val="auto"/>
              </w:rPr>
            </w:pPr>
            <w:r>
              <w:rPr>
                <w:rFonts w:ascii="Arial" w:cs="Arial" w:eastAsia="Arial" w:hAnsi="Arial"/>
                <w:sz w:val="13"/>
                <w:szCs w:val="13"/>
                <w:b w:val="1"/>
                <w:bCs w:val="1"/>
                <w:color w:val="auto"/>
                <w:w w:val="85"/>
              </w:rPr>
              <w:t>as of</w:t>
            </w:r>
          </w:p>
        </w:tc>
        <w:tc>
          <w:tcPr>
            <w:tcW w:w="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7"/>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tcPr>
          <w:p>
            <w:pPr>
              <w:jc w:val="center"/>
              <w:ind w:right="180"/>
              <w:spacing w:after="0" w:line="118" w:lineRule="exact"/>
              <w:rPr>
                <w:sz w:val="20"/>
                <w:szCs w:val="20"/>
                <w:color w:val="auto"/>
              </w:rPr>
            </w:pPr>
            <w:r>
              <w:rPr>
                <w:rFonts w:ascii="Arial" w:cs="Arial" w:eastAsia="Arial" w:hAnsi="Arial"/>
                <w:sz w:val="13"/>
                <w:szCs w:val="13"/>
                <w:b w:val="1"/>
                <w:bCs w:val="1"/>
                <w:color w:val="auto"/>
                <w:w w:val="85"/>
              </w:rPr>
              <w:t>as of</w:t>
            </w:r>
          </w:p>
        </w:tc>
        <w:tc>
          <w:tcPr>
            <w:tcW w:w="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6"/>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(Millions)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July 30, 2023</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239"/>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8"/>
              </w:rPr>
              <w:t>Level 2</w:t>
            </w:r>
          </w:p>
        </w:tc>
        <w:tc>
          <w:tcPr>
            <w:tcW w:w="260" w:type="dxa"/>
            <w:vAlign w:val="bottom"/>
          </w:tcPr>
          <w:p>
            <w:pPr>
              <w:spacing w:after="0"/>
              <w:rPr>
                <w:sz w:val="16"/>
                <w:szCs w:val="16"/>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July 31, 2022</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239"/>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8"/>
              </w:rPr>
              <w:t>Level 2</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237"/>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CCEEFF"/>
            </w:tcBorders>
          </w:tcPr>
          <w:p>
            <w:pPr>
              <w:spacing w:after="0"/>
              <w:rPr>
                <w:sz w:val="14"/>
                <w:szCs w:val="14"/>
                <w:color w:val="auto"/>
              </w:rPr>
            </w:pPr>
          </w:p>
        </w:tc>
        <w:tc>
          <w:tcPr>
            <w:tcW w:w="1760" w:type="dxa"/>
            <w:vAlign w:val="bottom"/>
            <w:tcBorders>
              <w:top w:val="single" w:sz="8" w:color="CCEEFF"/>
            </w:tcBorders>
            <w:gridSpan w:val="3"/>
            <w:shd w:val="clear" w:color="auto" w:fill="CCEEFF"/>
          </w:tcPr>
          <w:p>
            <w:pPr>
              <w:spacing w:after="0" w:line="167" w:lineRule="exact"/>
              <w:rPr>
                <w:sz w:val="20"/>
                <w:szCs w:val="20"/>
                <w:color w:val="auto"/>
              </w:rPr>
            </w:pPr>
            <w:r>
              <w:rPr>
                <w:rFonts w:ascii="Arial" w:cs="Arial" w:eastAsia="Arial" w:hAnsi="Arial"/>
                <w:sz w:val="17"/>
                <w:szCs w:val="17"/>
                <w:color w:val="auto"/>
              </w:rPr>
              <w:t>Liabilities</w:t>
            </w: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40" w:type="dxa"/>
            <w:vAlign w:val="bottom"/>
            <w:tcBorders>
              <w:right w:val="single" w:sz="8" w:color="CCEEFF"/>
            </w:tcBorders>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40" w:type="dxa"/>
            <w:vAlign w:val="bottom"/>
          </w:tcPr>
          <w:p>
            <w:pPr>
              <w:spacing w:after="0"/>
              <w:rPr>
                <w:sz w:val="14"/>
                <w:szCs w:val="14"/>
                <w:color w:val="auto"/>
              </w:rPr>
            </w:pPr>
          </w:p>
        </w:tc>
        <w:tc>
          <w:tcPr>
            <w:tcW w:w="1760" w:type="dxa"/>
            <w:vAlign w:val="bottom"/>
            <w:gridSpan w:val="3"/>
          </w:tcPr>
          <w:p>
            <w:pPr>
              <w:ind w:left="100"/>
              <w:spacing w:after="0" w:line="168" w:lineRule="exact"/>
              <w:rPr>
                <w:sz w:val="20"/>
                <w:szCs w:val="20"/>
                <w:color w:val="auto"/>
              </w:rPr>
            </w:pPr>
            <w:r>
              <w:rPr>
                <w:rFonts w:ascii="Arial" w:cs="Arial" w:eastAsia="Arial" w:hAnsi="Arial"/>
                <w:sz w:val="17"/>
                <w:szCs w:val="17"/>
                <w:color w:val="auto"/>
              </w:rPr>
              <w:t>Foreign exchange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760" w:type="dxa"/>
            <w:vAlign w:val="bottom"/>
            <w:gridSpan w:val="3"/>
          </w:tcPr>
          <w:p>
            <w:pPr>
              <w:ind w:left="100"/>
              <w:spacing w:after="0" w:line="231" w:lineRule="exact"/>
              <w:rPr>
                <w:sz w:val="20"/>
                <w:szCs w:val="20"/>
                <w:color w:val="auto"/>
              </w:rPr>
            </w:pPr>
            <w:r>
              <w:rPr>
                <w:rFonts w:ascii="Arial" w:cs="Arial" w:eastAsia="Arial" w:hAnsi="Arial"/>
                <w:sz w:val="17"/>
                <w:szCs w:val="17"/>
                <w:color w:val="auto"/>
              </w:rPr>
              <w:t>forward contracts</w:t>
            </w:r>
            <w:r>
              <w:rPr>
                <w:rFonts w:ascii="Arial" w:cs="Arial" w:eastAsia="Arial" w:hAnsi="Arial"/>
                <w:sz w:val="22"/>
                <w:szCs w:val="22"/>
                <w:color w:val="auto"/>
                <w:vertAlign w:val="superscript"/>
              </w:rPr>
              <w:t>(1)</w:t>
            </w:r>
          </w:p>
        </w:tc>
        <w:tc>
          <w:tcPr>
            <w:tcW w:w="14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320" w:type="dxa"/>
            <w:vAlign w:val="bottom"/>
            <w:gridSpan w:val="4"/>
          </w:tcPr>
          <w:p>
            <w:pPr>
              <w:jc w:val="right"/>
              <w:ind w:right="100"/>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ind w:right="80"/>
              <w:spacing w:after="0"/>
              <w:rPr>
                <w:sz w:val="20"/>
                <w:szCs w:val="20"/>
                <w:color w:val="auto"/>
              </w:rPr>
            </w:pPr>
            <w:r>
              <w:rPr>
                <w:rFonts w:ascii="Arial" w:cs="Arial" w:eastAsia="Arial" w:hAnsi="Arial"/>
                <w:sz w:val="17"/>
                <w:szCs w:val="17"/>
                <w:b w:val="1"/>
                <w:bCs w:val="1"/>
                <w:color w:val="auto"/>
                <w:w w:val="84"/>
              </w:rPr>
              <w:t>$</w:t>
            </w:r>
          </w:p>
        </w:tc>
        <w:tc>
          <w:tcPr>
            <w:tcW w:w="900" w:type="dxa"/>
            <w:vAlign w:val="bottom"/>
            <w:gridSpan w:val="3"/>
          </w:tcPr>
          <w:p>
            <w:pPr>
              <w:ind w:left="580"/>
              <w:spacing w:after="0"/>
              <w:rPr>
                <w:sz w:val="20"/>
                <w:szCs w:val="20"/>
                <w:color w:val="auto"/>
              </w:rPr>
            </w:pPr>
            <w:r>
              <w:rPr>
                <w:rFonts w:ascii="Arial" w:cs="Arial" w:eastAsia="Arial" w:hAnsi="Arial"/>
                <w:sz w:val="17"/>
                <w:szCs w:val="17"/>
                <w:b w:val="1"/>
                <w:bCs w:val="1"/>
                <w:color w:val="auto"/>
              </w:rPr>
              <w:t>—</w:t>
            </w: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4"/>
          </w:tcPr>
          <w:p>
            <w:pPr>
              <w:jc w:val="right"/>
              <w:ind w:right="120"/>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40" w:type="dxa"/>
            <w:vAlign w:val="bottom"/>
            <w:tcBorders>
              <w:right w:val="single" w:sz="8" w:color="CCEEFF"/>
            </w:tcBorders>
          </w:tcPr>
          <w:p>
            <w:pPr>
              <w:spacing w:after="0"/>
              <w:rPr>
                <w:sz w:val="14"/>
                <w:szCs w:val="14"/>
                <w:color w:val="auto"/>
              </w:rPr>
            </w:pPr>
          </w:p>
        </w:tc>
        <w:tc>
          <w:tcPr>
            <w:tcW w:w="1760" w:type="dxa"/>
            <w:vAlign w:val="bottom"/>
            <w:gridSpan w:val="3"/>
            <w:shd w:val="clear" w:color="auto" w:fill="CCEEFF"/>
          </w:tcPr>
          <w:p>
            <w:pPr>
              <w:ind w:left="100"/>
              <w:spacing w:after="0" w:line="168" w:lineRule="exact"/>
              <w:rPr>
                <w:sz w:val="20"/>
                <w:szCs w:val="20"/>
                <w:color w:val="auto"/>
              </w:rPr>
            </w:pPr>
            <w:r>
              <w:rPr>
                <w:rFonts w:ascii="Arial" w:cs="Arial" w:eastAsia="Arial" w:hAnsi="Arial"/>
                <w:sz w:val="17"/>
                <w:szCs w:val="17"/>
                <w:color w:val="auto"/>
              </w:rPr>
              <w:t>Commodity derivative</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Borders>
              <w:right w:val="single" w:sz="8" w:color="CCEEFF"/>
            </w:tcBorders>
          </w:tcPr>
          <w:p>
            <w:pPr>
              <w:spacing w:after="0"/>
              <w:rPr>
                <w:sz w:val="20"/>
                <w:szCs w:val="20"/>
                <w:color w:val="auto"/>
              </w:rPr>
            </w:pPr>
          </w:p>
        </w:tc>
        <w:tc>
          <w:tcPr>
            <w:tcW w:w="1760" w:type="dxa"/>
            <w:vAlign w:val="bottom"/>
            <w:gridSpan w:val="3"/>
            <w:shd w:val="clear" w:color="auto" w:fill="CCEEFF"/>
          </w:tcPr>
          <w:p>
            <w:pPr>
              <w:ind w:left="100"/>
              <w:spacing w:after="0" w:line="231" w:lineRule="exact"/>
              <w:rPr>
                <w:sz w:val="20"/>
                <w:szCs w:val="20"/>
                <w:color w:val="auto"/>
              </w:rPr>
            </w:pPr>
            <w:r>
              <w:rPr>
                <w:rFonts w:ascii="Arial" w:cs="Arial" w:eastAsia="Arial" w:hAnsi="Arial"/>
                <w:sz w:val="17"/>
                <w:szCs w:val="17"/>
                <w:color w:val="auto"/>
              </w:rPr>
              <w:t>contracts</w:t>
            </w:r>
            <w:r>
              <w:rPr>
                <w:rFonts w:ascii="Arial" w:cs="Arial" w:eastAsia="Arial" w:hAnsi="Arial"/>
                <w:sz w:val="22"/>
                <w:szCs w:val="22"/>
                <w:color w:val="auto"/>
                <w:vertAlign w:val="superscript"/>
              </w:rPr>
              <w:t>(2)</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gridSpan w:val="3"/>
            <w:shd w:val="clear" w:color="auto" w:fill="CCEEFF"/>
          </w:tcPr>
          <w:p>
            <w:pPr>
              <w:ind w:left="580"/>
              <w:spacing w:after="0"/>
              <w:rPr>
                <w:sz w:val="20"/>
                <w:szCs w:val="20"/>
                <w:color w:val="auto"/>
              </w:rPr>
            </w:pPr>
            <w:r>
              <w:rPr>
                <w:rFonts w:ascii="Arial" w:cs="Arial" w:eastAsia="Arial" w:hAnsi="Arial"/>
                <w:sz w:val="17"/>
                <w:szCs w:val="17"/>
                <w:b w:val="1"/>
                <w:bCs w:val="1"/>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1760" w:type="dxa"/>
            <w:vAlign w:val="bottom"/>
            <w:gridSpan w:val="3"/>
          </w:tcPr>
          <w:p>
            <w:pPr>
              <w:ind w:left="100"/>
              <w:spacing w:after="0" w:line="168" w:lineRule="exact"/>
              <w:rPr>
                <w:sz w:val="20"/>
                <w:szCs w:val="20"/>
                <w:color w:val="auto"/>
              </w:rPr>
            </w:pPr>
            <w:r>
              <w:rPr>
                <w:rFonts w:ascii="Arial" w:cs="Arial" w:eastAsia="Arial" w:hAnsi="Arial"/>
                <w:sz w:val="17"/>
                <w:szCs w:val="17"/>
                <w:color w:val="auto"/>
                <w:w w:val="92"/>
              </w:rPr>
              <w:t>Deferred compensation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760" w:type="dxa"/>
            <w:vAlign w:val="bottom"/>
            <w:gridSpan w:val="3"/>
          </w:tcPr>
          <w:p>
            <w:pPr>
              <w:ind w:left="100"/>
              <w:spacing w:after="0" w:line="231" w:lineRule="exact"/>
              <w:rPr>
                <w:sz w:val="20"/>
                <w:szCs w:val="20"/>
                <w:color w:val="auto"/>
              </w:rPr>
            </w:pPr>
            <w:r>
              <w:rPr>
                <w:rFonts w:ascii="Arial" w:cs="Arial" w:eastAsia="Arial" w:hAnsi="Arial"/>
                <w:sz w:val="17"/>
                <w:szCs w:val="17"/>
                <w:color w:val="auto"/>
                <w:w w:val="99"/>
              </w:rPr>
              <w:t>derivative contracts</w:t>
            </w:r>
            <w:r>
              <w:rPr>
                <w:rFonts w:ascii="Arial" w:cs="Arial" w:eastAsia="Arial" w:hAnsi="Arial"/>
                <w:sz w:val="22"/>
                <w:szCs w:val="22"/>
                <w:color w:val="auto"/>
                <w:w w:val="99"/>
                <w:vertAlign w:val="superscript"/>
              </w:rPr>
              <w:t>(3)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20"/>
                <w:szCs w:val="20"/>
                <w:color w:val="auto"/>
              </w:rPr>
            </w:pPr>
          </w:p>
        </w:tc>
        <w:tc>
          <w:tcPr>
            <w:tcW w:w="900" w:type="dxa"/>
            <w:vAlign w:val="bottom"/>
            <w:gridSpan w:val="3"/>
          </w:tcPr>
          <w:p>
            <w:pPr>
              <w:ind w:left="58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40" w:type="dxa"/>
            <w:vAlign w:val="bottom"/>
            <w:tcBorders>
              <w:right w:val="single" w:sz="8" w:color="CCEEFF"/>
            </w:tcBorders>
          </w:tcPr>
          <w:p>
            <w:pPr>
              <w:spacing w:after="0"/>
              <w:rPr>
                <w:sz w:val="14"/>
                <w:szCs w:val="14"/>
                <w:color w:val="auto"/>
              </w:rPr>
            </w:pPr>
          </w:p>
        </w:tc>
        <w:tc>
          <w:tcPr>
            <w:tcW w:w="1760" w:type="dxa"/>
            <w:vAlign w:val="bottom"/>
            <w:gridSpan w:val="3"/>
            <w:shd w:val="clear" w:color="auto" w:fill="CCEEFF"/>
          </w:tcPr>
          <w:p>
            <w:pPr>
              <w:ind w:left="100"/>
              <w:spacing w:after="0" w:line="168" w:lineRule="exact"/>
              <w:rPr>
                <w:sz w:val="20"/>
                <w:szCs w:val="20"/>
                <w:color w:val="auto"/>
              </w:rPr>
            </w:pPr>
            <w:r>
              <w:rPr>
                <w:rFonts w:ascii="Arial" w:cs="Arial" w:eastAsia="Arial" w:hAnsi="Arial"/>
                <w:sz w:val="17"/>
                <w:szCs w:val="17"/>
                <w:color w:val="auto"/>
                <w:w w:val="92"/>
              </w:rPr>
              <w:t>Deferred compensation</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Borders>
              <w:right w:val="single" w:sz="8" w:color="CCEEFF"/>
            </w:tcBorders>
          </w:tcPr>
          <w:p>
            <w:pPr>
              <w:spacing w:after="0"/>
              <w:rPr>
                <w:sz w:val="20"/>
                <w:szCs w:val="20"/>
                <w:color w:val="auto"/>
              </w:rPr>
            </w:pPr>
          </w:p>
        </w:tc>
        <w:tc>
          <w:tcPr>
            <w:tcW w:w="1760" w:type="dxa"/>
            <w:vAlign w:val="bottom"/>
            <w:gridSpan w:val="3"/>
            <w:shd w:val="clear" w:color="auto" w:fill="CCEEFF"/>
          </w:tcPr>
          <w:p>
            <w:pPr>
              <w:ind w:left="100"/>
              <w:spacing w:after="0" w:line="231" w:lineRule="exact"/>
              <w:rPr>
                <w:sz w:val="20"/>
                <w:szCs w:val="20"/>
                <w:color w:val="auto"/>
              </w:rPr>
            </w:pPr>
            <w:r>
              <w:rPr>
                <w:rFonts w:ascii="Arial" w:cs="Arial" w:eastAsia="Arial" w:hAnsi="Arial"/>
                <w:sz w:val="17"/>
                <w:szCs w:val="17"/>
                <w:color w:val="auto"/>
              </w:rPr>
              <w:t>obligation</w:t>
            </w:r>
            <w:r>
              <w:rPr>
                <w:rFonts w:ascii="Arial" w:cs="Arial" w:eastAsia="Arial" w:hAnsi="Arial"/>
                <w:sz w:val="22"/>
                <w:szCs w:val="22"/>
                <w:color w:val="auto"/>
                <w:vertAlign w:val="superscript"/>
              </w:rPr>
              <w:t>(4)</w:t>
            </w:r>
          </w:p>
        </w:tc>
        <w:tc>
          <w:tcPr>
            <w:tcW w:w="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91</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91</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w:t>
            </w:r>
          </w:p>
        </w:tc>
        <w:tc>
          <w:tcPr>
            <w:tcW w:w="100" w:type="dxa"/>
            <w:vAlign w:val="bottom"/>
            <w:gridSpan w:val="2"/>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gridSpan w:val="2"/>
            <w:shd w:val="clear" w:color="auto" w:fill="CCEEFF"/>
          </w:tcPr>
          <w:p>
            <w:pPr>
              <w:ind w:left="580"/>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760" w:type="dxa"/>
            <w:vAlign w:val="bottom"/>
            <w:gridSpan w:val="3"/>
          </w:tcPr>
          <w:p>
            <w:pPr>
              <w:spacing w:after="0" w:line="148" w:lineRule="exact"/>
              <w:rPr>
                <w:sz w:val="20"/>
                <w:szCs w:val="20"/>
                <w:color w:val="auto"/>
              </w:rPr>
            </w:pPr>
            <w:r>
              <w:rPr>
                <w:rFonts w:ascii="Arial" w:cs="Arial" w:eastAsia="Arial" w:hAnsi="Arial"/>
                <w:sz w:val="17"/>
                <w:szCs w:val="17"/>
                <w:color w:val="auto"/>
              </w:rPr>
              <w:t>Total liabilities at fair</w:t>
            </w:r>
          </w:p>
        </w:tc>
        <w:tc>
          <w:tcPr>
            <w:tcW w:w="14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97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gridSpan w:val="2"/>
            <w:vMerge w:val="restart"/>
          </w:tcPr>
          <w:p>
            <w:pPr>
              <w:jc w:val="right"/>
              <w:ind w:right="100"/>
              <w:spacing w:after="0"/>
              <w:rPr>
                <w:sz w:val="20"/>
                <w:szCs w:val="20"/>
                <w:color w:val="auto"/>
              </w:rPr>
            </w:pPr>
            <w:r>
              <w:rPr>
                <w:rFonts w:ascii="Arial" w:cs="Arial" w:eastAsia="Arial" w:hAnsi="Arial"/>
                <w:sz w:val="17"/>
                <w:szCs w:val="17"/>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94</w:t>
            </w:r>
          </w:p>
        </w:tc>
        <w:tc>
          <w:tcPr>
            <w:tcW w:w="320" w:type="dxa"/>
            <w:vAlign w:val="bottom"/>
            <w:gridSpan w:val="4"/>
            <w:vMerge w:val="restart"/>
          </w:tcPr>
          <w:p>
            <w:pPr>
              <w:jc w:val="right"/>
              <w:ind w:right="100"/>
              <w:spacing w:after="0"/>
              <w:rPr>
                <w:sz w:val="20"/>
                <w:szCs w:val="20"/>
                <w:color w:val="auto"/>
              </w:rPr>
            </w:pPr>
            <w:r>
              <w:rPr>
                <w:rFonts w:ascii="Arial" w:cs="Arial" w:eastAsia="Arial" w:hAnsi="Arial"/>
                <w:sz w:val="17"/>
                <w:szCs w:val="17"/>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vMerge w:val="restart"/>
          </w:tcPr>
          <w:p>
            <w:pPr>
              <w:jc w:val="right"/>
              <w:ind w:right="80"/>
              <w:spacing w:after="0"/>
              <w:rPr>
                <w:sz w:val="20"/>
                <w:szCs w:val="20"/>
                <w:color w:val="auto"/>
              </w:rPr>
            </w:pPr>
            <w:r>
              <w:rPr>
                <w:rFonts w:ascii="Arial" w:cs="Arial" w:eastAsia="Arial" w:hAnsi="Arial"/>
                <w:sz w:val="17"/>
                <w:szCs w:val="17"/>
                <w:b w:val="1"/>
                <w:bCs w:val="1"/>
                <w:color w:val="auto"/>
                <w:w w:val="84"/>
              </w:rPr>
              <w:t>$</w:t>
            </w:r>
          </w:p>
        </w:tc>
        <w:tc>
          <w:tcPr>
            <w:tcW w:w="900" w:type="dxa"/>
            <w:vAlign w:val="bottom"/>
            <w:gridSpan w:val="3"/>
            <w:vMerge w:val="restart"/>
          </w:tcPr>
          <w:p>
            <w:pPr>
              <w:ind w:left="580"/>
              <w:spacing w:after="0"/>
              <w:rPr>
                <w:sz w:val="20"/>
                <w:szCs w:val="20"/>
                <w:color w:val="auto"/>
              </w:rPr>
            </w:pPr>
            <w:r>
              <w:rPr>
                <w:rFonts w:ascii="Arial" w:cs="Arial" w:eastAsia="Arial" w:hAnsi="Arial"/>
                <w:sz w:val="17"/>
                <w:szCs w:val="17"/>
                <w:b w:val="1"/>
                <w:bCs w:val="1"/>
                <w:color w:val="auto"/>
              </w:rPr>
              <w:t>—</w:t>
            </w:r>
          </w:p>
        </w:tc>
        <w:tc>
          <w:tcPr>
            <w:tcW w:w="14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130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102</w:t>
            </w:r>
          </w:p>
        </w:tc>
        <w:tc>
          <w:tcPr>
            <w:tcW w:w="340" w:type="dxa"/>
            <w:vAlign w:val="bottom"/>
            <w:gridSpan w:val="4"/>
            <w:vMerge w:val="restart"/>
          </w:tcPr>
          <w:p>
            <w:pPr>
              <w:jc w:val="right"/>
              <w:ind w:right="120"/>
              <w:spacing w:after="0"/>
              <w:rPr>
                <w:sz w:val="20"/>
                <w:szCs w:val="20"/>
                <w:color w:val="auto"/>
              </w:rPr>
            </w:pPr>
            <w:r>
              <w:rPr>
                <w:rFonts w:ascii="Arial" w:cs="Arial" w:eastAsia="Arial" w:hAnsi="Arial"/>
                <w:sz w:val="17"/>
                <w:szCs w:val="17"/>
                <w:color w:val="auto"/>
              </w:rPr>
              <w:t>$</w:t>
            </w: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28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760" w:type="dxa"/>
            <w:vAlign w:val="bottom"/>
            <w:gridSpan w:val="3"/>
          </w:tcPr>
          <w:p>
            <w:pPr>
              <w:spacing w:after="0"/>
              <w:rPr>
                <w:sz w:val="20"/>
                <w:szCs w:val="20"/>
                <w:color w:val="auto"/>
              </w:rPr>
            </w:pPr>
            <w:r>
              <w:rPr>
                <w:rFonts w:ascii="Arial" w:cs="Arial" w:eastAsia="Arial" w:hAnsi="Arial"/>
                <w:sz w:val="17"/>
                <w:szCs w:val="17"/>
                <w:color w:val="auto"/>
              </w:rPr>
              <w:t>value</w:t>
            </w:r>
          </w:p>
        </w:tc>
        <w:tc>
          <w:tcPr>
            <w:tcW w:w="14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320" w:type="dxa"/>
            <w:vAlign w:val="bottom"/>
            <w:gridSpan w:val="4"/>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14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340" w:type="dxa"/>
            <w:vAlign w:val="bottom"/>
            <w:gridSpan w:val="4"/>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w:t>
      </w:r>
    </w:p>
    <w:p>
      <w:pPr>
        <w:spacing w:after="0" w:line="32" w:lineRule="exact"/>
        <w:rPr>
          <w:sz w:val="20"/>
          <w:szCs w:val="20"/>
          <w:color w:val="auto"/>
        </w:rPr>
      </w:pPr>
    </w:p>
    <w:p>
      <w:pPr>
        <w:ind w:left="300" w:hanging="297"/>
        <w:spacing w:after="0"/>
        <w:tabs>
          <w:tab w:leader="none" w:pos="300" w:val="left"/>
        </w:tabs>
        <w:numPr>
          <w:ilvl w:val="0"/>
          <w:numId w:val="47"/>
        </w:numPr>
        <w:rPr>
          <w:rFonts w:ascii="Arial" w:cs="Arial" w:eastAsia="Arial" w:hAnsi="Arial"/>
          <w:sz w:val="22"/>
          <w:szCs w:val="22"/>
          <w:color w:val="auto"/>
          <w:vertAlign w:val="superscript"/>
        </w:rPr>
      </w:pPr>
      <w:r>
        <w:rPr>
          <w:rFonts w:ascii="Arial" w:cs="Arial" w:eastAsia="Arial" w:hAnsi="Arial"/>
          <w:sz w:val="17"/>
          <w:szCs w:val="17"/>
          <w:color w:val="auto"/>
        </w:rPr>
        <w:t>Based on observable market transactions of spot currency rates and forward rates.</w:t>
      </w:r>
    </w:p>
    <w:p>
      <w:pPr>
        <w:spacing w:after="0" w:line="3" w:lineRule="exact"/>
        <w:rPr>
          <w:rFonts w:ascii="Arial" w:cs="Arial" w:eastAsia="Arial" w:hAnsi="Arial"/>
          <w:sz w:val="22"/>
          <w:szCs w:val="22"/>
          <w:color w:val="auto"/>
          <w:vertAlign w:val="superscript"/>
        </w:rPr>
      </w:pPr>
    </w:p>
    <w:p>
      <w:pPr>
        <w:ind w:left="320" w:hanging="317"/>
        <w:spacing w:after="0" w:line="230" w:lineRule="auto"/>
        <w:tabs>
          <w:tab w:leader="none" w:pos="308" w:val="left"/>
        </w:tabs>
        <w:numPr>
          <w:ilvl w:val="0"/>
          <w:numId w:val="47"/>
        </w:numPr>
        <w:rPr>
          <w:rFonts w:ascii="Arial" w:cs="Arial" w:eastAsia="Arial" w:hAnsi="Arial"/>
          <w:sz w:val="21"/>
          <w:szCs w:val="21"/>
          <w:color w:val="auto"/>
          <w:vertAlign w:val="superscript"/>
        </w:rPr>
      </w:pPr>
      <w:r>
        <w:rPr>
          <w:rFonts w:ascii="Arial" w:cs="Arial" w:eastAsia="Arial" w:hAnsi="Arial"/>
          <w:sz w:val="16"/>
          <w:szCs w:val="16"/>
          <w:color w:val="auto"/>
        </w:rPr>
        <w:t>Level 1 and 2 are based on quoted futures exchanges and on observable prices of futures and options transactions in the marketplace. Level 3 is based on unobservable inputs in which there is little or no market data, which requires management’s own assumptions within an internally developed model.</w:t>
      </w:r>
    </w:p>
    <w:p>
      <w:pPr>
        <w:spacing w:after="0" w:line="1" w:lineRule="exact"/>
        <w:rPr>
          <w:rFonts w:ascii="Arial" w:cs="Arial" w:eastAsia="Arial" w:hAnsi="Arial"/>
          <w:sz w:val="21"/>
          <w:szCs w:val="21"/>
          <w:color w:val="auto"/>
          <w:vertAlign w:val="superscript"/>
        </w:rPr>
      </w:pPr>
    </w:p>
    <w:p>
      <w:pPr>
        <w:ind w:left="300" w:hanging="297"/>
        <w:spacing w:after="0" w:line="195" w:lineRule="auto"/>
        <w:tabs>
          <w:tab w:leader="none" w:pos="300" w:val="left"/>
        </w:tabs>
        <w:numPr>
          <w:ilvl w:val="0"/>
          <w:numId w:val="47"/>
        </w:numPr>
        <w:rPr>
          <w:rFonts w:ascii="Arial" w:cs="Arial" w:eastAsia="Arial" w:hAnsi="Arial"/>
          <w:sz w:val="22"/>
          <w:szCs w:val="22"/>
          <w:color w:val="auto"/>
          <w:vertAlign w:val="superscript"/>
        </w:rPr>
      </w:pPr>
      <w:r>
        <w:rPr>
          <w:rFonts w:ascii="Arial" w:cs="Arial" w:eastAsia="Arial" w:hAnsi="Arial"/>
          <w:sz w:val="17"/>
          <w:szCs w:val="17"/>
          <w:color w:val="auto"/>
        </w:rPr>
        <w:t>Based on equity index swap rates.</w:t>
      </w:r>
    </w:p>
    <w:p>
      <w:pPr>
        <w:spacing w:after="0" w:line="3" w:lineRule="exact"/>
        <w:rPr>
          <w:rFonts w:ascii="Arial" w:cs="Arial" w:eastAsia="Arial" w:hAnsi="Arial"/>
          <w:sz w:val="22"/>
          <w:szCs w:val="22"/>
          <w:color w:val="auto"/>
          <w:vertAlign w:val="superscript"/>
        </w:rPr>
      </w:pPr>
    </w:p>
    <w:p>
      <w:pPr>
        <w:ind w:left="300" w:hanging="297"/>
        <w:spacing w:after="0" w:line="192" w:lineRule="auto"/>
        <w:tabs>
          <w:tab w:leader="none" w:pos="300" w:val="left"/>
        </w:tabs>
        <w:numPr>
          <w:ilvl w:val="0"/>
          <w:numId w:val="47"/>
        </w:numPr>
        <w:rPr>
          <w:rFonts w:ascii="Arial" w:cs="Arial" w:eastAsia="Arial" w:hAnsi="Arial"/>
          <w:sz w:val="22"/>
          <w:szCs w:val="22"/>
          <w:color w:val="auto"/>
          <w:vertAlign w:val="superscript"/>
        </w:rPr>
      </w:pPr>
      <w:r>
        <w:rPr>
          <w:rFonts w:ascii="Arial" w:cs="Arial" w:eastAsia="Arial" w:hAnsi="Arial"/>
          <w:sz w:val="17"/>
          <w:szCs w:val="17"/>
          <w:color w:val="auto"/>
        </w:rPr>
        <w:t>Based on the fair value of the participants’ investments.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116205</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62" w:name="page63"/>
    <w:bookmarkEnd w:id="62"/>
    <w:p>
      <w:pPr>
        <w:ind w:left="320"/>
        <w:spacing w:after="0"/>
        <w:rPr>
          <w:sz w:val="20"/>
          <w:szCs w:val="20"/>
          <w:color w:val="auto"/>
        </w:rPr>
      </w:pPr>
      <w:r>
        <w:rPr>
          <w:rFonts w:ascii="Arial" w:cs="Arial" w:eastAsia="Arial" w:hAnsi="Arial"/>
          <w:sz w:val="17"/>
          <w:szCs w:val="17"/>
          <w:color w:val="auto"/>
        </w:rPr>
        <w:t>The following table summarizes the changes in fair value of Level 3 assets for the years ended July 30, 2023, and July 31, 2022:</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54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300" w:type="dxa"/>
            <w:vAlign w:val="bottom"/>
          </w:tcPr>
          <w:p>
            <w:pPr>
              <w:spacing w:after="0"/>
              <w:rPr>
                <w:sz w:val="15"/>
                <w:szCs w:val="15"/>
                <w:color w:val="auto"/>
              </w:rPr>
            </w:pPr>
          </w:p>
        </w:tc>
        <w:tc>
          <w:tcPr>
            <w:tcW w:w="960" w:type="dxa"/>
            <w:vAlign w:val="bottom"/>
          </w:tcPr>
          <w:p>
            <w:pPr>
              <w:jc w:val="right"/>
              <w:ind w:right="41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398"/>
              <w:spacing w:after="0"/>
              <w:rPr>
                <w:sz w:val="20"/>
                <w:szCs w:val="20"/>
                <w:color w:val="auto"/>
              </w:rPr>
            </w:pPr>
            <w:r>
              <w:rPr>
                <w:rFonts w:ascii="Arial" w:cs="Arial" w:eastAsia="Arial" w:hAnsi="Arial"/>
                <w:sz w:val="14"/>
                <w:szCs w:val="14"/>
                <w:b w:val="1"/>
                <w:bCs w:val="1"/>
                <w:color w:val="auto"/>
              </w:rPr>
              <w:t>2022</w:t>
            </w:r>
          </w:p>
        </w:tc>
      </w:tr>
      <w:tr>
        <w:trPr>
          <w:trHeight w:val="24"/>
        </w:trPr>
        <w:tc>
          <w:tcPr>
            <w:tcW w:w="8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2"/>
        </w:trPr>
        <w:tc>
          <w:tcPr>
            <w:tcW w:w="8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at beginning of year</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960" w:type="dxa"/>
            <w:vAlign w:val="bottom"/>
            <w:shd w:val="clear" w:color="auto" w:fill="CCEEFF"/>
          </w:tcPr>
          <w:p>
            <w:pPr>
              <w:jc w:val="center"/>
              <w:ind w:left="658"/>
              <w:spacing w:after="0"/>
              <w:rPr>
                <w:sz w:val="20"/>
                <w:szCs w:val="20"/>
                <w:color w:val="auto"/>
              </w:rPr>
            </w:pPr>
            <w:r>
              <w:rPr>
                <w:rFonts w:ascii="Arial" w:cs="Arial" w:eastAsia="Arial" w:hAnsi="Arial"/>
                <w:sz w:val="17"/>
                <w:szCs w:val="17"/>
                <w:b w:val="1"/>
                <w:bCs w:val="1"/>
                <w:color w:val="auto"/>
              </w:rPr>
              <w:t>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9"/>
        </w:trPr>
        <w:tc>
          <w:tcPr>
            <w:tcW w:w="8540" w:type="dxa"/>
            <w:vAlign w:val="bottom"/>
          </w:tcPr>
          <w:p>
            <w:pPr>
              <w:ind w:left="20"/>
              <w:spacing w:after="0"/>
              <w:rPr>
                <w:sz w:val="20"/>
                <w:szCs w:val="20"/>
                <w:color w:val="auto"/>
              </w:rPr>
            </w:pPr>
            <w:r>
              <w:rPr>
                <w:rFonts w:ascii="Arial" w:cs="Arial" w:eastAsia="Arial" w:hAnsi="Arial"/>
                <w:sz w:val="17"/>
                <w:szCs w:val="17"/>
                <w:color w:val="auto"/>
              </w:rPr>
              <w:t>Gains (losses)</w:t>
            </w:r>
          </w:p>
        </w:tc>
        <w:tc>
          <w:tcPr>
            <w:tcW w:w="300" w:type="dxa"/>
            <w:vAlign w:val="bottom"/>
          </w:tcPr>
          <w:p>
            <w:pPr>
              <w:spacing w:after="0"/>
              <w:rPr>
                <w:sz w:val="19"/>
                <w:szCs w:val="19"/>
                <w:color w:val="auto"/>
              </w:rPr>
            </w:pPr>
          </w:p>
        </w:tc>
        <w:tc>
          <w:tcPr>
            <w:tcW w:w="960" w:type="dxa"/>
            <w:vAlign w:val="bottom"/>
          </w:tcPr>
          <w:p>
            <w:pPr>
              <w:jc w:val="center"/>
              <w:ind w:left="658"/>
              <w:spacing w:after="0"/>
              <w:rPr>
                <w:sz w:val="20"/>
                <w:szCs w:val="20"/>
                <w:color w:val="auto"/>
              </w:rPr>
            </w:pPr>
            <w:r>
              <w:rPr>
                <w:rFonts w:ascii="Arial" w:cs="Arial" w:eastAsia="Arial" w:hAnsi="Arial"/>
                <w:sz w:val="17"/>
                <w:szCs w:val="17"/>
                <w:b w:val="1"/>
                <w:bCs w:val="1"/>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9"/>
        </w:trPr>
        <w:tc>
          <w:tcPr>
            <w:tcW w:w="8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Settlements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638"/>
              <w:spacing w:after="0"/>
              <w:rPr>
                <w:sz w:val="20"/>
                <w:szCs w:val="20"/>
                <w:color w:val="auto"/>
              </w:rPr>
            </w:pPr>
            <w:r>
              <w:rPr>
                <w:rFonts w:ascii="Arial" w:cs="Arial" w:eastAsia="Arial" w:hAnsi="Arial"/>
                <w:sz w:val="17"/>
                <w:szCs w:val="17"/>
                <w:b w:val="1"/>
                <w:bCs w:val="1"/>
                <w:color w:val="auto"/>
                <w:w w:val="96"/>
              </w:rPr>
              <w:t>(5)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12"/>
        </w:trPr>
        <w:tc>
          <w:tcPr>
            <w:tcW w:w="8540" w:type="dxa"/>
            <w:vAlign w:val="bottom"/>
          </w:tcPr>
          <w:p>
            <w:pPr>
              <w:ind w:left="20"/>
              <w:spacing w:after="0"/>
              <w:rPr>
                <w:sz w:val="20"/>
                <w:szCs w:val="20"/>
                <w:color w:val="auto"/>
              </w:rPr>
            </w:pPr>
            <w:r>
              <w:rPr>
                <w:rFonts w:ascii="Arial" w:cs="Arial" w:eastAsia="Arial" w:hAnsi="Arial"/>
                <w:sz w:val="17"/>
                <w:szCs w:val="17"/>
                <w:color w:val="auto"/>
              </w:rPr>
              <w:t>Fair value at end of year</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auto"/>
            </w:tcBorders>
          </w:tcPr>
          <w:p>
            <w:pPr>
              <w:jc w:val="center"/>
              <w:ind w:left="658"/>
              <w:spacing w:after="0"/>
              <w:rPr>
                <w:sz w:val="20"/>
                <w:szCs w:val="20"/>
                <w:color w:val="auto"/>
              </w:rPr>
            </w:pPr>
            <w:r>
              <w:rPr>
                <w:rFonts w:ascii="Arial" w:cs="Arial" w:eastAsia="Arial" w:hAnsi="Arial"/>
                <w:sz w:val="17"/>
                <w:szCs w:val="17"/>
                <w:b w:val="1"/>
                <w:bCs w:val="1"/>
                <w:color w:val="auto"/>
              </w:rPr>
              <w:t>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r>
      <w:tr>
        <w:trPr>
          <w:trHeight w:val="20"/>
        </w:trPr>
        <w:tc>
          <w:tcPr>
            <w:tcW w:w="8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carrying values of cash and cash equivalents, accounts receivable and accounts payable approximate fair value.</w:t>
      </w:r>
    </w:p>
    <w:p>
      <w:pPr>
        <w:spacing w:after="0" w:line="8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There were no cash equivalents at July 30, 2023, and $27 million at July 31, 2022. Cash equivalents represent fair value as these highly liquid investments have an original maturity of three months or less. Fair value of cash equivalents is based on Level 2 inputs.</w:t>
      </w:r>
    </w:p>
    <w:p>
      <w:pPr>
        <w:spacing w:after="0" w:line="4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fair value of short- and long-term debt was $4.293 billion at July 30, 2023, and $4.637 billion at July 31, 2022. The carrying value was $4.689 billion at July 30, 2023, and $4.81 billion at July 31, 2022. The fair value of long-term debt is principally estimated using Level 2 inputs based on quoted market prices or pricing models using current market rates.</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Shareholders' Equity</w:t>
      </w:r>
    </w:p>
    <w:p>
      <w:pPr>
        <w:spacing w:after="0" w:line="94"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We have authorized 560 million shares of Capital stock with $.0375 par value and 40 million shares of Preferred stock, issuable in one or more classes, with or without par as may be authorized by the Board of Directors. No Preferred stock has been issued.</w:t>
      </w:r>
    </w:p>
    <w:p>
      <w:pPr>
        <w:spacing w:after="0" w:line="4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Share Repurchase Programs</w:t>
      </w:r>
    </w:p>
    <w:p>
      <w:pPr>
        <w:spacing w:after="0" w:line="10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In June 2021, the Board authorized an anti-dilutive share repurchase program of up to $250 million (June 2021 program) to offset the impact of dilution from shares issued under our stock compensation programs. The June 2021 program has no expiration date, but it may be suspended or discontinued at any time. Repurchases under the June 2021 program may be made in open-market or privately negotiated transactions.</w:t>
      </w:r>
    </w:p>
    <w:p>
      <w:pPr>
        <w:spacing w:after="0" w:line="4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w:t>
      </w:r>
    </w:p>
    <w:p>
      <w:pPr>
        <w:spacing w:after="0" w:line="58"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In 2023, we repurchased 2.698 million shares at a cost of $142 million. Of this amount, $68 million was used to repurchase shares pursuant to our June 2021 program and $74 million was used to repurchase share pursuant to our September 2021 program. As of July 30, 2023, approximately $104 million remained available under the June 2021 program and approximately $301 million remained under the September 2021 program. In 2022, we repurchased 3.8 million shares at a cost of $167 million. In 2021, we repurchased approximately 1 million shares at a cost of $36 million.</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Stock-based Compensation</w:t>
      </w:r>
    </w:p>
    <w:p>
      <w:pPr>
        <w:spacing w:after="0" w:line="94"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In 2005, shareholders approved the 2005 Long-Term Incentive Plan, which authorized the issuance of 6 million shares to satisfy awards of stock options, stock appreciation rights, unrestricted stock, restricted stock/units (including performance restricted stock) and performance units. In 2008, shareholders approved an amendment to the 2005 Long-Term Incentive Plan to increase the number of authorized shares to 10.5 million and in 2010, shareholders approved another amendment to the 2005 Long-Term Incentive Plan to increase the number of authorized shares to 17.5 million. In 2015, shareholders approved the 2015 Long-Term Incentive Plan, which authorized the issuance of 13 million shares. Approximately 6 million of these shares were shares that were currently available under the 2005 plan and were incorporated into the 2015 Plan upon approval by shareholders. In 2022, shareholders approved the 2022 Long-Term Incentive Plan, which authorized the issuance of 12 million shares to satisfy awards of stock options, stock appreciation rights, unrestricted stock, restricted stock/units (including performance restricted stock) and performance units. The 2022 Long-Term Incentive Plan replaced the 2015 Long-Term Incentive Plan and no new awards can be granted under the 2015 Long-Term Incentive Plan and none of the shares that remain available under the 2015 Long-Term Incentive Plan are available for issuance under the 2022 Long-Term Incentive Plan.</w:t>
      </w:r>
    </w:p>
    <w:p>
      <w:pPr>
        <w:spacing w:after="0" w:line="58"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Awards under Long-Term Incentive Plans may be granted to employees and directors. Pursuant to the Long-Term Incentive Plan, we adopted a long-term incentive compensation program which provides for grants of total shareholder return (TSR) performance restricted stock/units, EPS performance restricted stock/units, strategic performance restricted stock/units, time-lapse restricted stock/units, special performance restricted stock/units, free cash flow (FCF) performance restricted stock/units and unrestricted stock. Under the program, awards of TSR performance restricted stock/units will be earned by comparing our total shareholder return during a three-year period to the respective total shareholder returns of companies in a performance peer group. Based upon our ranking in the performance peer group after the relevant three-year performance period, a recipient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124460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63" w:name="page64"/>
    <w:bookmarkEnd w:id="63"/>
    <w:p>
      <w:pPr>
        <w:jc w:val="both"/>
        <w:spacing w:after="0" w:line="272" w:lineRule="auto"/>
        <w:rPr>
          <w:sz w:val="20"/>
          <w:szCs w:val="20"/>
          <w:color w:val="auto"/>
        </w:rPr>
      </w:pPr>
      <w:r>
        <w:rPr>
          <w:rFonts w:ascii="Arial" w:cs="Arial" w:eastAsia="Arial" w:hAnsi="Arial"/>
          <w:sz w:val="16"/>
          <w:szCs w:val="16"/>
          <w:color w:val="auto"/>
        </w:rPr>
        <w:t>of TSR performance restricted stock/units may earn a total award ranging from 0% to 200% of the initial grant. Awards of EPS performance restricted stock/units granted beginning in 2022 will be earned upon the achievement of our adjusted EPS compound annual growth rate goal (EPS CAGR performance restricted stock/units), measured over a three-year period. A recipient of EPS CAGR performance restricted stock/units may earn a total award ranging from 0% to 200% of the initial grant. Awards of EPS performance restricted stock/units granted prior to 2022 were earned based upon our achievement of annual earnings per share goals and vested over the relevant three-year period. During the three-year vesting period, a recipient of EPS performance restricted stock/units earned a total award of either 0% or 100% of the initial grant. Awards of the strategic performance restricted stock units were earned based upon the achievement of two key metrics, net sales and EPS growth, compared to strategic plan objectives during a three-year period. A recipient of strategic performance restricted stock units earned a total award ranging from 0% to 200% of the initial grant. Awards of FCF performance restricted stock units were earned based upon the achievement of free cash flow (defined as Net cash provided by operating activities less capital expenditures and certain investing and financing activities) compared to annual operating plan objectives over a three-year period. An annual objective was established each fiscal year for three consecutive years. Performance against these objectives was averaged at the end of the three-year period to determine the number of underlying units that vested at the end of the three years. A recipient of FCF performance restricted stock units earned a total award ranging from 0% to 200% of the initial grant. Awards of time-lapse restricted stock/units will vest ratably over the three-year period. In addition, we may issue special grants of restricted stock/units to attract and retain executives which vest over various periods. Awards are generally granted annually in October.</w:t>
      </w:r>
    </w:p>
    <w:p>
      <w:pPr>
        <w:spacing w:after="0" w:line="43"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Stock options are granted on a selective basis under the Long-Term Incentive Plans. The term of a stock option granted under these plans may not exceed ten years from the date of grant. The option price may not be less than the fair market value of a share of common stock on the date of the grant. Options granted under these plans generally vest ratably over a three-year period. In 2019, we also granted certain options that vest at the end of a three-year period. We last issued stock options in 2019.</w:t>
      </w:r>
    </w:p>
    <w:p>
      <w:pPr>
        <w:spacing w:after="0" w:line="64"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In 2023, we issued time-lapse restricted stock units, unrestricted stock, TSR performance restricted stock units and EPS CAGR performance restricted stock units. We last issued FCF performance restricted stock units in 2019, EPS performance restricted stock units in 2018, strategic performance restricted stock units in 2014 and special performance restricted units in 2015.</w:t>
      </w:r>
    </w:p>
    <w:p>
      <w:pPr>
        <w:spacing w:after="0" w:line="5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In determining stock-based compensation expense, we estimate forfeitures expected to occur. Total pre-tax stock-based compensation expense and tax-related benefits recognized in the Consolidated Statements of Earnings were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52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820" w:type="dxa"/>
            <w:vAlign w:val="bottom"/>
          </w:tcPr>
          <w:p>
            <w:pPr>
              <w:jc w:val="right"/>
              <w:ind w:right="20"/>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36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360"/>
              <w:spacing w:after="0"/>
              <w:rPr>
                <w:sz w:val="20"/>
                <w:szCs w:val="20"/>
                <w:color w:val="auto"/>
              </w:rPr>
            </w:pPr>
            <w:r>
              <w:rPr>
                <w:rFonts w:ascii="Arial" w:cs="Arial" w:eastAsia="Arial" w:hAnsi="Arial"/>
                <w:sz w:val="14"/>
                <w:szCs w:val="14"/>
                <w:b w:val="1"/>
                <w:bCs w:val="1"/>
                <w:color w:val="auto"/>
              </w:rPr>
              <w:t>2021</w:t>
            </w:r>
          </w:p>
        </w:tc>
      </w:tr>
      <w:tr>
        <w:trPr>
          <w:trHeight w:val="24"/>
        </w:trPr>
        <w:tc>
          <w:tcPr>
            <w:tcW w:w="75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2"/>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pre-tax stock-based compensation expense</w:t>
            </w:r>
          </w:p>
        </w:tc>
        <w:tc>
          <w:tcPr>
            <w:tcW w:w="820" w:type="dxa"/>
            <w:vAlign w:val="bottom"/>
            <w:shd w:val="clear" w:color="auto" w:fill="CCEEFF"/>
          </w:tcPr>
          <w:p>
            <w:pPr>
              <w:jc w:val="right"/>
              <w:ind w:right="640"/>
              <w:spacing w:after="0"/>
              <w:rPr>
                <w:sz w:val="20"/>
                <w:szCs w:val="20"/>
                <w:color w:val="auto"/>
              </w:rPr>
            </w:pPr>
            <w:r>
              <w:rPr>
                <w:rFonts w:ascii="Arial" w:cs="Arial" w:eastAsia="Arial" w:hAnsi="Arial"/>
                <w:sz w:val="17"/>
                <w:szCs w:val="17"/>
                <w:b w:val="1"/>
                <w:bCs w:val="1"/>
                <w:color w:val="auto"/>
                <w:w w:val="84"/>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r>
      <w:tr>
        <w:trPr>
          <w:trHeight w:val="223"/>
        </w:trPr>
        <w:tc>
          <w:tcPr>
            <w:tcW w:w="7520" w:type="dxa"/>
            <w:vAlign w:val="bottom"/>
          </w:tcPr>
          <w:p>
            <w:pPr>
              <w:ind w:left="20"/>
              <w:spacing w:after="0"/>
              <w:rPr>
                <w:sz w:val="20"/>
                <w:szCs w:val="20"/>
                <w:color w:val="auto"/>
              </w:rPr>
            </w:pPr>
            <w:r>
              <w:rPr>
                <w:rFonts w:ascii="Arial" w:cs="Arial" w:eastAsia="Arial" w:hAnsi="Arial"/>
                <w:sz w:val="17"/>
                <w:szCs w:val="17"/>
                <w:color w:val="auto"/>
              </w:rPr>
              <w:t>Tax-related benefits</w:t>
            </w:r>
          </w:p>
        </w:tc>
        <w:tc>
          <w:tcPr>
            <w:tcW w:w="820" w:type="dxa"/>
            <w:vAlign w:val="bottom"/>
          </w:tcPr>
          <w:p>
            <w:pPr>
              <w:jc w:val="right"/>
              <w:ind w:right="640"/>
              <w:spacing w:after="0"/>
              <w:rPr>
                <w:sz w:val="20"/>
                <w:szCs w:val="20"/>
                <w:color w:val="auto"/>
              </w:rPr>
            </w:pPr>
            <w:r>
              <w:rPr>
                <w:rFonts w:ascii="Arial" w:cs="Arial" w:eastAsia="Arial" w:hAnsi="Arial"/>
                <w:sz w:val="17"/>
                <w:szCs w:val="17"/>
                <w:b w:val="1"/>
                <w:bCs w:val="1"/>
                <w:color w:val="auto"/>
                <w:w w:val="84"/>
              </w:rPr>
              <w:t>$</w:t>
            </w:r>
          </w:p>
        </w:tc>
        <w:tc>
          <w:tcPr>
            <w:tcW w:w="360" w:type="dxa"/>
            <w:vAlign w:val="bottom"/>
          </w:tcPr>
          <w:p>
            <w:pPr>
              <w:jc w:val="right"/>
              <w:spacing w:after="0"/>
              <w:rPr>
                <w:sz w:val="20"/>
                <w:szCs w:val="20"/>
                <w:color w:val="auto"/>
              </w:rPr>
            </w:pPr>
            <w:r>
              <w:rPr>
                <w:rFonts w:ascii="Arial" w:cs="Arial" w:eastAsia="Arial" w:hAnsi="Arial"/>
                <w:sz w:val="17"/>
                <w:szCs w:val="17"/>
                <w:b w:val="1"/>
                <w:bCs w:val="1"/>
                <w:color w:val="auto"/>
              </w:rPr>
              <w:t>12</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12</w:t>
            </w:r>
          </w:p>
        </w:tc>
      </w:tr>
    </w:tbl>
    <w:p>
      <w:pPr>
        <w:spacing w:after="0" w:line="1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stock option activity as of July 30, 2023:</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restart"/>
          </w:tcPr>
          <w:p>
            <w:pPr>
              <w:jc w:val="center"/>
              <w:ind w:left="361"/>
              <w:spacing w:after="0"/>
              <w:rPr>
                <w:sz w:val="20"/>
                <w:szCs w:val="20"/>
                <w:color w:val="auto"/>
              </w:rPr>
            </w:pPr>
            <w:r>
              <w:rPr>
                <w:rFonts w:ascii="Arial" w:cs="Arial" w:eastAsia="Arial" w:hAnsi="Arial"/>
                <w:sz w:val="14"/>
                <w:szCs w:val="14"/>
                <w:b w:val="1"/>
                <w:bCs w:val="1"/>
                <w:color w:val="auto"/>
                <w:w w:val="88"/>
              </w:rPr>
              <w:t>Weighted-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Weighted-</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4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86"/>
              </w:rPr>
              <w:t>Average</w:t>
            </w:r>
          </w:p>
        </w:tc>
        <w:tc>
          <w:tcPr>
            <w:tcW w:w="280" w:type="dxa"/>
            <w:vAlign w:val="bottom"/>
          </w:tcPr>
          <w:p>
            <w:pPr>
              <w:spacing w:after="0"/>
              <w:rPr>
                <w:sz w:val="12"/>
                <w:szCs w:val="12"/>
                <w:color w:val="auto"/>
              </w:rPr>
            </w:pPr>
          </w:p>
        </w:tc>
        <w:tc>
          <w:tcPr>
            <w:tcW w:w="1240" w:type="dxa"/>
            <w:vAlign w:val="bottom"/>
            <w:vMerge w:val="restart"/>
          </w:tcPr>
          <w:p>
            <w:pPr>
              <w:jc w:val="center"/>
              <w:ind w:right="206"/>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left="361"/>
              <w:spacing w:after="0" w:line="142" w:lineRule="exact"/>
              <w:rPr>
                <w:sz w:val="20"/>
                <w:szCs w:val="20"/>
                <w:color w:val="auto"/>
              </w:rPr>
            </w:pPr>
            <w:r>
              <w:rPr>
                <w:rFonts w:ascii="Arial" w:cs="Arial" w:eastAsia="Arial" w:hAnsi="Arial"/>
                <w:sz w:val="14"/>
                <w:szCs w:val="14"/>
                <w:b w:val="1"/>
                <w:bCs w:val="1"/>
                <w:color w:val="auto"/>
                <w:w w:val="86"/>
              </w:rPr>
              <w:t>Average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89"/>
              </w:rPr>
              <w:t>Remaining</w:t>
            </w:r>
          </w:p>
        </w:tc>
        <w:tc>
          <w:tcPr>
            <w:tcW w:w="2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800" w:type="dxa"/>
            <w:vAlign w:val="bottom"/>
          </w:tcPr>
          <w:p>
            <w:pPr>
              <w:spacing w:after="0"/>
              <w:rPr>
                <w:sz w:val="11"/>
                <w:szCs w:val="11"/>
                <w:color w:val="auto"/>
              </w:rPr>
            </w:pPr>
          </w:p>
        </w:tc>
        <w:tc>
          <w:tcPr>
            <w:tcW w:w="164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Options</w:t>
            </w:r>
          </w:p>
        </w:tc>
        <w:tc>
          <w:tcPr>
            <w:tcW w:w="1080" w:type="dxa"/>
            <w:vAlign w:val="bottom"/>
          </w:tcPr>
          <w:p>
            <w:pPr>
              <w:jc w:val="center"/>
              <w:ind w:left="381"/>
              <w:spacing w:after="0" w:line="129" w:lineRule="exact"/>
              <w:rPr>
                <w:sz w:val="20"/>
                <w:szCs w:val="20"/>
                <w:color w:val="auto"/>
              </w:rPr>
            </w:pPr>
            <w:r>
              <w:rPr>
                <w:rFonts w:ascii="Arial" w:cs="Arial" w:eastAsia="Arial" w:hAnsi="Arial"/>
                <w:sz w:val="14"/>
                <w:szCs w:val="14"/>
                <w:b w:val="1"/>
                <w:bCs w:val="1"/>
                <w:color w:val="auto"/>
                <w:w w:val="86"/>
              </w:rPr>
              <w:t>Exercise</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2"/>
              </w:rPr>
              <w:t>Contractual</w:t>
            </w:r>
          </w:p>
        </w:tc>
        <w:tc>
          <w:tcPr>
            <w:tcW w:w="280" w:type="dxa"/>
            <w:vAlign w:val="bottom"/>
          </w:tcPr>
          <w:p>
            <w:pPr>
              <w:spacing w:after="0"/>
              <w:rPr>
                <w:sz w:val="11"/>
                <w:szCs w:val="11"/>
                <w:color w:val="auto"/>
              </w:rPr>
            </w:pPr>
          </w:p>
        </w:tc>
        <w:tc>
          <w:tcPr>
            <w:tcW w:w="1240" w:type="dxa"/>
            <w:vAlign w:val="bottom"/>
          </w:tcPr>
          <w:p>
            <w:pPr>
              <w:jc w:val="center"/>
              <w:ind w:right="206"/>
              <w:spacing w:after="0" w:line="12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7"/>
        </w:trPr>
        <w:tc>
          <w:tcPr>
            <w:tcW w:w="480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080" w:type="dxa"/>
            <w:vAlign w:val="bottom"/>
          </w:tcPr>
          <w:p>
            <w:pPr>
              <w:jc w:val="center"/>
              <w:ind w:left="381"/>
              <w:spacing w:after="0"/>
              <w:rPr>
                <w:sz w:val="20"/>
                <w:szCs w:val="20"/>
                <w:color w:val="auto"/>
              </w:rPr>
            </w:pPr>
            <w:r>
              <w:rPr>
                <w:rFonts w:ascii="Arial" w:cs="Arial" w:eastAsia="Arial" w:hAnsi="Arial"/>
                <w:sz w:val="14"/>
                <w:szCs w:val="14"/>
                <w:b w:val="1"/>
                <w:bCs w:val="1"/>
                <w:color w:val="auto"/>
                <w:w w:val="87"/>
              </w:rPr>
              <w:t>Price</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Life</w:t>
            </w:r>
          </w:p>
        </w:tc>
        <w:tc>
          <w:tcPr>
            <w:tcW w:w="280" w:type="dxa"/>
            <w:vAlign w:val="bottom"/>
          </w:tcPr>
          <w:p>
            <w:pPr>
              <w:spacing w:after="0"/>
              <w:rPr>
                <w:sz w:val="16"/>
                <w:szCs w:val="16"/>
                <w:color w:val="auto"/>
              </w:rPr>
            </w:pPr>
          </w:p>
        </w:tc>
        <w:tc>
          <w:tcPr>
            <w:tcW w:w="1240" w:type="dxa"/>
            <w:vAlign w:val="bottom"/>
          </w:tcPr>
          <w:p>
            <w:pPr>
              <w:jc w:val="center"/>
              <w:ind w:right="206"/>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84"/>
        </w:trPr>
        <w:tc>
          <w:tcPr>
            <w:tcW w:w="4800" w:type="dxa"/>
            <w:vAlign w:val="bottom"/>
          </w:tcPr>
          <w:p>
            <w:pPr>
              <w:spacing w:after="0"/>
              <w:rPr>
                <w:sz w:val="16"/>
                <w:szCs w:val="16"/>
                <w:color w:val="auto"/>
              </w:rPr>
            </w:pPr>
          </w:p>
        </w:tc>
        <w:tc>
          <w:tcPr>
            <w:tcW w:w="1540" w:type="dxa"/>
            <w:vAlign w:val="bottom"/>
            <w:tcBorders>
              <w:top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years)</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ind w:right="206"/>
              <w:spacing w:after="0"/>
              <w:rPr>
                <w:sz w:val="20"/>
                <w:szCs w:val="20"/>
                <w:color w:val="auto"/>
              </w:rPr>
            </w:pPr>
            <w:r>
              <w:rPr>
                <w:rFonts w:ascii="Arial" w:cs="Arial" w:eastAsia="Arial" w:hAnsi="Arial"/>
                <w:sz w:val="14"/>
                <w:szCs w:val="14"/>
                <w:b w:val="1"/>
                <w:bCs w:val="1"/>
                <w:color w:val="auto"/>
                <w:w w:val="91"/>
              </w:rPr>
              <w:t>(Millions)</w:t>
            </w: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at July 31, 2022</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1"/>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46.04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00" w:type="dxa"/>
            <w:vAlign w:val="bottom"/>
          </w:tcPr>
          <w:p>
            <w:pPr>
              <w:ind w:left="20"/>
              <w:spacing w:after="0"/>
              <w:rPr>
                <w:sz w:val="20"/>
                <w:szCs w:val="20"/>
                <w:color w:val="auto"/>
              </w:rPr>
            </w:pPr>
            <w:r>
              <w:rPr>
                <w:rFonts w:ascii="Arial" w:cs="Arial" w:eastAsia="Arial" w:hAnsi="Arial"/>
                <w:sz w:val="17"/>
                <w:szCs w:val="17"/>
                <w:color w:val="auto"/>
              </w:rPr>
              <w:t>Granted</w:t>
            </w:r>
          </w:p>
        </w:tc>
        <w:tc>
          <w:tcPr>
            <w:tcW w:w="1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901"/>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1"/>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48.33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00" w:type="dxa"/>
            <w:vAlign w:val="bottom"/>
          </w:tcPr>
          <w:p>
            <w:pPr>
              <w:ind w:left="20"/>
              <w:spacing w:after="0"/>
              <w:rPr>
                <w:sz w:val="20"/>
                <w:szCs w:val="20"/>
                <w:color w:val="auto"/>
              </w:rPr>
            </w:pPr>
            <w:r>
              <w:rPr>
                <w:rFonts w:ascii="Arial" w:cs="Arial" w:eastAsia="Arial" w:hAnsi="Arial"/>
                <w:sz w:val="17"/>
                <w:szCs w:val="17"/>
                <w:color w:val="auto"/>
              </w:rPr>
              <w:t>Terminated</w:t>
            </w:r>
          </w:p>
        </w:tc>
        <w:tc>
          <w:tcPr>
            <w:tcW w:w="1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901"/>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July 30, 2023</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CCEEFF"/>
              <w:bottom w:val="single" w:sz="8" w:color="auto"/>
            </w:tcBorders>
            <w:shd w:val="clear" w:color="auto" w:fill="CCEEFF"/>
          </w:tcPr>
          <w:p>
            <w:pPr>
              <w:jc w:val="right"/>
              <w:ind w:right="901"/>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44.77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Exercisable at July 30, 2023</w:t>
            </w: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00" w:type="dxa"/>
            <w:vAlign w:val="bottom"/>
            <w:vMerge w:val="continue"/>
          </w:tcPr>
          <w:p>
            <w:pPr>
              <w:spacing w:after="0"/>
              <w:rPr>
                <w:sz w:val="16"/>
                <w:szCs w:val="16"/>
                <w:color w:val="auto"/>
              </w:rPr>
            </w:pPr>
          </w:p>
        </w:tc>
        <w:tc>
          <w:tcPr>
            <w:tcW w:w="154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833</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right"/>
              <w:ind w:right="901"/>
              <w:spacing w:after="0" w:line="190" w:lineRule="exact"/>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7"/>
                <w:szCs w:val="17"/>
                <w:color w:val="auto"/>
                <w:w w:val="84"/>
              </w:rPr>
              <w:t>44.77</w:t>
            </w:r>
          </w:p>
        </w:tc>
        <w:tc>
          <w:tcPr>
            <w:tcW w:w="100" w:type="dxa"/>
            <w:vAlign w:val="bottom"/>
          </w:tcPr>
          <w:p>
            <w:pPr>
              <w:spacing w:after="0"/>
              <w:rPr>
                <w:sz w:val="16"/>
                <w:szCs w:val="16"/>
                <w:color w:val="auto"/>
              </w:rPr>
            </w:pPr>
          </w:p>
        </w:tc>
        <w:tc>
          <w:tcPr>
            <w:tcW w:w="15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4.2</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94"/>
              <w:spacing w:after="0" w:line="190" w:lineRule="exact"/>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total intrinsic value of options exercised during 2023 and 2022 was $3 million and $1 million, respectively. The total intrinsic value of options exercised during 2021 was not material. We measured the fair value of stock options using the Black-Scholes option pricing model.</w:t>
      </w:r>
    </w:p>
    <w:p>
      <w:pPr>
        <w:spacing w:after="0" w:line="3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We expensed stock options on a straight-line basis over the vesting period, except for awards issued to retirement eligible participants, which we expensed on an accelerated basis. As of January 2022, compensation related to stock options was fully expensed.</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124460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64" w:name="page65"/>
    <w:bookmarkEnd w:id="64"/>
    <w:p>
      <w:pPr>
        <w:ind w:left="320"/>
        <w:spacing w:after="0"/>
        <w:rPr>
          <w:sz w:val="20"/>
          <w:szCs w:val="20"/>
          <w:color w:val="auto"/>
        </w:rPr>
      </w:pPr>
      <w:r>
        <w:rPr>
          <w:rFonts w:ascii="Arial" w:cs="Arial" w:eastAsia="Arial" w:hAnsi="Arial"/>
          <w:sz w:val="17"/>
          <w:szCs w:val="17"/>
          <w:color w:val="auto"/>
        </w:rPr>
        <w:t>The following table summarizes time-lapse restricted stock units and EPS CAGR performance restricted stock units as of July 30, 2023:</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jc w:val="center"/>
              <w:ind w:right="242"/>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2"/>
        </w:trPr>
        <w:tc>
          <w:tcPr>
            <w:tcW w:w="76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tcPr>
          <w:p>
            <w:pPr>
              <w:jc w:val="center"/>
              <w:ind w:right="242"/>
              <w:spacing w:after="0" w:line="142"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38"/>
        </w:trPr>
        <w:tc>
          <w:tcPr>
            <w:tcW w:w="7620" w:type="dxa"/>
            <w:vAlign w:val="bottom"/>
          </w:tcPr>
          <w:p>
            <w:pPr>
              <w:spacing w:after="0"/>
              <w:rPr>
                <w:sz w:val="12"/>
                <w:szCs w:val="12"/>
                <w:color w:val="auto"/>
              </w:rPr>
            </w:pPr>
          </w:p>
        </w:tc>
        <w:tc>
          <w:tcPr>
            <w:tcW w:w="1840" w:type="dxa"/>
            <w:vAlign w:val="bottom"/>
            <w:gridSpan w:val="2"/>
            <w:vMerge w:val="restart"/>
          </w:tcPr>
          <w:p>
            <w:pPr>
              <w:ind w:left="720"/>
              <w:spacing w:after="0"/>
              <w:rPr>
                <w:sz w:val="20"/>
                <w:szCs w:val="20"/>
                <w:color w:val="auto"/>
              </w:rPr>
            </w:pPr>
            <w:r>
              <w:rPr>
                <w:rFonts w:ascii="Arial" w:cs="Arial" w:eastAsia="Arial" w:hAnsi="Arial"/>
                <w:sz w:val="14"/>
                <w:szCs w:val="14"/>
                <w:b w:val="1"/>
                <w:bCs w:val="1"/>
                <w:color w:val="auto"/>
              </w:rPr>
              <w:t>Units</w:t>
            </w:r>
          </w:p>
        </w:tc>
        <w:tc>
          <w:tcPr>
            <w:tcW w:w="320" w:type="dxa"/>
            <w:vAlign w:val="bottom"/>
          </w:tcPr>
          <w:p>
            <w:pPr>
              <w:spacing w:after="0"/>
              <w:rPr>
                <w:sz w:val="12"/>
                <w:szCs w:val="12"/>
                <w:color w:val="auto"/>
              </w:rPr>
            </w:pPr>
          </w:p>
        </w:tc>
        <w:tc>
          <w:tcPr>
            <w:tcW w:w="1440" w:type="dxa"/>
            <w:vAlign w:val="bottom"/>
          </w:tcPr>
          <w:p>
            <w:pPr>
              <w:jc w:val="center"/>
              <w:ind w:right="242"/>
              <w:spacing w:after="0" w:line="139" w:lineRule="exact"/>
              <w:rPr>
                <w:sz w:val="20"/>
                <w:szCs w:val="20"/>
                <w:color w:val="auto"/>
              </w:rPr>
            </w:pPr>
            <w:r>
              <w:rPr>
                <w:rFonts w:ascii="Arial" w:cs="Arial" w:eastAsia="Arial" w:hAnsi="Arial"/>
                <w:sz w:val="14"/>
                <w:szCs w:val="14"/>
                <w:b w:val="1"/>
                <w:bCs w:val="1"/>
                <w:color w:val="auto"/>
                <w:w w:val="93"/>
              </w:rPr>
              <w:t>Grant-Date</w:t>
            </w:r>
          </w:p>
        </w:tc>
        <w:tc>
          <w:tcPr>
            <w:tcW w:w="0" w:type="dxa"/>
            <w:vAlign w:val="bottom"/>
          </w:tcPr>
          <w:p>
            <w:pPr>
              <w:spacing w:after="0"/>
              <w:rPr>
                <w:sz w:val="1"/>
                <w:szCs w:val="1"/>
                <w:color w:val="auto"/>
              </w:rPr>
            </w:pPr>
          </w:p>
        </w:tc>
      </w:tr>
      <w:tr>
        <w:trPr>
          <w:trHeight w:val="186"/>
        </w:trPr>
        <w:tc>
          <w:tcPr>
            <w:tcW w:w="7620" w:type="dxa"/>
            <w:vAlign w:val="bottom"/>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jc w:val="center"/>
              <w:ind w:right="222"/>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86"/>
        </w:trPr>
        <w:tc>
          <w:tcPr>
            <w:tcW w:w="7620" w:type="dxa"/>
            <w:vAlign w:val="bottom"/>
          </w:tcPr>
          <w:p>
            <w:pPr>
              <w:spacing w:after="0"/>
              <w:rPr>
                <w:sz w:val="16"/>
                <w:szCs w:val="16"/>
                <w:color w:val="auto"/>
              </w:rPr>
            </w:pPr>
          </w:p>
        </w:tc>
        <w:tc>
          <w:tcPr>
            <w:tcW w:w="1740" w:type="dxa"/>
            <w:vAlign w:val="bottom"/>
            <w:tcBorders>
              <w:top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Nonvested at July 31, 2022</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43.88</w:t>
            </w:r>
          </w:p>
        </w:tc>
        <w:tc>
          <w:tcPr>
            <w:tcW w:w="0" w:type="dxa"/>
            <w:vAlign w:val="bottom"/>
          </w:tcPr>
          <w:p>
            <w:pPr>
              <w:spacing w:after="0"/>
              <w:rPr>
                <w:sz w:val="1"/>
                <w:szCs w:val="1"/>
                <w:color w:val="auto"/>
              </w:rPr>
            </w:pPr>
          </w:p>
        </w:tc>
      </w:tr>
      <w:tr>
        <w:trPr>
          <w:trHeight w:val="218"/>
        </w:trPr>
        <w:tc>
          <w:tcPr>
            <w:tcW w:w="7620" w:type="dxa"/>
            <w:vAlign w:val="bottom"/>
          </w:tcPr>
          <w:p>
            <w:pPr>
              <w:ind w:left="20"/>
              <w:spacing w:after="0"/>
              <w:rPr>
                <w:sz w:val="20"/>
                <w:szCs w:val="20"/>
                <w:color w:val="auto"/>
              </w:rPr>
            </w:pPr>
            <w:r>
              <w:rPr>
                <w:rFonts w:ascii="Arial" w:cs="Arial" w:eastAsia="Arial" w:hAnsi="Arial"/>
                <w:sz w:val="17"/>
                <w:szCs w:val="17"/>
                <w:color w:val="auto"/>
              </w:rPr>
              <w:t>Granted</w:t>
            </w:r>
          </w:p>
        </w:tc>
        <w:tc>
          <w:tcPr>
            <w:tcW w:w="1740" w:type="dxa"/>
            <w:vAlign w:val="bottom"/>
          </w:tcPr>
          <w:p>
            <w:pPr>
              <w:jc w:val="right"/>
              <w:spacing w:after="0"/>
              <w:rPr>
                <w:sz w:val="20"/>
                <w:szCs w:val="20"/>
                <w:color w:val="auto"/>
              </w:rPr>
            </w:pPr>
            <w:r>
              <w:rPr>
                <w:rFonts w:ascii="Arial" w:cs="Arial" w:eastAsia="Arial" w:hAnsi="Arial"/>
                <w:sz w:val="17"/>
                <w:szCs w:val="17"/>
                <w:color w:val="auto"/>
              </w:rPr>
              <w:t>1,227</w:t>
            </w:r>
          </w:p>
        </w:tc>
        <w:tc>
          <w:tcPr>
            <w:tcW w:w="10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47.65</w:t>
            </w:r>
          </w:p>
        </w:tc>
        <w:tc>
          <w:tcPr>
            <w:tcW w:w="0" w:type="dxa"/>
            <w:vAlign w:val="bottom"/>
          </w:tcPr>
          <w:p>
            <w:pPr>
              <w:spacing w:after="0"/>
              <w:rPr>
                <w:sz w:val="1"/>
                <w:szCs w:val="1"/>
                <w:color w:val="auto"/>
              </w:rPr>
            </w:pPr>
          </w:p>
        </w:tc>
      </w:tr>
      <w:tr>
        <w:trPr>
          <w:trHeight w:val="220"/>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45.25</w:t>
            </w:r>
          </w:p>
        </w:tc>
        <w:tc>
          <w:tcPr>
            <w:tcW w:w="0" w:type="dxa"/>
            <w:vAlign w:val="bottom"/>
          </w:tcPr>
          <w:p>
            <w:pPr>
              <w:spacing w:after="0"/>
              <w:rPr>
                <w:sz w:val="1"/>
                <w:szCs w:val="1"/>
                <w:color w:val="auto"/>
              </w:rPr>
            </w:pPr>
          </w:p>
        </w:tc>
      </w:tr>
      <w:tr>
        <w:trPr>
          <w:trHeight w:val="218"/>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44.94</w:t>
            </w:r>
          </w:p>
        </w:tc>
        <w:tc>
          <w:tcPr>
            <w:tcW w:w="0" w:type="dxa"/>
            <w:vAlign w:val="bottom"/>
          </w:tcPr>
          <w:p>
            <w:pPr>
              <w:spacing w:after="0"/>
              <w:rPr>
                <w:sz w:val="1"/>
                <w:szCs w:val="1"/>
                <w:color w:val="auto"/>
              </w:rPr>
            </w:pPr>
          </w:p>
        </w:tc>
      </w:tr>
      <w:tr>
        <w:trPr>
          <w:trHeight w:val="237"/>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Nonvested at July 30, 2023</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45.39</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We determine the fair value of time-lapse restricted stock units, EPS CAGR performance restricted stock units, FCF performance restricted stock units and EPS performance restricted stock units based on the quoted price of our stock at the date of grant. We expense time-lapse restricted stock units and EPS CAGR performance restricted stock units on a straight-line basis over the vesting period, except for awards issued to retirement-eligible participants, which we expense on an accelerated basis. There were 560 thousand EPS CAGR performance target grants outstanding at July 30, 2023, with a weighted-average grant-date fair value of $44.33. We expensed FCF performance restricted stock units over the requisite service period of each objective. As of October 31, 2021, there were no FCF performance target grants outstanding. We expensed EPS performance restricted stock units on a graded vesting basis, expect for awards issued to retirement-eligible participants, which we expensed on an accelerated basis. As of November 1, 2020, there were no EPS performance target grants outstanding. The actual number of EPS CAGR performance restricted stock units, FCF performance restricted stock units and EPS performance restricted stock units, that vest will depend on actual performance achieved. We estimate expense based on the number of awards expected to vest.</w:t>
      </w:r>
    </w:p>
    <w:p>
      <w:pPr>
        <w:spacing w:after="0" w:line="41"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As of July 30, 2023, total remaining unearned compensation related to nonvested time-lapse restricted stock units and EPS CAGR performance restricted units was $43 million, which will be amortized over the weighted-average remaining service period of 1.6 years. In the first quarter of 2022, recipients of FCF performance restricted stock units earned 167% of the initial grants based upon the average of actual performance achieved during a three-year period ended August 1, 2021. As a result, approximately 158 thousand additional shares were awarded. The fair value of restricted stock units vested during 2023, 2022 and 2021 was $37 million, $50 million and $38 million, respectively. The weighted-average grant-date fair value of the restricted stock units granted during 2022 and 2021 was $41.96 and $48.37, respectively.</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TSR performance restricted stock units as of July 30, 2023:</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center"/>
              <w:ind w:right="222"/>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32"/>
        </w:trPr>
        <w:tc>
          <w:tcPr>
            <w:tcW w:w="78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jc w:val="center"/>
              <w:ind w:right="222"/>
              <w:spacing w:after="0" w:line="132"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2"/>
        </w:trPr>
        <w:tc>
          <w:tcPr>
            <w:tcW w:w="7820" w:type="dxa"/>
            <w:vAlign w:val="bottom"/>
          </w:tcPr>
          <w:p>
            <w:pPr>
              <w:spacing w:after="0"/>
              <w:rPr>
                <w:sz w:val="12"/>
                <w:szCs w:val="12"/>
                <w:color w:val="auto"/>
              </w:rPr>
            </w:pPr>
          </w:p>
        </w:tc>
        <w:tc>
          <w:tcPr>
            <w:tcW w:w="174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Units</w:t>
            </w:r>
          </w:p>
        </w:tc>
        <w:tc>
          <w:tcPr>
            <w:tcW w:w="300" w:type="dxa"/>
            <w:vAlign w:val="bottom"/>
          </w:tcPr>
          <w:p>
            <w:pPr>
              <w:spacing w:after="0"/>
              <w:rPr>
                <w:sz w:val="12"/>
                <w:szCs w:val="12"/>
                <w:color w:val="auto"/>
              </w:rPr>
            </w:pPr>
          </w:p>
        </w:tc>
        <w:tc>
          <w:tcPr>
            <w:tcW w:w="1340" w:type="dxa"/>
            <w:vAlign w:val="bottom"/>
          </w:tcPr>
          <w:p>
            <w:pPr>
              <w:jc w:val="center"/>
              <w:ind w:right="222"/>
              <w:spacing w:after="0" w:line="142" w:lineRule="exact"/>
              <w:rPr>
                <w:sz w:val="20"/>
                <w:szCs w:val="20"/>
                <w:color w:val="auto"/>
              </w:rPr>
            </w:pPr>
            <w:r>
              <w:rPr>
                <w:rFonts w:ascii="Arial" w:cs="Arial" w:eastAsia="Arial" w:hAnsi="Arial"/>
                <w:sz w:val="14"/>
                <w:szCs w:val="14"/>
                <w:b w:val="1"/>
                <w:bCs w:val="1"/>
                <w:color w:val="auto"/>
                <w:w w:val="93"/>
              </w:rPr>
              <w:t>Grant-Date</w:t>
            </w:r>
          </w:p>
        </w:tc>
        <w:tc>
          <w:tcPr>
            <w:tcW w:w="0" w:type="dxa"/>
            <w:vAlign w:val="bottom"/>
          </w:tcPr>
          <w:p>
            <w:pPr>
              <w:spacing w:after="0"/>
              <w:rPr>
                <w:sz w:val="1"/>
                <w:szCs w:val="1"/>
                <w:color w:val="auto"/>
              </w:rPr>
            </w:pPr>
          </w:p>
        </w:tc>
      </w:tr>
      <w:tr>
        <w:trPr>
          <w:trHeight w:val="178"/>
        </w:trPr>
        <w:tc>
          <w:tcPr>
            <w:tcW w:w="782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center"/>
              <w:ind w:right="202"/>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24"/>
        </w:trPr>
        <w:tc>
          <w:tcPr>
            <w:tcW w:w="782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7820" w:type="dxa"/>
            <w:vAlign w:val="bottom"/>
          </w:tcPr>
          <w:p>
            <w:pPr>
              <w:spacing w:after="0"/>
              <w:rPr>
                <w:sz w:val="15"/>
                <w:szCs w:val="15"/>
                <w:color w:val="auto"/>
              </w:rPr>
            </w:pPr>
          </w:p>
        </w:tc>
        <w:tc>
          <w:tcPr>
            <w:tcW w:w="1640" w:type="dxa"/>
            <w:vAlign w:val="bottom"/>
            <w:tcBorders>
              <w:top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Nonvested at July 31, 2022</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55.63</w:t>
            </w: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Arial" w:cs="Arial" w:eastAsia="Arial" w:hAnsi="Arial"/>
                <w:sz w:val="17"/>
                <w:szCs w:val="17"/>
                <w:color w:val="auto"/>
              </w:rPr>
              <w:t>Granted</w:t>
            </w:r>
          </w:p>
        </w:tc>
        <w:tc>
          <w:tcPr>
            <w:tcW w:w="1640" w:type="dxa"/>
            <w:vAlign w:val="bottom"/>
          </w:tcPr>
          <w:p>
            <w:pPr>
              <w:jc w:val="right"/>
              <w:spacing w:after="0"/>
              <w:rPr>
                <w:sz w:val="20"/>
                <w:szCs w:val="20"/>
                <w:color w:val="auto"/>
              </w:rPr>
            </w:pPr>
            <w:r>
              <w:rPr>
                <w:rFonts w:ascii="Arial" w:cs="Arial" w:eastAsia="Arial" w:hAnsi="Arial"/>
                <w:sz w:val="17"/>
                <w:szCs w:val="17"/>
                <w:color w:val="auto"/>
              </w:rPr>
              <w:t>296</w:t>
            </w:r>
          </w:p>
        </w:tc>
        <w:tc>
          <w:tcPr>
            <w:tcW w:w="10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53.74</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63.06</w:t>
            </w:r>
          </w:p>
        </w:tc>
        <w:tc>
          <w:tcPr>
            <w:tcW w:w="0" w:type="dxa"/>
            <w:vAlign w:val="bottom"/>
          </w:tcPr>
          <w:p>
            <w:pPr>
              <w:spacing w:after="0"/>
              <w:rPr>
                <w:sz w:val="1"/>
                <w:szCs w:val="1"/>
                <w:color w:val="auto"/>
              </w:rPr>
            </w:pPr>
          </w:p>
        </w:tc>
      </w:tr>
      <w:tr>
        <w:trPr>
          <w:trHeight w:val="21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51.70</w:t>
            </w:r>
          </w:p>
        </w:tc>
        <w:tc>
          <w:tcPr>
            <w:tcW w:w="0" w:type="dxa"/>
            <w:vAlign w:val="bottom"/>
          </w:tcPr>
          <w:p>
            <w:pPr>
              <w:spacing w:after="0"/>
              <w:rPr>
                <w:sz w:val="1"/>
                <w:szCs w:val="1"/>
                <w:color w:val="auto"/>
              </w:rPr>
            </w:pPr>
          </w:p>
        </w:tc>
      </w:tr>
      <w:tr>
        <w:trPr>
          <w:trHeight w:val="23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Nonvested at July 30, 2023</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51.81</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We estimated the fair value of TSR performance restricted stock units at the grant date using a Monte Carlo simulation. Weighted-average assumptions used in the Monte Carlo simulation were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3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r>
      <w:tr>
        <w:trPr>
          <w:trHeight w:val="24"/>
        </w:trPr>
        <w:tc>
          <w:tcPr>
            <w:tcW w:w="83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2"/>
        </w:trPr>
        <w:tc>
          <w:tcPr>
            <w:tcW w:w="8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9"/>
              </w:rPr>
              <w:t>4.29%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0.46%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0.15%</w:t>
            </w:r>
          </w:p>
        </w:tc>
      </w:tr>
      <w:tr>
        <w:trPr>
          <w:trHeight w:val="219"/>
        </w:trPr>
        <w:tc>
          <w:tcPr>
            <w:tcW w:w="8360" w:type="dxa"/>
            <w:vAlign w:val="bottom"/>
          </w:tcPr>
          <w:p>
            <w:pPr>
              <w:ind w:left="20"/>
              <w:spacing w:after="0"/>
              <w:rPr>
                <w:sz w:val="20"/>
                <w:szCs w:val="20"/>
                <w:color w:val="auto"/>
              </w:rPr>
            </w:pPr>
            <w:r>
              <w:rPr>
                <w:rFonts w:ascii="Arial" w:cs="Arial" w:eastAsia="Arial" w:hAnsi="Arial"/>
                <w:sz w:val="17"/>
                <w:szCs w:val="17"/>
                <w:color w:val="auto"/>
              </w:rPr>
              <w:t>Expected dividend yield</w:t>
            </w:r>
          </w:p>
        </w:tc>
        <w:tc>
          <w:tcPr>
            <w:tcW w:w="880" w:type="dxa"/>
            <w:vAlign w:val="bottom"/>
          </w:tcPr>
          <w:p>
            <w:pPr>
              <w:jc w:val="center"/>
              <w:spacing w:after="0"/>
              <w:rPr>
                <w:sz w:val="20"/>
                <w:szCs w:val="20"/>
                <w:color w:val="auto"/>
              </w:rPr>
            </w:pPr>
            <w:r>
              <w:rPr>
                <w:rFonts w:ascii="Arial" w:cs="Arial" w:eastAsia="Arial" w:hAnsi="Arial"/>
                <w:sz w:val="17"/>
                <w:szCs w:val="17"/>
                <w:b w:val="1"/>
                <w:bCs w:val="1"/>
                <w:color w:val="auto"/>
                <w:w w:val="99"/>
              </w:rPr>
              <w:t>3.09%</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w w:val="91"/>
              </w:rPr>
              <w:t>3.50%</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w w:val="91"/>
              </w:rPr>
              <w:t>2.85%</w:t>
            </w: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volatility</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7"/>
              </w:rPr>
              <w:t>26.40%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27.42%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29.99%</w:t>
            </w:r>
          </w:p>
        </w:tc>
      </w:tr>
      <w:tr>
        <w:trPr>
          <w:trHeight w:val="223"/>
        </w:trPr>
        <w:tc>
          <w:tcPr>
            <w:tcW w:w="8360" w:type="dxa"/>
            <w:vAlign w:val="bottom"/>
          </w:tcPr>
          <w:p>
            <w:pPr>
              <w:ind w:left="20"/>
              <w:spacing w:after="0"/>
              <w:rPr>
                <w:sz w:val="20"/>
                <w:szCs w:val="20"/>
                <w:color w:val="auto"/>
              </w:rPr>
            </w:pPr>
            <w:r>
              <w:rPr>
                <w:rFonts w:ascii="Arial" w:cs="Arial" w:eastAsia="Arial" w:hAnsi="Arial"/>
                <w:sz w:val="17"/>
                <w:szCs w:val="17"/>
                <w:color w:val="auto"/>
              </w:rPr>
              <w:t>Expected term</w:t>
            </w:r>
          </w:p>
        </w:tc>
        <w:tc>
          <w:tcPr>
            <w:tcW w:w="980" w:type="dxa"/>
            <w:vAlign w:val="bottom"/>
            <w:gridSpan w:val="2"/>
          </w:tcPr>
          <w:p>
            <w:pPr>
              <w:ind w:left="180"/>
              <w:spacing w:after="0"/>
              <w:rPr>
                <w:sz w:val="20"/>
                <w:szCs w:val="20"/>
                <w:color w:val="auto"/>
              </w:rPr>
            </w:pPr>
            <w:r>
              <w:rPr>
                <w:rFonts w:ascii="Arial" w:cs="Arial" w:eastAsia="Arial" w:hAnsi="Arial"/>
                <w:sz w:val="17"/>
                <w:szCs w:val="17"/>
                <w:b w:val="1"/>
                <w:bCs w:val="1"/>
                <w:color w:val="auto"/>
              </w:rPr>
              <w:t>3 years</w:t>
            </w:r>
          </w:p>
        </w:tc>
        <w:tc>
          <w:tcPr>
            <w:tcW w:w="980" w:type="dxa"/>
            <w:vAlign w:val="bottom"/>
            <w:gridSpan w:val="2"/>
          </w:tcPr>
          <w:p>
            <w:pPr>
              <w:ind w:left="200"/>
              <w:spacing w:after="0"/>
              <w:rPr>
                <w:sz w:val="20"/>
                <w:szCs w:val="20"/>
                <w:color w:val="auto"/>
              </w:rPr>
            </w:pPr>
            <w:r>
              <w:rPr>
                <w:rFonts w:ascii="Arial" w:cs="Arial" w:eastAsia="Arial" w:hAnsi="Arial"/>
                <w:sz w:val="17"/>
                <w:szCs w:val="17"/>
                <w:color w:val="auto"/>
              </w:rPr>
              <w:t>3 years</w:t>
            </w:r>
          </w:p>
        </w:tc>
        <w:tc>
          <w:tcPr>
            <w:tcW w:w="880" w:type="dxa"/>
            <w:vAlign w:val="bottom"/>
          </w:tcPr>
          <w:p>
            <w:pPr>
              <w:ind w:left="200"/>
              <w:spacing w:after="0"/>
              <w:rPr>
                <w:sz w:val="20"/>
                <w:szCs w:val="20"/>
                <w:color w:val="auto"/>
              </w:rPr>
            </w:pPr>
            <w:r>
              <w:rPr>
                <w:rFonts w:ascii="Arial" w:cs="Arial" w:eastAsia="Arial" w:hAnsi="Arial"/>
                <w:sz w:val="17"/>
                <w:szCs w:val="17"/>
                <w:color w:val="auto"/>
              </w:rPr>
              <w:t>3 years</w:t>
            </w:r>
          </w:p>
        </w:tc>
      </w:tr>
    </w:tbl>
    <w:p>
      <w:pPr>
        <w:spacing w:after="0" w:line="177"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We recognize compensation expense on a straight-line basis over the service period, except for awards issued to retirement eligible participants, which we expense on an accelerated basis. As of July 30, 2023, total remaining unearned compensation related to TSR performance restricted stock units was $13 million, which will be amortized over the weighted-average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124460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65" w:name="page66"/>
    <w:bookmarkEnd w:id="65"/>
    <w:p>
      <w:pPr>
        <w:jc w:val="both"/>
        <w:spacing w:after="0" w:line="262" w:lineRule="auto"/>
        <w:rPr>
          <w:sz w:val="20"/>
          <w:szCs w:val="20"/>
          <w:color w:val="auto"/>
        </w:rPr>
      </w:pPr>
      <w:r>
        <w:rPr>
          <w:rFonts w:ascii="Arial" w:cs="Arial" w:eastAsia="Arial" w:hAnsi="Arial"/>
          <w:sz w:val="16"/>
          <w:szCs w:val="16"/>
          <w:color w:val="auto"/>
        </w:rPr>
        <w:t>remaining service period of 1.6 years. In the first quarter of 2023, recipients of TSR performance restricted stock units earned 100% of the initial grants based upon our TSR ranking in a performance peer group during a three-year period ended July 29, 2022. In the first quarter of 2022, recipients of TSR performance restricted stock units earned 75% of the initial grants based upon our TSR ranking in a performance peer group during a three-year period ended July 30, 2021. In the first quarter of 2021, recipients of TSR performance restricted stock units earned 50% of the initial grants based upon our TSR ranking in a performance peer group during a three-year period ended July 31, 2020. The fair value of TSR performance restricted stock units vested during 2023, 2022, and 2021 was $21 million, $8 million and $11 million, respectively. The weighted-average grant-date fair value of the TSR performance restricted stock units granted during 2022 and 2021 was $45.54 and $54.93, respectively. In the first quarter of 2024, recipients of TSR performance restricted stock units will receive a 75% payout based upon our TSR ranking in a performance peer group during a three-year period ended July 28, 2023.</w:t>
      </w:r>
    </w:p>
    <w:p>
      <w:pPr>
        <w:spacing w:after="0" w:line="54"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tax benefits on the exercise of stock options in 2023, 2022 and 2021 were not material. Cash received from the exercise of stock options was $22 million, $3 million and $2 million for 2023, 2022, and 2021, respectively, and is reflected in cash flows from financing activities in the Consolidated Statements of Cash Flows.</w:t>
      </w:r>
    </w:p>
    <w:p>
      <w:pPr>
        <w:spacing w:after="0" w:line="52" w:lineRule="exact"/>
        <w:rPr>
          <w:sz w:val="20"/>
          <w:szCs w:val="20"/>
          <w:color w:val="auto"/>
        </w:rPr>
      </w:pPr>
    </w:p>
    <w:p>
      <w:pPr>
        <w:ind w:right="8540" w:firstLine="3"/>
        <w:spacing w:after="0" w:line="407" w:lineRule="auto"/>
        <w:tabs>
          <w:tab w:leader="none" w:pos="257" w:val="left"/>
        </w:tabs>
        <w:numPr>
          <w:ilvl w:val="0"/>
          <w:numId w:val="4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Regulatory and Litigation Matters</w:t>
      </w:r>
    </w:p>
    <w:p>
      <w:pPr>
        <w:jc w:val="both"/>
        <w:ind w:firstLine="309"/>
        <w:spacing w:after="0" w:line="257" w:lineRule="auto"/>
        <w:rPr>
          <w:sz w:val="20"/>
          <w:szCs w:val="20"/>
          <w:color w:val="auto"/>
        </w:rPr>
      </w:pPr>
      <w:r>
        <w:rPr>
          <w:rFonts w:ascii="Arial" w:cs="Arial" w:eastAsia="Arial" w:hAnsi="Arial"/>
          <w:sz w:val="17"/>
          <w:szCs w:val="17"/>
          <w:color w:val="auto"/>
        </w:rPr>
        <w:t>We are involved in various pending or threatened legal or regulatory proceedings, including purported class actions, arising from the conduct of business both in the ordinary course and otherwise.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our actual experiences in litigating or resolving through settlement numerous claims over an extended period of time, demonstrates to us that the monetary relief which may be specified in a lawsuit or claim bears little relevance to its merits or disposition value.</w:t>
      </w:r>
    </w:p>
    <w:p>
      <w:pPr>
        <w:spacing w:after="0" w:line="67" w:lineRule="exact"/>
        <w:rPr>
          <w:sz w:val="20"/>
          <w:szCs w:val="20"/>
          <w:color w:val="auto"/>
        </w:rPr>
      </w:pPr>
    </w:p>
    <w:p>
      <w:pPr>
        <w:jc w:val="both"/>
        <w:ind w:firstLine="309"/>
        <w:spacing w:after="0" w:line="307" w:lineRule="auto"/>
        <w:rPr>
          <w:sz w:val="20"/>
          <w:szCs w:val="20"/>
          <w:color w:val="auto"/>
        </w:rPr>
      </w:pPr>
      <w:r>
        <w:rPr>
          <w:rFonts w:ascii="Arial" w:cs="Arial" w:eastAsia="Arial" w:hAnsi="Arial"/>
          <w:sz w:val="15"/>
          <w:szCs w:val="15"/>
          <w:color w:val="auto"/>
        </w:rPr>
        <w:t>Due to the unpredictable nature of litigation, the outcome of a litigation matter and the amount or range of potential loss at particular points in time is normally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19"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We establish liabilities for litigation and regulatory loss contingencies when information related to the loss contingencies shows both that it is probable that a loss has been incurred and the amount of the loss can be reasonably estimated. It is possible that some matters could require us to pay damages or make other expenditures or establish accruals in amounts that could not be reasonably estimated as of July 30, 2023. While the potential future charges could be material in a particular quarter or annual period, based on information currently known by us, we do not believe any such charges are likely to have a material adverse effect on our consolidated results of operations or financial condition.</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Contingencies</w:t>
      </w:r>
    </w:p>
    <w:p>
      <w:pPr>
        <w:spacing w:after="0" w:line="101"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We guarantee approximately 4,700 bank loans made to independent contractor distributors by third-party financial institutions for the purchase of distribution routes. The maximum potential amount of the future payments under existing guarantees we could be required to make is $496 million as of July 30, 2023. Our guarantees are indirectly secured by the distribution routes. We do not expect that we will be required to make material guarantee payments as a result of defaults on the bank loans guaranteed. The amounts recognized as of July 30, 2023, and July 31, 2022, were not material.</w:t>
      </w:r>
    </w:p>
    <w:p>
      <w:pPr>
        <w:spacing w:after="0" w:line="34"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We have provided certain indemnifications in connection with divestitures, contracts and other transactions. Certain indemnifications have finite expiration dates. Liabilities recognized based on known exposures related to such matters were not material at July 30, 2023, and July 31, 2022.</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124460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color w:val="auto"/>
        </w:rPr>
        <w:t>18. Supplemental Financial Statement Data</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Balance Sheets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360" w:type="dxa"/>
            <w:vAlign w:val="bottom"/>
          </w:tcPr>
          <w:p>
            <w:pPr>
              <w:spacing w:after="0"/>
              <w:rPr>
                <w:sz w:val="15"/>
                <w:szCs w:val="15"/>
                <w:color w:val="auto"/>
              </w:rPr>
            </w:pPr>
          </w:p>
        </w:tc>
        <w:tc>
          <w:tcPr>
            <w:tcW w:w="1160" w:type="dxa"/>
            <w:vAlign w:val="bottom"/>
          </w:tcPr>
          <w:p>
            <w:pPr>
              <w:jc w:val="right"/>
              <w:ind w:right="53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37"/>
              <w:spacing w:after="0"/>
              <w:rPr>
                <w:sz w:val="20"/>
                <w:szCs w:val="20"/>
                <w:color w:val="auto"/>
              </w:rPr>
            </w:pPr>
            <w:r>
              <w:rPr>
                <w:rFonts w:ascii="Arial" w:cs="Arial" w:eastAsia="Arial" w:hAnsi="Arial"/>
                <w:sz w:val="14"/>
                <w:szCs w:val="14"/>
                <w:b w:val="1"/>
                <w:bCs w:val="1"/>
                <w:color w:val="auto"/>
              </w:rPr>
              <w:t>2022</w:t>
            </w:r>
          </w:p>
        </w:tc>
      </w:tr>
      <w:tr>
        <w:trPr>
          <w:trHeight w:val="24"/>
        </w:trPr>
        <w:tc>
          <w:tcPr>
            <w:tcW w:w="8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9"/>
        </w:trPr>
        <w:tc>
          <w:tcPr>
            <w:tcW w:w="8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receivable</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9"/>
        </w:trPr>
        <w:tc>
          <w:tcPr>
            <w:tcW w:w="8080" w:type="dxa"/>
            <w:vAlign w:val="bottom"/>
          </w:tcPr>
          <w:p>
            <w:pPr>
              <w:ind w:left="140"/>
              <w:spacing w:after="0"/>
              <w:rPr>
                <w:sz w:val="20"/>
                <w:szCs w:val="20"/>
                <w:color w:val="auto"/>
              </w:rPr>
            </w:pPr>
            <w:r>
              <w:rPr>
                <w:rFonts w:ascii="Arial" w:cs="Arial" w:eastAsia="Arial" w:hAnsi="Arial"/>
                <w:sz w:val="17"/>
                <w:szCs w:val="17"/>
                <w:color w:val="auto"/>
              </w:rPr>
              <w:t>Customer accounts receivable</w:t>
            </w:r>
          </w:p>
        </w:tc>
        <w:tc>
          <w:tcPr>
            <w:tcW w:w="360" w:type="dxa"/>
            <w:vAlign w:val="bottom"/>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513</w:t>
            </w:r>
          </w:p>
        </w:tc>
        <w:tc>
          <w:tcPr>
            <w:tcW w:w="12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502</w:t>
            </w:r>
          </w:p>
        </w:tc>
      </w:tr>
      <w:tr>
        <w:trPr>
          <w:trHeight w:val="219"/>
        </w:trPr>
        <w:tc>
          <w:tcPr>
            <w:tcW w:w="8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Allowances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12"/>
        </w:trPr>
        <w:tc>
          <w:tcPr>
            <w:tcW w:w="8080" w:type="dxa"/>
            <w:vAlign w:val="bottom"/>
          </w:tcPr>
          <w:p>
            <w:pPr>
              <w:ind w:left="140"/>
              <w:spacing w:after="0"/>
              <w:rPr>
                <w:sz w:val="20"/>
                <w:szCs w:val="20"/>
                <w:color w:val="auto"/>
              </w:rPr>
            </w:pPr>
            <w:r>
              <w:rPr>
                <w:rFonts w:ascii="Arial" w:cs="Arial" w:eastAsia="Arial" w:hAnsi="Arial"/>
                <w:sz w:val="17"/>
                <w:szCs w:val="17"/>
                <w:color w:val="auto"/>
              </w:rPr>
              <w:t>Subtotal</w:t>
            </w:r>
          </w:p>
        </w:tc>
        <w:tc>
          <w:tcPr>
            <w:tcW w:w="360" w:type="dxa"/>
            <w:vAlign w:val="bottom"/>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494</w:t>
            </w:r>
          </w:p>
        </w:tc>
        <w:tc>
          <w:tcPr>
            <w:tcW w:w="12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490</w:t>
            </w:r>
          </w:p>
        </w:tc>
      </w:tr>
      <w:tr>
        <w:trPr>
          <w:trHeight w:val="219"/>
        </w:trPr>
        <w:tc>
          <w:tcPr>
            <w:tcW w:w="8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w:t>
            </w:r>
          </w:p>
        </w:tc>
      </w:tr>
      <w:tr>
        <w:trPr>
          <w:trHeight w:val="212"/>
        </w:trPr>
        <w:tc>
          <w:tcPr>
            <w:tcW w:w="808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529</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541</w:t>
            </w:r>
          </w:p>
        </w:tc>
      </w:tr>
      <w:tr>
        <w:trPr>
          <w:trHeight w:val="20"/>
        </w:trPr>
        <w:tc>
          <w:tcPr>
            <w:tcW w:w="8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41"/>
        </w:trPr>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360" w:type="dxa"/>
            <w:vAlign w:val="bottom"/>
          </w:tcPr>
          <w:p>
            <w:pPr>
              <w:spacing w:after="0"/>
              <w:rPr>
                <w:sz w:val="24"/>
                <w:szCs w:val="24"/>
                <w:color w:val="auto"/>
              </w:rPr>
            </w:pPr>
          </w:p>
        </w:tc>
        <w:tc>
          <w:tcPr>
            <w:tcW w:w="1160" w:type="dxa"/>
            <w:vAlign w:val="bottom"/>
          </w:tcPr>
          <w:p>
            <w:pPr>
              <w:jc w:val="right"/>
              <w:ind w:right="53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537"/>
              <w:spacing w:after="0"/>
              <w:rPr>
                <w:sz w:val="20"/>
                <w:szCs w:val="20"/>
                <w:color w:val="auto"/>
              </w:rPr>
            </w:pPr>
            <w:r>
              <w:rPr>
                <w:rFonts w:ascii="Arial" w:cs="Arial" w:eastAsia="Arial" w:hAnsi="Arial"/>
                <w:sz w:val="14"/>
                <w:szCs w:val="14"/>
                <w:b w:val="1"/>
                <w:bCs w:val="1"/>
                <w:color w:val="auto"/>
              </w:rPr>
              <w:t>2022</w:t>
            </w:r>
          </w:p>
        </w:tc>
      </w:tr>
      <w:tr>
        <w:trPr>
          <w:trHeight w:val="24"/>
        </w:trPr>
        <w:tc>
          <w:tcPr>
            <w:tcW w:w="8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9"/>
        </w:trPr>
        <w:tc>
          <w:tcPr>
            <w:tcW w:w="8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Inventories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9"/>
        </w:trPr>
        <w:tc>
          <w:tcPr>
            <w:tcW w:w="8080" w:type="dxa"/>
            <w:vAlign w:val="bottom"/>
          </w:tcPr>
          <w:p>
            <w:pPr>
              <w:ind w:left="140"/>
              <w:spacing w:after="0"/>
              <w:rPr>
                <w:sz w:val="20"/>
                <w:szCs w:val="20"/>
                <w:color w:val="auto"/>
              </w:rPr>
            </w:pPr>
            <w:r>
              <w:rPr>
                <w:rFonts w:ascii="Arial" w:cs="Arial" w:eastAsia="Arial" w:hAnsi="Arial"/>
                <w:sz w:val="17"/>
                <w:szCs w:val="17"/>
                <w:color w:val="auto"/>
              </w:rPr>
              <w:t>Raw materials, containers and supplies</w:t>
            </w:r>
          </w:p>
        </w:tc>
        <w:tc>
          <w:tcPr>
            <w:tcW w:w="360" w:type="dxa"/>
            <w:vAlign w:val="bottom"/>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372</w:t>
            </w:r>
          </w:p>
        </w:tc>
        <w:tc>
          <w:tcPr>
            <w:tcW w:w="12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390</w:t>
            </w:r>
          </w:p>
        </w:tc>
      </w:tr>
      <w:tr>
        <w:trPr>
          <w:trHeight w:val="219"/>
        </w:trPr>
        <w:tc>
          <w:tcPr>
            <w:tcW w:w="8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Finished products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919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856</w:t>
            </w:r>
          </w:p>
        </w:tc>
      </w:tr>
      <w:tr>
        <w:trPr>
          <w:trHeight w:val="212"/>
        </w:trPr>
        <w:tc>
          <w:tcPr>
            <w:tcW w:w="808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1,291</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1,246</w:t>
            </w:r>
          </w:p>
        </w:tc>
      </w:tr>
      <w:tr>
        <w:trPr>
          <w:trHeight w:val="20"/>
        </w:trPr>
        <w:tc>
          <w:tcPr>
            <w:tcW w:w="8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28"/>
        </w:trPr>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360" w:type="dxa"/>
            <w:vAlign w:val="bottom"/>
          </w:tcPr>
          <w:p>
            <w:pPr>
              <w:spacing w:after="0"/>
              <w:rPr>
                <w:sz w:val="24"/>
                <w:szCs w:val="24"/>
                <w:color w:val="auto"/>
              </w:rPr>
            </w:pPr>
          </w:p>
        </w:tc>
        <w:tc>
          <w:tcPr>
            <w:tcW w:w="1160" w:type="dxa"/>
            <w:vAlign w:val="bottom"/>
          </w:tcPr>
          <w:p>
            <w:pPr>
              <w:jc w:val="right"/>
              <w:ind w:right="53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537"/>
              <w:spacing w:after="0"/>
              <w:rPr>
                <w:sz w:val="20"/>
                <w:szCs w:val="20"/>
                <w:color w:val="auto"/>
              </w:rPr>
            </w:pPr>
            <w:r>
              <w:rPr>
                <w:rFonts w:ascii="Arial" w:cs="Arial" w:eastAsia="Arial" w:hAnsi="Arial"/>
                <w:sz w:val="14"/>
                <w:szCs w:val="14"/>
                <w:b w:val="1"/>
                <w:bCs w:val="1"/>
                <w:color w:val="auto"/>
              </w:rPr>
              <w:t>2022</w:t>
            </w:r>
          </w:p>
        </w:tc>
      </w:tr>
      <w:tr>
        <w:trPr>
          <w:trHeight w:val="24"/>
        </w:trPr>
        <w:tc>
          <w:tcPr>
            <w:tcW w:w="8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9"/>
        </w:trPr>
        <w:tc>
          <w:tcPr>
            <w:tcW w:w="8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Plant assets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9"/>
        </w:trPr>
        <w:tc>
          <w:tcPr>
            <w:tcW w:w="8080" w:type="dxa"/>
            <w:vAlign w:val="bottom"/>
          </w:tcPr>
          <w:p>
            <w:pPr>
              <w:ind w:left="140"/>
              <w:spacing w:after="0"/>
              <w:rPr>
                <w:sz w:val="20"/>
                <w:szCs w:val="20"/>
                <w:color w:val="auto"/>
              </w:rPr>
            </w:pPr>
            <w:r>
              <w:rPr>
                <w:rFonts w:ascii="Arial" w:cs="Arial" w:eastAsia="Arial" w:hAnsi="Arial"/>
                <w:sz w:val="17"/>
                <w:szCs w:val="17"/>
                <w:color w:val="auto"/>
              </w:rPr>
              <w:t>Land</w:t>
            </w:r>
          </w:p>
        </w:tc>
        <w:tc>
          <w:tcPr>
            <w:tcW w:w="360" w:type="dxa"/>
            <w:vAlign w:val="bottom"/>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74</w:t>
            </w:r>
          </w:p>
        </w:tc>
        <w:tc>
          <w:tcPr>
            <w:tcW w:w="12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219"/>
        </w:trPr>
        <w:tc>
          <w:tcPr>
            <w:tcW w:w="8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Buildings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1,531</w:t>
            </w:r>
          </w:p>
        </w:tc>
      </w:tr>
      <w:tr>
        <w:trPr>
          <w:trHeight w:val="219"/>
        </w:trPr>
        <w:tc>
          <w:tcPr>
            <w:tcW w:w="8080" w:type="dxa"/>
            <w:vAlign w:val="bottom"/>
          </w:tcPr>
          <w:p>
            <w:pPr>
              <w:ind w:left="140"/>
              <w:spacing w:after="0"/>
              <w:rPr>
                <w:sz w:val="20"/>
                <w:szCs w:val="20"/>
                <w:color w:val="auto"/>
              </w:rPr>
            </w:pPr>
            <w:r>
              <w:rPr>
                <w:rFonts w:ascii="Arial" w:cs="Arial" w:eastAsia="Arial" w:hAnsi="Arial"/>
                <w:sz w:val="17"/>
                <w:szCs w:val="17"/>
                <w:color w:val="auto"/>
              </w:rPr>
              <w:t>Machinery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4,004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3,932</w:t>
            </w:r>
          </w:p>
        </w:tc>
      </w:tr>
      <w:tr>
        <w:trPr>
          <w:trHeight w:val="219"/>
        </w:trPr>
        <w:tc>
          <w:tcPr>
            <w:tcW w:w="8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Projects in progress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291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w:t>
            </w:r>
          </w:p>
        </w:tc>
      </w:tr>
      <w:tr>
        <w:trPr>
          <w:trHeight w:val="212"/>
        </w:trPr>
        <w:tc>
          <w:tcPr>
            <w:tcW w:w="8080" w:type="dxa"/>
            <w:vAlign w:val="bottom"/>
          </w:tcPr>
          <w:p>
            <w:pPr>
              <w:ind w:left="140"/>
              <w:spacing w:after="0"/>
              <w:rPr>
                <w:sz w:val="20"/>
                <w:szCs w:val="20"/>
                <w:color w:val="auto"/>
              </w:rPr>
            </w:pPr>
            <w:r>
              <w:rPr>
                <w:rFonts w:ascii="Arial" w:cs="Arial" w:eastAsia="Arial" w:hAnsi="Arial"/>
                <w:sz w:val="17"/>
                <w:szCs w:val="17"/>
                <w:color w:val="auto"/>
              </w:rPr>
              <w:t>Total cost</w:t>
            </w:r>
          </w:p>
        </w:tc>
        <w:tc>
          <w:tcPr>
            <w:tcW w:w="360" w:type="dxa"/>
            <w:vAlign w:val="bottom"/>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5,916</w:t>
            </w:r>
          </w:p>
        </w:tc>
        <w:tc>
          <w:tcPr>
            <w:tcW w:w="12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5,678</w:t>
            </w:r>
          </w:p>
        </w:tc>
      </w:tr>
      <w:tr>
        <w:trPr>
          <w:trHeight w:val="219"/>
        </w:trPr>
        <w:tc>
          <w:tcPr>
            <w:tcW w:w="8080" w:type="dxa"/>
            <w:vAlign w:val="bottom"/>
            <w:shd w:val="clear" w:color="auto" w:fill="CCEEFF"/>
          </w:tcPr>
          <w:p>
            <w:pPr>
              <w:ind w:left="140"/>
              <w:spacing w:after="0" w:line="219" w:lineRule="exact"/>
              <w:rPr>
                <w:sz w:val="20"/>
                <w:szCs w:val="20"/>
                <w:color w:val="auto"/>
              </w:rPr>
            </w:pPr>
            <w:r>
              <w:rPr>
                <w:rFonts w:ascii="Arial" w:cs="Arial" w:eastAsia="Arial" w:hAnsi="Arial"/>
                <w:sz w:val="17"/>
                <w:szCs w:val="17"/>
                <w:color w:val="auto"/>
              </w:rPr>
              <w:t>Accumulated depreciation</w:t>
            </w:r>
            <w:r>
              <w:rPr>
                <w:rFonts w:ascii="Arial" w:cs="Arial" w:eastAsia="Arial" w:hAnsi="Arial"/>
                <w:sz w:val="22"/>
                <w:szCs w:val="22"/>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(3,518)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(3,335)</w:t>
            </w:r>
          </w:p>
        </w:tc>
      </w:tr>
      <w:tr>
        <w:trPr>
          <w:trHeight w:val="212"/>
        </w:trPr>
        <w:tc>
          <w:tcPr>
            <w:tcW w:w="808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2,398</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2,343</w:t>
            </w:r>
          </w:p>
        </w:tc>
      </w:tr>
      <w:tr>
        <w:trPr>
          <w:trHeight w:val="20"/>
        </w:trPr>
        <w:tc>
          <w:tcPr>
            <w:tcW w:w="8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____________________________________</w:t>
      </w:r>
    </w:p>
    <w:p>
      <w:pPr>
        <w:spacing w:after="0" w:line="94" w:lineRule="exact"/>
        <w:rPr>
          <w:sz w:val="20"/>
          <w:szCs w:val="20"/>
          <w:color w:val="auto"/>
        </w:rPr>
      </w:pPr>
    </w:p>
    <w:p>
      <w:pPr>
        <w:ind w:left="320" w:hanging="317"/>
        <w:spacing w:after="0" w:line="226" w:lineRule="auto"/>
        <w:tabs>
          <w:tab w:leader="none" w:pos="308" w:val="left"/>
        </w:tabs>
        <w:numPr>
          <w:ilvl w:val="0"/>
          <w:numId w:val="49"/>
        </w:numPr>
        <w:rPr>
          <w:rFonts w:ascii="Arial" w:cs="Arial" w:eastAsia="Arial" w:hAnsi="Arial"/>
          <w:sz w:val="22"/>
          <w:szCs w:val="22"/>
          <w:color w:val="auto"/>
          <w:vertAlign w:val="superscript"/>
        </w:rPr>
      </w:pPr>
      <w:r>
        <w:rPr>
          <w:rFonts w:ascii="Arial" w:cs="Arial" w:eastAsia="Arial" w:hAnsi="Arial"/>
          <w:sz w:val="17"/>
          <w:szCs w:val="17"/>
          <w:color w:val="auto"/>
        </w:rPr>
        <w:t>Depreciation expense was $339 million in 2023, $296 million in 2022 and $275 million in 2021. Buildings are depreciated over periods ranging from 7 to 45 years. Machinery and equipment are depreciated over periods generally ranging from 2 to 20 years.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4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3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3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4"/>
        </w:trPr>
        <w:tc>
          <w:tcPr>
            <w:tcW w:w="454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3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40" w:type="dxa"/>
            <w:vAlign w:val="bottom"/>
          </w:tcPr>
          <w:p>
            <w:pPr>
              <w:ind w:left="140"/>
              <w:spacing w:after="0"/>
              <w:rPr>
                <w:sz w:val="20"/>
                <w:szCs w:val="20"/>
                <w:color w:val="auto"/>
              </w:rPr>
            </w:pPr>
            <w:r>
              <w:rPr>
                <w:rFonts w:ascii="Arial" w:cs="Arial" w:eastAsia="Arial" w:hAnsi="Arial"/>
                <w:sz w:val="17"/>
                <w:szCs w:val="17"/>
                <w:color w:val="auto"/>
              </w:rPr>
              <w:t>Operating lease ROU assets, net of amortization</w:t>
            </w:r>
          </w:p>
        </w:tc>
        <w:tc>
          <w:tcPr>
            <w:tcW w:w="3900" w:type="dxa"/>
            <w:vAlign w:val="bottom"/>
            <w:gridSpan w:val="2"/>
          </w:tcPr>
          <w:p>
            <w:pPr>
              <w:jc w:val="right"/>
              <w:ind w:right="174"/>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275</w:t>
            </w:r>
          </w:p>
        </w:tc>
        <w:tc>
          <w:tcPr>
            <w:tcW w:w="12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239</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Pension</w:t>
            </w:r>
          </w:p>
        </w:tc>
        <w:tc>
          <w:tcPr>
            <w:tcW w:w="3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219"/>
        </w:trPr>
        <w:tc>
          <w:tcPr>
            <w:tcW w:w="45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w:t>
            </w:r>
          </w:p>
        </w:tc>
        <w:tc>
          <w:tcPr>
            <w:tcW w:w="35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37"/>
        </w:trPr>
        <w:tc>
          <w:tcPr>
            <w:tcW w:w="4540" w:type="dxa"/>
            <w:vAlign w:val="bottom"/>
            <w:tcBorders>
              <w:bottom w:val="single" w:sz="8" w:color="CCEEFF"/>
            </w:tcBorders>
            <w:shd w:val="clear" w:color="auto" w:fill="CCEEFF"/>
          </w:tcPr>
          <w:p>
            <w:pPr>
              <w:spacing w:after="0"/>
              <w:rPr>
                <w:sz w:val="20"/>
                <w:szCs w:val="20"/>
                <w:color w:val="auto"/>
              </w:rPr>
            </w:pPr>
          </w:p>
        </w:tc>
        <w:tc>
          <w:tcPr>
            <w:tcW w:w="35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492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409</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454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3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53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4"/>
        </w:trPr>
        <w:tc>
          <w:tcPr>
            <w:tcW w:w="454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liabilities</w:t>
            </w:r>
          </w:p>
        </w:tc>
        <w:tc>
          <w:tcPr>
            <w:tcW w:w="3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40" w:type="dxa"/>
            <w:vAlign w:val="bottom"/>
          </w:tcPr>
          <w:p>
            <w:pPr>
              <w:ind w:left="140"/>
              <w:spacing w:after="0"/>
              <w:rPr>
                <w:sz w:val="20"/>
                <w:szCs w:val="20"/>
                <w:color w:val="auto"/>
              </w:rPr>
            </w:pPr>
            <w:r>
              <w:rPr>
                <w:rFonts w:ascii="Arial" w:cs="Arial" w:eastAsia="Arial" w:hAnsi="Arial"/>
                <w:sz w:val="17"/>
                <w:szCs w:val="17"/>
                <w:color w:val="auto"/>
              </w:rPr>
              <w:t>Accrued compensation and benefits</w:t>
            </w:r>
          </w:p>
        </w:tc>
        <w:tc>
          <w:tcPr>
            <w:tcW w:w="3900" w:type="dxa"/>
            <w:vAlign w:val="bottom"/>
            <w:gridSpan w:val="2"/>
          </w:tcPr>
          <w:p>
            <w:pPr>
              <w:jc w:val="right"/>
              <w:ind w:right="174"/>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222</w:t>
            </w:r>
          </w:p>
        </w:tc>
        <w:tc>
          <w:tcPr>
            <w:tcW w:w="12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216</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Fair value of derivatives</w:t>
            </w:r>
          </w:p>
        </w:tc>
        <w:tc>
          <w:tcPr>
            <w:tcW w:w="3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19"/>
        </w:trPr>
        <w:tc>
          <w:tcPr>
            <w:tcW w:w="4540" w:type="dxa"/>
            <w:vAlign w:val="bottom"/>
          </w:tcPr>
          <w:p>
            <w:pPr>
              <w:ind w:left="140"/>
              <w:spacing w:after="0"/>
              <w:rPr>
                <w:sz w:val="20"/>
                <w:szCs w:val="20"/>
                <w:color w:val="auto"/>
              </w:rPr>
            </w:pPr>
            <w:r>
              <w:rPr>
                <w:rFonts w:ascii="Arial" w:cs="Arial" w:eastAsia="Arial" w:hAnsi="Arial"/>
                <w:sz w:val="17"/>
                <w:szCs w:val="17"/>
                <w:color w:val="auto"/>
              </w:rPr>
              <w:t>Accrued trade and consumer promotion programs</w:t>
            </w: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156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Accrued interest</w:t>
            </w:r>
          </w:p>
        </w:tc>
        <w:tc>
          <w:tcPr>
            <w:tcW w:w="3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19"/>
        </w:trPr>
        <w:tc>
          <w:tcPr>
            <w:tcW w:w="4540" w:type="dxa"/>
            <w:vAlign w:val="bottom"/>
          </w:tcPr>
          <w:p>
            <w:pPr>
              <w:ind w:left="140"/>
              <w:spacing w:after="0"/>
              <w:rPr>
                <w:sz w:val="20"/>
                <w:szCs w:val="20"/>
                <w:color w:val="auto"/>
              </w:rPr>
            </w:pPr>
            <w:r>
              <w:rPr>
                <w:rFonts w:ascii="Arial" w:cs="Arial" w:eastAsia="Arial" w:hAnsi="Arial"/>
                <w:sz w:val="17"/>
                <w:szCs w:val="17"/>
                <w:color w:val="auto"/>
              </w:rPr>
              <w:t>Restructuring</w:t>
            </w: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Operating lease liabilities</w:t>
            </w:r>
          </w:p>
        </w:tc>
        <w:tc>
          <w:tcPr>
            <w:tcW w:w="3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19"/>
        </w:trPr>
        <w:tc>
          <w:tcPr>
            <w:tcW w:w="45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w:t>
            </w:r>
          </w:p>
        </w:tc>
        <w:tc>
          <w:tcPr>
            <w:tcW w:w="35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37"/>
        </w:trPr>
        <w:tc>
          <w:tcPr>
            <w:tcW w:w="4540" w:type="dxa"/>
            <w:vAlign w:val="bottom"/>
            <w:tcBorders>
              <w:bottom w:val="single" w:sz="8" w:color="CCEEFF"/>
            </w:tcBorders>
            <w:shd w:val="clear" w:color="auto" w:fill="CCEEFF"/>
          </w:tcPr>
          <w:p>
            <w:pPr>
              <w:spacing w:after="0"/>
              <w:rPr>
                <w:sz w:val="20"/>
                <w:szCs w:val="20"/>
                <w:color w:val="auto"/>
              </w:rPr>
            </w:pPr>
          </w:p>
        </w:tc>
        <w:tc>
          <w:tcPr>
            <w:tcW w:w="35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592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621</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bottom w:val="single" w:sz="8" w:color="CCEEFF"/>
            </w:tcBorders>
            <w:vMerge w:val="restart"/>
          </w:tcPr>
          <w:p>
            <w:pPr>
              <w:jc w:val="right"/>
              <w:ind w:right="2294"/>
              <w:spacing w:after="0"/>
              <w:rPr>
                <w:sz w:val="20"/>
                <w:szCs w:val="20"/>
                <w:color w:val="auto"/>
              </w:rPr>
            </w:pPr>
            <w:r>
              <w:rPr>
                <w:rFonts w:ascii="Arial" w:cs="Arial" w:eastAsia="Arial" w:hAnsi="Arial"/>
                <w:sz w:val="17"/>
                <w:szCs w:val="17"/>
                <w:color w:val="auto"/>
              </w:rPr>
              <w:t>67</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454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540" w:type="dxa"/>
            <w:vAlign w:val="bottom"/>
            <w:tcBorders>
              <w:bottom w:val="single" w:sz="8" w:color="9A9A9A"/>
            </w:tcBorders>
          </w:tcPr>
          <w:p>
            <w:pPr>
              <w:spacing w:after="0"/>
              <w:rPr>
                <w:sz w:val="17"/>
                <w:szCs w:val="17"/>
                <w:color w:val="auto"/>
              </w:rPr>
            </w:pPr>
          </w:p>
        </w:tc>
        <w:tc>
          <w:tcPr>
            <w:tcW w:w="354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78"/>
        </w:trPr>
        <w:tc>
          <w:tcPr>
            <w:tcW w:w="744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4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440" w:type="dxa"/>
            <w:vAlign w:val="bottom"/>
          </w:tcPr>
          <w:p>
            <w:pPr>
              <w:ind w:left="140"/>
              <w:spacing w:after="0"/>
              <w:rPr>
                <w:sz w:val="20"/>
                <w:szCs w:val="20"/>
                <w:color w:val="auto"/>
              </w:rPr>
            </w:pPr>
            <w:r>
              <w:rPr>
                <w:rFonts w:ascii="Arial" w:cs="Arial" w:eastAsia="Arial" w:hAnsi="Arial"/>
                <w:sz w:val="17"/>
                <w:szCs w:val="17"/>
                <w:color w:val="auto"/>
              </w:rPr>
              <w:t>Pension benefits</w:t>
            </w:r>
          </w:p>
        </w:tc>
        <w:tc>
          <w:tcPr>
            <w:tcW w:w="820" w:type="dxa"/>
            <w:vAlign w:val="bottom"/>
            <w:gridSpan w:val="3"/>
          </w:tcPr>
          <w:p>
            <w:pPr>
              <w:jc w:val="right"/>
              <w:ind w:right="34"/>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9"/>
                <w:szCs w:val="19"/>
                <w:color w:val="auto"/>
              </w:rPr>
            </w:pPr>
          </w:p>
        </w:tc>
        <w:tc>
          <w:tcPr>
            <w:tcW w:w="940" w:type="dxa"/>
            <w:vAlign w:val="bottom"/>
            <w:gridSpan w:val="4"/>
          </w:tcPr>
          <w:p>
            <w:pPr>
              <w:jc w:val="right"/>
              <w:ind w:right="80"/>
              <w:spacing w:after="0"/>
              <w:rPr>
                <w:sz w:val="20"/>
                <w:szCs w:val="20"/>
                <w:color w:val="auto"/>
              </w:rPr>
            </w:pPr>
            <w:r>
              <w:rPr>
                <w:rFonts w:ascii="Arial" w:cs="Arial" w:eastAsia="Arial" w:hAnsi="Arial"/>
                <w:sz w:val="17"/>
                <w:szCs w:val="17"/>
                <w:b w:val="1"/>
                <w:bCs w:val="1"/>
                <w:color w:val="auto"/>
              </w:rPr>
              <w:t>95</w:t>
            </w:r>
          </w:p>
        </w:tc>
        <w:tc>
          <w:tcPr>
            <w:tcW w:w="360" w:type="dxa"/>
            <w:vAlign w:val="bottom"/>
            <w:gridSpan w:val="2"/>
          </w:tcPr>
          <w:p>
            <w:pPr>
              <w:jc w:val="right"/>
              <w:ind w:right="74"/>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Postretirement benefits</w:t>
            </w: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135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440" w:type="dxa"/>
            <w:vAlign w:val="bottom"/>
          </w:tcPr>
          <w:p>
            <w:pPr>
              <w:ind w:left="140"/>
              <w:spacing w:after="0"/>
              <w:rPr>
                <w:sz w:val="20"/>
                <w:szCs w:val="20"/>
                <w:color w:val="auto"/>
              </w:rPr>
            </w:pPr>
            <w:r>
              <w:rPr>
                <w:rFonts w:ascii="Arial" w:cs="Arial" w:eastAsia="Arial" w:hAnsi="Arial"/>
                <w:sz w:val="17"/>
                <w:szCs w:val="17"/>
                <w:color w:val="auto"/>
              </w:rPr>
              <w:t>Operating lease liabilities</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gridSpan w:val="4"/>
          </w:tcPr>
          <w:p>
            <w:pPr>
              <w:jc w:val="right"/>
              <w:ind w:right="80"/>
              <w:spacing w:after="0"/>
              <w:rPr>
                <w:sz w:val="20"/>
                <w:szCs w:val="20"/>
                <w:color w:val="auto"/>
              </w:rPr>
            </w:pPr>
            <w:r>
              <w:rPr>
                <w:rFonts w:ascii="Arial" w:cs="Arial" w:eastAsia="Arial" w:hAnsi="Arial"/>
                <w:sz w:val="17"/>
                <w:szCs w:val="17"/>
                <w:b w:val="1"/>
                <w:bCs w:val="1"/>
                <w:color w:val="auto"/>
              </w:rPr>
              <w:t>208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 compensation</w:t>
            </w: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440" w:type="dxa"/>
            <w:vAlign w:val="bottom"/>
          </w:tcPr>
          <w:p>
            <w:pPr>
              <w:ind w:left="140"/>
              <w:spacing w:after="0"/>
              <w:rPr>
                <w:sz w:val="20"/>
                <w:szCs w:val="20"/>
                <w:color w:val="auto"/>
              </w:rPr>
            </w:pPr>
            <w:r>
              <w:rPr>
                <w:rFonts w:ascii="Arial" w:cs="Arial" w:eastAsia="Arial" w:hAnsi="Arial"/>
                <w:sz w:val="17"/>
                <w:szCs w:val="17"/>
                <w:color w:val="auto"/>
              </w:rPr>
              <w:t>Unrecognized tax benefits</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gridSpan w:val="4"/>
          </w:tcPr>
          <w:p>
            <w:pPr>
              <w:jc w:val="right"/>
              <w:ind w:right="80"/>
              <w:spacing w:after="0"/>
              <w:rPr>
                <w:sz w:val="20"/>
                <w:szCs w:val="20"/>
                <w:color w:val="auto"/>
              </w:rPr>
            </w:pPr>
            <w:r>
              <w:rPr>
                <w:rFonts w:ascii="Arial" w:cs="Arial" w:eastAsia="Arial" w:hAnsi="Arial"/>
                <w:sz w:val="17"/>
                <w:szCs w:val="17"/>
                <w:b w:val="1"/>
                <w:bCs w:val="1"/>
                <w:color w:val="auto"/>
              </w:rPr>
              <w:t>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Restructuring</w:t>
            </w: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4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w:t>
            </w:r>
          </w:p>
        </w:tc>
        <w:tc>
          <w:tcPr>
            <w:tcW w:w="4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7"/>
                <w:szCs w:val="17"/>
                <w:b w:val="1"/>
                <w:bCs w:val="1"/>
                <w:color w:val="auto"/>
              </w:rPr>
              <w:t>72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4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380" w:type="dxa"/>
            <w:vAlign w:val="bottom"/>
            <w:shd w:val="clear" w:color="auto" w:fill="CCEEFF"/>
          </w:tcPr>
          <w:p>
            <w:pPr>
              <w:spacing w:after="0"/>
              <w:rPr>
                <w:sz w:val="20"/>
                <w:szCs w:val="20"/>
                <w:color w:val="auto"/>
              </w:rPr>
            </w:pPr>
          </w:p>
        </w:tc>
        <w:tc>
          <w:tcPr>
            <w:tcW w:w="94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608</w:t>
            </w:r>
          </w:p>
        </w:tc>
        <w:tc>
          <w:tcPr>
            <w:tcW w:w="3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i w:val="1"/>
                <w:iCs w:val="1"/>
                <w:color w:val="auto"/>
              </w:rPr>
              <w:t>Statements of Earnings</w:t>
            </w:r>
          </w:p>
        </w:tc>
        <w:tc>
          <w:tcPr>
            <w:tcW w:w="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74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4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7"/>
                <w:szCs w:val="17"/>
                <w:color w:val="auto"/>
              </w:rPr>
            </w:pPr>
          </w:p>
        </w:tc>
        <w:tc>
          <w:tcPr>
            <w:tcW w:w="9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74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expenses / (income)</w:t>
            </w: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440" w:type="dxa"/>
            <w:vAlign w:val="bottom"/>
          </w:tcPr>
          <w:p>
            <w:pPr>
              <w:ind w:left="140"/>
              <w:spacing w:after="0" w:line="219" w:lineRule="exact"/>
              <w:rPr>
                <w:sz w:val="20"/>
                <w:szCs w:val="20"/>
                <w:color w:val="auto"/>
              </w:rPr>
            </w:pPr>
            <w:r>
              <w:rPr>
                <w:rFonts w:ascii="Arial" w:cs="Arial" w:eastAsia="Arial" w:hAnsi="Arial"/>
                <w:sz w:val="17"/>
                <w:szCs w:val="17"/>
                <w:color w:val="auto"/>
              </w:rPr>
              <w:t>Amortization of intangible assets</w:t>
            </w:r>
            <w:r>
              <w:rPr>
                <w:rFonts w:ascii="Arial" w:cs="Arial" w:eastAsia="Arial" w:hAnsi="Arial"/>
                <w:sz w:val="22"/>
                <w:szCs w:val="22"/>
                <w:color w:val="auto"/>
                <w:vertAlign w:val="superscript"/>
              </w:rPr>
              <w:t>(1)</w:t>
            </w:r>
          </w:p>
        </w:tc>
        <w:tc>
          <w:tcPr>
            <w:tcW w:w="600" w:type="dxa"/>
            <w:vAlign w:val="bottom"/>
            <w:gridSpan w:val="2"/>
          </w:tcPr>
          <w:p>
            <w:pPr>
              <w:jc w:val="right"/>
              <w:ind w:right="414"/>
              <w:spacing w:after="0"/>
              <w:rPr>
                <w:sz w:val="20"/>
                <w:szCs w:val="20"/>
                <w:color w:val="auto"/>
              </w:rPr>
            </w:pPr>
            <w:r>
              <w:rPr>
                <w:rFonts w:ascii="Arial" w:cs="Arial" w:eastAsia="Arial" w:hAnsi="Arial"/>
                <w:sz w:val="17"/>
                <w:szCs w:val="17"/>
                <w:b w:val="1"/>
                <w:bCs w:val="1"/>
                <w:color w:val="auto"/>
                <w:w w:val="84"/>
              </w:rPr>
              <w:t>$</w:t>
            </w:r>
          </w:p>
        </w:tc>
        <w:tc>
          <w:tcPr>
            <w:tcW w:w="2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b w:val="1"/>
                <w:bCs w:val="1"/>
                <w:color w:val="auto"/>
              </w:rPr>
              <w:t>48</w:t>
            </w:r>
          </w:p>
        </w:tc>
        <w:tc>
          <w:tcPr>
            <w:tcW w:w="940" w:type="dxa"/>
            <w:vAlign w:val="bottom"/>
            <w:gridSpan w:val="4"/>
          </w:tcPr>
          <w:p>
            <w:pPr>
              <w:jc w:val="center"/>
              <w:ind w:right="620"/>
              <w:spacing w:after="0"/>
              <w:rPr>
                <w:sz w:val="20"/>
                <w:szCs w:val="20"/>
                <w:color w:val="auto"/>
              </w:rPr>
            </w:pPr>
            <w:r>
              <w:rPr>
                <w:rFonts w:ascii="Arial" w:cs="Arial" w:eastAsia="Arial" w:hAnsi="Arial"/>
                <w:sz w:val="17"/>
                <w:szCs w:val="17"/>
                <w:color w:val="auto"/>
                <w:w w:val="84"/>
              </w:rPr>
              <w:t>$</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periodic benefit income other than the service cost</w:t>
            </w: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(285)</w:t>
            </w:r>
          </w:p>
        </w:tc>
        <w:tc>
          <w:tcPr>
            <w:tcW w:w="0" w:type="dxa"/>
            <w:vAlign w:val="bottom"/>
          </w:tcPr>
          <w:p>
            <w:pPr>
              <w:spacing w:after="0"/>
              <w:rPr>
                <w:sz w:val="1"/>
                <w:szCs w:val="1"/>
                <w:color w:val="auto"/>
              </w:rPr>
            </w:pPr>
          </w:p>
        </w:tc>
      </w:tr>
      <w:tr>
        <w:trPr>
          <w:trHeight w:val="219"/>
        </w:trPr>
        <w:tc>
          <w:tcPr>
            <w:tcW w:w="7440" w:type="dxa"/>
            <w:vAlign w:val="bottom"/>
          </w:tcPr>
          <w:p>
            <w:pPr>
              <w:ind w:left="140"/>
              <w:spacing w:after="0" w:line="219" w:lineRule="exact"/>
              <w:rPr>
                <w:sz w:val="20"/>
                <w:szCs w:val="20"/>
                <w:color w:val="auto"/>
              </w:rPr>
            </w:pPr>
            <w:r>
              <w:rPr>
                <w:rFonts w:ascii="Arial" w:cs="Arial" w:eastAsia="Arial" w:hAnsi="Arial"/>
                <w:sz w:val="17"/>
                <w:szCs w:val="17"/>
                <w:color w:val="auto"/>
              </w:rPr>
              <w:t>Loss on sales of businesses</w:t>
            </w:r>
            <w:r>
              <w:rPr>
                <w:rFonts w:ascii="Arial" w:cs="Arial" w:eastAsia="Arial" w:hAnsi="Arial"/>
                <w:sz w:val="22"/>
                <w:szCs w:val="22"/>
                <w:color w:val="auto"/>
                <w:vertAlign w:val="superscript"/>
              </w:rPr>
              <w:t>(2)</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b w:val="1"/>
                <w:bCs w:val="1"/>
                <w:color w:val="auto"/>
              </w:rPr>
              <w:t>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140"/>
              <w:spacing w:after="0" w:line="219" w:lineRule="exact"/>
              <w:rPr>
                <w:sz w:val="20"/>
                <w:szCs w:val="20"/>
                <w:color w:val="auto"/>
              </w:rPr>
            </w:pPr>
            <w:r>
              <w:rPr>
                <w:rFonts w:ascii="Arial" w:cs="Arial" w:eastAsia="Arial" w:hAnsi="Arial"/>
                <w:sz w:val="17"/>
                <w:szCs w:val="17"/>
                <w:color w:val="auto"/>
              </w:rPr>
              <w:t>Transaction costs</w:t>
            </w:r>
            <w:r>
              <w:rPr>
                <w:rFonts w:ascii="Arial" w:cs="Arial" w:eastAsia="Arial" w:hAnsi="Arial"/>
                <w:sz w:val="22"/>
                <w:szCs w:val="22"/>
                <w:color w:val="auto"/>
                <w:vertAlign w:val="superscript"/>
              </w:rPr>
              <w:t>(3)</w:t>
            </w: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7440" w:type="dxa"/>
            <w:vAlign w:val="bottom"/>
          </w:tcPr>
          <w:p>
            <w:pPr>
              <w:ind w:left="140"/>
              <w:spacing w:after="0"/>
              <w:rPr>
                <w:sz w:val="20"/>
                <w:szCs w:val="20"/>
                <w:color w:val="auto"/>
              </w:rPr>
            </w:pPr>
            <w:r>
              <w:rPr>
                <w:rFonts w:ascii="Arial" w:cs="Arial" w:eastAsia="Arial" w:hAnsi="Arial"/>
                <w:sz w:val="17"/>
                <w:szCs w:val="17"/>
                <w:color w:val="auto"/>
              </w:rPr>
              <w:t>Transition services fees</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b w:val="1"/>
                <w:bCs w:val="1"/>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440" w:type="dxa"/>
            <w:vAlign w:val="bottom"/>
          </w:tcPr>
          <w:p>
            <w:pPr>
              <w:spacing w:after="0"/>
              <w:rPr>
                <w:sz w:val="18"/>
                <w:szCs w:val="18"/>
                <w:color w:val="auto"/>
              </w:rPr>
            </w:pPr>
          </w:p>
        </w:tc>
        <w:tc>
          <w:tcPr>
            <w:tcW w:w="600" w:type="dxa"/>
            <w:vAlign w:val="bottom"/>
            <w:gridSpan w:val="2"/>
          </w:tcPr>
          <w:p>
            <w:pPr>
              <w:jc w:val="right"/>
              <w:ind w:right="414"/>
              <w:spacing w:after="0"/>
              <w:rPr>
                <w:sz w:val="20"/>
                <w:szCs w:val="20"/>
                <w:color w:val="auto"/>
              </w:rPr>
            </w:pPr>
            <w:r>
              <w:rPr>
                <w:rFonts w:ascii="Arial" w:cs="Arial" w:eastAsia="Arial" w:hAnsi="Arial"/>
                <w:sz w:val="17"/>
                <w:szCs w:val="17"/>
                <w:b w:val="1"/>
                <w:bCs w:val="1"/>
                <w:color w:val="auto"/>
                <w:w w:val="84"/>
              </w:rPr>
              <w:t>$</w:t>
            </w: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b w:val="1"/>
                <w:bCs w:val="1"/>
                <w:color w:val="auto"/>
              </w:rPr>
              <w:t>32</w:t>
            </w:r>
          </w:p>
        </w:tc>
        <w:tc>
          <w:tcPr>
            <w:tcW w:w="940" w:type="dxa"/>
            <w:vAlign w:val="bottom"/>
            <w:gridSpan w:val="4"/>
          </w:tcPr>
          <w:p>
            <w:pPr>
              <w:jc w:val="center"/>
              <w:ind w:right="620"/>
              <w:spacing w:after="0"/>
              <w:rPr>
                <w:sz w:val="20"/>
                <w:szCs w:val="20"/>
                <w:color w:val="auto"/>
              </w:rPr>
            </w:pPr>
            <w:r>
              <w:rPr>
                <w:rFonts w:ascii="Arial" w:cs="Arial" w:eastAsia="Arial" w:hAnsi="Arial"/>
                <w:sz w:val="17"/>
                <w:szCs w:val="17"/>
                <w:color w:val="auto"/>
                <w:w w:val="84"/>
              </w:rPr>
              <w:t>$</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(254)</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Advertising and consumer promotion expense</w:t>
            </w:r>
            <w:r>
              <w:rPr>
                <w:rFonts w:ascii="Arial" w:cs="Arial" w:eastAsia="Arial" w:hAnsi="Arial"/>
                <w:sz w:val="22"/>
                <w:szCs w:val="22"/>
                <w:color w:val="auto"/>
                <w:vertAlign w:val="superscript"/>
              </w:rPr>
              <w:t>(4)</w:t>
            </w:r>
          </w:p>
        </w:tc>
        <w:tc>
          <w:tcPr>
            <w:tcW w:w="600" w:type="dxa"/>
            <w:vAlign w:val="bottom"/>
            <w:gridSpan w:val="2"/>
            <w:shd w:val="clear" w:color="auto" w:fill="CCEEFF"/>
          </w:tcPr>
          <w:p>
            <w:pPr>
              <w:jc w:val="right"/>
              <w:ind w:right="374"/>
              <w:spacing w:after="0"/>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365</w:t>
            </w:r>
          </w:p>
        </w:tc>
        <w:tc>
          <w:tcPr>
            <w:tcW w:w="940" w:type="dxa"/>
            <w:vAlign w:val="bottom"/>
            <w:gridSpan w:val="4"/>
            <w:shd w:val="clear" w:color="auto" w:fill="CCEEFF"/>
          </w:tcPr>
          <w:p>
            <w:pPr>
              <w:jc w:val="right"/>
              <w:ind w:right="720"/>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8"/>
              </w:rPr>
              <w:t>314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Interest expense</w:t>
            </w:r>
            <w:r>
              <w:rPr>
                <w:rFonts w:ascii="Arial" w:cs="Arial" w:eastAsia="Arial" w:hAnsi="Arial"/>
                <w:sz w:val="22"/>
                <w:szCs w:val="22"/>
                <w:color w:val="auto"/>
                <w:vertAlign w:val="superscript"/>
              </w:rPr>
              <w:t>(5)</w:t>
            </w: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440" w:type="dxa"/>
            <w:vAlign w:val="bottom"/>
          </w:tcPr>
          <w:p>
            <w:pPr>
              <w:ind w:left="140"/>
              <w:spacing w:after="0"/>
              <w:rPr>
                <w:sz w:val="20"/>
                <w:szCs w:val="20"/>
                <w:color w:val="auto"/>
              </w:rPr>
            </w:pPr>
            <w:r>
              <w:rPr>
                <w:rFonts w:ascii="Arial" w:cs="Arial" w:eastAsia="Arial" w:hAnsi="Arial"/>
                <w:sz w:val="17"/>
                <w:szCs w:val="17"/>
                <w:color w:val="auto"/>
              </w:rPr>
              <w:t>Interest expense</w:t>
            </w:r>
          </w:p>
        </w:tc>
        <w:tc>
          <w:tcPr>
            <w:tcW w:w="600" w:type="dxa"/>
            <w:vAlign w:val="bottom"/>
            <w:gridSpan w:val="2"/>
          </w:tcPr>
          <w:p>
            <w:pPr>
              <w:jc w:val="right"/>
              <w:ind w:right="374"/>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b w:val="1"/>
                <w:bCs w:val="1"/>
                <w:color w:val="auto"/>
              </w:rPr>
              <w:t>192</w:t>
            </w:r>
          </w:p>
        </w:tc>
        <w:tc>
          <w:tcPr>
            <w:tcW w:w="940" w:type="dxa"/>
            <w:vAlign w:val="bottom"/>
            <w:gridSpan w:val="4"/>
          </w:tcPr>
          <w:p>
            <w:pPr>
              <w:jc w:val="right"/>
              <w:ind w:right="72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w w:val="98"/>
              </w:rPr>
              <w:t>191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Less: Interest capitalized</w:t>
            </w:r>
          </w:p>
        </w:tc>
        <w:tc>
          <w:tcPr>
            <w:tcW w:w="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jc w:val="right"/>
              <w:ind w:right="374"/>
              <w:spacing w:after="0"/>
              <w:rPr>
                <w:sz w:val="20"/>
                <w:szCs w:val="20"/>
                <w:color w:val="auto"/>
              </w:rPr>
            </w:pPr>
            <w:r>
              <w:rPr>
                <w:rFonts w:ascii="Arial" w:cs="Arial" w:eastAsia="Arial" w:hAnsi="Arial"/>
                <w:sz w:val="17"/>
                <w:szCs w:val="17"/>
                <w:b w:val="1"/>
                <w:bCs w:val="1"/>
                <w:color w:val="auto"/>
                <w:w w:val="84"/>
              </w:rPr>
              <w:t>$</w:t>
            </w: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b w:val="1"/>
                <w:bCs w:val="1"/>
                <w:color w:val="auto"/>
              </w:rPr>
              <w:t>188</w:t>
            </w:r>
          </w:p>
        </w:tc>
        <w:tc>
          <w:tcPr>
            <w:tcW w:w="940" w:type="dxa"/>
            <w:vAlign w:val="bottom"/>
            <w:gridSpan w:val="4"/>
          </w:tcPr>
          <w:p>
            <w:pPr>
              <w:jc w:val="right"/>
              <w:ind w:right="72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w w:val="98"/>
              </w:rPr>
              <w:t>189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____________________________________</w:t>
      </w:r>
    </w:p>
    <w:p>
      <w:pPr>
        <w:spacing w:after="0" w:line="70" w:lineRule="exact"/>
        <w:rPr>
          <w:sz w:val="20"/>
          <w:szCs w:val="20"/>
          <w:color w:val="auto"/>
        </w:rPr>
      </w:pPr>
    </w:p>
    <w:p>
      <w:pPr>
        <w:ind w:left="300" w:hanging="297"/>
        <w:spacing w:after="0"/>
        <w:tabs>
          <w:tab w:leader="none" w:pos="300" w:val="left"/>
        </w:tabs>
        <w:numPr>
          <w:ilvl w:val="0"/>
          <w:numId w:val="50"/>
        </w:numPr>
        <w:rPr>
          <w:rFonts w:ascii="Arial" w:cs="Arial" w:eastAsia="Arial" w:hAnsi="Arial"/>
          <w:sz w:val="22"/>
          <w:szCs w:val="22"/>
          <w:color w:val="auto"/>
          <w:vertAlign w:val="superscript"/>
        </w:rPr>
      </w:pPr>
      <w:r>
        <w:rPr>
          <w:rFonts w:ascii="Arial" w:cs="Arial" w:eastAsia="Arial" w:hAnsi="Arial"/>
          <w:sz w:val="17"/>
          <w:szCs w:val="17"/>
          <w:color w:val="auto"/>
        </w:rPr>
        <w:t>In 2023, we recognized accelerated amortization expense of $7 million related to customer relationship intangible assets.</w:t>
      </w:r>
    </w:p>
    <w:p>
      <w:pPr>
        <w:spacing w:after="0" w:line="54" w:lineRule="exact"/>
        <w:rPr>
          <w:rFonts w:ascii="Arial" w:cs="Arial" w:eastAsia="Arial" w:hAnsi="Arial"/>
          <w:sz w:val="22"/>
          <w:szCs w:val="22"/>
          <w:color w:val="auto"/>
          <w:vertAlign w:val="superscript"/>
        </w:rPr>
      </w:pPr>
    </w:p>
    <w:p>
      <w:pPr>
        <w:ind w:left="320" w:hanging="317"/>
        <w:spacing w:after="0" w:line="218" w:lineRule="auto"/>
        <w:tabs>
          <w:tab w:leader="none" w:pos="308" w:val="left"/>
        </w:tabs>
        <w:numPr>
          <w:ilvl w:val="0"/>
          <w:numId w:val="50"/>
        </w:numPr>
        <w:rPr>
          <w:rFonts w:ascii="Arial" w:cs="Arial" w:eastAsia="Arial" w:hAnsi="Arial"/>
          <w:sz w:val="22"/>
          <w:szCs w:val="22"/>
          <w:color w:val="auto"/>
          <w:vertAlign w:val="superscript"/>
        </w:rPr>
      </w:pPr>
      <w:r>
        <w:rPr>
          <w:rFonts w:ascii="Arial" w:cs="Arial" w:eastAsia="Arial" w:hAnsi="Arial"/>
          <w:sz w:val="17"/>
          <w:szCs w:val="17"/>
          <w:color w:val="auto"/>
        </w:rPr>
        <w:t>In 2023, we recognized a loss of $13 million on the sale of our Emerald nuts business. In 2021, we recognized a loss of $11 million on the sale of our Plum baby food and snacks business. See Note 3 for additional information.</w:t>
      </w:r>
    </w:p>
    <w:p>
      <w:pPr>
        <w:sectPr>
          <w:pgSz w:w="11900" w:h="16838" w:orient="portrait"/>
          <w:cols w:equalWidth="0" w:num="1">
            <w:col w:w="11240"/>
          </w:cols>
          <w:pgMar w:left="320" w:top="980" w:right="339" w:bottom="1440" w:gutter="0" w:footer="0" w:header="0"/>
        </w:sectPr>
      </w:pPr>
    </w:p>
    <w:p>
      <w:pPr>
        <w:spacing w:after="0" w:line="35"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131"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In 2023, we recognized transaction costs of $5 million related to the pending acquisition of Sovos Brands.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Included in Marketing and selling expenses.</w:t>
      </w:r>
    </w:p>
    <w:p>
      <w:pPr>
        <w:spacing w:after="0" w:line="62" w:lineRule="exact"/>
        <w:rPr>
          <w:sz w:val="20"/>
          <w:szCs w:val="20"/>
          <w:color w:val="auto"/>
        </w:rPr>
      </w:pPr>
    </w:p>
    <w:p>
      <w:pPr>
        <w:sectPr>
          <w:pgSz w:w="11900" w:h="16838" w:orient="portrait"/>
          <w:cols w:equalWidth="0" w:num="2">
            <w:col w:w="140" w:space="160"/>
            <w:col w:w="10940"/>
          </w:cols>
          <w:pgMar w:left="320" w:top="980" w:right="339" w:bottom="1440" w:gutter="0" w:footer="0" w:header="0"/>
          <w:type w:val="continuous"/>
        </w:sectPr>
      </w:pPr>
    </w:p>
    <w:p>
      <w:pPr>
        <w:ind w:left="320" w:hanging="317"/>
        <w:spacing w:after="0" w:line="226" w:lineRule="auto"/>
        <w:tabs>
          <w:tab w:leader="none" w:pos="308" w:val="left"/>
        </w:tabs>
        <w:numPr>
          <w:ilvl w:val="0"/>
          <w:numId w:val="51"/>
        </w:numPr>
        <w:rPr>
          <w:rFonts w:ascii="Arial" w:cs="Arial" w:eastAsia="Arial" w:hAnsi="Arial"/>
          <w:sz w:val="22"/>
          <w:szCs w:val="22"/>
          <w:color w:val="auto"/>
          <w:vertAlign w:val="superscript"/>
        </w:rPr>
      </w:pPr>
      <w:r>
        <w:rPr>
          <w:rFonts w:ascii="Arial" w:cs="Arial" w:eastAsia="Arial" w:hAnsi="Arial"/>
          <w:sz w:val="17"/>
          <w:szCs w:val="17"/>
          <w:color w:val="auto"/>
        </w:rPr>
        <w:t>In 2022, we recognized a loss of $4 million (including $3 million of premium and other costs) on the extinguishment of debt. See Note 12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124460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7"/>
          <w:szCs w:val="17"/>
          <w:b w:val="1"/>
          <w:bCs w:val="1"/>
          <w:i w:val="1"/>
          <w:iCs w:val="1"/>
          <w:color w:val="auto"/>
        </w:rPr>
        <w:t>Statements of Cash Flows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420" w:type="dxa"/>
            <w:vAlign w:val="bottom"/>
            <w:gridSpan w:val="2"/>
          </w:tcPr>
          <w:p>
            <w:pPr>
              <w:spacing w:after="0"/>
              <w:rPr>
                <w:sz w:val="20"/>
                <w:szCs w:val="20"/>
                <w:color w:val="auto"/>
              </w:rPr>
            </w:pPr>
            <w:r>
              <w:rPr>
                <w:rFonts w:ascii="Arial" w:cs="Arial" w:eastAsia="Arial" w:hAnsi="Arial"/>
                <w:sz w:val="14"/>
                <w:szCs w:val="14"/>
                <w:b w:val="1"/>
                <w:bCs w:val="1"/>
                <w:color w:val="auto"/>
              </w:rPr>
              <w:t>(Millions)</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76"/>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76"/>
              <w:spacing w:after="0"/>
              <w:rPr>
                <w:sz w:val="20"/>
                <w:szCs w:val="20"/>
                <w:color w:val="auto"/>
              </w:rPr>
            </w:pPr>
            <w:r>
              <w:rPr>
                <w:rFonts w:ascii="Arial" w:cs="Arial" w:eastAsia="Arial" w:hAnsi="Arial"/>
                <w:sz w:val="14"/>
                <w:szCs w:val="14"/>
                <w:b w:val="1"/>
                <w:bCs w:val="1"/>
                <w:color w:val="auto"/>
              </w:rPr>
              <w:t>2021</w:t>
            </w:r>
          </w:p>
        </w:tc>
      </w:tr>
      <w:tr>
        <w:trPr>
          <w:trHeight w:val="24"/>
        </w:trPr>
        <w:tc>
          <w:tcPr>
            <w:tcW w:w="2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2780" w:type="dxa"/>
            <w:vAlign w:val="bottom"/>
            <w:tcBorders>
              <w:bottom w:val="single" w:sz="8" w:color="auto"/>
            </w:tcBorders>
            <w:shd w:val="clear" w:color="auto" w:fill="CCEEFF"/>
          </w:tcPr>
          <w:p>
            <w:pPr>
              <w:spacing w:after="0" w:line="160" w:lineRule="exact"/>
              <w:rPr>
                <w:sz w:val="20"/>
                <w:szCs w:val="20"/>
                <w:color w:val="auto"/>
              </w:rPr>
            </w:pPr>
            <w:r>
              <w:rPr>
                <w:rFonts w:ascii="Arial" w:cs="Arial" w:eastAsia="Arial" w:hAnsi="Arial"/>
                <w:sz w:val="17"/>
                <w:szCs w:val="17"/>
                <w:b w:val="1"/>
                <w:bCs w:val="1"/>
                <w:color w:val="auto"/>
                <w:w w:val="91"/>
              </w:rPr>
              <w:t>Cash Flows from Operating Activities</w:t>
            </w:r>
          </w:p>
        </w:tc>
        <w:tc>
          <w:tcPr>
            <w:tcW w:w="46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r>
      <w:tr>
        <w:trPr>
          <w:trHeight w:val="218"/>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7"/>
                <w:szCs w:val="17"/>
                <w:color w:val="auto"/>
              </w:rPr>
              <w:t>Other non-cash charges to net earnings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0"/>
        </w:trPr>
        <w:tc>
          <w:tcPr>
            <w:tcW w:w="20" w:type="dxa"/>
            <w:vAlign w:val="bottom"/>
            <w:shd w:val="clear" w:color="auto" w:fill="CCEEFF"/>
          </w:tcPr>
          <w:p>
            <w:pPr>
              <w:spacing w:after="0"/>
              <w:rPr>
                <w:sz w:val="19"/>
                <w:szCs w:val="19"/>
                <w:color w:val="auto"/>
              </w:rPr>
            </w:pPr>
          </w:p>
        </w:tc>
        <w:tc>
          <w:tcPr>
            <w:tcW w:w="74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Operating lease ROU asset expense</w:t>
            </w:r>
          </w:p>
        </w:tc>
        <w:tc>
          <w:tcPr>
            <w:tcW w:w="30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r>
      <w:tr>
        <w:trPr>
          <w:trHeight w:val="219"/>
        </w:trPr>
        <w:tc>
          <w:tcPr>
            <w:tcW w:w="20" w:type="dxa"/>
            <w:vAlign w:val="bottom"/>
          </w:tcPr>
          <w:p>
            <w:pPr>
              <w:spacing w:after="0"/>
              <w:rPr>
                <w:sz w:val="19"/>
                <w:szCs w:val="19"/>
                <w:color w:val="auto"/>
              </w:rPr>
            </w:pPr>
          </w:p>
        </w:tc>
        <w:tc>
          <w:tcPr>
            <w:tcW w:w="7420" w:type="dxa"/>
            <w:vAlign w:val="bottom"/>
            <w:gridSpan w:val="2"/>
          </w:tcPr>
          <w:p>
            <w:pPr>
              <w:ind w:left="100"/>
              <w:spacing w:after="0"/>
              <w:rPr>
                <w:sz w:val="20"/>
                <w:szCs w:val="20"/>
                <w:color w:val="auto"/>
              </w:rPr>
            </w:pPr>
            <w:r>
              <w:rPr>
                <w:rFonts w:ascii="Arial" w:cs="Arial" w:eastAsia="Arial" w:hAnsi="Arial"/>
                <w:sz w:val="17"/>
                <w:szCs w:val="17"/>
                <w:color w:val="auto"/>
              </w:rPr>
              <w:t>Amortization of debt issuance costs/debt discount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Benefit related expense</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19"/>
        </w:trPr>
        <w:tc>
          <w:tcPr>
            <w:tcW w:w="20" w:type="dxa"/>
            <w:vAlign w:val="bottom"/>
            <w:tcBorders>
              <w:bottom w:val="single" w:sz="8" w:color="CCEEFF"/>
            </w:tcBorders>
          </w:tcPr>
          <w:p>
            <w:pPr>
              <w:spacing w:after="0"/>
              <w:rPr>
                <w:sz w:val="19"/>
                <w:szCs w:val="19"/>
                <w:color w:val="auto"/>
              </w:rPr>
            </w:pPr>
          </w:p>
        </w:tc>
        <w:tc>
          <w:tcPr>
            <w:tcW w:w="7420" w:type="dxa"/>
            <w:vAlign w:val="bottom"/>
            <w:tcBorders>
              <w:bottom w:val="single" w:sz="8" w:color="CCEEFF"/>
            </w:tcBorders>
            <w:gridSpan w:val="2"/>
          </w:tcPr>
          <w:p>
            <w:pPr>
              <w:ind w:left="100"/>
              <w:spacing w:after="0"/>
              <w:rPr>
                <w:sz w:val="20"/>
                <w:szCs w:val="20"/>
                <w:color w:val="auto"/>
              </w:rPr>
            </w:pPr>
            <w:r>
              <w:rPr>
                <w:rFonts w:ascii="Arial" w:cs="Arial" w:eastAsia="Arial" w:hAnsi="Arial"/>
                <w:sz w:val="17"/>
                <w:szCs w:val="17"/>
                <w:color w:val="auto"/>
              </w:rPr>
              <w:t>Other</w:t>
            </w: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780" w:type="dxa"/>
            <w:vAlign w:val="bottom"/>
            <w:tcBorders>
              <w:bottom w:val="single" w:sz="8" w:color="CCEEFF"/>
            </w:tcBorders>
            <w:shd w:val="clear" w:color="auto" w:fill="CCEEFF"/>
          </w:tcPr>
          <w:p>
            <w:pPr>
              <w:spacing w:after="0"/>
              <w:rPr>
                <w:sz w:val="20"/>
                <w:szCs w:val="20"/>
                <w:color w:val="auto"/>
              </w:rPr>
            </w:pPr>
          </w:p>
        </w:tc>
        <w:tc>
          <w:tcPr>
            <w:tcW w:w="46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gridSpan w:val="2"/>
            <w:shd w:val="clear" w:color="auto" w:fill="CCEEFF"/>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4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7420" w:type="dxa"/>
            <w:vAlign w:val="bottom"/>
            <w:gridSpan w:val="2"/>
          </w:tcPr>
          <w:p>
            <w:pPr>
              <w:ind w:left="120"/>
              <w:spacing w:after="0"/>
              <w:rPr>
                <w:sz w:val="20"/>
                <w:szCs w:val="20"/>
                <w:color w:val="auto"/>
              </w:rPr>
            </w:pPr>
            <w:r>
              <w:rPr>
                <w:rFonts w:ascii="Arial" w:cs="Arial" w:eastAsia="Arial" w:hAnsi="Arial"/>
                <w:sz w:val="17"/>
                <w:szCs w:val="17"/>
                <w:color w:val="auto"/>
              </w:rPr>
              <w:t>Benefit related payments</w:t>
            </w:r>
          </w:p>
        </w:tc>
        <w:tc>
          <w:tcPr>
            <w:tcW w:w="300" w:type="dxa"/>
            <w:vAlign w:val="bottom"/>
            <w:gridSpan w:val="2"/>
          </w:tcPr>
          <w:p>
            <w:pPr>
              <w:jc w:val="right"/>
              <w:ind w:right="74"/>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(47)</w:t>
            </w:r>
          </w:p>
        </w:tc>
        <w:tc>
          <w:tcPr>
            <w:tcW w:w="80" w:type="dxa"/>
            <w:vAlign w:val="bottom"/>
          </w:tcPr>
          <w:p>
            <w:pPr>
              <w:spacing w:after="0"/>
              <w:rPr>
                <w:sz w:val="19"/>
                <w:szCs w:val="19"/>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Other</w:t>
            </w: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12"/>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9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(51)</w:t>
            </w:r>
          </w:p>
        </w:tc>
        <w:tc>
          <w:tcPr>
            <w:tcW w:w="8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0"/>
        </w:trPr>
        <w:tc>
          <w:tcPr>
            <w:tcW w:w="20" w:type="dxa"/>
            <w:vAlign w:val="bottom"/>
          </w:tcPr>
          <w:p>
            <w:pPr>
              <w:spacing w:after="0" w:line="20" w:lineRule="exact"/>
              <w:rPr>
                <w:sz w:val="1"/>
                <w:szCs w:val="1"/>
                <w:color w:val="auto"/>
              </w:rPr>
            </w:pPr>
          </w:p>
        </w:tc>
        <w:tc>
          <w:tcPr>
            <w:tcW w:w="7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742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Cash Flow Information</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7420" w:type="dxa"/>
            <w:vAlign w:val="bottom"/>
            <w:gridSpan w:val="2"/>
          </w:tcPr>
          <w:p>
            <w:pPr>
              <w:ind w:left="120"/>
              <w:spacing w:after="0"/>
              <w:rPr>
                <w:sz w:val="20"/>
                <w:szCs w:val="20"/>
                <w:color w:val="auto"/>
              </w:rPr>
            </w:pPr>
            <w:r>
              <w:rPr>
                <w:rFonts w:ascii="Arial" w:cs="Arial" w:eastAsia="Arial" w:hAnsi="Arial"/>
                <w:sz w:val="17"/>
                <w:szCs w:val="17"/>
                <w:color w:val="auto"/>
              </w:rPr>
              <w:t>Interest paid</w:t>
            </w:r>
          </w:p>
        </w:tc>
        <w:tc>
          <w:tcPr>
            <w:tcW w:w="300" w:type="dxa"/>
            <w:vAlign w:val="bottom"/>
            <w:gridSpan w:val="2"/>
          </w:tcPr>
          <w:p>
            <w:pPr>
              <w:jc w:val="right"/>
              <w:ind w:right="74"/>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214</w:t>
            </w: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Interest received</w:t>
            </w:r>
          </w:p>
        </w:tc>
        <w:tc>
          <w:tcPr>
            <w:tcW w:w="30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3"/>
        </w:trPr>
        <w:tc>
          <w:tcPr>
            <w:tcW w:w="20" w:type="dxa"/>
            <w:vAlign w:val="bottom"/>
          </w:tcPr>
          <w:p>
            <w:pPr>
              <w:spacing w:after="0"/>
              <w:rPr>
                <w:sz w:val="19"/>
                <w:szCs w:val="19"/>
                <w:color w:val="auto"/>
              </w:rPr>
            </w:pPr>
          </w:p>
        </w:tc>
        <w:tc>
          <w:tcPr>
            <w:tcW w:w="7420" w:type="dxa"/>
            <w:vAlign w:val="bottom"/>
            <w:gridSpan w:val="2"/>
          </w:tcPr>
          <w:p>
            <w:pPr>
              <w:ind w:left="120"/>
              <w:spacing w:after="0"/>
              <w:rPr>
                <w:sz w:val="20"/>
                <w:szCs w:val="20"/>
                <w:color w:val="auto"/>
              </w:rPr>
            </w:pPr>
            <w:r>
              <w:rPr>
                <w:rFonts w:ascii="Arial" w:cs="Arial" w:eastAsia="Arial" w:hAnsi="Arial"/>
                <w:sz w:val="17"/>
                <w:szCs w:val="17"/>
                <w:color w:val="auto"/>
              </w:rPr>
              <w:t>Income taxes paid</w:t>
            </w:r>
          </w:p>
        </w:tc>
        <w:tc>
          <w:tcPr>
            <w:tcW w:w="300" w:type="dxa"/>
            <w:vAlign w:val="bottom"/>
            <w:gridSpan w:val="2"/>
          </w:tcPr>
          <w:p>
            <w:pPr>
              <w:jc w:val="right"/>
              <w:ind w:right="74"/>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268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212</w:t>
            </w:r>
          </w:p>
        </w:tc>
      </w:tr>
    </w:tbl>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Subsequent Event</w:t>
      </w:r>
    </w:p>
    <w:p>
      <w:pPr>
        <w:spacing w:after="0" w:line="94" w:lineRule="exact"/>
        <w:rPr>
          <w:sz w:val="20"/>
          <w:szCs w:val="20"/>
          <w:color w:val="auto"/>
        </w:rPr>
      </w:pPr>
    </w:p>
    <w:p>
      <w:pPr>
        <w:jc w:val="both"/>
        <w:ind w:firstLine="309"/>
        <w:spacing w:after="0" w:line="278" w:lineRule="auto"/>
        <w:rPr>
          <w:sz w:val="20"/>
          <w:szCs w:val="20"/>
          <w:color w:val="auto"/>
        </w:rPr>
      </w:pPr>
      <w:r>
        <w:rPr>
          <w:rFonts w:ascii="Arial" w:cs="Arial" w:eastAsia="Arial" w:hAnsi="Arial"/>
          <w:sz w:val="16"/>
          <w:szCs w:val="16"/>
          <w:color w:val="auto"/>
        </w:rPr>
        <w:t>On August 7, 2023, we entered into a merger agreement to acquire Sovos Brands for $23.00 per share in cash, representing a total enterprise value of approximately $2.7 billion. The closing of the Sovos Brands acquisition is subject to certain customary mutual conditions, including (i) the absence of any injunction or other order issued by a court of competent jurisdiction in the United States or applicable law or legal prohibition in the United States that prohibits or makes illegal the consummation of the merger, (ii) the approval of Sovos Brands' shareholders holding at least a majority of the outstanding shares of Sovos Brands common stock entitled to vote on the adoption of the merger agreement and (iii) the expiration or termination of any waiting period (and any extension</w:t>
      </w:r>
    </w:p>
    <w:p>
      <w:pPr>
        <w:spacing w:after="0" w:line="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thereof) applicable to the consummation of the merger under the Hart-Scott-Rodino Antitrust Improvements Act of 1976, as amended. There are also several pending lawsuits filed by purported shareholders of Sovos Brands seeking, among other things, to enjoin the acquisition. If any condition to the acquisition is not satisfied or waived, the completion of the acquisition could be significantly delayed or not occur at all.</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124460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248"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management of Campbell Soup Company (the Company) is responsible for establishing and maintaining adequate internal control over financial reporting (as such term is defined in Rule 13a-15(e) under the Securities Exchange Act of 1934, as amended).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of America.</w:t>
      </w:r>
    </w:p>
    <w:p>
      <w:pPr>
        <w:spacing w:after="0" w:line="5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Company's internal control over financial reporting includes those policies and procedures that:</w:t>
      </w:r>
    </w:p>
    <w:p>
      <w:pPr>
        <w:spacing w:after="0" w:line="101" w:lineRule="exact"/>
        <w:rPr>
          <w:sz w:val="20"/>
          <w:szCs w:val="20"/>
          <w:color w:val="auto"/>
        </w:rPr>
      </w:pPr>
    </w:p>
    <w:p>
      <w:pPr>
        <w:ind w:left="620" w:hanging="308"/>
        <w:spacing w:after="0"/>
        <w:tabs>
          <w:tab w:leader="none" w:pos="6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pertain to the maintenance of records that, in reasonable detail, accurately and fairly reflect the transactions and dispositions of the assets of the Company;</w:t>
      </w:r>
    </w:p>
    <w:p>
      <w:pPr>
        <w:spacing w:after="0" w:line="123" w:lineRule="exact"/>
        <w:rPr>
          <w:rFonts w:ascii="Arial" w:cs="Arial" w:eastAsia="Arial" w:hAnsi="Arial"/>
          <w:sz w:val="15"/>
          <w:szCs w:val="15"/>
          <w:color w:val="auto"/>
        </w:rPr>
      </w:pPr>
    </w:p>
    <w:p>
      <w:pPr>
        <w:jc w:val="both"/>
        <w:ind w:left="620" w:hanging="308"/>
        <w:spacing w:after="0" w:line="266" w:lineRule="auto"/>
        <w:tabs>
          <w:tab w:leader="none" w:pos="616" w:val="left"/>
        </w:tabs>
        <w:numPr>
          <w:ilvl w:val="0"/>
          <w:numId w:val="52"/>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4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52"/>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the Company's assets that could have a material effect on the financial statements.</w:t>
      </w:r>
    </w:p>
    <w:p>
      <w:pPr>
        <w:spacing w:after="0" w:line="4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Because of its inherent limitations, any system of internal control over financial reporting, no matter how well defined,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8"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 xml:space="preserve">The Company’s management assessed the effectiveness of the Company’s internal control over financial reporting as of July 30, 2023. In making this assessment, management used the criteria set forth by the Committee of Sponsoring Organizations of the Treadway Commission (COSO) in </w:t>
      </w:r>
      <w:r>
        <w:rPr>
          <w:rFonts w:ascii="Arial" w:cs="Arial" w:eastAsia="Arial" w:hAnsi="Arial"/>
          <w:sz w:val="17"/>
          <w:szCs w:val="17"/>
          <w:i w:val="1"/>
          <w:iCs w:val="1"/>
          <w:color w:val="auto"/>
        </w:rPr>
        <w:t>Internal Control —</w:t>
      </w:r>
      <w:r>
        <w:rPr>
          <w:rFonts w:ascii="Arial" w:cs="Arial" w:eastAsia="Arial" w:hAnsi="Arial"/>
          <w:sz w:val="17"/>
          <w:szCs w:val="17"/>
          <w:color w:val="auto"/>
        </w:rPr>
        <w:t xml:space="preserve"> </w:t>
      </w:r>
      <w:r>
        <w:rPr>
          <w:rFonts w:ascii="Arial" w:cs="Arial" w:eastAsia="Arial" w:hAnsi="Arial"/>
          <w:sz w:val="17"/>
          <w:szCs w:val="17"/>
          <w:i w:val="1"/>
          <w:iCs w:val="1"/>
          <w:color w:val="auto"/>
        </w:rPr>
        <w:t>Integrated Framework (2013)</w:t>
      </w:r>
      <w:r>
        <w:rPr>
          <w:rFonts w:ascii="Arial" w:cs="Arial" w:eastAsia="Arial" w:hAnsi="Arial"/>
          <w:sz w:val="17"/>
          <w:szCs w:val="17"/>
          <w:color w:val="auto"/>
        </w:rPr>
        <w:t>. Based on this assessment using those criteria, management concluded that the Company’s internal control over financial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was effective as of July 30, 2023.</w:t>
      </w:r>
    </w:p>
    <w:p>
      <w:pPr>
        <w:spacing w:after="0" w:line="5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effectiveness of the Company’s internal control over financial reporting as of July 30, 2023 has been audited by PricewaterhouseCoopers LLP, an independent registered public accounting firm, as stated in their report, which appears on the next page.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Mark A. Clouse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14605</wp:posOffset>
            </wp:positionV>
            <wp:extent cx="33769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7693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Mark A. Clouse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color w:val="auto"/>
        </w:rPr>
        <w:t>President and Chief Executive Officer</w:t>
      </w:r>
    </w:p>
    <w:p>
      <w:pPr>
        <w:spacing w:after="0" w:line="268"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Carrie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14605</wp:posOffset>
            </wp:positionV>
            <wp:extent cx="337693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7693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color w:val="auto"/>
        </w:rPr>
        <w:t>Carrie L. Anderson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Executive Vice President and Chief Financial Officer</w:t>
      </w:r>
    </w:p>
    <w:p>
      <w:pPr>
        <w:spacing w:after="0" w:line="268"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Stanley Polomski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14605</wp:posOffset>
            </wp:positionV>
            <wp:extent cx="337693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7693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color w:val="auto"/>
        </w:rPr>
        <w:t>Stanley Polomski</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color w:val="auto"/>
        </w:rPr>
        <w:t>Senior Vice President and Controller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color w:val="auto"/>
        </w:rPr>
        <w:t>(Principal Accounting Officer)</w:t>
      </w: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color w:val="auto"/>
        </w:rPr>
        <w:t>September 21, 2023</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124460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70" w:name="page71"/>
    <w:bookmarkEnd w:id="70"/>
    <w:p>
      <w:pPr>
        <w:ind w:left="3480"/>
        <w:spacing w:after="0"/>
        <w:rPr>
          <w:sz w:val="20"/>
          <w:szCs w:val="20"/>
          <w:color w:val="auto"/>
        </w:rPr>
      </w:pPr>
      <w:r>
        <w:rPr>
          <w:rFonts w:ascii="Arial" w:cs="Arial" w:eastAsia="Arial" w:hAnsi="Arial"/>
          <w:sz w:val="17"/>
          <w:szCs w:val="17"/>
          <w:b w:val="1"/>
          <w:bCs w:val="1"/>
          <w:u w:val="single" w:color="auto"/>
          <w:color w:val="auto"/>
        </w:rPr>
        <w:t>Report of Independent Registered Public Accounting Firm</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Shareholders of Campbell Soup Company</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Opinions on the Financial Statements and Internal Control over Financial Reporting</w:t>
      </w:r>
    </w:p>
    <w:p>
      <w:pPr>
        <w:spacing w:after="0" w:line="10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We have audited the accompanying consolidated balance sheets of Campbell Soup Company and its subsidiaries (the "Company") as of July 30, 2023 and July 31, 2022, and the related consolidated statements of earnings, of comprehensive income, of equity and of cash flows for each of the three years in the period ended July 30, 2023, including the related notes and schedule of valuation and qualifying accounts for each of the three years in the period ended July 30, 2023 appearing on page 80 (collectively referred to as the "consolidated financial statements"). We also have audited the Company's internal control over financial reporting as of July 30, 2023,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66"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 xml:space="preserve">In our opinion, the consolidated financial statements referred to above present fairly, in all material respects, the financial position of the Company as of July 30, 2023 and July 31, 2022, and the results of its operations and its cash flows for each of the three years in the period ended July 30, 2023 in conformity with accounting principles generally accepted in the United States of America. Also in our opinion, the Company maintained, in all material respects, effective internal control over financial reporting as of July 30, 2023, based on criteria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(2013) issued by the COSO.</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Opinions</w:t>
      </w:r>
    </w:p>
    <w:p>
      <w:pPr>
        <w:spacing w:after="0" w:line="10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4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Definition and Limitations of Internal Control over Financial Reporting</w:t>
      </w:r>
    </w:p>
    <w:p>
      <w:pPr>
        <w:spacing w:after="0" w:line="10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124460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71" w:name="page72"/>
    <w:bookmarkEnd w:id="71"/>
    <w:p>
      <w:pPr>
        <w:spacing w:after="0"/>
        <w:rPr>
          <w:sz w:val="20"/>
          <w:szCs w:val="20"/>
          <w:color w:val="auto"/>
        </w:rPr>
      </w:pPr>
      <w:r>
        <w:rPr>
          <w:rFonts w:ascii="Arial" w:cs="Arial" w:eastAsia="Arial" w:hAnsi="Arial"/>
          <w:sz w:val="17"/>
          <w:szCs w:val="17"/>
          <w:b w:val="1"/>
          <w:bCs w:val="1"/>
          <w:i w:val="1"/>
          <w:iCs w:val="1"/>
          <w:color w:val="auto"/>
        </w:rPr>
        <w:t>Critical Audit Matters</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Indefinite-Lived Intangible Assets Impairment Test for Certain Trademarks</w:t>
      </w:r>
    </w:p>
    <w:p>
      <w:pPr>
        <w:spacing w:after="0" w:line="10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 xml:space="preserve">As described in Notes 1 and 5 to the consolidated financial statements, the Company’s indefinite-lived intangible assets (trademarks) were $2.541 billion as of July 30, 2023. Of the carrying value of all indefinite-lived trademarks, $620 million related to the </w:t>
      </w:r>
      <w:r>
        <w:rPr>
          <w:rFonts w:ascii="Arial" w:cs="Arial" w:eastAsia="Arial" w:hAnsi="Arial"/>
          <w:sz w:val="17"/>
          <w:szCs w:val="17"/>
          <w:i w:val="1"/>
          <w:iCs w:val="1"/>
          <w:color w:val="auto"/>
        </w:rPr>
        <w:t>Snyder's of Hanover</w:t>
      </w:r>
      <w:r>
        <w:rPr>
          <w:rFonts w:ascii="Arial" w:cs="Arial" w:eastAsia="Arial" w:hAnsi="Arial"/>
          <w:sz w:val="17"/>
          <w:szCs w:val="17"/>
          <w:color w:val="auto"/>
        </w:rPr>
        <w:t xml:space="preserve"> trademark, $350 million related to the </w:t>
      </w:r>
      <w:r>
        <w:rPr>
          <w:rFonts w:ascii="Arial" w:cs="Arial" w:eastAsia="Arial" w:hAnsi="Arial"/>
          <w:sz w:val="17"/>
          <w:szCs w:val="17"/>
          <w:i w:val="1"/>
          <w:iCs w:val="1"/>
          <w:color w:val="auto"/>
        </w:rPr>
        <w:t xml:space="preserve">Lance </w:t>
      </w:r>
      <w:r>
        <w:rPr>
          <w:rFonts w:ascii="Arial" w:cs="Arial" w:eastAsia="Arial" w:hAnsi="Arial"/>
          <w:sz w:val="17"/>
          <w:szCs w:val="17"/>
          <w:color w:val="auto"/>
        </w:rPr>
        <w:t>trademark, $318 million related to the</w:t>
      </w:r>
      <w:r>
        <w:rPr>
          <w:rFonts w:ascii="Arial" w:cs="Arial" w:eastAsia="Arial" w:hAnsi="Arial"/>
          <w:sz w:val="17"/>
          <w:szCs w:val="17"/>
          <w:i w:val="1"/>
          <w:iCs w:val="1"/>
          <w:color w:val="auto"/>
        </w:rPr>
        <w:t xml:space="preserve"> Kettle Brand </w:t>
      </w:r>
      <w:r>
        <w:rPr>
          <w:rFonts w:ascii="Arial" w:cs="Arial" w:eastAsia="Arial" w:hAnsi="Arial"/>
          <w:sz w:val="17"/>
          <w:szCs w:val="17"/>
          <w:color w:val="auto"/>
        </w:rPr>
        <w:t>trademark, $280 million related to the</w:t>
      </w:r>
      <w:r>
        <w:rPr>
          <w:rFonts w:ascii="Arial" w:cs="Arial" w:eastAsia="Arial" w:hAnsi="Arial"/>
          <w:sz w:val="17"/>
          <w:szCs w:val="17"/>
          <w:i w:val="1"/>
          <w:iCs w:val="1"/>
          <w:color w:val="auto"/>
        </w:rPr>
        <w:t xml:space="preserve"> Pacific Foods </w:t>
      </w:r>
      <w:r>
        <w:rPr>
          <w:rFonts w:ascii="Arial" w:cs="Arial" w:eastAsia="Arial" w:hAnsi="Arial"/>
          <w:sz w:val="17"/>
          <w:szCs w:val="17"/>
          <w:color w:val="auto"/>
        </w:rPr>
        <w:t>trademark, and $187 million related to the</w:t>
      </w:r>
      <w:r>
        <w:rPr>
          <w:rFonts w:ascii="Arial" w:cs="Arial" w:eastAsia="Arial" w:hAnsi="Arial"/>
          <w:sz w:val="17"/>
          <w:szCs w:val="17"/>
          <w:i w:val="1"/>
          <w:iCs w:val="1"/>
          <w:color w:val="auto"/>
        </w:rPr>
        <w:t xml:space="preserve"> Cape Cod </w:t>
      </w:r>
      <w:r>
        <w:rPr>
          <w:rFonts w:ascii="Arial" w:cs="Arial" w:eastAsia="Arial" w:hAnsi="Arial"/>
          <w:sz w:val="17"/>
          <w:szCs w:val="17"/>
          <w:color w:val="auto"/>
        </w:rPr>
        <w:t>trademark. Management conducts a test at least annually in the fourth quarter for impairment, or more often if events or changes in circumstances indicate that</w:t>
      </w:r>
      <w:r>
        <w:rPr>
          <w:rFonts w:ascii="Arial" w:cs="Arial" w:eastAsia="Arial" w:hAnsi="Arial"/>
          <w:sz w:val="17"/>
          <w:szCs w:val="17"/>
          <w:i w:val="1"/>
          <w:iCs w:val="1"/>
          <w:color w:val="auto"/>
        </w:rPr>
        <w:t xml:space="preserve"> </w:t>
      </w:r>
      <w:r>
        <w:rPr>
          <w:rFonts w:ascii="Arial" w:cs="Arial" w:eastAsia="Arial" w:hAnsi="Arial"/>
          <w:sz w:val="17"/>
          <w:szCs w:val="17"/>
          <w:color w:val="auto"/>
        </w:rPr>
        <w:t>the carrying amount of the asset may be impaired. Indefinite-lived intangible assets are tested for impairment by comparing the fair value of the asset to the carrying value. Fair value is determined using a relief from royalty valuation method based on discounted cash flow analyses that include significant management assumptions such as revenue growth rates, weighted average costs of capital and assumed royalty rates. If the carrying value exceeds fair value, an impairment charge will be recorded to reduce the asset to fair value.</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The principal considerations for our determination that performing procedures relating to the indefinite-lived intangible assets impairment test for certain trademarks is a critical audit matter are (i) the significant judgment by management when developing the fair value estimate of certain trademarks, (ii) a high degree of auditor judgment, subjectivity, and effort in performing procedures and evaluating management’s significant assumptions related to the weighted average costs of capital and assumed royalty rates for the </w:t>
      </w:r>
      <w:r>
        <w:rPr>
          <w:rFonts w:ascii="Arial" w:cs="Arial" w:eastAsia="Arial" w:hAnsi="Arial"/>
          <w:sz w:val="17"/>
          <w:szCs w:val="17"/>
          <w:i w:val="1"/>
          <w:iCs w:val="1"/>
          <w:color w:val="auto"/>
        </w:rPr>
        <w:t>Snyder's of Hanover, Lance, Kettle Brand, Pacific Foods,</w:t>
      </w:r>
      <w:r>
        <w:rPr>
          <w:rFonts w:ascii="Arial" w:cs="Arial" w:eastAsia="Arial" w:hAnsi="Arial"/>
          <w:sz w:val="17"/>
          <w:szCs w:val="17"/>
          <w:color w:val="auto"/>
        </w:rPr>
        <w:t xml:space="preserve"> and </w:t>
      </w:r>
      <w:r>
        <w:rPr>
          <w:rFonts w:ascii="Arial" w:cs="Arial" w:eastAsia="Arial" w:hAnsi="Arial"/>
          <w:sz w:val="17"/>
          <w:szCs w:val="17"/>
          <w:i w:val="1"/>
          <w:iCs w:val="1"/>
          <w:color w:val="auto"/>
        </w:rPr>
        <w:t>Cape Cod</w:t>
      </w:r>
      <w:r>
        <w:rPr>
          <w:rFonts w:ascii="Arial" w:cs="Arial" w:eastAsia="Arial" w:hAnsi="Arial"/>
          <w:sz w:val="17"/>
          <w:szCs w:val="17"/>
          <w:color w:val="auto"/>
        </w:rPr>
        <w:t xml:space="preserve"> trademarks, and (iii) the audit effort involved the use of professionals with specialized skill and knowledge.</w:t>
      </w:r>
    </w:p>
    <w:p>
      <w:pPr>
        <w:spacing w:after="0" w:line="66"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 xml:space="preserve">Addressing the matter involved performing procedures and evaluating audit evidence in connection with forming our overall opinion on the consolidated financial statements. These procedures included testing the effectiveness of controls relating to management’s indefinite-lived intangible assets impairment test for trademarks. These procedures also included, among others (i) testing management’s process for developing the fair value estimate of certain trademarks, (ii) evaluating the appropriateness of the relief from royalty valuation method, (iii) testing the completeness and accuracy of underlying data used in the relief from royalty valuation method, and (iv) evaluating the reasonableness of the significant assumptions used by management related to the weighted average costs of capital and assumed royalty rates for the </w:t>
      </w:r>
      <w:r>
        <w:rPr>
          <w:rFonts w:ascii="Arial" w:cs="Arial" w:eastAsia="Arial" w:hAnsi="Arial"/>
          <w:sz w:val="15"/>
          <w:szCs w:val="15"/>
          <w:i w:val="1"/>
          <w:iCs w:val="1"/>
          <w:color w:val="auto"/>
        </w:rPr>
        <w:t>Snyder's of Hanover, Lance, Kettle Brand, Pacific Foods,</w:t>
      </w:r>
      <w:r>
        <w:rPr>
          <w:rFonts w:ascii="Arial" w:cs="Arial" w:eastAsia="Arial" w:hAnsi="Arial"/>
          <w:sz w:val="15"/>
          <w:szCs w:val="15"/>
          <w:color w:val="auto"/>
        </w:rPr>
        <w:t xml:space="preserve"> and </w:t>
      </w:r>
      <w:r>
        <w:rPr>
          <w:rFonts w:ascii="Arial" w:cs="Arial" w:eastAsia="Arial" w:hAnsi="Arial"/>
          <w:sz w:val="15"/>
          <w:szCs w:val="15"/>
          <w:i w:val="1"/>
          <w:iCs w:val="1"/>
          <w:color w:val="auto"/>
        </w:rPr>
        <w:t>Cape Cod</w:t>
      </w:r>
      <w:r>
        <w:rPr>
          <w:rFonts w:ascii="Arial" w:cs="Arial" w:eastAsia="Arial" w:hAnsi="Arial"/>
          <w:sz w:val="15"/>
          <w:szCs w:val="15"/>
          <w:color w:val="auto"/>
        </w:rPr>
        <w:t xml:space="preserve"> trademarks. Evaluating management’s assumption related to the assumed royalty rates involved evaluating whether the assumption used by management was reasonable considering (i) the current and past profitability of certain trademarks, (ii) the consistency with external market and industry data, and (iii) whether the assumption was consistent with evidence obtained in other areas of the audit. Professionals with specialized skill and knowledge were used to assist in the evaluation of the appropriateness of the relief from royalty valuation method and the reasonableness of the weighted average cost of capital and assumed royalty rate assumptions.</w:t>
      </w:r>
    </w:p>
    <w:p>
      <w:pPr>
        <w:spacing w:after="0" w:line="315"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5"/>
          <w:szCs w:val="15"/>
          <w:color w:val="auto"/>
        </w:rPr>
        <w:t>PricewaterhouseCoopers LLP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Philadelphia, Pennsylvania</w:t>
      </w:r>
    </w:p>
    <w:p>
      <w:pPr>
        <w:spacing w:after="0" w:line="28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September 21, 2023</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1954.</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116205</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b w:val="1"/>
          <w:bCs w:val="1"/>
          <w:color w:val="auto"/>
        </w:rPr>
        <w:t xml:space="preserve">Item 9. </w:t>
      </w:r>
      <w:r>
        <w:rPr>
          <w:rFonts w:ascii="Arial" w:cs="Arial" w:eastAsia="Arial" w:hAnsi="Arial"/>
          <w:sz w:val="17"/>
          <w:szCs w:val="17"/>
          <w:b w:val="1"/>
          <w:bCs w:val="1"/>
          <w:i w:val="1"/>
          <w:iCs w:val="1"/>
          <w:color w:val="auto"/>
        </w:rPr>
        <w:t>Changes in and Disagreements with Accountants on Accounting and Financial Disclosure</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9A. </w:t>
      </w:r>
      <w:r>
        <w:rPr>
          <w:rFonts w:ascii="Arial" w:cs="Arial" w:eastAsia="Arial" w:hAnsi="Arial"/>
          <w:sz w:val="17"/>
          <w:szCs w:val="17"/>
          <w:b w:val="1"/>
          <w:bCs w:val="1"/>
          <w:i w:val="1"/>
          <w:iCs w:val="1"/>
          <w:color w:val="auto"/>
        </w:rPr>
        <w:t>Controls and Procedures</w:t>
      </w:r>
    </w:p>
    <w:p>
      <w:pPr>
        <w:spacing w:after="0" w:line="107"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We, under the supervision and with the participation of our management, including the President and Chief Executive Officer and the Executive Vice President and Chief Financial Officer, have evaluated the effectiveness of our disclosure controls and procedures (as such term is defined in Rule 13a-15(e) under the Exchange Act) as of July 30, 2023 (the Evaluation Date). Based on such evaluation, the President and Chief Executive Officer and the Executive Vice President and Chief Financial Officer have concluded that, as of the Evaluation Date, our disclosure controls and procedures are effective.</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annual report of management on our internal control over financial reporting is provided under "Financial Statements and Supplementary Data" on page</w:t>
      </w:r>
    </w:p>
    <w:p>
      <w:pPr>
        <w:spacing w:after="0" w:line="44" w:lineRule="exact"/>
        <w:rPr>
          <w:sz w:val="20"/>
          <w:szCs w:val="20"/>
          <w:color w:val="auto"/>
        </w:rPr>
      </w:pPr>
    </w:p>
    <w:p>
      <w:pPr>
        <w:ind w:firstLine="3"/>
        <w:spacing w:after="0" w:line="265" w:lineRule="auto"/>
        <w:tabs>
          <w:tab w:leader="none" w:pos="292"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attestation report of PricewaterhouseCoopers LLP, our independent registered public accounting firm, regarding our internal control over financial reporting is provided under "Financial Statements and Supplementary Data" on pages 71-72.</w:t>
      </w:r>
    </w:p>
    <w:p>
      <w:pPr>
        <w:spacing w:after="0" w:line="47"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There were no changes in our internal control over financial reporting that materially affected, or were likely to materially affect, such internal control over financial reporting during the quarter ended July 30, 2023.</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9B. </w:t>
      </w:r>
      <w:r>
        <w:rPr>
          <w:rFonts w:ascii="Arial" w:cs="Arial" w:eastAsia="Arial" w:hAnsi="Arial"/>
          <w:sz w:val="17"/>
          <w:szCs w:val="17"/>
          <w:b w:val="1"/>
          <w:bCs w:val="1"/>
          <w:i w:val="1"/>
          <w:iCs w:val="1"/>
          <w:color w:val="auto"/>
        </w:rPr>
        <w:t>Other Information</w:t>
      </w:r>
    </w:p>
    <w:p>
      <w:pPr>
        <w:spacing w:after="0" w:line="107"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During the quarter ended July 30, 2023, none of our directors or officers (as defined in Rule 16a-1(f) under the Exchange Act) adopted or terminated any contract, instruction or written plan for the purchase or sale of our securities that was intended to satisfy the affirmative defense conditions of Rule 10b5-1(c) or any "non-Rule 10b5-1 trading arrangement" in accordance with Item 408 of Regulation S-K of the Securities Act.</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9C. </w:t>
      </w:r>
      <w:r>
        <w:rPr>
          <w:rFonts w:ascii="Arial" w:cs="Arial" w:eastAsia="Arial" w:hAnsi="Arial"/>
          <w:sz w:val="17"/>
          <w:szCs w:val="17"/>
          <w:b w:val="1"/>
          <w:bCs w:val="1"/>
          <w:i w:val="1"/>
          <w:iCs w:val="1"/>
          <w:color w:val="auto"/>
        </w:rPr>
        <w:t>Disclosure Regarding Foreign Jurisdictions that Prevent Inspections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III</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10. </w:t>
      </w:r>
      <w:r>
        <w:rPr>
          <w:rFonts w:ascii="Arial" w:cs="Arial" w:eastAsia="Arial" w:hAnsi="Arial"/>
          <w:sz w:val="17"/>
          <w:szCs w:val="17"/>
          <w:b w:val="1"/>
          <w:bCs w:val="1"/>
          <w:i w:val="1"/>
          <w:iCs w:val="1"/>
          <w:color w:val="auto"/>
        </w:rPr>
        <w:t>Directors, Executive Officers and Corporate Governance</w:t>
      </w:r>
    </w:p>
    <w:p>
      <w:pPr>
        <w:spacing w:after="0" w:line="107"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sections entitled "Item 1 — Election of Directors" and "Voting Securities and Principal Shareholders — Ownership of Directors and Executive Officers" in our Proxy Statement for the 2023 Annual Meeting of Shareholders (the 2023 Proxy) are incorporated herein by reference. The information presented in the section entitled "Corporate Governance Policies and Practices — Board Meetings and Committees — Board Committee Structure" in the 2023 Proxy relating to the members of our Audit Committee and the Audit Committee’s financial experts is incorporated herein by reference.</w:t>
      </w:r>
    </w:p>
    <w:p>
      <w:pPr>
        <w:spacing w:after="0" w:line="64"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Certain of the information required by this Item relating to our executive officers is set forth under the heading "Information about our Executive Officers" in this Report.</w:t>
      </w:r>
    </w:p>
    <w:p>
      <w:pPr>
        <w:spacing w:after="0" w:line="3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 xml:space="preserve">We have adopted a Code of Ethics for the Chief Executive Officer and Senior Financial Officers that applies to our Chief Executive Officer, Chief Financial Officer, Controller and members of the Chief Financial Officer’s financial leadership team. The Code of Ethics for the Chief Executive Officer and Senior Financial Officers is posted on the Investor portion of our website, </w:t>
      </w:r>
      <w:r>
        <w:rPr>
          <w:rFonts w:ascii="Arial" w:cs="Arial" w:eastAsia="Arial" w:hAnsi="Arial"/>
          <w:sz w:val="17"/>
          <w:szCs w:val="17"/>
          <w:u w:val="single" w:color="auto"/>
          <w:color w:val="auto"/>
        </w:rPr>
        <w:t>www.campbellsoupcompany.com</w:t>
      </w:r>
      <w:r>
        <w:rPr>
          <w:rFonts w:ascii="Arial" w:cs="Arial" w:eastAsia="Arial" w:hAnsi="Arial"/>
          <w:sz w:val="17"/>
          <w:szCs w:val="17"/>
          <w:color w:val="auto"/>
        </w:rPr>
        <w:t xml:space="preserve"> (under the "About Us—Investors—Governance— Governance Documents" caption). We intend to satisfy the disclosure requirement regarding any amendment to, or a waiver of, a provision of the Code of Ethics for the Chief Executive Officer and Senior Financial Officers by posting such information on our website.</w:t>
      </w:r>
    </w:p>
    <w:p>
      <w:pPr>
        <w:spacing w:after="0" w:line="66"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 xml:space="preserve">We have also adopted a separate Code of Business Conduct and Ethics applicable to the Board of Directors, our officers and all of our employees. The Code of Business Conduct and Ethics is posted on the Investor portion of our website, </w:t>
      </w:r>
      <w:r>
        <w:rPr>
          <w:rFonts w:ascii="Arial" w:cs="Arial" w:eastAsia="Arial" w:hAnsi="Arial"/>
          <w:sz w:val="16"/>
          <w:szCs w:val="16"/>
          <w:u w:val="single" w:color="auto"/>
          <w:color w:val="auto"/>
        </w:rPr>
        <w:t>www.campbellsoupcompany.com</w:t>
      </w:r>
      <w:r>
        <w:rPr>
          <w:rFonts w:ascii="Arial" w:cs="Arial" w:eastAsia="Arial" w:hAnsi="Arial"/>
          <w:sz w:val="16"/>
          <w:szCs w:val="16"/>
          <w:color w:val="auto"/>
        </w:rPr>
        <w:t xml:space="preserve"> (under the "About Us—Investors—Governance— Governance Documents" caption). Our Corporate Governance Standards and the charters of our four standing committees of the Board of Directors can also be found at this website. Printed copies of the foregoing are available to any shareholder requesting a copy by:</w:t>
      </w:r>
    </w:p>
    <w:p>
      <w:pPr>
        <w:spacing w:after="0" w:line="46" w:lineRule="exact"/>
        <w:rPr>
          <w:sz w:val="20"/>
          <w:szCs w:val="20"/>
          <w:color w:val="auto"/>
        </w:rPr>
      </w:pPr>
    </w:p>
    <w:p>
      <w:pPr>
        <w:ind w:left="620" w:hanging="308"/>
        <w:spacing w:after="0"/>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writing to Investor Relations, Campbell Soup Company, 1 Campbell Place, Camden, NJ 08103-1799;</w:t>
      </w:r>
    </w:p>
    <w:p>
      <w:pPr>
        <w:spacing w:after="0" w:line="87" w:lineRule="exact"/>
        <w:rPr>
          <w:rFonts w:ascii="Arial" w:cs="Arial" w:eastAsia="Arial" w:hAnsi="Arial"/>
          <w:sz w:val="17"/>
          <w:szCs w:val="17"/>
          <w:color w:val="auto"/>
        </w:rPr>
      </w:pPr>
    </w:p>
    <w:p>
      <w:pPr>
        <w:ind w:left="620" w:hanging="308"/>
        <w:spacing w:after="0"/>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calling 856-342-6081; or</w:t>
      </w:r>
    </w:p>
    <w:p>
      <w:pPr>
        <w:spacing w:after="0" w:line="100" w:lineRule="exact"/>
        <w:rPr>
          <w:rFonts w:ascii="Arial" w:cs="Arial" w:eastAsia="Arial" w:hAnsi="Arial"/>
          <w:sz w:val="17"/>
          <w:szCs w:val="17"/>
          <w:color w:val="auto"/>
        </w:rPr>
      </w:pPr>
    </w:p>
    <w:p>
      <w:pPr>
        <w:ind w:left="620" w:hanging="308"/>
        <w:spacing w:after="0"/>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e-mailing our Investor Relations Department at IR@campbells.com.</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11. </w:t>
      </w:r>
      <w:r>
        <w:rPr>
          <w:rFonts w:ascii="Arial" w:cs="Arial" w:eastAsia="Arial" w:hAnsi="Arial"/>
          <w:sz w:val="17"/>
          <w:szCs w:val="17"/>
          <w:b w:val="1"/>
          <w:bCs w:val="1"/>
          <w:i w:val="1"/>
          <w:iCs w:val="1"/>
          <w:color w:val="auto"/>
        </w:rPr>
        <w:t>Executive Compensation</w:t>
      </w:r>
    </w:p>
    <w:p>
      <w:pPr>
        <w:spacing w:after="0" w:line="107"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information presented in the sections entitled "Compensation Discussion and Analysis," "Executive Compensation Tables," "Corporate Governance Policies and Practices — Compensation of Directors," "Corporate Governance Policies and Practices — Board Meetings and Committees — Board Committee Structure — Compensation and Organization Committee Interlocks and Insider Participation" and "Compensation Discussion and Analysis — Compensation and Organization Committee Report" in the 2023 Proxy is incorporated herein by reference.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124460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Shareholder Matters</w:t>
      </w:r>
    </w:p>
    <w:p>
      <w:pPr>
        <w:spacing w:after="0" w:line="94"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The information presented in the sections entitled "Voting Securities and Principal Shareholders — Ownership of Directors and Executive Officers" and "Voting Securities and Principal Shareholders — Principal Shareholders" in the 2023 Proxy is incorporated herein by reference.</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Authorized for Issuance Under Equity Compensation Plans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provides information about the stock that could have been issued under our equity compensation plans as of July 30, 2023:</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 Securities</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Number of</w:t>
            </w:r>
          </w:p>
        </w:tc>
        <w:tc>
          <w:tcPr>
            <w:tcW w:w="180" w:type="dxa"/>
            <w:vAlign w:val="bottom"/>
          </w:tcPr>
          <w:p>
            <w:pPr>
              <w:spacing w:after="0"/>
              <w:rPr>
                <w:sz w:val="11"/>
                <w:szCs w:val="11"/>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Weighted-</w:t>
            </w:r>
          </w:p>
        </w:tc>
        <w:tc>
          <w:tcPr>
            <w:tcW w:w="186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9"/>
              </w:rPr>
              <w:t>Remaining Available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8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7"/>
              </w:rPr>
              <w:t>For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6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4"/>
              </w:rPr>
              <w:t>Securities to be</w:t>
            </w:r>
          </w:p>
        </w:tc>
        <w:tc>
          <w:tcPr>
            <w:tcW w:w="180" w:type="dxa"/>
            <w:vAlign w:val="bottom"/>
          </w:tcPr>
          <w:p>
            <w:pPr>
              <w:spacing w:after="0"/>
              <w:rPr>
                <w:sz w:val="12"/>
                <w:szCs w:val="12"/>
                <w:color w:val="auto"/>
              </w:rPr>
            </w:pPr>
          </w:p>
        </w:tc>
        <w:tc>
          <w:tcPr>
            <w:tcW w:w="136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86"/>
              </w:rPr>
              <w:t>Average</w:t>
            </w:r>
          </w:p>
        </w:tc>
        <w:tc>
          <w:tcPr>
            <w:tcW w:w="18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Future Issuance Under</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1620" w:type="dxa"/>
            <w:vAlign w:val="bottom"/>
            <w:gridSpan w:val="2"/>
          </w:tcPr>
          <w:p>
            <w:pPr>
              <w:jc w:val="center"/>
              <w:ind w:right="100"/>
              <w:spacing w:after="0" w:line="132" w:lineRule="exact"/>
              <w:rPr>
                <w:sz w:val="20"/>
                <w:szCs w:val="20"/>
                <w:color w:val="auto"/>
              </w:rPr>
            </w:pPr>
            <w:r>
              <w:rPr>
                <w:rFonts w:ascii="Arial" w:cs="Arial" w:eastAsia="Arial" w:hAnsi="Arial"/>
                <w:sz w:val="14"/>
                <w:szCs w:val="14"/>
                <w:b w:val="1"/>
                <w:bCs w:val="1"/>
                <w:color w:val="auto"/>
                <w:w w:val="85"/>
              </w:rPr>
              <w:t>Issued Upon</w:t>
            </w:r>
          </w:p>
        </w:tc>
        <w:tc>
          <w:tcPr>
            <w:tcW w:w="180" w:type="dxa"/>
            <w:vAlign w:val="bottom"/>
          </w:tcPr>
          <w:p>
            <w:pPr>
              <w:spacing w:after="0"/>
              <w:rPr>
                <w:sz w:val="11"/>
                <w:szCs w:val="11"/>
                <w:color w:val="auto"/>
              </w:rPr>
            </w:pPr>
          </w:p>
        </w:tc>
        <w:tc>
          <w:tcPr>
            <w:tcW w:w="1360" w:type="dxa"/>
            <w:vAlign w:val="bottom"/>
            <w:gridSpan w:val="2"/>
          </w:tcPr>
          <w:p>
            <w:pPr>
              <w:jc w:val="center"/>
              <w:ind w:right="260"/>
              <w:spacing w:after="0" w:line="132" w:lineRule="exact"/>
              <w:rPr>
                <w:sz w:val="20"/>
                <w:szCs w:val="20"/>
                <w:color w:val="auto"/>
              </w:rPr>
            </w:pPr>
            <w:r>
              <w:rPr>
                <w:rFonts w:ascii="Arial" w:cs="Arial" w:eastAsia="Arial" w:hAnsi="Arial"/>
                <w:sz w:val="14"/>
                <w:szCs w:val="14"/>
                <w:b w:val="1"/>
                <w:bCs w:val="1"/>
                <w:color w:val="auto"/>
                <w:w w:val="86"/>
              </w:rPr>
              <w:t>Exercise Price of</w:t>
            </w:r>
          </w:p>
        </w:tc>
        <w:tc>
          <w:tcPr>
            <w:tcW w:w="186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8"/>
              </w:rPr>
              <w:t>Equity Compensation</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62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85"/>
              </w:rPr>
              <w:t>Exercise of</w:t>
            </w:r>
          </w:p>
        </w:tc>
        <w:tc>
          <w:tcPr>
            <w:tcW w:w="180" w:type="dxa"/>
            <w:vAlign w:val="bottom"/>
          </w:tcPr>
          <w:p>
            <w:pPr>
              <w:spacing w:after="0"/>
              <w:rPr>
                <w:sz w:val="12"/>
                <w:szCs w:val="12"/>
                <w:color w:val="auto"/>
              </w:rPr>
            </w:pPr>
          </w:p>
        </w:tc>
        <w:tc>
          <w:tcPr>
            <w:tcW w:w="136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w w:val="87"/>
              </w:rPr>
              <w:t>Outstanding</w:t>
            </w:r>
          </w:p>
        </w:tc>
        <w:tc>
          <w:tcPr>
            <w:tcW w:w="18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85"/>
              </w:rPr>
              <w:t>Plans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6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7"/>
              </w:rPr>
              <w:t>Outstanding</w:t>
            </w:r>
          </w:p>
        </w:tc>
        <w:tc>
          <w:tcPr>
            <w:tcW w:w="180" w:type="dxa"/>
            <w:vAlign w:val="bottom"/>
          </w:tcPr>
          <w:p>
            <w:pPr>
              <w:spacing w:after="0"/>
              <w:rPr>
                <w:sz w:val="12"/>
                <w:szCs w:val="12"/>
                <w:color w:val="auto"/>
              </w:rPr>
            </w:pPr>
          </w:p>
        </w:tc>
        <w:tc>
          <w:tcPr>
            <w:tcW w:w="13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87"/>
              </w:rPr>
              <w:t>Options,</w:t>
            </w:r>
          </w:p>
        </w:tc>
        <w:tc>
          <w:tcPr>
            <w:tcW w:w="18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(Excluding Securities</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620" w:type="dxa"/>
            <w:vAlign w:val="bottom"/>
            <w:gridSpan w:val="2"/>
          </w:tcPr>
          <w:p>
            <w:pPr>
              <w:jc w:val="center"/>
              <w:ind w:right="100"/>
              <w:spacing w:after="0" w:line="132" w:lineRule="exact"/>
              <w:rPr>
                <w:sz w:val="20"/>
                <w:szCs w:val="20"/>
                <w:color w:val="auto"/>
              </w:rPr>
            </w:pPr>
            <w:r>
              <w:rPr>
                <w:rFonts w:ascii="Arial" w:cs="Arial" w:eastAsia="Arial" w:hAnsi="Arial"/>
                <w:sz w:val="14"/>
                <w:szCs w:val="14"/>
                <w:b w:val="1"/>
                <w:bCs w:val="1"/>
                <w:color w:val="auto"/>
                <w:w w:val="90"/>
              </w:rPr>
              <w:t>Options, Warrants and</w:t>
            </w:r>
          </w:p>
        </w:tc>
        <w:tc>
          <w:tcPr>
            <w:tcW w:w="1540" w:type="dxa"/>
            <w:vAlign w:val="bottom"/>
            <w:gridSpan w:val="3"/>
          </w:tcPr>
          <w:p>
            <w:pPr>
              <w:jc w:val="center"/>
              <w:ind w:right="100"/>
              <w:spacing w:after="0" w:line="132" w:lineRule="exact"/>
              <w:rPr>
                <w:sz w:val="20"/>
                <w:szCs w:val="20"/>
                <w:color w:val="auto"/>
              </w:rPr>
            </w:pPr>
            <w:r>
              <w:rPr>
                <w:rFonts w:ascii="Arial" w:cs="Arial" w:eastAsia="Arial" w:hAnsi="Arial"/>
                <w:sz w:val="14"/>
                <w:szCs w:val="14"/>
                <w:b w:val="1"/>
                <w:bCs w:val="1"/>
                <w:color w:val="auto"/>
                <w:w w:val="90"/>
              </w:rPr>
              <w:t>Warrants and Rights</w:t>
            </w:r>
          </w:p>
        </w:tc>
        <w:tc>
          <w:tcPr>
            <w:tcW w:w="186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9"/>
              </w:rPr>
              <w:t>Reflected in the First Column)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120" w:type="dxa"/>
            <w:vAlign w:val="bottom"/>
            <w:gridSpan w:val="2"/>
            <w:vMerge w:val="continue"/>
          </w:tcPr>
          <w:p>
            <w:pPr>
              <w:spacing w:after="0"/>
              <w:rPr>
                <w:sz w:val="13"/>
                <w:szCs w:val="13"/>
                <w:color w:val="auto"/>
              </w:rPr>
            </w:pPr>
          </w:p>
        </w:tc>
        <w:tc>
          <w:tcPr>
            <w:tcW w:w="1620" w:type="dxa"/>
            <w:vAlign w:val="bottom"/>
            <w:gridSpan w:val="2"/>
          </w:tcPr>
          <w:p>
            <w:pPr>
              <w:jc w:val="center"/>
              <w:ind w:right="100"/>
              <w:spacing w:after="0" w:line="151" w:lineRule="exact"/>
              <w:rPr>
                <w:sz w:val="20"/>
                <w:szCs w:val="20"/>
                <w:color w:val="auto"/>
              </w:rPr>
            </w:pPr>
            <w:r>
              <w:rPr>
                <w:rFonts w:ascii="Arial" w:cs="Arial" w:eastAsia="Arial" w:hAnsi="Arial"/>
                <w:sz w:val="14"/>
                <w:szCs w:val="14"/>
                <w:b w:val="1"/>
                <w:bCs w:val="1"/>
                <w:color w:val="auto"/>
                <w:w w:val="86"/>
              </w:rPr>
              <w:t>Rights (a)</w:t>
            </w:r>
          </w:p>
        </w:tc>
        <w:tc>
          <w:tcPr>
            <w:tcW w:w="180" w:type="dxa"/>
            <w:vAlign w:val="bottom"/>
          </w:tcPr>
          <w:p>
            <w:pPr>
              <w:spacing w:after="0"/>
              <w:rPr>
                <w:sz w:val="13"/>
                <w:szCs w:val="13"/>
                <w:color w:val="auto"/>
              </w:rPr>
            </w:pPr>
          </w:p>
        </w:tc>
        <w:tc>
          <w:tcPr>
            <w:tcW w:w="1360" w:type="dxa"/>
            <w:vAlign w:val="bottom"/>
            <w:gridSpan w:val="2"/>
          </w:tcPr>
          <w:p>
            <w:pPr>
              <w:jc w:val="center"/>
              <w:ind w:right="280"/>
              <w:spacing w:after="0" w:line="151" w:lineRule="exact"/>
              <w:rPr>
                <w:sz w:val="20"/>
                <w:szCs w:val="20"/>
                <w:color w:val="auto"/>
              </w:rPr>
            </w:pPr>
            <w:r>
              <w:rPr>
                <w:rFonts w:ascii="Arial" w:cs="Arial" w:eastAsia="Arial" w:hAnsi="Arial"/>
                <w:sz w:val="14"/>
                <w:szCs w:val="14"/>
                <w:b w:val="1"/>
                <w:bCs w:val="1"/>
                <w:color w:val="auto"/>
                <w:w w:val="89"/>
              </w:rPr>
              <w:t>(b)</w:t>
            </w:r>
          </w:p>
        </w:tc>
        <w:tc>
          <w:tcPr>
            <w:tcW w:w="186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120" w:type="dxa"/>
            <w:vAlign w:val="bottom"/>
            <w:gridSpan w:val="2"/>
            <w:shd w:val="clear" w:color="auto" w:fill="CCEEFF"/>
          </w:tcPr>
          <w:p>
            <w:pPr>
              <w:spacing w:after="0" w:line="211" w:lineRule="exact"/>
              <w:rPr>
                <w:sz w:val="20"/>
                <w:szCs w:val="20"/>
                <w:color w:val="auto"/>
              </w:rPr>
            </w:pPr>
            <w:r>
              <w:rPr>
                <w:rFonts w:ascii="Arial" w:cs="Arial" w:eastAsia="Arial" w:hAnsi="Arial"/>
                <w:sz w:val="17"/>
                <w:szCs w:val="17"/>
                <w:color w:val="auto"/>
              </w:rPr>
              <w:t xml:space="preserve">Equity Compensation Plans Approved by Security Holders </w:t>
            </w:r>
            <w:r>
              <w:rPr>
                <w:rFonts w:ascii="Arial" w:cs="Arial" w:eastAsia="Arial" w:hAnsi="Arial"/>
                <w:sz w:val="22"/>
                <w:szCs w:val="22"/>
                <w:color w:val="auto"/>
                <w:vertAlign w:val="superscript"/>
              </w:rPr>
              <w:t>(1)</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5,561,603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44.77</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7"/>
              <w:spacing w:after="0"/>
              <w:rPr>
                <w:sz w:val="20"/>
                <w:szCs w:val="20"/>
                <w:color w:val="auto"/>
              </w:rPr>
            </w:pPr>
            <w:r>
              <w:rPr>
                <w:rFonts w:ascii="Arial" w:cs="Arial" w:eastAsia="Arial" w:hAnsi="Arial"/>
                <w:sz w:val="17"/>
                <w:szCs w:val="17"/>
                <w:color w:val="auto"/>
              </w:rPr>
              <w:t>11,889,375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7"/>
                <w:szCs w:val="17"/>
                <w:color w:val="auto"/>
              </w:rPr>
              <w:t>Equity Compensation Plans Not Approved by Security Holders</w:t>
            </w:r>
          </w:p>
        </w:tc>
        <w:tc>
          <w:tcPr>
            <w:tcW w:w="1620" w:type="dxa"/>
            <w:vAlign w:val="bottom"/>
            <w:gridSpan w:val="2"/>
          </w:tcPr>
          <w:p>
            <w:pPr>
              <w:ind w:left="1220"/>
              <w:spacing w:after="0"/>
              <w:rPr>
                <w:sz w:val="20"/>
                <w:szCs w:val="20"/>
                <w:color w:val="auto"/>
              </w:rPr>
            </w:pPr>
            <w:r>
              <w:rPr>
                <w:rFonts w:ascii="Arial" w:cs="Arial" w:eastAsia="Arial" w:hAnsi="Arial"/>
                <w:sz w:val="17"/>
                <w:szCs w:val="17"/>
                <w:color w:val="auto"/>
              </w:rPr>
              <w:t>N/A</w:t>
            </w:r>
          </w:p>
        </w:tc>
        <w:tc>
          <w:tcPr>
            <w:tcW w:w="180" w:type="dxa"/>
            <w:vAlign w:val="bottom"/>
          </w:tcPr>
          <w:p>
            <w:pPr>
              <w:spacing w:after="0"/>
              <w:rPr>
                <w:sz w:val="18"/>
                <w:szCs w:val="18"/>
                <w:color w:val="auto"/>
              </w:rPr>
            </w:pPr>
          </w:p>
        </w:tc>
        <w:tc>
          <w:tcPr>
            <w:tcW w:w="1360" w:type="dxa"/>
            <w:vAlign w:val="bottom"/>
            <w:gridSpan w:val="2"/>
          </w:tcPr>
          <w:p>
            <w:pPr>
              <w:ind w:left="940"/>
              <w:spacing w:after="0"/>
              <w:rPr>
                <w:sz w:val="20"/>
                <w:szCs w:val="20"/>
                <w:color w:val="auto"/>
              </w:rPr>
            </w:pPr>
            <w:r>
              <w:rPr>
                <w:rFonts w:ascii="Arial" w:cs="Arial" w:eastAsia="Arial" w:hAnsi="Arial"/>
                <w:sz w:val="17"/>
                <w:szCs w:val="17"/>
                <w:color w:val="auto"/>
              </w:rPr>
              <w:t>N/A</w:t>
            </w:r>
          </w:p>
        </w:tc>
        <w:tc>
          <w:tcPr>
            <w:tcW w:w="186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5,561,603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7"/>
                <w:szCs w:val="17"/>
                <w:color w:val="auto"/>
              </w:rPr>
              <w:t>44.77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7"/>
                <w:szCs w:val="17"/>
                <w:color w:val="auto"/>
              </w:rPr>
              <w:t>11,889,375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w:t>
      </w:r>
    </w:p>
    <w:p>
      <w:pPr>
        <w:spacing w:after="0" w:line="7" w:lineRule="exact"/>
        <w:rPr>
          <w:sz w:val="20"/>
          <w:szCs w:val="20"/>
          <w:color w:val="auto"/>
        </w:rPr>
      </w:pPr>
    </w:p>
    <w:p>
      <w:pPr>
        <w:jc w:val="both"/>
        <w:ind w:left="320" w:hanging="317"/>
        <w:spacing w:after="0" w:line="245" w:lineRule="auto"/>
        <w:tabs>
          <w:tab w:leader="none" w:pos="308" w:val="left"/>
        </w:tabs>
        <w:numPr>
          <w:ilvl w:val="0"/>
          <w:numId w:val="55"/>
        </w:numPr>
        <w:rPr>
          <w:rFonts w:ascii="Arial" w:cs="Arial" w:eastAsia="Arial" w:hAnsi="Arial"/>
          <w:sz w:val="21"/>
          <w:szCs w:val="21"/>
          <w:color w:val="auto"/>
          <w:vertAlign w:val="superscript"/>
        </w:rPr>
      </w:pPr>
      <w:r>
        <w:rPr>
          <w:rFonts w:ascii="Arial" w:cs="Arial" w:eastAsia="Arial" w:hAnsi="Arial"/>
          <w:sz w:val="16"/>
          <w:szCs w:val="16"/>
          <w:color w:val="auto"/>
        </w:rPr>
        <w:t>Column (a) represents stock options and restricted stock units outstanding under the 2022 Long-Term Incentive Plan, the 2015 Long-Term Incentive Plan and the 2005 Long-Term Incentive Plan. Column (a) includes 3,015,598 TSR performance restricted stock units and EPS performance restricted stock units based on the maximum number of shares potentially issuable under the awards, and the number of shares, if any, to be issued pursuant to such awards will be determined based upon performance during the applicable three-year performance period. No additional awards can be made under either of the 2005 Long-Term Incentive Plan or 2015 Long-Term Incentive Plan. Future equity awards under the 2022 Long-Term Incentive Plan may take the form of incentive stock options, nonqualified stock options, stock appreciation rights (SARs), restricted stock, restricted performance stock, unrestricted Campbell stock, restricted stock units and performance units. Column (b) represents the weighted-average exercise price of the outstanding stock options only; the outstanding restricted stock units are not included in this calculation. Column (c) represents the maximum number of future equity awards that can be made under the 2022 Long-Term Incentive Plan as of July 30, 2023.</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13. </w:t>
      </w:r>
      <w:r>
        <w:rPr>
          <w:rFonts w:ascii="Arial" w:cs="Arial" w:eastAsia="Arial" w:hAnsi="Arial"/>
          <w:sz w:val="17"/>
          <w:szCs w:val="17"/>
          <w:b w:val="1"/>
          <w:bCs w:val="1"/>
          <w:i w:val="1"/>
          <w:iCs w:val="1"/>
          <w:color w:val="auto"/>
        </w:rPr>
        <w:t>Certain Relationships and Related Transactions, and Director Independence</w:t>
      </w:r>
    </w:p>
    <w:p>
      <w:pPr>
        <w:spacing w:after="0" w:line="107"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information presented in the sections entitled "Corporate Governance Policies and Practices — Transactions with Related Persons," "Item 1 — Election of Directors," "Corporate Governance Policies and Practices — Director Independence" and "Corporate Governance Policies and Practices — Board Meetings and Committees — Board Committee Structure" in the 2023 Proxy is incorporated herein by reference.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14. </w:t>
      </w:r>
      <w:r>
        <w:rPr>
          <w:rFonts w:ascii="Arial" w:cs="Arial" w:eastAsia="Arial" w:hAnsi="Arial"/>
          <w:sz w:val="17"/>
          <w:szCs w:val="17"/>
          <w:b w:val="1"/>
          <w:bCs w:val="1"/>
          <w:i w:val="1"/>
          <w:iCs w:val="1"/>
          <w:color w:val="auto"/>
        </w:rPr>
        <w:t>Principal Accounting Fees and Services</w:t>
      </w:r>
    </w:p>
    <w:p>
      <w:pPr>
        <w:spacing w:after="0" w:line="107"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information presented in the sections entitled "Item 2 — Ratification of Appointment of Independent Registered Public Accounting Firm — Audit Firm Fees and Services" and "Item 2 — Ratification of Appointment of Independent Registered Public Accounting Firm — Audit Committee Pre-Approval Policy" in the 2023 Proxy is incorporated herein by reference.</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IV</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15. </w:t>
      </w:r>
      <w:r>
        <w:rPr>
          <w:rFonts w:ascii="Arial" w:cs="Arial" w:eastAsia="Arial" w:hAnsi="Arial"/>
          <w:sz w:val="17"/>
          <w:szCs w:val="17"/>
          <w:b w:val="1"/>
          <w:bCs w:val="1"/>
          <w:i w:val="1"/>
          <w:iCs w:val="1"/>
          <w:color w:val="auto"/>
        </w:rPr>
        <w:t>Exhibits and Financial Statement Schedules</w:t>
      </w:r>
    </w:p>
    <w:p>
      <w:pPr>
        <w:spacing w:after="0" w:line="107" w:lineRule="exact"/>
        <w:rPr>
          <w:sz w:val="20"/>
          <w:szCs w:val="20"/>
          <w:color w:val="auto"/>
        </w:rPr>
      </w:pPr>
    </w:p>
    <w:p>
      <w:pPr>
        <w:ind w:left="240" w:hanging="237"/>
        <w:spacing w:after="0"/>
        <w:tabs>
          <w:tab w:leader="none" w:pos="2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following documents are filed as part of this Report:</w:t>
      </w:r>
    </w:p>
    <w:p>
      <w:pPr>
        <w:spacing w:after="0" w:line="87" w:lineRule="exact"/>
        <w:rPr>
          <w:rFonts w:ascii="Arial" w:cs="Arial" w:eastAsia="Arial" w:hAnsi="Arial"/>
          <w:sz w:val="17"/>
          <w:szCs w:val="17"/>
          <w:color w:val="auto"/>
        </w:rPr>
      </w:pPr>
    </w:p>
    <w:p>
      <w:pPr>
        <w:ind w:left="520" w:hanging="208"/>
        <w:spacing w:after="0"/>
        <w:tabs>
          <w:tab w:leader="none" w:pos="520" w:val="left"/>
        </w:tabs>
        <w:numPr>
          <w:ilvl w:val="1"/>
          <w:numId w:val="5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Financial Statements</w:t>
      </w:r>
    </w:p>
    <w:p>
      <w:pPr>
        <w:spacing w:after="0" w:line="10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Consolidated Statements of Earnings for 2023, 2022 and 2021</w:t>
      </w:r>
    </w:p>
    <w:p>
      <w:pPr>
        <w:spacing w:after="0" w:line="10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Consolidated Statements of Comprehensive Income for 2023, 2022 and 2021</w:t>
      </w:r>
    </w:p>
    <w:p>
      <w:pPr>
        <w:spacing w:after="0" w:line="8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Consolidated Balance Sheets as of July 30, 2023 and July 31, 2022</w:t>
      </w:r>
    </w:p>
    <w:p>
      <w:pPr>
        <w:spacing w:after="0" w:line="10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Consolidated Statements of Cash Flows for 2023, 2022 and 2021</w:t>
      </w:r>
    </w:p>
    <w:p>
      <w:pPr>
        <w:spacing w:after="0" w:line="10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Consolidated Statements of Equity for 2023, 2022 and 2021</w:t>
      </w:r>
    </w:p>
    <w:p>
      <w:pPr>
        <w:spacing w:after="0" w:line="8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Notes to Consolidated Financial Statements</w:t>
      </w:r>
    </w:p>
    <w:p>
      <w:pPr>
        <w:spacing w:after="0" w:line="10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Management's Report on Internal Control Over Financial Reporting</w:t>
      </w:r>
    </w:p>
    <w:p>
      <w:pPr>
        <w:spacing w:after="0" w:line="10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Report of Independent Registered Public Accounting Firm (PCAOB ID 238)</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116205</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74" w:name="page75"/>
    <w:bookmarkEnd w:id="74"/>
    <w:p>
      <w:pPr>
        <w:ind w:left="520" w:hanging="208"/>
        <w:spacing w:after="0"/>
        <w:tabs>
          <w:tab w:leader="none" w:pos="520" w:val="left"/>
        </w:tabs>
        <w:numPr>
          <w:ilvl w:val="0"/>
          <w:numId w:val="5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Financial Statement Schedule</w:t>
      </w:r>
    </w:p>
    <w:p>
      <w:pPr>
        <w:spacing w:after="0" w:line="87" w:lineRule="exact"/>
        <w:rPr>
          <w:rFonts w:ascii="Arial" w:cs="Arial" w:eastAsia="Arial" w:hAnsi="Arial"/>
          <w:sz w:val="17"/>
          <w:szCs w:val="17"/>
          <w:b w:val="1"/>
          <w:bCs w:val="1"/>
          <w:i w:val="1"/>
          <w:iCs w:val="1"/>
          <w:color w:val="auto"/>
        </w:rPr>
      </w:pPr>
    </w:p>
    <w:p>
      <w:pPr>
        <w:ind w:left="620"/>
        <w:spacing w:after="0"/>
        <w:rPr>
          <w:rFonts w:ascii="Arial" w:cs="Arial" w:eastAsia="Arial" w:hAnsi="Arial"/>
          <w:sz w:val="17"/>
          <w:szCs w:val="17"/>
          <w:b w:val="1"/>
          <w:bCs w:val="1"/>
          <w:i w:val="1"/>
          <w:iCs w:val="1"/>
          <w:color w:val="auto"/>
        </w:rPr>
      </w:pPr>
      <w:r>
        <w:rPr>
          <w:rFonts w:ascii="Arial" w:cs="Arial" w:eastAsia="Arial" w:hAnsi="Arial"/>
          <w:sz w:val="17"/>
          <w:szCs w:val="17"/>
          <w:color w:val="auto"/>
        </w:rPr>
        <w:t>II - Valuation and Qualifying Accounts for 2023, 2022 and 2021</w:t>
      </w:r>
    </w:p>
    <w:p>
      <w:pPr>
        <w:spacing w:after="0" w:line="100" w:lineRule="exact"/>
        <w:rPr>
          <w:rFonts w:ascii="Arial" w:cs="Arial" w:eastAsia="Arial" w:hAnsi="Arial"/>
          <w:sz w:val="17"/>
          <w:szCs w:val="17"/>
          <w:b w:val="1"/>
          <w:bCs w:val="1"/>
          <w:i w:val="1"/>
          <w:iCs w:val="1"/>
          <w:color w:val="auto"/>
        </w:rPr>
      </w:pPr>
    </w:p>
    <w:p>
      <w:pPr>
        <w:ind w:left="520" w:hanging="208"/>
        <w:spacing w:after="0"/>
        <w:tabs>
          <w:tab w:leader="none" w:pos="520" w:val="left"/>
        </w:tabs>
        <w:numPr>
          <w:ilvl w:val="0"/>
          <w:numId w:val="5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Exhibits</w:t>
      </w:r>
    </w:p>
    <w:p>
      <w:pPr>
        <w:spacing w:after="0" w:line="10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Reference is made to Item 15(b) below.</w:t>
      </w:r>
    </w:p>
    <w:p>
      <w:pPr>
        <w:spacing w:after="0" w:line="88" w:lineRule="exact"/>
        <w:rPr>
          <w:sz w:val="20"/>
          <w:szCs w:val="20"/>
          <w:color w:val="auto"/>
        </w:rPr>
      </w:pPr>
    </w:p>
    <w:p>
      <w:pPr>
        <w:ind w:left="280" w:hanging="238"/>
        <w:spacing w:after="0"/>
        <w:tabs>
          <w:tab w:leader="none" w:pos="280" w:val="left"/>
        </w:tabs>
        <w:numPr>
          <w:ilvl w:val="0"/>
          <w:numId w:val="58"/>
        </w:numPr>
        <w:rPr>
          <w:rFonts w:ascii="Arial" w:cs="Arial" w:eastAsia="Arial" w:hAnsi="Arial"/>
          <w:sz w:val="15"/>
          <w:szCs w:val="15"/>
          <w:color w:val="auto"/>
        </w:rPr>
      </w:pPr>
      <w:r>
        <w:rPr>
          <w:rFonts w:ascii="Arial" w:cs="Arial" w:eastAsia="Arial" w:hAnsi="Arial"/>
          <w:sz w:val="15"/>
          <w:szCs w:val="15"/>
          <w:i w:val="1"/>
          <w:iCs w:val="1"/>
          <w:color w:val="auto"/>
        </w:rPr>
        <w:t>Exhibits</w:t>
      </w:r>
      <w:r>
        <w:rPr>
          <w:rFonts w:ascii="Arial" w:cs="Arial" w:eastAsia="Arial" w:hAnsi="Arial"/>
          <w:sz w:val="15"/>
          <w:szCs w:val="15"/>
          <w:color w:val="auto"/>
        </w:rPr>
        <w:t>. The Exhibit Index, which immediately precedes the signature page, is incorporated by reference into this Report.</w:t>
      </w:r>
    </w:p>
    <w:p>
      <w:pPr>
        <w:spacing w:after="0" w:line="123" w:lineRule="exact"/>
        <w:rPr>
          <w:rFonts w:ascii="Arial" w:cs="Arial" w:eastAsia="Arial" w:hAnsi="Arial"/>
          <w:sz w:val="15"/>
          <w:szCs w:val="15"/>
          <w:color w:val="auto"/>
        </w:rPr>
      </w:pPr>
    </w:p>
    <w:p>
      <w:pPr>
        <w:ind w:left="280" w:hanging="238"/>
        <w:spacing w:after="0"/>
        <w:tabs>
          <w:tab w:leader="none" w:pos="280"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Financial Statement Schedules</w:t>
      </w:r>
      <w:r>
        <w:rPr>
          <w:rFonts w:ascii="Arial" w:cs="Arial" w:eastAsia="Arial" w:hAnsi="Arial"/>
          <w:sz w:val="17"/>
          <w:szCs w:val="17"/>
          <w:color w:val="auto"/>
        </w:rPr>
        <w:t>. Reference is made to Item 15(a)(2) above.</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16. </w:t>
      </w:r>
      <w:r>
        <w:rPr>
          <w:rFonts w:ascii="Arial" w:cs="Arial" w:eastAsia="Arial" w:hAnsi="Arial"/>
          <w:sz w:val="17"/>
          <w:szCs w:val="17"/>
          <w:b w:val="1"/>
          <w:bCs w:val="1"/>
          <w:i w:val="1"/>
          <w:iCs w:val="1"/>
          <w:color w:val="auto"/>
        </w:rPr>
        <w:t>Form 10-K Summary</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6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116205</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951" w:right="1440" w:bottom="1440" w:gutter="0" w:footer="0" w:header="0"/>
        </w:sectPr>
      </w:pPr>
    </w:p>
    <w:bookmarkStart w:id="75" w:name="page76"/>
    <w:bookmarkEnd w:id="75"/>
    <w:p>
      <w:pPr>
        <w:jc w:val="center"/>
        <w:spacing w:after="0"/>
        <w:rPr>
          <w:sz w:val="20"/>
          <w:szCs w:val="20"/>
          <w:color w:val="auto"/>
        </w:rPr>
      </w:pPr>
      <w:r>
        <w:rPr>
          <w:rFonts w:ascii="Arial" w:cs="Arial" w:eastAsia="Arial" w:hAnsi="Arial"/>
          <w:sz w:val="17"/>
          <w:szCs w:val="17"/>
          <w:color w:val="auto"/>
        </w:rPr>
        <w:t>INDEX TO EXHIBITS</w:t>
      </w:r>
    </w:p>
    <w:p>
      <w:pPr>
        <w:spacing w:after="0" w:line="101" w:lineRule="exact"/>
        <w:rPr>
          <w:sz w:val="20"/>
          <w:szCs w:val="20"/>
          <w:color w:val="auto"/>
        </w:rPr>
      </w:pPr>
    </w:p>
    <w:p>
      <w:pPr>
        <w:jc w:val="both"/>
        <w:ind w:left="1140" w:right="20" w:hanging="1107"/>
        <w:spacing w:after="0" w:line="225" w:lineRule="auto"/>
        <w:tabs>
          <w:tab w:leader="none" w:pos="1140" w:val="left"/>
        </w:tabs>
        <w:numPr>
          <w:ilvl w:val="0"/>
          <w:numId w:val="59"/>
        </w:numPr>
        <w:rPr>
          <w:rFonts w:ascii="Arial" w:cs="Arial" w:eastAsia="Arial" w:hAnsi="Arial"/>
          <w:sz w:val="17"/>
          <w:szCs w:val="17"/>
          <w:u w:val="single" w:color="auto"/>
          <w:color w:val="0000FF"/>
        </w:rPr>
      </w:pPr>
      <w:hyperlink r:id="rId106">
        <w:r>
          <w:rPr>
            <w:rFonts w:ascii="Arial" w:cs="Arial" w:eastAsia="Arial" w:hAnsi="Arial"/>
            <w:sz w:val="17"/>
            <w:szCs w:val="17"/>
            <w:u w:val="single" w:color="auto"/>
            <w:color w:val="0000FF"/>
          </w:rPr>
          <w:t>Agreement and Plan of Merger, dated August 7, 2023, by and among Sovos Brands, Inc., Campbell Soup Company and Premium Products</w:t>
        </w:r>
      </w:hyperlink>
      <w:r>
        <w:rPr>
          <w:rFonts w:ascii="Arial" w:cs="Arial" w:eastAsia="Arial" w:hAnsi="Arial"/>
          <w:sz w:val="17"/>
          <w:szCs w:val="17"/>
          <w:u w:val="single" w:color="auto"/>
          <w:color w:val="0000FF"/>
        </w:rPr>
        <w:t xml:space="preserve"> </w:t>
      </w:r>
      <w:hyperlink r:id="rId106">
        <w:r>
          <w:rPr>
            <w:rFonts w:ascii="Arial" w:cs="Arial" w:eastAsia="Arial" w:hAnsi="Arial"/>
            <w:sz w:val="17"/>
            <w:szCs w:val="17"/>
            <w:u w:val="single" w:color="auto"/>
            <w:color w:val="0000FF"/>
          </w:rPr>
          <w:t>Merger Sub, Inc., is incorporated by reference to Exhibit 2.1 to Campbell’s Form 8-K (SEC file number 1-3822) filed with the SEC on August 7,</w:t>
        </w:r>
      </w:hyperlink>
      <w:r>
        <w:rPr>
          <w:rFonts w:ascii="Arial" w:cs="Arial" w:eastAsia="Arial" w:hAnsi="Arial"/>
          <w:sz w:val="17"/>
          <w:szCs w:val="17"/>
          <w:u w:val="single" w:color="auto"/>
          <w:color w:val="0000FF"/>
        </w:rPr>
        <w:t xml:space="preserve"> </w:t>
      </w:r>
      <w:hyperlink r:id="rId106">
        <w:r>
          <w:rPr>
            <w:rFonts w:ascii="Arial" w:cs="Arial" w:eastAsia="Arial" w:hAnsi="Arial"/>
            <w:sz w:val="17"/>
            <w:szCs w:val="17"/>
            <w:u w:val="single" w:color="auto"/>
            <w:color w:val="0000FF"/>
          </w:rPr>
          <w:t>2023</w:t>
        </w:r>
      </w:hyperlink>
    </w:p>
    <w:p>
      <w:pPr>
        <w:spacing w:after="0" w:line="53" w:lineRule="exact"/>
        <w:rPr>
          <w:rFonts w:ascii="Arial" w:cs="Arial" w:eastAsia="Arial" w:hAnsi="Arial"/>
          <w:sz w:val="17"/>
          <w:szCs w:val="17"/>
          <w:u w:val="single" w:color="auto"/>
          <w:color w:val="0000FF"/>
        </w:rPr>
      </w:pPr>
    </w:p>
    <w:tbl>
      <w:tblPr>
        <w:tblLayout w:type="fixed"/>
        <w:tblInd w:w="0" w:type="dxa"/>
        <w:tblCellMar>
          <w:top w:w="0" w:type="dxa"/>
          <w:left w:w="0" w:type="dxa"/>
          <w:bottom w:w="0" w:type="dxa"/>
          <w:right w:w="0" w:type="dxa"/>
        </w:tblCellMar>
      </w:tblPr>
      <w:tr>
        <w:trPr>
          <w:trHeight w:val="195"/>
        </w:trPr>
        <w:tc>
          <w:tcPr>
            <w:tcW w:w="1140" w:type="dxa"/>
            <w:vAlign w:val="bottom"/>
          </w:tcPr>
          <w:p>
            <w:pPr>
              <w:ind w:left="40"/>
              <w:spacing w:after="0"/>
              <w:rPr>
                <w:sz w:val="20"/>
                <w:szCs w:val="20"/>
                <w:color w:val="auto"/>
              </w:rPr>
            </w:pPr>
            <w:r>
              <w:rPr>
                <w:rFonts w:ascii="Arial" w:cs="Arial" w:eastAsia="Arial" w:hAnsi="Arial"/>
                <w:sz w:val="17"/>
                <w:szCs w:val="17"/>
                <w:color w:val="auto"/>
              </w:rPr>
              <w:t>3(a)</w:t>
            </w:r>
          </w:p>
        </w:tc>
        <w:tc>
          <w:tcPr>
            <w:tcW w:w="10320" w:type="dxa"/>
            <w:vAlign w:val="bottom"/>
            <w:gridSpan w:val="35"/>
          </w:tcPr>
          <w:p>
            <w:pPr>
              <w:spacing w:after="0"/>
              <w:rPr>
                <w:rFonts w:ascii="Arial" w:cs="Arial" w:eastAsia="Arial" w:hAnsi="Arial"/>
                <w:sz w:val="17"/>
                <w:szCs w:val="17"/>
                <w:color w:val="0000FF"/>
              </w:rPr>
            </w:pPr>
            <w:hyperlink r:id="rId107">
              <w:r>
                <w:rPr>
                  <w:rFonts w:ascii="Arial" w:cs="Arial" w:eastAsia="Arial" w:hAnsi="Arial"/>
                  <w:sz w:val="17"/>
                  <w:szCs w:val="17"/>
                  <w:color w:val="0000FF"/>
                </w:rPr>
                <w:t>Campbell’s Restated Certificate of Incorporation, as amended through February 24, 1997, is incorporated by reference to Exhibit 3(i) to</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120" w:type="dxa"/>
            <w:vAlign w:val="bottom"/>
            <w:tcBorders>
              <w:top w:val="single" w:sz="8" w:color="0000FF"/>
            </w:tcBorders>
            <w:gridSpan w:val="25"/>
          </w:tcPr>
          <w:p>
            <w:pPr>
              <w:spacing w:after="0" w:line="147" w:lineRule="exact"/>
              <w:rPr>
                <w:rFonts w:ascii="Arial" w:cs="Arial" w:eastAsia="Arial" w:hAnsi="Arial"/>
                <w:sz w:val="17"/>
                <w:szCs w:val="17"/>
                <w:color w:val="0000FF"/>
              </w:rPr>
            </w:pPr>
            <w:hyperlink r:id="rId107">
              <w:r>
                <w:rPr>
                  <w:rFonts w:ascii="Arial" w:cs="Arial" w:eastAsia="Arial" w:hAnsi="Arial"/>
                  <w:sz w:val="17"/>
                  <w:szCs w:val="17"/>
                  <w:color w:val="0000FF"/>
                </w:rPr>
                <w:t>Campbell’s Form 10-K (SEC file number 1-3822) for the fiscal year ended July 28, 2002.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40"/>
              <w:spacing w:after="0"/>
              <w:rPr>
                <w:sz w:val="20"/>
                <w:szCs w:val="20"/>
                <w:color w:val="auto"/>
              </w:rPr>
            </w:pPr>
            <w:r>
              <w:rPr>
                <w:rFonts w:ascii="Arial" w:cs="Arial" w:eastAsia="Arial" w:hAnsi="Arial"/>
                <w:sz w:val="17"/>
                <w:szCs w:val="17"/>
                <w:color w:val="auto"/>
              </w:rPr>
              <w:t>3(b)</w:t>
            </w:r>
          </w:p>
        </w:tc>
        <w:tc>
          <w:tcPr>
            <w:tcW w:w="3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140" w:type="dxa"/>
            <w:vAlign w:val="bottom"/>
            <w:vMerge w:val="continue"/>
          </w:tcPr>
          <w:p>
            <w:pPr>
              <w:spacing w:after="0"/>
              <w:rPr>
                <w:sz w:val="24"/>
                <w:szCs w:val="24"/>
                <w:color w:val="auto"/>
              </w:rPr>
            </w:pPr>
          </w:p>
        </w:tc>
        <w:tc>
          <w:tcPr>
            <w:tcW w:w="9920" w:type="dxa"/>
            <w:vAlign w:val="bottom"/>
            <w:tcBorders>
              <w:bottom w:val="single" w:sz="8" w:color="0000FF"/>
            </w:tcBorders>
            <w:gridSpan w:val="19"/>
          </w:tcPr>
          <w:p>
            <w:pPr>
              <w:spacing w:after="0"/>
              <w:rPr>
                <w:rFonts w:ascii="Arial" w:cs="Arial" w:eastAsia="Arial" w:hAnsi="Arial"/>
                <w:sz w:val="17"/>
                <w:szCs w:val="17"/>
                <w:color w:val="0000FF"/>
                <w:w w:val="91"/>
              </w:rPr>
            </w:pPr>
            <w:hyperlink r:id="rId108">
              <w:r>
                <w:rPr>
                  <w:rFonts w:ascii="Arial" w:cs="Arial" w:eastAsia="Arial" w:hAnsi="Arial"/>
                  <w:sz w:val="17"/>
                  <w:szCs w:val="17"/>
                  <w:color w:val="0000FF"/>
                  <w:w w:val="91"/>
                </w:rPr>
                <w:t>By-Laws of Campbell Soup Company, amended and restated effective May 23, 2023, are incorporated by reference to Exhibit 3.1 to Campbell’s</w:t>
              </w:r>
            </w:hyperlink>
          </w:p>
        </w:tc>
        <w:tc>
          <w:tcPr>
            <w:tcW w:w="4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10320" w:type="dxa"/>
            <w:vAlign w:val="bottom"/>
            <w:gridSpan w:val="35"/>
          </w:tcPr>
          <w:p>
            <w:pPr>
              <w:spacing w:after="0" w:line="173" w:lineRule="exact"/>
              <w:rPr>
                <w:rFonts w:ascii="Arial" w:cs="Arial" w:eastAsia="Arial" w:hAnsi="Arial"/>
                <w:sz w:val="17"/>
                <w:szCs w:val="17"/>
                <w:color w:val="0000FF"/>
              </w:rPr>
            </w:pPr>
            <w:hyperlink r:id="rId108">
              <w:r>
                <w:rPr>
                  <w:rFonts w:ascii="Arial" w:cs="Arial" w:eastAsia="Arial" w:hAnsi="Arial"/>
                  <w:sz w:val="17"/>
                  <w:szCs w:val="17"/>
                  <w:color w:val="0000FF"/>
                </w:rPr>
                <w:t>Form 8-K (SEC file number 1-3822) filed with the SEC on May 24, 2023</w:t>
              </w:r>
              <w:r>
                <w:rPr>
                  <w:rFonts w:ascii="Arial" w:cs="Arial" w:eastAsia="Arial" w:hAnsi="Arial"/>
                  <w:sz w:val="17"/>
                  <w:szCs w:val="17"/>
                  <w:color w:val="000000"/>
                </w:rPr>
                <w:t>.</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140" w:type="dxa"/>
            <w:vAlign w:val="bottom"/>
          </w:tcPr>
          <w:p>
            <w:pPr>
              <w:ind w:left="40"/>
              <w:spacing w:after="0"/>
              <w:rPr>
                <w:sz w:val="20"/>
                <w:szCs w:val="20"/>
                <w:color w:val="auto"/>
              </w:rPr>
            </w:pPr>
            <w:r>
              <w:rPr>
                <w:rFonts w:ascii="Arial" w:cs="Arial" w:eastAsia="Arial" w:hAnsi="Arial"/>
                <w:sz w:val="17"/>
                <w:szCs w:val="17"/>
                <w:color w:val="auto"/>
              </w:rPr>
              <w:t>4(a)</w:t>
            </w:r>
          </w:p>
        </w:tc>
        <w:tc>
          <w:tcPr>
            <w:tcW w:w="10320" w:type="dxa"/>
            <w:vAlign w:val="bottom"/>
            <w:gridSpan w:val="35"/>
          </w:tcPr>
          <w:p>
            <w:pPr>
              <w:spacing w:after="0"/>
              <w:rPr>
                <w:rFonts w:ascii="Arial" w:cs="Arial" w:eastAsia="Arial" w:hAnsi="Arial"/>
                <w:sz w:val="17"/>
                <w:szCs w:val="17"/>
                <w:color w:val="0000FF"/>
                <w:w w:val="95"/>
              </w:rPr>
            </w:pPr>
            <w:hyperlink r:id="rId109">
              <w:r>
                <w:rPr>
                  <w:rFonts w:ascii="Arial" w:cs="Arial" w:eastAsia="Arial" w:hAnsi="Arial"/>
                  <w:sz w:val="17"/>
                  <w:szCs w:val="17"/>
                  <w:color w:val="0000FF"/>
                  <w:w w:val="95"/>
                </w:rPr>
                <w:t>Indenture, dated November 24, 2008, between Campbell and The Bank of New York Mellon, as Trustee, is incorporated by reference to Exhibit</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300" w:type="dxa"/>
            <w:vAlign w:val="bottom"/>
            <w:tcBorders>
              <w:top w:val="single" w:sz="8" w:color="0000FF"/>
            </w:tcBorders>
            <w:gridSpan w:val="34"/>
          </w:tcPr>
          <w:p>
            <w:pPr>
              <w:spacing w:after="0" w:line="147" w:lineRule="exact"/>
              <w:rPr>
                <w:rFonts w:ascii="Arial" w:cs="Arial" w:eastAsia="Arial" w:hAnsi="Arial"/>
                <w:sz w:val="17"/>
                <w:szCs w:val="17"/>
                <w:color w:val="0000FF"/>
              </w:rPr>
            </w:pPr>
            <w:hyperlink r:id="rId109">
              <w:r>
                <w:rPr>
                  <w:rFonts w:ascii="Arial" w:cs="Arial" w:eastAsia="Arial" w:hAnsi="Arial"/>
                  <w:sz w:val="17"/>
                  <w:szCs w:val="17"/>
                  <w:color w:val="0000FF"/>
                </w:rPr>
                <w:t>4(a) to Campbell’s Registration Statement on Form S-3 (SEC file number 333-155626) filed with the SEC on November 24, 2008.</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Arial" w:cs="Arial" w:eastAsia="Arial" w:hAnsi="Arial"/>
                <w:sz w:val="17"/>
                <w:szCs w:val="17"/>
                <w:color w:val="auto"/>
              </w:rPr>
              <w:t>4(b)</w:t>
            </w:r>
          </w:p>
        </w:tc>
        <w:tc>
          <w:tcPr>
            <w:tcW w:w="10320" w:type="dxa"/>
            <w:vAlign w:val="bottom"/>
            <w:gridSpan w:val="35"/>
          </w:tcPr>
          <w:p>
            <w:pPr>
              <w:spacing w:after="0"/>
              <w:rPr>
                <w:rFonts w:ascii="Arial" w:cs="Arial" w:eastAsia="Arial" w:hAnsi="Arial"/>
                <w:sz w:val="17"/>
                <w:szCs w:val="17"/>
                <w:color w:val="0000FF"/>
                <w:w w:val="96"/>
              </w:rPr>
            </w:pPr>
            <w:hyperlink r:id="rId110">
              <w:r>
                <w:rPr>
                  <w:rFonts w:ascii="Arial" w:cs="Arial" w:eastAsia="Arial" w:hAnsi="Arial"/>
                  <w:sz w:val="17"/>
                  <w:szCs w:val="17"/>
                  <w:color w:val="0000FF"/>
                  <w:w w:val="96"/>
                </w:rPr>
                <w:t>Form of First Supplemental Indenture, dated August 2, 2012, among Campbell, The Bank of New York Mellon and Wells Fargo Bank, National</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220" w:type="dxa"/>
            <w:vAlign w:val="bottom"/>
            <w:tcBorders>
              <w:top w:val="single" w:sz="8" w:color="0000FF"/>
            </w:tcBorders>
            <w:gridSpan w:val="30"/>
          </w:tcPr>
          <w:p>
            <w:pPr>
              <w:spacing w:after="0" w:line="147" w:lineRule="exact"/>
              <w:rPr>
                <w:rFonts w:ascii="Arial" w:cs="Arial" w:eastAsia="Arial" w:hAnsi="Arial"/>
                <w:sz w:val="17"/>
                <w:szCs w:val="17"/>
                <w:color w:val="0000FF"/>
                <w:w w:val="94"/>
              </w:rPr>
            </w:pPr>
            <w:hyperlink r:id="rId110">
              <w:r>
                <w:rPr>
                  <w:rFonts w:ascii="Arial" w:cs="Arial" w:eastAsia="Arial" w:hAnsi="Arial"/>
                  <w:sz w:val="17"/>
                  <w:szCs w:val="17"/>
                  <w:color w:val="0000FF"/>
                  <w:w w:val="94"/>
                </w:rPr>
                <w:t>Association, as Series Trustee, to Indenture dated November 24, 2008, is incorporated by reference to Exhibit 4.1 to Campbell's Form 8-K (SEC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4060" w:type="dxa"/>
            <w:vAlign w:val="bottom"/>
            <w:tcBorders>
              <w:top w:val="single" w:sz="8" w:color="0000FF"/>
              <w:bottom w:val="single" w:sz="8" w:color="0000FF"/>
            </w:tcBorders>
            <w:gridSpan w:val="8"/>
          </w:tcPr>
          <w:p>
            <w:pPr>
              <w:spacing w:after="0" w:line="147" w:lineRule="exact"/>
              <w:rPr>
                <w:rFonts w:ascii="Arial" w:cs="Arial" w:eastAsia="Arial" w:hAnsi="Arial"/>
                <w:sz w:val="17"/>
                <w:szCs w:val="17"/>
                <w:color w:val="0000FF"/>
                <w:w w:val="93"/>
              </w:rPr>
            </w:pPr>
            <w:hyperlink r:id="rId110">
              <w:r>
                <w:rPr>
                  <w:rFonts w:ascii="Arial" w:cs="Arial" w:eastAsia="Arial" w:hAnsi="Arial"/>
                  <w:sz w:val="17"/>
                  <w:szCs w:val="17"/>
                  <w:color w:val="0000FF"/>
                  <w:w w:val="93"/>
                </w:rPr>
                <w:t>file number 1-3822) filed with the SEC on August 2, 2012.</w:t>
              </w:r>
            </w:hyperlink>
          </w:p>
        </w:tc>
        <w:tc>
          <w:tcPr>
            <w:tcW w:w="6080" w:type="dxa"/>
            <w:vAlign w:val="bottom"/>
            <w:tcBorders>
              <w:top w:val="single" w:sz="8" w:color="0000FF"/>
            </w:tcBorders>
            <w:gridSpan w:val="1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140" w:type="dxa"/>
            <w:vAlign w:val="bottom"/>
          </w:tcPr>
          <w:p>
            <w:pPr>
              <w:ind w:left="40"/>
              <w:spacing w:after="0"/>
              <w:rPr>
                <w:sz w:val="20"/>
                <w:szCs w:val="20"/>
                <w:color w:val="auto"/>
              </w:rPr>
            </w:pPr>
            <w:r>
              <w:rPr>
                <w:rFonts w:ascii="Arial" w:cs="Arial" w:eastAsia="Arial" w:hAnsi="Arial"/>
                <w:sz w:val="17"/>
                <w:szCs w:val="17"/>
                <w:color w:val="auto"/>
              </w:rPr>
              <w:t>4(c)</w:t>
            </w:r>
          </w:p>
        </w:tc>
        <w:tc>
          <w:tcPr>
            <w:tcW w:w="10320" w:type="dxa"/>
            <w:vAlign w:val="bottom"/>
            <w:gridSpan w:val="35"/>
          </w:tcPr>
          <w:p>
            <w:pPr>
              <w:spacing w:after="0"/>
              <w:rPr>
                <w:rFonts w:ascii="Arial" w:cs="Arial" w:eastAsia="Arial" w:hAnsi="Arial"/>
                <w:sz w:val="17"/>
                <w:szCs w:val="17"/>
                <w:color w:val="0000FF"/>
                <w:w w:val="98"/>
              </w:rPr>
            </w:pPr>
            <w:hyperlink r:id="rId111">
              <w:r>
                <w:rPr>
                  <w:rFonts w:ascii="Arial" w:cs="Arial" w:eastAsia="Arial" w:hAnsi="Arial"/>
                  <w:sz w:val="17"/>
                  <w:szCs w:val="17"/>
                  <w:color w:val="0000FF"/>
                  <w:w w:val="98"/>
                </w:rPr>
                <w:t>Form of Subordinated Indenture between Campbell and Wells Fargo Bank, National Association, as Trustee, is incorporated by reference to</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100" w:type="dxa"/>
            <w:vAlign w:val="bottom"/>
            <w:tcBorders>
              <w:top w:val="single" w:sz="8" w:color="0000FF"/>
            </w:tcBorders>
            <w:gridSpan w:val="24"/>
          </w:tcPr>
          <w:p>
            <w:pPr>
              <w:spacing w:after="0" w:line="147" w:lineRule="exact"/>
              <w:rPr>
                <w:rFonts w:ascii="Arial" w:cs="Arial" w:eastAsia="Arial" w:hAnsi="Arial"/>
                <w:sz w:val="17"/>
                <w:szCs w:val="17"/>
                <w:color w:val="0000FF"/>
                <w:w w:val="98"/>
              </w:rPr>
            </w:pPr>
            <w:hyperlink r:id="rId111">
              <w:r>
                <w:rPr>
                  <w:rFonts w:ascii="Arial" w:cs="Arial" w:eastAsia="Arial" w:hAnsi="Arial"/>
                  <w:sz w:val="17"/>
                  <w:szCs w:val="17"/>
                  <w:color w:val="0000FF"/>
                  <w:w w:val="98"/>
                </w:rPr>
                <w:t>Exhibit 4.2 to Campbell's Registration Statement on Form S-3 (SEC file number 333-249174) filed with the SEC on September 30, 2020.</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Arial" w:cs="Arial" w:eastAsia="Arial" w:hAnsi="Arial"/>
                <w:sz w:val="17"/>
                <w:szCs w:val="17"/>
                <w:color w:val="auto"/>
              </w:rPr>
              <w:t>4(d)</w:t>
            </w:r>
          </w:p>
        </w:tc>
        <w:tc>
          <w:tcPr>
            <w:tcW w:w="10320" w:type="dxa"/>
            <w:vAlign w:val="bottom"/>
            <w:gridSpan w:val="35"/>
          </w:tcPr>
          <w:p>
            <w:pPr>
              <w:spacing w:after="0"/>
              <w:rPr>
                <w:rFonts w:ascii="Arial" w:cs="Arial" w:eastAsia="Arial" w:hAnsi="Arial"/>
                <w:sz w:val="17"/>
                <w:szCs w:val="17"/>
                <w:color w:val="0000FF"/>
                <w:w w:val="94"/>
              </w:rPr>
            </w:pPr>
            <w:hyperlink r:id="rId112">
              <w:r>
                <w:rPr>
                  <w:rFonts w:ascii="Arial" w:cs="Arial" w:eastAsia="Arial" w:hAnsi="Arial"/>
                  <w:sz w:val="17"/>
                  <w:szCs w:val="17"/>
                  <w:color w:val="0000FF"/>
                  <w:w w:val="94"/>
                </w:rPr>
                <w:t>Indenture dated as of March 19, 2015, between Campbell and Wells Fargo Bank, National Association, as trustee, is incorporated by reference to</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7020" w:type="dxa"/>
            <w:vAlign w:val="bottom"/>
            <w:tcBorders>
              <w:top w:val="single" w:sz="8" w:color="0000FF"/>
              <w:bottom w:val="single" w:sz="8" w:color="0000FF"/>
            </w:tcBorders>
            <w:gridSpan w:val="13"/>
          </w:tcPr>
          <w:p>
            <w:pPr>
              <w:spacing w:after="0" w:line="147" w:lineRule="exact"/>
              <w:rPr>
                <w:rFonts w:ascii="Arial" w:cs="Arial" w:eastAsia="Arial" w:hAnsi="Arial"/>
                <w:sz w:val="17"/>
                <w:szCs w:val="17"/>
                <w:color w:val="0000FF"/>
                <w:w w:val="93"/>
              </w:rPr>
            </w:pPr>
            <w:hyperlink r:id="rId112">
              <w:r>
                <w:rPr>
                  <w:rFonts w:ascii="Arial" w:cs="Arial" w:eastAsia="Arial" w:hAnsi="Arial"/>
                  <w:sz w:val="17"/>
                  <w:szCs w:val="17"/>
                  <w:color w:val="0000FF"/>
                  <w:w w:val="93"/>
                </w:rPr>
                <w:t>Exhibit 4.1 to Campbell's Form 8-K (SEC file number 1-3822) filed with the SEC on March 19, 2015.</w:t>
              </w:r>
            </w:hyperlink>
          </w:p>
        </w:tc>
        <w:tc>
          <w:tcPr>
            <w:tcW w:w="3180" w:type="dxa"/>
            <w:vAlign w:val="bottom"/>
            <w:tcBorders>
              <w:top w:val="single" w:sz="8" w:color="0000FF"/>
            </w:tcBorders>
            <w:gridSpan w:val="16"/>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140" w:type="dxa"/>
            <w:vAlign w:val="bottom"/>
          </w:tcPr>
          <w:p>
            <w:pPr>
              <w:ind w:left="40"/>
              <w:spacing w:after="0"/>
              <w:rPr>
                <w:sz w:val="20"/>
                <w:szCs w:val="20"/>
                <w:color w:val="auto"/>
              </w:rPr>
            </w:pPr>
            <w:r>
              <w:rPr>
                <w:rFonts w:ascii="Arial" w:cs="Arial" w:eastAsia="Arial" w:hAnsi="Arial"/>
                <w:sz w:val="17"/>
                <w:szCs w:val="17"/>
                <w:color w:val="auto"/>
              </w:rPr>
              <w:t>4(e)</w:t>
            </w:r>
          </w:p>
        </w:tc>
        <w:tc>
          <w:tcPr>
            <w:tcW w:w="10320" w:type="dxa"/>
            <w:vAlign w:val="bottom"/>
            <w:gridSpan w:val="35"/>
          </w:tcPr>
          <w:p>
            <w:pPr>
              <w:spacing w:after="0"/>
              <w:rPr>
                <w:rFonts w:ascii="Arial" w:cs="Arial" w:eastAsia="Arial" w:hAnsi="Arial"/>
                <w:sz w:val="17"/>
                <w:szCs w:val="17"/>
                <w:color w:val="0000FF"/>
                <w:w w:val="98"/>
              </w:rPr>
            </w:pPr>
            <w:hyperlink r:id="rId113">
              <w:r>
                <w:rPr>
                  <w:rFonts w:ascii="Arial" w:cs="Arial" w:eastAsia="Arial" w:hAnsi="Arial"/>
                  <w:sz w:val="17"/>
                  <w:szCs w:val="17"/>
                  <w:color w:val="0000FF"/>
                  <w:w w:val="98"/>
                </w:rPr>
                <w:t>Form of Subordinated Indenture between the Campbell Soup Company and U.S. Bank, National Association, as trustee, is incorporated by</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140" w:type="dxa"/>
            <w:vAlign w:val="bottom"/>
          </w:tcPr>
          <w:p>
            <w:pPr>
              <w:spacing w:after="0"/>
              <w:rPr>
                <w:sz w:val="12"/>
                <w:szCs w:val="12"/>
                <w:color w:val="auto"/>
              </w:rPr>
            </w:pPr>
          </w:p>
        </w:tc>
        <w:tc>
          <w:tcPr>
            <w:tcW w:w="10320" w:type="dxa"/>
            <w:vAlign w:val="bottom"/>
            <w:gridSpan w:val="35"/>
          </w:tcPr>
          <w:p>
            <w:pPr>
              <w:spacing w:after="0" w:line="147" w:lineRule="exact"/>
              <w:rPr>
                <w:rFonts w:ascii="Arial" w:cs="Arial" w:eastAsia="Arial" w:hAnsi="Arial"/>
                <w:sz w:val="17"/>
                <w:szCs w:val="17"/>
                <w:color w:val="0000FF"/>
                <w:w w:val="98"/>
              </w:rPr>
            </w:pPr>
            <w:hyperlink r:id="rId113">
              <w:r>
                <w:rPr>
                  <w:rFonts w:ascii="Arial" w:cs="Arial" w:eastAsia="Arial" w:hAnsi="Arial"/>
                  <w:sz w:val="17"/>
                  <w:szCs w:val="17"/>
                  <w:color w:val="0000FF"/>
                  <w:w w:val="98"/>
                </w:rPr>
                <w:t>reference to Exhibit 4.2 to Campbell’s Registration Statement on Form S-3 (SEC file number 333-274048) filed with the SEC on August 17,</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380" w:type="dxa"/>
            <w:vAlign w:val="bottom"/>
            <w:tcBorders>
              <w:top w:val="single" w:sz="8" w:color="0000FF"/>
              <w:bottom w:val="single" w:sz="8" w:color="0000FF"/>
            </w:tcBorders>
          </w:tcPr>
          <w:p>
            <w:pPr>
              <w:spacing w:after="0" w:line="147" w:lineRule="exact"/>
              <w:rPr>
                <w:rFonts w:ascii="Arial" w:cs="Arial" w:eastAsia="Arial" w:hAnsi="Arial"/>
                <w:sz w:val="17"/>
                <w:szCs w:val="17"/>
                <w:color w:val="0000FF"/>
                <w:w w:val="84"/>
              </w:rPr>
            </w:pPr>
            <w:hyperlink r:id="rId113">
              <w:r>
                <w:rPr>
                  <w:rFonts w:ascii="Arial" w:cs="Arial" w:eastAsia="Arial" w:hAnsi="Arial"/>
                  <w:sz w:val="17"/>
                  <w:szCs w:val="17"/>
                  <w:color w:val="0000FF"/>
                  <w:w w:val="84"/>
                </w:rPr>
                <w:t>2023.</w:t>
              </w:r>
            </w:hyperlink>
          </w:p>
        </w:tc>
        <w:tc>
          <w:tcPr>
            <w:tcW w:w="8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142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860" w:type="dxa"/>
            <w:vAlign w:val="bottom"/>
            <w:tcBorders>
              <w:top w:val="single" w:sz="8" w:color="0000FF"/>
            </w:tcBorders>
          </w:tcPr>
          <w:p>
            <w:pPr>
              <w:spacing w:after="0"/>
              <w:rPr>
                <w:sz w:val="12"/>
                <w:szCs w:val="12"/>
                <w:color w:val="auto"/>
              </w:rPr>
            </w:pPr>
          </w:p>
        </w:tc>
        <w:tc>
          <w:tcPr>
            <w:tcW w:w="1080" w:type="dxa"/>
            <w:vAlign w:val="bottom"/>
            <w:tcBorders>
              <w:top w:val="single" w:sz="8" w:color="0000FF"/>
            </w:tcBorders>
          </w:tcPr>
          <w:p>
            <w:pPr>
              <w:spacing w:after="0"/>
              <w:rPr>
                <w:sz w:val="12"/>
                <w:szCs w:val="12"/>
                <w:color w:val="auto"/>
              </w:rPr>
            </w:pPr>
          </w:p>
        </w:tc>
        <w:tc>
          <w:tcPr>
            <w:tcW w:w="7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94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140" w:type="dxa"/>
            <w:vAlign w:val="bottom"/>
          </w:tcPr>
          <w:p>
            <w:pPr>
              <w:ind w:left="40"/>
              <w:spacing w:after="0"/>
              <w:rPr>
                <w:sz w:val="20"/>
                <w:szCs w:val="20"/>
                <w:color w:val="auto"/>
              </w:rPr>
            </w:pPr>
            <w:r>
              <w:rPr>
                <w:rFonts w:ascii="Arial" w:cs="Arial" w:eastAsia="Arial" w:hAnsi="Arial"/>
                <w:sz w:val="17"/>
                <w:szCs w:val="17"/>
                <w:color w:val="auto"/>
              </w:rPr>
              <w:t>4(f)</w:t>
            </w:r>
          </w:p>
        </w:tc>
        <w:tc>
          <w:tcPr>
            <w:tcW w:w="10320" w:type="dxa"/>
            <w:vAlign w:val="bottom"/>
            <w:gridSpan w:val="35"/>
          </w:tcPr>
          <w:p>
            <w:pPr>
              <w:spacing w:after="0"/>
              <w:rPr>
                <w:rFonts w:ascii="Arial" w:cs="Arial" w:eastAsia="Arial" w:hAnsi="Arial"/>
                <w:sz w:val="17"/>
                <w:szCs w:val="17"/>
                <w:color w:val="0000FF"/>
                <w:w w:val="92"/>
              </w:rPr>
            </w:pPr>
            <w:hyperlink r:id="rId114">
              <w:r>
                <w:rPr>
                  <w:rFonts w:ascii="Arial" w:cs="Arial" w:eastAsia="Arial" w:hAnsi="Arial"/>
                  <w:sz w:val="17"/>
                  <w:szCs w:val="17"/>
                  <w:color w:val="0000FF"/>
                  <w:w w:val="92"/>
                </w:rPr>
                <w:t>First Supplemental Indenture, dated as of August 17, 2023, between Campbell Soup Company, Computershare Trust Company, N.A. (as successor</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240" w:type="dxa"/>
            <w:vAlign w:val="bottom"/>
            <w:tcBorders>
              <w:top w:val="single" w:sz="8" w:color="0000FF"/>
            </w:tcBorders>
            <w:gridSpan w:val="31"/>
          </w:tcPr>
          <w:p>
            <w:pPr>
              <w:spacing w:after="0" w:line="147" w:lineRule="exact"/>
              <w:rPr>
                <w:rFonts w:ascii="Arial" w:cs="Arial" w:eastAsia="Arial" w:hAnsi="Arial"/>
                <w:sz w:val="17"/>
                <w:szCs w:val="17"/>
                <w:color w:val="0000FF"/>
              </w:rPr>
            </w:pPr>
            <w:hyperlink r:id="rId114">
              <w:r>
                <w:rPr>
                  <w:rFonts w:ascii="Arial" w:cs="Arial" w:eastAsia="Arial" w:hAnsi="Arial"/>
                  <w:sz w:val="17"/>
                  <w:szCs w:val="17"/>
                  <w:color w:val="0000FF"/>
                </w:rPr>
                <w:t>in interest to Wells Fargo Bank, National Association), as retiring trustee, and U.S. Bank, National Association, as successor trustee, is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9240" w:type="dxa"/>
            <w:vAlign w:val="bottom"/>
            <w:tcBorders>
              <w:top w:val="single" w:sz="8" w:color="0000FF"/>
            </w:tcBorders>
            <w:gridSpan w:val="15"/>
          </w:tcPr>
          <w:p>
            <w:pPr>
              <w:spacing w:after="0" w:line="147" w:lineRule="exact"/>
              <w:rPr>
                <w:rFonts w:ascii="Arial" w:cs="Arial" w:eastAsia="Arial" w:hAnsi="Arial"/>
                <w:sz w:val="17"/>
                <w:szCs w:val="17"/>
                <w:color w:val="0000FF"/>
                <w:w w:val="93"/>
              </w:rPr>
            </w:pPr>
            <w:hyperlink r:id="rId114">
              <w:r>
                <w:rPr>
                  <w:rFonts w:ascii="Arial" w:cs="Arial" w:eastAsia="Arial" w:hAnsi="Arial"/>
                  <w:sz w:val="17"/>
                  <w:szCs w:val="17"/>
                  <w:color w:val="0000FF"/>
                  <w:w w:val="93"/>
                </w:rPr>
                <w:t>incorporated by reference to Exhibit 4.3 to Campbell’s Registration Statement on Form S-3 (SEC file number 333-274048) filed with</w:t>
              </w:r>
            </w:hyperlink>
          </w:p>
        </w:tc>
        <w:tc>
          <w:tcPr>
            <w:tcW w:w="1080" w:type="dxa"/>
            <w:vAlign w:val="bottom"/>
            <w:gridSpan w:val="20"/>
          </w:tcPr>
          <w:p>
            <w:pPr>
              <w:spacing w:after="0" w:line="147" w:lineRule="exact"/>
              <w:rPr>
                <w:rFonts w:ascii="Arial" w:cs="Arial" w:eastAsia="Arial" w:hAnsi="Arial"/>
                <w:sz w:val="17"/>
                <w:szCs w:val="17"/>
                <w:color w:val="0000FF"/>
              </w:rPr>
            </w:pPr>
            <w:hyperlink r:id="rId114">
              <w:r>
                <w:rPr>
                  <w:rFonts w:ascii="Arial" w:cs="Arial" w:eastAsia="Arial" w:hAnsi="Arial"/>
                  <w:sz w:val="17"/>
                  <w:szCs w:val="17"/>
                  <w:color w:val="0000FF"/>
                </w:rPr>
                <w:t>the SEC on</w:t>
              </w:r>
            </w:hyperlink>
          </w:p>
        </w:tc>
        <w:tc>
          <w:tcPr>
            <w:tcW w:w="0" w:type="dxa"/>
            <w:vAlign w:val="bottom"/>
          </w:tcPr>
          <w:p>
            <w:pPr>
              <w:spacing w:after="0"/>
              <w:rPr>
                <w:sz w:val="1"/>
                <w:szCs w:val="1"/>
                <w:color w:val="auto"/>
              </w:rPr>
            </w:pPr>
          </w:p>
        </w:tc>
      </w:tr>
      <w:tr>
        <w:trPr>
          <w:trHeight w:val="160"/>
        </w:trPr>
        <w:tc>
          <w:tcPr>
            <w:tcW w:w="1140" w:type="dxa"/>
            <w:vAlign w:val="bottom"/>
          </w:tcPr>
          <w:p>
            <w:pPr>
              <w:spacing w:after="0"/>
              <w:rPr>
                <w:sz w:val="13"/>
                <w:szCs w:val="13"/>
                <w:color w:val="auto"/>
              </w:rPr>
            </w:pPr>
          </w:p>
        </w:tc>
        <w:tc>
          <w:tcPr>
            <w:tcW w:w="9980" w:type="dxa"/>
            <w:vAlign w:val="bottom"/>
            <w:tcBorders>
              <w:top w:val="single" w:sz="8" w:color="0000FF"/>
            </w:tcBorders>
            <w:gridSpan w:val="21"/>
          </w:tcPr>
          <w:p>
            <w:pPr>
              <w:spacing w:after="0" w:line="160" w:lineRule="exact"/>
              <w:rPr>
                <w:rFonts w:ascii="Arial" w:cs="Arial" w:eastAsia="Arial" w:hAnsi="Arial"/>
                <w:sz w:val="17"/>
                <w:szCs w:val="17"/>
                <w:color w:val="0000FF"/>
              </w:rPr>
            </w:pPr>
            <w:hyperlink r:id="rId114">
              <w:r>
                <w:rPr>
                  <w:rFonts w:ascii="Arial" w:cs="Arial" w:eastAsia="Arial" w:hAnsi="Arial"/>
                  <w:sz w:val="17"/>
                  <w:szCs w:val="17"/>
                  <w:color w:val="0000FF"/>
                </w:rPr>
                <w:t>August 17, 2023.</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304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ind w:left="40"/>
              <w:spacing w:after="0"/>
              <w:rPr>
                <w:sz w:val="20"/>
                <w:szCs w:val="20"/>
                <w:color w:val="auto"/>
              </w:rPr>
            </w:pPr>
            <w:r>
              <w:rPr>
                <w:rFonts w:ascii="Arial" w:cs="Arial" w:eastAsia="Arial" w:hAnsi="Arial"/>
                <w:sz w:val="17"/>
                <w:szCs w:val="17"/>
                <w:color w:val="auto"/>
              </w:rPr>
              <w:t>4(g)</w:t>
            </w:r>
          </w:p>
        </w:tc>
        <w:tc>
          <w:tcPr>
            <w:tcW w:w="10320" w:type="dxa"/>
            <w:vAlign w:val="bottom"/>
            <w:gridSpan w:val="35"/>
          </w:tcPr>
          <w:p>
            <w:pPr>
              <w:spacing w:after="0"/>
              <w:rPr>
                <w:rFonts w:ascii="Arial" w:cs="Arial" w:eastAsia="Arial" w:hAnsi="Arial"/>
                <w:sz w:val="17"/>
                <w:szCs w:val="17"/>
                <w:color w:val="0000FF"/>
                <w:w w:val="95"/>
              </w:rPr>
            </w:pPr>
            <w:hyperlink r:id="rId110">
              <w:r>
                <w:rPr>
                  <w:rFonts w:ascii="Arial" w:cs="Arial" w:eastAsia="Arial" w:hAnsi="Arial"/>
                  <w:sz w:val="17"/>
                  <w:szCs w:val="17"/>
                  <w:color w:val="0000FF"/>
                  <w:w w:val="95"/>
                </w:rPr>
                <w:t>Form of 3.800% Notes due 2042 is incorporated by reference to Exhibit 4.1 to Campbell's Form 8-K (SEC file number 1-3822) filed with the SEC</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320" w:type="dxa"/>
            <w:vAlign w:val="bottom"/>
            <w:tcBorders>
              <w:top w:val="single" w:sz="8" w:color="0000FF"/>
              <w:bottom w:val="single" w:sz="8" w:color="0000FF"/>
            </w:tcBorders>
            <w:gridSpan w:val="4"/>
          </w:tcPr>
          <w:p>
            <w:pPr>
              <w:spacing w:after="0" w:line="147" w:lineRule="exact"/>
              <w:rPr>
                <w:rFonts w:ascii="Arial" w:cs="Arial" w:eastAsia="Arial" w:hAnsi="Arial"/>
                <w:sz w:val="17"/>
                <w:szCs w:val="17"/>
                <w:color w:val="0000FF"/>
                <w:w w:val="91"/>
              </w:rPr>
            </w:pPr>
            <w:hyperlink r:id="rId110">
              <w:r>
                <w:rPr>
                  <w:rFonts w:ascii="Arial" w:cs="Arial" w:eastAsia="Arial" w:hAnsi="Arial"/>
                  <w:sz w:val="17"/>
                  <w:szCs w:val="17"/>
                  <w:color w:val="0000FF"/>
                  <w:w w:val="91"/>
                </w:rPr>
                <w:t>on August 2, 2012.</w:t>
              </w:r>
            </w:hyperlink>
          </w:p>
        </w:tc>
        <w:tc>
          <w:tcPr>
            <w:tcW w:w="8940" w:type="dxa"/>
            <w:vAlign w:val="bottom"/>
            <w:tcBorders>
              <w:top w:val="single" w:sz="8" w:color="0000FF"/>
            </w:tcBorders>
            <w:gridSpan w:val="28"/>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140" w:type="dxa"/>
            <w:vAlign w:val="bottom"/>
          </w:tcPr>
          <w:p>
            <w:pPr>
              <w:ind w:left="40"/>
              <w:spacing w:after="0"/>
              <w:rPr>
                <w:sz w:val="20"/>
                <w:szCs w:val="20"/>
                <w:color w:val="auto"/>
              </w:rPr>
            </w:pPr>
            <w:r>
              <w:rPr>
                <w:rFonts w:ascii="Arial" w:cs="Arial" w:eastAsia="Arial" w:hAnsi="Arial"/>
                <w:sz w:val="17"/>
                <w:szCs w:val="17"/>
                <w:color w:val="auto"/>
              </w:rPr>
              <w:t>4(h)</w:t>
            </w:r>
          </w:p>
        </w:tc>
        <w:tc>
          <w:tcPr>
            <w:tcW w:w="10320" w:type="dxa"/>
            <w:vAlign w:val="bottom"/>
            <w:gridSpan w:val="35"/>
          </w:tcPr>
          <w:p>
            <w:pPr>
              <w:spacing w:after="0"/>
              <w:rPr>
                <w:rFonts w:ascii="Arial" w:cs="Arial" w:eastAsia="Arial" w:hAnsi="Arial"/>
                <w:sz w:val="17"/>
                <w:szCs w:val="17"/>
                <w:color w:val="0000FF"/>
                <w:w w:val="98"/>
              </w:rPr>
            </w:pPr>
            <w:hyperlink r:id="rId115">
              <w:r>
                <w:rPr>
                  <w:rFonts w:ascii="Arial" w:cs="Arial" w:eastAsia="Arial" w:hAnsi="Arial"/>
                  <w:sz w:val="17"/>
                  <w:szCs w:val="17"/>
                  <w:color w:val="0000FF"/>
                  <w:w w:val="98"/>
                </w:rPr>
                <w:t>Form of 3.300% Note due 2025 is incorporated by referenced to Exhibit 4.2 to Campbell's Form 8-K (SEC file number 1-3822) filed with the</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180" w:type="dxa"/>
            <w:vAlign w:val="bottom"/>
            <w:tcBorders>
              <w:top w:val="single" w:sz="8" w:color="0000FF"/>
            </w:tcBorders>
            <w:gridSpan w:val="28"/>
          </w:tcPr>
          <w:p>
            <w:pPr>
              <w:spacing w:after="0" w:line="147" w:lineRule="exact"/>
              <w:rPr>
                <w:rFonts w:ascii="Arial" w:cs="Arial" w:eastAsia="Arial" w:hAnsi="Arial"/>
                <w:sz w:val="17"/>
                <w:szCs w:val="17"/>
                <w:color w:val="0000FF"/>
              </w:rPr>
            </w:pPr>
            <w:hyperlink r:id="rId115">
              <w:r>
                <w:rPr>
                  <w:rFonts w:ascii="Arial" w:cs="Arial" w:eastAsia="Arial" w:hAnsi="Arial"/>
                  <w:sz w:val="17"/>
                  <w:szCs w:val="17"/>
                  <w:color w:val="0000FF"/>
                </w:rPr>
                <w:t>SEC on March 19, 2015.</w:t>
              </w:r>
            </w:hyperlink>
          </w:p>
        </w:tc>
        <w:tc>
          <w:tcPr>
            <w:tcW w:w="1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304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1140" w:type="dxa"/>
            <w:vAlign w:val="bottom"/>
          </w:tcPr>
          <w:p>
            <w:pPr>
              <w:ind w:left="40"/>
              <w:spacing w:after="0"/>
              <w:rPr>
                <w:sz w:val="20"/>
                <w:szCs w:val="20"/>
                <w:color w:val="auto"/>
              </w:rPr>
            </w:pPr>
            <w:r>
              <w:rPr>
                <w:rFonts w:ascii="Arial" w:cs="Arial" w:eastAsia="Arial" w:hAnsi="Arial"/>
                <w:sz w:val="17"/>
                <w:szCs w:val="17"/>
                <w:color w:val="auto"/>
              </w:rPr>
              <w:t>4(i)</w:t>
            </w:r>
          </w:p>
        </w:tc>
        <w:tc>
          <w:tcPr>
            <w:tcW w:w="10320" w:type="dxa"/>
            <w:vAlign w:val="bottom"/>
            <w:gridSpan w:val="35"/>
          </w:tcPr>
          <w:p>
            <w:pPr>
              <w:spacing w:after="0"/>
              <w:rPr>
                <w:rFonts w:ascii="Arial" w:cs="Arial" w:eastAsia="Arial" w:hAnsi="Arial"/>
                <w:sz w:val="17"/>
                <w:szCs w:val="17"/>
                <w:color w:val="0000FF"/>
                <w:w w:val="98"/>
              </w:rPr>
            </w:pPr>
            <w:hyperlink r:id="rId116">
              <w:r>
                <w:rPr>
                  <w:rFonts w:ascii="Arial" w:cs="Arial" w:eastAsia="Arial" w:hAnsi="Arial"/>
                  <w:sz w:val="17"/>
                  <w:szCs w:val="17"/>
                  <w:color w:val="0000FF"/>
                  <w:w w:val="98"/>
                </w:rPr>
                <w:t>Form of 3.950% Note due 2025 is incorporated by reference to Exhibit 4.2.5 to Campbell's Form 8-K (SEC file number 1-3822) filed with the</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280" w:type="dxa"/>
            <w:vAlign w:val="bottom"/>
            <w:tcBorders>
              <w:top w:val="single" w:sz="8" w:color="0000FF"/>
            </w:tcBorders>
            <w:gridSpan w:val="33"/>
          </w:tcPr>
          <w:p>
            <w:pPr>
              <w:spacing w:after="0" w:line="147" w:lineRule="exact"/>
              <w:rPr>
                <w:rFonts w:ascii="Arial" w:cs="Arial" w:eastAsia="Arial" w:hAnsi="Arial"/>
                <w:sz w:val="17"/>
                <w:szCs w:val="17"/>
                <w:color w:val="0000FF"/>
              </w:rPr>
            </w:pPr>
            <w:hyperlink r:id="rId116">
              <w:r>
                <w:rPr>
                  <w:rFonts w:ascii="Arial" w:cs="Arial" w:eastAsia="Arial" w:hAnsi="Arial"/>
                  <w:sz w:val="17"/>
                  <w:szCs w:val="17"/>
                  <w:color w:val="0000FF"/>
                </w:rPr>
                <w:t>SEC on March 16, 2018.</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304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Arial" w:cs="Arial" w:eastAsia="Arial" w:hAnsi="Arial"/>
                <w:sz w:val="17"/>
                <w:szCs w:val="17"/>
                <w:color w:val="auto"/>
              </w:rPr>
              <w:t>4(j)</w:t>
            </w:r>
          </w:p>
        </w:tc>
        <w:tc>
          <w:tcPr>
            <w:tcW w:w="10320" w:type="dxa"/>
            <w:vAlign w:val="bottom"/>
            <w:gridSpan w:val="35"/>
          </w:tcPr>
          <w:p>
            <w:pPr>
              <w:spacing w:after="0"/>
              <w:rPr>
                <w:rFonts w:ascii="Arial" w:cs="Arial" w:eastAsia="Arial" w:hAnsi="Arial"/>
                <w:sz w:val="17"/>
                <w:szCs w:val="17"/>
                <w:color w:val="0000FF"/>
                <w:w w:val="98"/>
              </w:rPr>
            </w:pPr>
            <w:hyperlink r:id="rId117">
              <w:r>
                <w:rPr>
                  <w:rFonts w:ascii="Arial" w:cs="Arial" w:eastAsia="Arial" w:hAnsi="Arial"/>
                  <w:sz w:val="17"/>
                  <w:szCs w:val="17"/>
                  <w:color w:val="0000FF"/>
                  <w:w w:val="98"/>
                </w:rPr>
                <w:t>Form of 4.150% Note due 2028 is incorporated by reference to Exhibit 4.2.6 to Campbell's Form 8-K (SEC file number 1-3822) filed with the</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280" w:type="dxa"/>
            <w:vAlign w:val="bottom"/>
            <w:tcBorders>
              <w:top w:val="single" w:sz="8" w:color="0000FF"/>
            </w:tcBorders>
            <w:gridSpan w:val="33"/>
          </w:tcPr>
          <w:p>
            <w:pPr>
              <w:spacing w:after="0" w:line="147" w:lineRule="exact"/>
              <w:rPr>
                <w:rFonts w:ascii="Arial" w:cs="Arial" w:eastAsia="Arial" w:hAnsi="Arial"/>
                <w:sz w:val="17"/>
                <w:szCs w:val="17"/>
                <w:color w:val="0000FF"/>
              </w:rPr>
            </w:pPr>
            <w:hyperlink r:id="rId117">
              <w:r>
                <w:rPr>
                  <w:rFonts w:ascii="Arial" w:cs="Arial" w:eastAsia="Arial" w:hAnsi="Arial"/>
                  <w:sz w:val="17"/>
                  <w:szCs w:val="17"/>
                  <w:color w:val="0000FF"/>
                </w:rPr>
                <w:t>SEC on March 16, 2018.</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304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Arial" w:cs="Arial" w:eastAsia="Arial" w:hAnsi="Arial"/>
                <w:sz w:val="17"/>
                <w:szCs w:val="17"/>
                <w:color w:val="auto"/>
              </w:rPr>
              <w:t>4(k)</w:t>
            </w:r>
          </w:p>
        </w:tc>
        <w:tc>
          <w:tcPr>
            <w:tcW w:w="10320" w:type="dxa"/>
            <w:vAlign w:val="bottom"/>
            <w:gridSpan w:val="35"/>
          </w:tcPr>
          <w:p>
            <w:pPr>
              <w:spacing w:after="0"/>
              <w:rPr>
                <w:rFonts w:ascii="Arial" w:cs="Arial" w:eastAsia="Arial" w:hAnsi="Arial"/>
                <w:sz w:val="17"/>
                <w:szCs w:val="17"/>
                <w:color w:val="0000FF"/>
                <w:w w:val="98"/>
              </w:rPr>
            </w:pPr>
            <w:hyperlink r:id="rId118">
              <w:r>
                <w:rPr>
                  <w:rFonts w:ascii="Arial" w:cs="Arial" w:eastAsia="Arial" w:hAnsi="Arial"/>
                  <w:sz w:val="17"/>
                  <w:szCs w:val="17"/>
                  <w:color w:val="0000FF"/>
                  <w:w w:val="98"/>
                </w:rPr>
                <w:t>Form of 4.800% Note due 2048 is incorporated by reference to Exhibit 4.2.7 to Campbell's Form 8-K (SEC file number 1-3822) filed with the</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280" w:type="dxa"/>
            <w:vAlign w:val="bottom"/>
            <w:tcBorders>
              <w:top w:val="single" w:sz="8" w:color="0000FF"/>
            </w:tcBorders>
            <w:gridSpan w:val="33"/>
          </w:tcPr>
          <w:p>
            <w:pPr>
              <w:spacing w:after="0" w:line="147" w:lineRule="exact"/>
              <w:rPr>
                <w:rFonts w:ascii="Arial" w:cs="Arial" w:eastAsia="Arial" w:hAnsi="Arial"/>
                <w:sz w:val="17"/>
                <w:szCs w:val="17"/>
                <w:color w:val="0000FF"/>
              </w:rPr>
            </w:pPr>
            <w:hyperlink r:id="rId118">
              <w:r>
                <w:rPr>
                  <w:rFonts w:ascii="Arial" w:cs="Arial" w:eastAsia="Arial" w:hAnsi="Arial"/>
                  <w:sz w:val="17"/>
                  <w:szCs w:val="17"/>
                  <w:color w:val="0000FF"/>
                </w:rPr>
                <w:t>SEC on March 16, 2018.</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304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Arial" w:cs="Arial" w:eastAsia="Arial" w:hAnsi="Arial"/>
                <w:sz w:val="17"/>
                <w:szCs w:val="17"/>
                <w:color w:val="auto"/>
              </w:rPr>
              <w:t>4(l)</w:t>
            </w:r>
          </w:p>
        </w:tc>
        <w:tc>
          <w:tcPr>
            <w:tcW w:w="10320" w:type="dxa"/>
            <w:vAlign w:val="bottom"/>
            <w:gridSpan w:val="35"/>
          </w:tcPr>
          <w:p>
            <w:pPr>
              <w:spacing w:after="0"/>
              <w:rPr>
                <w:rFonts w:ascii="Arial" w:cs="Arial" w:eastAsia="Arial" w:hAnsi="Arial"/>
                <w:sz w:val="17"/>
                <w:szCs w:val="17"/>
                <w:color w:val="0000FF"/>
                <w:w w:val="96"/>
              </w:rPr>
            </w:pPr>
            <w:hyperlink r:id="rId119">
              <w:r>
                <w:rPr>
                  <w:rFonts w:ascii="Arial" w:cs="Arial" w:eastAsia="Arial" w:hAnsi="Arial"/>
                  <w:sz w:val="17"/>
                  <w:szCs w:val="17"/>
                  <w:color w:val="0000FF"/>
                  <w:w w:val="96"/>
                </w:rPr>
                <w:t>Form of 2.375% Note due 2030 incorporated by reference to Exhibit 4.2.1 to Campbell's Form 8-K (SEC file number 1-3822) filed with the SEC</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9960" w:type="dxa"/>
            <w:vAlign w:val="bottom"/>
            <w:tcBorders>
              <w:top w:val="single" w:sz="8" w:color="0000FF"/>
            </w:tcBorders>
            <w:gridSpan w:val="20"/>
          </w:tcPr>
          <w:p>
            <w:pPr>
              <w:spacing w:after="0" w:line="147" w:lineRule="exact"/>
              <w:rPr>
                <w:rFonts w:ascii="Arial" w:cs="Arial" w:eastAsia="Arial" w:hAnsi="Arial"/>
                <w:sz w:val="17"/>
                <w:szCs w:val="17"/>
                <w:color w:val="0000FF"/>
              </w:rPr>
            </w:pPr>
            <w:hyperlink r:id="rId119">
              <w:r>
                <w:rPr>
                  <w:rFonts w:ascii="Arial" w:cs="Arial" w:eastAsia="Arial" w:hAnsi="Arial"/>
                  <w:sz w:val="17"/>
                  <w:szCs w:val="17"/>
                  <w:color w:val="0000FF"/>
                </w:rPr>
                <w:t>on April 24, 2020.</w:t>
              </w:r>
            </w:hyperlink>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31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Arial" w:cs="Arial" w:eastAsia="Arial" w:hAnsi="Arial"/>
                <w:sz w:val="17"/>
                <w:szCs w:val="17"/>
                <w:color w:val="auto"/>
              </w:rPr>
              <w:t>4(m)</w:t>
            </w:r>
          </w:p>
        </w:tc>
        <w:tc>
          <w:tcPr>
            <w:tcW w:w="10320" w:type="dxa"/>
            <w:vAlign w:val="bottom"/>
            <w:gridSpan w:val="35"/>
          </w:tcPr>
          <w:p>
            <w:pPr>
              <w:spacing w:after="0"/>
              <w:rPr>
                <w:rFonts w:ascii="Arial" w:cs="Arial" w:eastAsia="Arial" w:hAnsi="Arial"/>
                <w:sz w:val="17"/>
                <w:szCs w:val="17"/>
                <w:color w:val="0000FF"/>
                <w:w w:val="96"/>
              </w:rPr>
            </w:pPr>
            <w:hyperlink r:id="rId120">
              <w:r>
                <w:rPr>
                  <w:rFonts w:ascii="Arial" w:cs="Arial" w:eastAsia="Arial" w:hAnsi="Arial"/>
                  <w:sz w:val="17"/>
                  <w:szCs w:val="17"/>
                  <w:color w:val="0000FF"/>
                  <w:w w:val="96"/>
                </w:rPr>
                <w:t>Form of 3.125% Note due 2050 incorporated by reference to Exhibit 4.2.2 to Campbell's Form 8-K (SEC file number 1-3822) filed with the SEC</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9960" w:type="dxa"/>
            <w:vAlign w:val="bottom"/>
            <w:tcBorders>
              <w:top w:val="single" w:sz="8" w:color="0000FF"/>
            </w:tcBorders>
            <w:gridSpan w:val="20"/>
          </w:tcPr>
          <w:p>
            <w:pPr>
              <w:spacing w:after="0" w:line="147" w:lineRule="exact"/>
              <w:rPr>
                <w:rFonts w:ascii="Arial" w:cs="Arial" w:eastAsia="Arial" w:hAnsi="Arial"/>
                <w:sz w:val="17"/>
                <w:szCs w:val="17"/>
                <w:color w:val="0000FF"/>
              </w:rPr>
            </w:pPr>
            <w:hyperlink r:id="rId120">
              <w:r>
                <w:rPr>
                  <w:rFonts w:ascii="Arial" w:cs="Arial" w:eastAsia="Arial" w:hAnsi="Arial"/>
                  <w:sz w:val="17"/>
                  <w:szCs w:val="17"/>
                  <w:color w:val="0000FF"/>
                </w:rPr>
                <w:t>on April 24, 2020.</w:t>
              </w:r>
            </w:hyperlink>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31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Arial" w:cs="Arial" w:eastAsia="Arial" w:hAnsi="Arial"/>
                <w:sz w:val="17"/>
                <w:szCs w:val="17"/>
                <w:color w:val="auto"/>
              </w:rPr>
              <w:t>4(n)</w:t>
            </w:r>
          </w:p>
        </w:tc>
        <w:tc>
          <w:tcPr>
            <w:tcW w:w="10320" w:type="dxa"/>
            <w:vAlign w:val="bottom"/>
            <w:gridSpan w:val="35"/>
          </w:tcPr>
          <w:p>
            <w:pPr>
              <w:spacing w:after="0"/>
              <w:rPr>
                <w:rFonts w:ascii="Arial" w:cs="Arial" w:eastAsia="Arial" w:hAnsi="Arial"/>
                <w:sz w:val="17"/>
                <w:szCs w:val="17"/>
                <w:color w:val="0000FF"/>
                <w:w w:val="98"/>
              </w:rPr>
            </w:pPr>
            <w:hyperlink r:id="rId121">
              <w:r>
                <w:rPr>
                  <w:rFonts w:ascii="Arial" w:cs="Arial" w:eastAsia="Arial" w:hAnsi="Arial"/>
                  <w:sz w:val="17"/>
                  <w:szCs w:val="17"/>
                  <w:color w:val="0000FF"/>
                  <w:w w:val="98"/>
                </w:rPr>
                <w:t>Description of securities incorporated by reference to Exhibit 4(p) to Campbell's Form 10-K (SEC file number 1-3822) filed with the SEC on</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080" w:type="dxa"/>
            <w:vAlign w:val="bottom"/>
            <w:tcBorders>
              <w:top w:val="single" w:sz="8" w:color="0000FF"/>
            </w:tcBorders>
            <w:gridSpan w:val="23"/>
          </w:tcPr>
          <w:p>
            <w:pPr>
              <w:spacing w:after="0" w:line="147" w:lineRule="exact"/>
              <w:rPr>
                <w:rFonts w:ascii="Arial" w:cs="Arial" w:eastAsia="Arial" w:hAnsi="Arial"/>
                <w:sz w:val="17"/>
                <w:szCs w:val="17"/>
                <w:color w:val="0000FF"/>
              </w:rPr>
            </w:pPr>
            <w:hyperlink r:id="rId121">
              <w:r>
                <w:rPr>
                  <w:rFonts w:ascii="Arial" w:cs="Arial" w:eastAsia="Arial" w:hAnsi="Arial"/>
                  <w:sz w:val="17"/>
                  <w:szCs w:val="17"/>
                  <w:color w:val="0000FF"/>
                </w:rPr>
                <w:t>September 26, 2019.</w:t>
              </w:r>
            </w:hyperlink>
          </w:p>
        </w:tc>
        <w:tc>
          <w:tcPr>
            <w:tcW w:w="80" w:type="dxa"/>
            <w:vAlign w:val="bottom"/>
            <w:gridSpan w:val="4"/>
          </w:tcPr>
          <w:p>
            <w:pPr>
              <w:spacing w:after="0"/>
              <w:rPr>
                <w:sz w:val="12"/>
                <w:szCs w:val="12"/>
                <w:color w:val="auto"/>
              </w:rPr>
            </w:pPr>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20" w:type="dxa"/>
            <w:vAlign w:val="bottom"/>
            <w:gridSpan w:val="5"/>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3140" w:type="dxa"/>
            <w:vAlign w:val="bottom"/>
            <w:gridSpan w:val="10"/>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Arial" w:cs="Arial" w:eastAsia="Arial" w:hAnsi="Arial"/>
                <w:sz w:val="17"/>
                <w:szCs w:val="17"/>
                <w:color w:val="auto"/>
              </w:rPr>
              <w:t>10(a)+</w:t>
            </w:r>
          </w:p>
        </w:tc>
        <w:tc>
          <w:tcPr>
            <w:tcW w:w="10320" w:type="dxa"/>
            <w:vAlign w:val="bottom"/>
            <w:gridSpan w:val="35"/>
          </w:tcPr>
          <w:p>
            <w:pPr>
              <w:spacing w:after="0"/>
              <w:rPr>
                <w:rFonts w:ascii="Arial" w:cs="Arial" w:eastAsia="Arial" w:hAnsi="Arial"/>
                <w:sz w:val="17"/>
                <w:szCs w:val="17"/>
                <w:color w:val="0000FF"/>
                <w:w w:val="97"/>
              </w:rPr>
            </w:pPr>
            <w:hyperlink r:id="rId122">
              <w:r>
                <w:rPr>
                  <w:rFonts w:ascii="Arial" w:cs="Arial" w:eastAsia="Arial" w:hAnsi="Arial"/>
                  <w:sz w:val="17"/>
                  <w:szCs w:val="17"/>
                  <w:color w:val="0000FF"/>
                  <w:w w:val="97"/>
                </w:rPr>
                <w:t>Campbell Soup Company 2005 Long-Term Incentive Plan, as amended and restated on November 18, 2010, is incorporated by reference to</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6920" w:type="dxa"/>
            <w:vAlign w:val="bottom"/>
            <w:tcBorders>
              <w:top w:val="single" w:sz="8" w:color="0000FF"/>
              <w:bottom w:val="single" w:sz="8" w:color="0000FF"/>
            </w:tcBorders>
            <w:gridSpan w:val="12"/>
          </w:tcPr>
          <w:p>
            <w:pPr>
              <w:spacing w:after="0" w:line="147" w:lineRule="exact"/>
              <w:rPr>
                <w:rFonts w:ascii="Arial" w:cs="Arial" w:eastAsia="Arial" w:hAnsi="Arial"/>
                <w:sz w:val="17"/>
                <w:szCs w:val="17"/>
                <w:color w:val="0000FF"/>
                <w:w w:val="92"/>
              </w:rPr>
            </w:pPr>
            <w:hyperlink r:id="rId122">
              <w:r>
                <w:rPr>
                  <w:rFonts w:ascii="Arial" w:cs="Arial" w:eastAsia="Arial" w:hAnsi="Arial"/>
                  <w:sz w:val="17"/>
                  <w:szCs w:val="17"/>
                  <w:color w:val="0000FF"/>
                  <w:w w:val="92"/>
                </w:rPr>
                <w:t>Campbell’s 2010 Proxy Statement (SEC file number 1-3822) filed with the SEC on October 7, 2010.</w:t>
              </w:r>
            </w:hyperlink>
          </w:p>
        </w:tc>
        <w:tc>
          <w:tcPr>
            <w:tcW w:w="3240" w:type="dxa"/>
            <w:vAlign w:val="bottom"/>
            <w:tcBorders>
              <w:top w:val="single" w:sz="8" w:color="0000FF"/>
            </w:tcBorders>
            <w:gridSpan w:val="15"/>
          </w:tcPr>
          <w:p>
            <w:pPr>
              <w:spacing w:after="0"/>
              <w:rPr>
                <w:sz w:val="12"/>
                <w:szCs w:val="12"/>
                <w:color w:val="auto"/>
              </w:rPr>
            </w:pPr>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140" w:type="dxa"/>
            <w:vAlign w:val="bottom"/>
          </w:tcPr>
          <w:p>
            <w:pPr>
              <w:ind w:left="40"/>
              <w:spacing w:after="0"/>
              <w:rPr>
                <w:sz w:val="20"/>
                <w:szCs w:val="20"/>
                <w:color w:val="auto"/>
              </w:rPr>
            </w:pPr>
            <w:r>
              <w:rPr>
                <w:rFonts w:ascii="Arial" w:cs="Arial" w:eastAsia="Arial" w:hAnsi="Arial"/>
                <w:sz w:val="17"/>
                <w:szCs w:val="17"/>
                <w:color w:val="auto"/>
              </w:rPr>
              <w:t>10(b)+</w:t>
            </w:r>
          </w:p>
        </w:tc>
        <w:tc>
          <w:tcPr>
            <w:tcW w:w="10320" w:type="dxa"/>
            <w:vAlign w:val="bottom"/>
            <w:gridSpan w:val="35"/>
          </w:tcPr>
          <w:p>
            <w:pPr>
              <w:spacing w:after="0"/>
              <w:rPr>
                <w:rFonts w:ascii="Arial" w:cs="Arial" w:eastAsia="Arial" w:hAnsi="Arial"/>
                <w:sz w:val="17"/>
                <w:szCs w:val="17"/>
                <w:color w:val="0000FF"/>
                <w:w w:val="94"/>
              </w:rPr>
            </w:pPr>
            <w:hyperlink r:id="rId123">
              <w:r>
                <w:rPr>
                  <w:rFonts w:ascii="Arial" w:cs="Arial" w:eastAsia="Arial" w:hAnsi="Arial"/>
                  <w:sz w:val="17"/>
                  <w:szCs w:val="17"/>
                  <w:color w:val="0000FF"/>
                  <w:w w:val="94"/>
                </w:rPr>
                <w:t>Campbell Soup Company 2015 Long-Term Incentive Plan is incorporated by reference to Campbell’s 2015 Proxy Statement (SEC file number 1-</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280" w:type="dxa"/>
            <w:vAlign w:val="bottom"/>
            <w:tcBorders>
              <w:top w:val="single" w:sz="8" w:color="0000FF"/>
            </w:tcBorders>
            <w:gridSpan w:val="33"/>
          </w:tcPr>
          <w:p>
            <w:pPr>
              <w:spacing w:after="0" w:line="147" w:lineRule="exact"/>
              <w:rPr>
                <w:rFonts w:ascii="Arial" w:cs="Arial" w:eastAsia="Arial" w:hAnsi="Arial"/>
                <w:sz w:val="17"/>
                <w:szCs w:val="17"/>
                <w:color w:val="0000FF"/>
              </w:rPr>
            </w:pPr>
            <w:hyperlink r:id="rId123">
              <w:r>
                <w:rPr>
                  <w:rFonts w:ascii="Arial" w:cs="Arial" w:eastAsia="Arial" w:hAnsi="Arial"/>
                  <w:sz w:val="17"/>
                  <w:szCs w:val="17"/>
                  <w:color w:val="0000FF"/>
                </w:rPr>
                <w:t>3822) filed with the SEC on October 9, 2015.</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20" w:type="dxa"/>
            <w:vAlign w:val="bottom"/>
            <w:gridSpan w:val="7"/>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60" w:type="dxa"/>
            <w:vAlign w:val="bottom"/>
            <w:gridSpan w:val="13"/>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Arial" w:cs="Arial" w:eastAsia="Arial" w:hAnsi="Arial"/>
                <w:sz w:val="17"/>
                <w:szCs w:val="17"/>
                <w:color w:val="auto"/>
              </w:rPr>
              <w:t>10(c)+</w:t>
            </w:r>
          </w:p>
        </w:tc>
        <w:tc>
          <w:tcPr>
            <w:tcW w:w="10320" w:type="dxa"/>
            <w:vAlign w:val="bottom"/>
            <w:gridSpan w:val="35"/>
          </w:tcPr>
          <w:p>
            <w:pPr>
              <w:spacing w:after="0"/>
              <w:rPr>
                <w:rFonts w:ascii="Arial" w:cs="Arial" w:eastAsia="Arial" w:hAnsi="Arial"/>
                <w:sz w:val="17"/>
                <w:szCs w:val="17"/>
                <w:color w:val="0000FF"/>
                <w:w w:val="94"/>
              </w:rPr>
            </w:pPr>
            <w:hyperlink r:id="rId124">
              <w:r>
                <w:rPr>
                  <w:rFonts w:ascii="Arial" w:cs="Arial" w:eastAsia="Arial" w:hAnsi="Arial"/>
                  <w:sz w:val="17"/>
                  <w:szCs w:val="17"/>
                  <w:color w:val="0000FF"/>
                  <w:w w:val="94"/>
                </w:rPr>
                <w:t>Campbell Soup Company 2022 Long-Term Incentive Plan, is incorporated by reference to Appendix B to Campbell’s 2022 Proxy Statement (SEC</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4200" w:type="dxa"/>
            <w:vAlign w:val="bottom"/>
            <w:tcBorders>
              <w:top w:val="single" w:sz="8" w:color="0000FF"/>
              <w:bottom w:val="single" w:sz="8" w:color="0000FF"/>
            </w:tcBorders>
            <w:gridSpan w:val="9"/>
          </w:tcPr>
          <w:p>
            <w:pPr>
              <w:spacing w:after="0" w:line="147" w:lineRule="exact"/>
              <w:rPr>
                <w:rFonts w:ascii="Arial" w:cs="Arial" w:eastAsia="Arial" w:hAnsi="Arial"/>
                <w:sz w:val="17"/>
                <w:szCs w:val="17"/>
                <w:color w:val="0000FF"/>
                <w:w w:val="92"/>
              </w:rPr>
            </w:pPr>
            <w:hyperlink r:id="rId124">
              <w:r>
                <w:rPr>
                  <w:rFonts w:ascii="Arial" w:cs="Arial" w:eastAsia="Arial" w:hAnsi="Arial"/>
                  <w:sz w:val="17"/>
                  <w:szCs w:val="17"/>
                  <w:color w:val="0000FF"/>
                  <w:w w:val="92"/>
                </w:rPr>
                <w:t>file number 1-3822) filed with the SEC on October 18, 2022.</w:t>
              </w:r>
            </w:hyperlink>
          </w:p>
        </w:tc>
        <w:tc>
          <w:tcPr>
            <w:tcW w:w="5860" w:type="dxa"/>
            <w:vAlign w:val="bottom"/>
            <w:tcBorders>
              <w:top w:val="single" w:sz="8" w:color="0000FF"/>
            </w:tcBorders>
            <w:gridSpan w:val="13"/>
          </w:tcPr>
          <w:p>
            <w:pPr>
              <w:spacing w:after="0"/>
              <w:rPr>
                <w:sz w:val="12"/>
                <w:szCs w:val="12"/>
                <w:color w:val="auto"/>
              </w:rPr>
            </w:pPr>
          </w:p>
        </w:tc>
        <w:tc>
          <w:tcPr>
            <w:tcW w:w="260" w:type="dxa"/>
            <w:vAlign w:val="bottom"/>
            <w:gridSpan w:val="13"/>
          </w:tcPr>
          <w:p>
            <w:pPr>
              <w:spacing w:after="0"/>
              <w:rPr>
                <w:sz w:val="12"/>
                <w:szCs w:val="12"/>
                <w:color w:val="auto"/>
              </w:rPr>
            </w:pPr>
          </w:p>
        </w:tc>
        <w:tc>
          <w:tcPr>
            <w:tcW w:w="0" w:type="dxa"/>
            <w:vAlign w:val="bottom"/>
          </w:tcPr>
          <w:p>
            <w:pPr>
              <w:spacing w:after="0"/>
              <w:rPr>
                <w:sz w:val="1"/>
                <w:szCs w:val="1"/>
                <w:color w:val="auto"/>
              </w:rPr>
            </w:pPr>
          </w:p>
        </w:tc>
      </w:tr>
      <w:tr>
        <w:trPr>
          <w:trHeight w:val="816"/>
        </w:trPr>
        <w:tc>
          <w:tcPr>
            <w:tcW w:w="1140" w:type="dxa"/>
            <w:vAlign w:val="bottom"/>
          </w:tcPr>
          <w:p>
            <w:pPr>
              <w:spacing w:after="0"/>
              <w:rPr>
                <w:sz w:val="24"/>
                <w:szCs w:val="24"/>
                <w:color w:val="auto"/>
              </w:rPr>
            </w:pPr>
          </w:p>
        </w:tc>
        <w:tc>
          <w:tcPr>
            <w:tcW w:w="5060" w:type="dxa"/>
            <w:vAlign w:val="bottom"/>
            <w:gridSpan w:val="10"/>
          </w:tcPr>
          <w:p>
            <w:pPr>
              <w:ind w:left="4400"/>
              <w:spacing w:after="0"/>
              <w:rPr>
                <w:sz w:val="20"/>
                <w:szCs w:val="20"/>
                <w:color w:val="auto"/>
              </w:rPr>
            </w:pPr>
            <w:r>
              <w:rPr>
                <w:rFonts w:ascii="Arial" w:cs="Arial" w:eastAsia="Arial" w:hAnsi="Arial"/>
                <w:sz w:val="17"/>
                <w:szCs w:val="17"/>
                <w:color w:val="auto"/>
              </w:rPr>
              <w:t>76</w:t>
            </w: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14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420" w:type="dxa"/>
            <w:vAlign w:val="bottom"/>
            <w:tcBorders>
              <w:bottom w:val="single" w:sz="8" w:color="9A9A9A"/>
            </w:tcBorders>
          </w:tcPr>
          <w:p>
            <w:pPr>
              <w:spacing w:after="0"/>
              <w:rPr>
                <w:sz w:val="16"/>
                <w:szCs w:val="16"/>
                <w:color w:val="auto"/>
              </w:rPr>
            </w:pPr>
          </w:p>
        </w:tc>
        <w:tc>
          <w:tcPr>
            <w:tcW w:w="9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94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95"/>
        </w:trPr>
        <w:tc>
          <w:tcPr>
            <w:tcW w:w="1140" w:type="dxa"/>
            <w:vAlign w:val="bottom"/>
          </w:tcPr>
          <w:p>
            <w:pPr>
              <w:ind w:left="40"/>
              <w:spacing w:after="0"/>
              <w:rPr>
                <w:sz w:val="20"/>
                <w:szCs w:val="20"/>
                <w:color w:val="auto"/>
              </w:rPr>
            </w:pPr>
            <w:r>
              <w:rPr>
                <w:rFonts w:ascii="Arial" w:cs="Arial" w:eastAsia="Arial" w:hAnsi="Arial"/>
                <w:sz w:val="17"/>
                <w:szCs w:val="17"/>
                <w:color w:val="auto"/>
              </w:rPr>
              <w:t>10(d)+</w:t>
            </w:r>
          </w:p>
        </w:tc>
        <w:tc>
          <w:tcPr>
            <w:tcW w:w="10360" w:type="dxa"/>
            <w:vAlign w:val="bottom"/>
            <w:gridSpan w:val="38"/>
          </w:tcPr>
          <w:p>
            <w:pPr>
              <w:spacing w:after="0"/>
              <w:rPr>
                <w:rFonts w:ascii="Arial" w:cs="Arial" w:eastAsia="Arial" w:hAnsi="Arial"/>
                <w:sz w:val="17"/>
                <w:szCs w:val="17"/>
                <w:color w:val="0000FF"/>
                <w:w w:val="97"/>
              </w:rPr>
            </w:pPr>
            <w:hyperlink r:id="rId127">
              <w:r>
                <w:rPr>
                  <w:rFonts w:ascii="Arial" w:cs="Arial" w:eastAsia="Arial" w:hAnsi="Arial"/>
                  <w:sz w:val="17"/>
                  <w:szCs w:val="17"/>
                  <w:color w:val="0000FF"/>
                  <w:w w:val="97"/>
                </w:rPr>
                <w:t>Campbell Soup Company Annual Incentive Plan, as amended on November 19, 2014, is incorporated by reference to Campbell’s 2014 Proxy</w:t>
              </w:r>
            </w:hyperlink>
          </w:p>
        </w:tc>
      </w:tr>
      <w:tr>
        <w:trPr>
          <w:trHeight w:val="147"/>
        </w:trPr>
        <w:tc>
          <w:tcPr>
            <w:tcW w:w="1140" w:type="dxa"/>
            <w:vAlign w:val="bottom"/>
          </w:tcPr>
          <w:p>
            <w:pPr>
              <w:spacing w:after="0"/>
              <w:rPr>
                <w:sz w:val="12"/>
                <w:szCs w:val="12"/>
                <w:color w:val="auto"/>
              </w:rPr>
            </w:pPr>
          </w:p>
        </w:tc>
        <w:tc>
          <w:tcPr>
            <w:tcW w:w="5260" w:type="dxa"/>
            <w:vAlign w:val="bottom"/>
            <w:tcBorders>
              <w:top w:val="single" w:sz="8" w:color="0000FF"/>
              <w:bottom w:val="single" w:sz="8" w:color="0000FF"/>
            </w:tcBorders>
            <w:gridSpan w:val="7"/>
          </w:tcPr>
          <w:p>
            <w:pPr>
              <w:spacing w:after="0" w:line="147" w:lineRule="exact"/>
              <w:rPr>
                <w:rFonts w:ascii="Arial" w:cs="Arial" w:eastAsia="Arial" w:hAnsi="Arial"/>
                <w:sz w:val="17"/>
                <w:szCs w:val="17"/>
                <w:color w:val="0000FF"/>
                <w:w w:val="92"/>
              </w:rPr>
            </w:pPr>
            <w:hyperlink r:id="rId127">
              <w:r>
                <w:rPr>
                  <w:rFonts w:ascii="Arial" w:cs="Arial" w:eastAsia="Arial" w:hAnsi="Arial"/>
                  <w:sz w:val="17"/>
                  <w:szCs w:val="17"/>
                  <w:color w:val="0000FF"/>
                  <w:w w:val="92"/>
                </w:rPr>
                <w:t>Statement (SEC file number 1-3822) filed with the SEC on October 1, 2014.</w:t>
              </w:r>
            </w:hyperlink>
          </w:p>
        </w:tc>
        <w:tc>
          <w:tcPr>
            <w:tcW w:w="5080" w:type="dxa"/>
            <w:vAlign w:val="bottom"/>
            <w:tcBorders>
              <w:top w:val="single" w:sz="8" w:color="0000FF"/>
            </w:tcBorders>
            <w:gridSpan w:val="30"/>
          </w:tcPr>
          <w:p>
            <w:pPr>
              <w:spacing w:after="0"/>
              <w:rPr>
                <w:sz w:val="12"/>
                <w:szCs w:val="12"/>
                <w:color w:val="auto"/>
              </w:rPr>
            </w:pPr>
          </w:p>
        </w:tc>
        <w:tc>
          <w:tcPr>
            <w:tcW w:w="20" w:type="dxa"/>
            <w:vAlign w:val="bottom"/>
          </w:tcPr>
          <w:p>
            <w:pPr>
              <w:spacing w:after="0"/>
              <w:rPr>
                <w:sz w:val="12"/>
                <w:szCs w:val="12"/>
                <w:color w:val="auto"/>
              </w:rPr>
            </w:pPr>
          </w:p>
        </w:tc>
      </w:tr>
      <w:tr>
        <w:trPr>
          <w:trHeight w:val="263"/>
        </w:trPr>
        <w:tc>
          <w:tcPr>
            <w:tcW w:w="1140" w:type="dxa"/>
            <w:vAlign w:val="bottom"/>
          </w:tcPr>
          <w:p>
            <w:pPr>
              <w:ind w:left="40"/>
              <w:spacing w:after="0"/>
              <w:rPr>
                <w:sz w:val="20"/>
                <w:szCs w:val="20"/>
                <w:color w:val="auto"/>
              </w:rPr>
            </w:pPr>
            <w:r>
              <w:rPr>
                <w:rFonts w:ascii="Arial" w:cs="Arial" w:eastAsia="Arial" w:hAnsi="Arial"/>
                <w:sz w:val="17"/>
                <w:szCs w:val="17"/>
                <w:color w:val="auto"/>
              </w:rPr>
              <w:t>10(e)+</w:t>
            </w:r>
          </w:p>
        </w:tc>
        <w:tc>
          <w:tcPr>
            <w:tcW w:w="10360" w:type="dxa"/>
            <w:vAlign w:val="bottom"/>
            <w:gridSpan w:val="38"/>
          </w:tcPr>
          <w:p>
            <w:pPr>
              <w:spacing w:after="0"/>
              <w:rPr>
                <w:rFonts w:ascii="Arial" w:cs="Arial" w:eastAsia="Arial" w:hAnsi="Arial"/>
                <w:sz w:val="17"/>
                <w:szCs w:val="17"/>
                <w:color w:val="0000FF"/>
                <w:w w:val="93"/>
              </w:rPr>
            </w:pPr>
            <w:hyperlink r:id="rId128">
              <w:r>
                <w:rPr>
                  <w:rFonts w:ascii="Arial" w:cs="Arial" w:eastAsia="Arial" w:hAnsi="Arial"/>
                  <w:sz w:val="17"/>
                  <w:szCs w:val="17"/>
                  <w:color w:val="0000FF"/>
                  <w:w w:val="93"/>
                </w:rPr>
                <w:t>Campbell Soup Company Mid-Career Hire Pension Plan, as amended and restated effective as of January 1, 2009, is incorporated by reference to</w:t>
              </w:r>
            </w:hyperlink>
          </w:p>
        </w:tc>
      </w:tr>
      <w:tr>
        <w:trPr>
          <w:trHeight w:val="147"/>
        </w:trPr>
        <w:tc>
          <w:tcPr>
            <w:tcW w:w="1140" w:type="dxa"/>
            <w:vAlign w:val="bottom"/>
          </w:tcPr>
          <w:p>
            <w:pPr>
              <w:spacing w:after="0"/>
              <w:rPr>
                <w:sz w:val="12"/>
                <w:szCs w:val="12"/>
                <w:color w:val="auto"/>
              </w:rPr>
            </w:pPr>
          </w:p>
        </w:tc>
        <w:tc>
          <w:tcPr>
            <w:tcW w:w="7720" w:type="dxa"/>
            <w:vAlign w:val="bottom"/>
            <w:tcBorders>
              <w:top w:val="single" w:sz="8" w:color="0000FF"/>
              <w:bottom w:val="single" w:sz="8" w:color="0000FF"/>
            </w:tcBorders>
            <w:gridSpan w:val="17"/>
          </w:tcPr>
          <w:p>
            <w:pPr>
              <w:spacing w:after="0" w:line="147" w:lineRule="exact"/>
              <w:rPr>
                <w:rFonts w:ascii="Arial" w:cs="Arial" w:eastAsia="Arial" w:hAnsi="Arial"/>
                <w:sz w:val="17"/>
                <w:szCs w:val="17"/>
                <w:color w:val="0000FF"/>
                <w:w w:val="92"/>
              </w:rPr>
            </w:pPr>
            <w:hyperlink r:id="rId128">
              <w:r>
                <w:rPr>
                  <w:rFonts w:ascii="Arial" w:cs="Arial" w:eastAsia="Arial" w:hAnsi="Arial"/>
                  <w:sz w:val="17"/>
                  <w:szCs w:val="17"/>
                  <w:color w:val="0000FF"/>
                  <w:w w:val="92"/>
                </w:rPr>
                <w:t>Exhibit 10(a) to Campbell’s Form 10-Q (SEC file number 1-3822) for the fiscal quarter ended February 1, 2009.</w:t>
              </w:r>
            </w:hyperlink>
          </w:p>
        </w:tc>
        <w:tc>
          <w:tcPr>
            <w:tcW w:w="2380" w:type="dxa"/>
            <w:vAlign w:val="bottom"/>
            <w:tcBorders>
              <w:top w:val="single" w:sz="8" w:color="0000FF"/>
            </w:tcBorders>
            <w:gridSpan w:val="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63"/>
        </w:trPr>
        <w:tc>
          <w:tcPr>
            <w:tcW w:w="1140" w:type="dxa"/>
            <w:vAlign w:val="bottom"/>
          </w:tcPr>
          <w:p>
            <w:pPr>
              <w:ind w:left="40"/>
              <w:spacing w:after="0"/>
              <w:rPr>
                <w:sz w:val="20"/>
                <w:szCs w:val="20"/>
                <w:color w:val="auto"/>
              </w:rPr>
            </w:pPr>
            <w:r>
              <w:rPr>
                <w:rFonts w:ascii="Arial" w:cs="Arial" w:eastAsia="Arial" w:hAnsi="Arial"/>
                <w:sz w:val="17"/>
                <w:szCs w:val="17"/>
                <w:color w:val="auto"/>
              </w:rPr>
              <w:t>10(f)+</w:t>
            </w:r>
          </w:p>
        </w:tc>
        <w:tc>
          <w:tcPr>
            <w:tcW w:w="10360" w:type="dxa"/>
            <w:vAlign w:val="bottom"/>
            <w:gridSpan w:val="38"/>
          </w:tcPr>
          <w:p>
            <w:pPr>
              <w:spacing w:after="0"/>
              <w:rPr>
                <w:rFonts w:ascii="Arial" w:cs="Arial" w:eastAsia="Arial" w:hAnsi="Arial"/>
                <w:sz w:val="17"/>
                <w:szCs w:val="17"/>
                <w:color w:val="0000FF"/>
                <w:w w:val="94"/>
              </w:rPr>
            </w:pPr>
            <w:hyperlink r:id="rId129">
              <w:r>
                <w:rPr>
                  <w:rFonts w:ascii="Arial" w:cs="Arial" w:eastAsia="Arial" w:hAnsi="Arial"/>
                  <w:sz w:val="17"/>
                  <w:szCs w:val="17"/>
                  <w:color w:val="0000FF"/>
                  <w:w w:val="94"/>
                </w:rPr>
                <w:t>First Amendment to the Campbell Soup Company Mid-Career Hire Pension Plan, effective as of December 31, 2010, is incorporated by reference</w:t>
              </w:r>
            </w:hyperlink>
          </w:p>
        </w:tc>
      </w:tr>
      <w:tr>
        <w:trPr>
          <w:trHeight w:val="147"/>
        </w:trPr>
        <w:tc>
          <w:tcPr>
            <w:tcW w:w="1140" w:type="dxa"/>
            <w:vAlign w:val="bottom"/>
          </w:tcPr>
          <w:p>
            <w:pPr>
              <w:spacing w:after="0"/>
              <w:rPr>
                <w:sz w:val="12"/>
                <w:szCs w:val="12"/>
                <w:color w:val="auto"/>
              </w:rPr>
            </w:pPr>
          </w:p>
        </w:tc>
        <w:tc>
          <w:tcPr>
            <w:tcW w:w="10200" w:type="dxa"/>
            <w:vAlign w:val="bottom"/>
            <w:tcBorders>
              <w:top w:val="single" w:sz="8" w:color="0000FF"/>
            </w:tcBorders>
            <w:gridSpan w:val="30"/>
          </w:tcPr>
          <w:p>
            <w:pPr>
              <w:spacing w:after="0" w:line="147" w:lineRule="exact"/>
              <w:rPr>
                <w:rFonts w:ascii="Arial" w:cs="Arial" w:eastAsia="Arial" w:hAnsi="Arial"/>
                <w:sz w:val="17"/>
                <w:szCs w:val="17"/>
                <w:color w:val="0000FF"/>
              </w:rPr>
            </w:pPr>
            <w:hyperlink r:id="rId129">
              <w:r>
                <w:rPr>
                  <w:rFonts w:ascii="Arial" w:cs="Arial" w:eastAsia="Arial" w:hAnsi="Arial"/>
                  <w:sz w:val="17"/>
                  <w:szCs w:val="17"/>
                  <w:color w:val="0000FF"/>
                </w:rPr>
                <w:t>to Exhibit 10(a) to Campbell’s Form 10-Q (SEC file number 1-3822) for the fiscal quarter ended January 30, 2011.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Arial" w:cs="Arial" w:eastAsia="Arial" w:hAnsi="Arial"/>
                <w:sz w:val="17"/>
                <w:szCs w:val="17"/>
                <w:color w:val="auto"/>
              </w:rPr>
              <w:t>10(g)+</w:t>
            </w:r>
          </w:p>
        </w:tc>
        <w:tc>
          <w:tcPr>
            <w:tcW w:w="10360" w:type="dxa"/>
            <w:vAlign w:val="bottom"/>
            <w:gridSpan w:val="38"/>
          </w:tcPr>
          <w:p>
            <w:pPr>
              <w:spacing w:after="0"/>
              <w:rPr>
                <w:rFonts w:ascii="Arial" w:cs="Arial" w:eastAsia="Arial" w:hAnsi="Arial"/>
                <w:sz w:val="17"/>
                <w:szCs w:val="17"/>
                <w:color w:val="0000FF"/>
                <w:w w:val="96"/>
              </w:rPr>
            </w:pPr>
            <w:hyperlink r:id="rId130">
              <w:r>
                <w:rPr>
                  <w:rFonts w:ascii="Arial" w:cs="Arial" w:eastAsia="Arial" w:hAnsi="Arial"/>
                  <w:sz w:val="17"/>
                  <w:szCs w:val="17"/>
                  <w:color w:val="0000FF"/>
                  <w:w w:val="96"/>
                </w:rPr>
                <w:t>Deferred Compensation Plan, effective November 18, 1999, is incorporated herein by reference to Exhibit 10(e) to Campbell’s Form 10-K (SEC</w:t>
              </w:r>
            </w:hyperlink>
          </w:p>
        </w:tc>
      </w:tr>
      <w:tr>
        <w:trPr>
          <w:trHeight w:val="147"/>
        </w:trPr>
        <w:tc>
          <w:tcPr>
            <w:tcW w:w="1140" w:type="dxa"/>
            <w:vAlign w:val="bottom"/>
          </w:tcPr>
          <w:p>
            <w:pPr>
              <w:spacing w:after="0"/>
              <w:rPr>
                <w:sz w:val="12"/>
                <w:szCs w:val="12"/>
                <w:color w:val="auto"/>
              </w:rPr>
            </w:pPr>
          </w:p>
        </w:tc>
        <w:tc>
          <w:tcPr>
            <w:tcW w:w="4100" w:type="dxa"/>
            <w:vAlign w:val="bottom"/>
            <w:tcBorders>
              <w:top w:val="single" w:sz="8" w:color="0000FF"/>
              <w:bottom w:val="single" w:sz="8" w:color="0000FF"/>
            </w:tcBorders>
            <w:gridSpan w:val="6"/>
          </w:tcPr>
          <w:p>
            <w:pPr>
              <w:spacing w:after="0" w:line="147" w:lineRule="exact"/>
              <w:rPr>
                <w:rFonts w:ascii="Arial" w:cs="Arial" w:eastAsia="Arial" w:hAnsi="Arial"/>
                <w:sz w:val="17"/>
                <w:szCs w:val="17"/>
                <w:color w:val="0000FF"/>
                <w:w w:val="91"/>
              </w:rPr>
            </w:pPr>
            <w:hyperlink r:id="rId130">
              <w:r>
                <w:rPr>
                  <w:rFonts w:ascii="Arial" w:cs="Arial" w:eastAsia="Arial" w:hAnsi="Arial"/>
                  <w:sz w:val="17"/>
                  <w:szCs w:val="17"/>
                  <w:color w:val="0000FF"/>
                  <w:w w:val="91"/>
                </w:rPr>
                <w:t>file number 1-3822) for the fiscal year ended July 30, 2000.</w:t>
              </w:r>
            </w:hyperlink>
          </w:p>
        </w:tc>
        <w:tc>
          <w:tcPr>
            <w:tcW w:w="6240" w:type="dxa"/>
            <w:vAlign w:val="bottom"/>
            <w:tcBorders>
              <w:top w:val="single" w:sz="8" w:color="0000FF"/>
            </w:tcBorders>
            <w:gridSpan w:val="31"/>
          </w:tcPr>
          <w:p>
            <w:pPr>
              <w:spacing w:after="0"/>
              <w:rPr>
                <w:sz w:val="12"/>
                <w:szCs w:val="12"/>
                <w:color w:val="auto"/>
              </w:rPr>
            </w:pPr>
          </w:p>
        </w:tc>
        <w:tc>
          <w:tcPr>
            <w:tcW w:w="20" w:type="dxa"/>
            <w:vAlign w:val="bottom"/>
          </w:tcPr>
          <w:p>
            <w:pPr>
              <w:spacing w:after="0"/>
              <w:rPr>
                <w:sz w:val="12"/>
                <w:szCs w:val="12"/>
                <w:color w:val="auto"/>
              </w:rPr>
            </w:pPr>
          </w:p>
        </w:tc>
      </w:tr>
      <w:tr>
        <w:trPr>
          <w:trHeight w:val="263"/>
        </w:trPr>
        <w:tc>
          <w:tcPr>
            <w:tcW w:w="1140" w:type="dxa"/>
            <w:vAlign w:val="bottom"/>
          </w:tcPr>
          <w:p>
            <w:pPr>
              <w:ind w:left="40"/>
              <w:spacing w:after="0"/>
              <w:rPr>
                <w:sz w:val="20"/>
                <w:szCs w:val="20"/>
                <w:color w:val="auto"/>
              </w:rPr>
            </w:pPr>
            <w:r>
              <w:rPr>
                <w:rFonts w:ascii="Arial" w:cs="Arial" w:eastAsia="Arial" w:hAnsi="Arial"/>
                <w:sz w:val="17"/>
                <w:szCs w:val="17"/>
                <w:color w:val="auto"/>
              </w:rPr>
              <w:t>10(h)+</w:t>
            </w:r>
          </w:p>
        </w:tc>
        <w:tc>
          <w:tcPr>
            <w:tcW w:w="10360" w:type="dxa"/>
            <w:vAlign w:val="bottom"/>
            <w:gridSpan w:val="38"/>
          </w:tcPr>
          <w:p>
            <w:pPr>
              <w:spacing w:after="0"/>
              <w:rPr>
                <w:sz w:val="20"/>
                <w:szCs w:val="20"/>
                <w:color w:val="auto"/>
              </w:rPr>
            </w:pPr>
            <w:r>
              <w:rPr>
                <w:rFonts w:ascii="Arial" w:cs="Arial" w:eastAsia="Arial" w:hAnsi="Arial"/>
                <w:sz w:val="17"/>
                <w:szCs w:val="17"/>
                <w:color w:val="0000FF"/>
                <w:w w:val="99"/>
              </w:rPr>
              <w:t>First Amendment to Campbell Soup Company Deferred Compensation Plan, as amended and restated effective as of September 1, 2023.</w:t>
            </w:r>
          </w:p>
        </w:tc>
      </w:tr>
      <w:tr>
        <w:trPr>
          <w:trHeight w:val="20"/>
        </w:trPr>
        <w:tc>
          <w:tcPr>
            <w:tcW w:w="114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9"/>
        </w:trPr>
        <w:tc>
          <w:tcPr>
            <w:tcW w:w="1140" w:type="dxa"/>
            <w:vAlign w:val="bottom"/>
          </w:tcPr>
          <w:p>
            <w:pPr>
              <w:ind w:left="40"/>
              <w:spacing w:after="0"/>
              <w:rPr>
                <w:sz w:val="20"/>
                <w:szCs w:val="20"/>
                <w:color w:val="auto"/>
              </w:rPr>
            </w:pPr>
            <w:r>
              <w:rPr>
                <w:rFonts w:ascii="Arial" w:cs="Arial" w:eastAsia="Arial" w:hAnsi="Arial"/>
                <w:sz w:val="17"/>
                <w:szCs w:val="17"/>
                <w:color w:val="auto"/>
              </w:rPr>
              <w:t>10(i)+</w:t>
            </w:r>
          </w:p>
        </w:tc>
        <w:tc>
          <w:tcPr>
            <w:tcW w:w="10360" w:type="dxa"/>
            <w:vAlign w:val="bottom"/>
            <w:gridSpan w:val="38"/>
          </w:tcPr>
          <w:p>
            <w:pPr>
              <w:spacing w:after="0"/>
              <w:rPr>
                <w:rFonts w:ascii="Arial" w:cs="Arial" w:eastAsia="Arial" w:hAnsi="Arial"/>
                <w:sz w:val="17"/>
                <w:szCs w:val="17"/>
                <w:color w:val="0000FF"/>
                <w:w w:val="94"/>
              </w:rPr>
            </w:pPr>
            <w:hyperlink r:id="rId131">
              <w:r>
                <w:rPr>
                  <w:rFonts w:ascii="Arial" w:cs="Arial" w:eastAsia="Arial" w:hAnsi="Arial"/>
                  <w:sz w:val="17"/>
                  <w:szCs w:val="17"/>
                  <w:color w:val="0000FF"/>
                  <w:w w:val="94"/>
                </w:rPr>
                <w:t>Campbell Soup Company Supplemental Retirement Plan (formerly known as Deferred Compensation Plan II), as amended and restated effective</w:t>
              </w:r>
            </w:hyperlink>
          </w:p>
        </w:tc>
      </w:tr>
      <w:tr>
        <w:trPr>
          <w:trHeight w:val="147"/>
        </w:trPr>
        <w:tc>
          <w:tcPr>
            <w:tcW w:w="1140" w:type="dxa"/>
            <w:vAlign w:val="bottom"/>
          </w:tcPr>
          <w:p>
            <w:pPr>
              <w:spacing w:after="0"/>
              <w:rPr>
                <w:sz w:val="12"/>
                <w:szCs w:val="12"/>
                <w:color w:val="auto"/>
              </w:rPr>
            </w:pPr>
          </w:p>
        </w:tc>
        <w:tc>
          <w:tcPr>
            <w:tcW w:w="10320" w:type="dxa"/>
            <w:vAlign w:val="bottom"/>
            <w:tcBorders>
              <w:top w:val="single" w:sz="8" w:color="0000FF"/>
            </w:tcBorders>
            <w:gridSpan w:val="36"/>
          </w:tcPr>
          <w:p>
            <w:pPr>
              <w:spacing w:after="0" w:line="147" w:lineRule="exact"/>
              <w:rPr>
                <w:rFonts w:ascii="Arial" w:cs="Arial" w:eastAsia="Arial" w:hAnsi="Arial"/>
                <w:sz w:val="17"/>
                <w:szCs w:val="17"/>
                <w:color w:val="0000FF"/>
                <w:w w:val="97"/>
              </w:rPr>
            </w:pPr>
            <w:hyperlink r:id="rId131">
              <w:r>
                <w:rPr>
                  <w:rFonts w:ascii="Arial" w:cs="Arial" w:eastAsia="Arial" w:hAnsi="Arial"/>
                  <w:sz w:val="17"/>
                  <w:szCs w:val="17"/>
                  <w:color w:val="0000FF"/>
                  <w:w w:val="97"/>
                </w:rPr>
                <w:t>as of August 1, 2015, is incorporated herein by reference to Exhibit 4(c) to Campbell’s Form S-8 (SEC file number 333-216582) filed with the</w:t>
              </w:r>
            </w:hyperlink>
          </w:p>
        </w:tc>
        <w:tc>
          <w:tcPr>
            <w:tcW w:w="40" w:type="dxa"/>
            <w:vAlign w:val="bottom"/>
            <w:gridSpan w:val="2"/>
          </w:tcPr>
          <w:p>
            <w:pPr>
              <w:spacing w:after="0"/>
              <w:rPr>
                <w:sz w:val="12"/>
                <w:szCs w:val="12"/>
                <w:color w:val="auto"/>
              </w:rPr>
            </w:pPr>
          </w:p>
        </w:tc>
      </w:tr>
      <w:tr>
        <w:trPr>
          <w:trHeight w:val="147"/>
        </w:trPr>
        <w:tc>
          <w:tcPr>
            <w:tcW w:w="1140" w:type="dxa"/>
            <w:vAlign w:val="bottom"/>
          </w:tcPr>
          <w:p>
            <w:pPr>
              <w:spacing w:after="0"/>
              <w:rPr>
                <w:sz w:val="12"/>
                <w:szCs w:val="12"/>
                <w:color w:val="auto"/>
              </w:rPr>
            </w:pPr>
          </w:p>
        </w:tc>
        <w:tc>
          <w:tcPr>
            <w:tcW w:w="10220" w:type="dxa"/>
            <w:vAlign w:val="bottom"/>
            <w:tcBorders>
              <w:top w:val="single" w:sz="8" w:color="0000FF"/>
            </w:tcBorders>
            <w:gridSpan w:val="31"/>
          </w:tcPr>
          <w:p>
            <w:pPr>
              <w:spacing w:after="0" w:line="147" w:lineRule="exact"/>
              <w:rPr>
                <w:rFonts w:ascii="Arial" w:cs="Arial" w:eastAsia="Arial" w:hAnsi="Arial"/>
                <w:sz w:val="17"/>
                <w:szCs w:val="17"/>
                <w:color w:val="0000FF"/>
              </w:rPr>
            </w:pPr>
            <w:hyperlink r:id="rId131">
              <w:r>
                <w:rPr>
                  <w:rFonts w:ascii="Arial" w:cs="Arial" w:eastAsia="Arial" w:hAnsi="Arial"/>
                  <w:sz w:val="17"/>
                  <w:szCs w:val="17"/>
                  <w:color w:val="0000FF"/>
                </w:rPr>
                <w:t>SEC on March 9, 2017.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5"/>
        </w:trPr>
        <w:tc>
          <w:tcPr>
            <w:tcW w:w="1140" w:type="dxa"/>
            <w:vAlign w:val="bottom"/>
          </w:tcPr>
          <w:p>
            <w:pPr>
              <w:ind w:left="40"/>
              <w:spacing w:after="0"/>
              <w:rPr>
                <w:sz w:val="20"/>
                <w:szCs w:val="20"/>
                <w:color w:val="auto"/>
              </w:rPr>
            </w:pPr>
            <w:r>
              <w:rPr>
                <w:rFonts w:ascii="Arial" w:cs="Arial" w:eastAsia="Arial" w:hAnsi="Arial"/>
                <w:sz w:val="17"/>
                <w:szCs w:val="17"/>
                <w:color w:val="auto"/>
              </w:rPr>
              <w:t>10(j)+</w:t>
            </w:r>
          </w:p>
        </w:tc>
        <w:tc>
          <w:tcPr>
            <w:tcW w:w="10360" w:type="dxa"/>
            <w:vAlign w:val="bottom"/>
            <w:gridSpan w:val="38"/>
          </w:tcPr>
          <w:p>
            <w:pPr>
              <w:spacing w:after="0"/>
              <w:rPr>
                <w:rFonts w:ascii="Arial" w:cs="Arial" w:eastAsia="Arial" w:hAnsi="Arial"/>
                <w:sz w:val="17"/>
                <w:szCs w:val="17"/>
                <w:color w:val="0000FF"/>
                <w:w w:val="95"/>
              </w:rPr>
            </w:pPr>
            <w:hyperlink r:id="rId132">
              <w:r>
                <w:rPr>
                  <w:rFonts w:ascii="Arial" w:cs="Arial" w:eastAsia="Arial" w:hAnsi="Arial"/>
                  <w:sz w:val="17"/>
                  <w:szCs w:val="17"/>
                  <w:color w:val="0000FF"/>
                  <w:w w:val="95"/>
                </w:rPr>
                <w:t>Form of Severance Protection Agreement is incorporated by reference to Exhibit 10(i) to Campbell's Form 10-K (SEC file number 1-3822) for the</w:t>
              </w:r>
            </w:hyperlink>
          </w:p>
        </w:tc>
      </w:tr>
      <w:tr>
        <w:trPr>
          <w:trHeight w:val="147"/>
        </w:trPr>
        <w:tc>
          <w:tcPr>
            <w:tcW w:w="1140" w:type="dxa"/>
            <w:vAlign w:val="bottom"/>
          </w:tcPr>
          <w:p>
            <w:pPr>
              <w:spacing w:after="0"/>
              <w:rPr>
                <w:sz w:val="12"/>
                <w:szCs w:val="12"/>
                <w:color w:val="auto"/>
              </w:rPr>
            </w:pPr>
          </w:p>
        </w:tc>
        <w:tc>
          <w:tcPr>
            <w:tcW w:w="2180" w:type="dxa"/>
            <w:vAlign w:val="bottom"/>
            <w:tcBorders>
              <w:top w:val="single" w:sz="8" w:color="0000FF"/>
              <w:bottom w:val="single" w:sz="8" w:color="0000FF"/>
            </w:tcBorders>
            <w:gridSpan w:val="2"/>
          </w:tcPr>
          <w:p>
            <w:pPr>
              <w:spacing w:after="0" w:line="147" w:lineRule="exact"/>
              <w:rPr>
                <w:rFonts w:ascii="Arial" w:cs="Arial" w:eastAsia="Arial" w:hAnsi="Arial"/>
                <w:sz w:val="17"/>
                <w:szCs w:val="17"/>
                <w:color w:val="0000FF"/>
                <w:w w:val="90"/>
              </w:rPr>
            </w:pPr>
            <w:hyperlink r:id="rId132">
              <w:r>
                <w:rPr>
                  <w:rFonts w:ascii="Arial" w:cs="Arial" w:eastAsia="Arial" w:hAnsi="Arial"/>
                  <w:sz w:val="17"/>
                  <w:szCs w:val="17"/>
                  <w:color w:val="0000FF"/>
                  <w:w w:val="90"/>
                </w:rPr>
                <w:t>fiscal year ended July 30, 2017.</w:t>
              </w:r>
            </w:hyperlink>
          </w:p>
        </w:tc>
        <w:tc>
          <w:tcPr>
            <w:tcW w:w="8000" w:type="dxa"/>
            <w:vAlign w:val="bottom"/>
            <w:tcBorders>
              <w:top w:val="single" w:sz="8" w:color="0000FF"/>
            </w:tcBorders>
            <w:gridSpan w:val="27"/>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63"/>
        </w:trPr>
        <w:tc>
          <w:tcPr>
            <w:tcW w:w="1140" w:type="dxa"/>
            <w:vAlign w:val="bottom"/>
          </w:tcPr>
          <w:p>
            <w:pPr>
              <w:ind w:left="40"/>
              <w:spacing w:after="0"/>
              <w:rPr>
                <w:sz w:val="20"/>
                <w:szCs w:val="20"/>
                <w:color w:val="auto"/>
              </w:rPr>
            </w:pPr>
            <w:r>
              <w:rPr>
                <w:rFonts w:ascii="Arial" w:cs="Arial" w:eastAsia="Arial" w:hAnsi="Arial"/>
                <w:sz w:val="17"/>
                <w:szCs w:val="17"/>
                <w:color w:val="auto"/>
              </w:rPr>
              <w:t>10(k)+</w:t>
            </w:r>
          </w:p>
        </w:tc>
        <w:tc>
          <w:tcPr>
            <w:tcW w:w="10360" w:type="dxa"/>
            <w:vAlign w:val="bottom"/>
            <w:gridSpan w:val="38"/>
          </w:tcPr>
          <w:p>
            <w:pPr>
              <w:spacing w:after="0"/>
              <w:rPr>
                <w:rFonts w:ascii="Arial" w:cs="Arial" w:eastAsia="Arial" w:hAnsi="Arial"/>
                <w:sz w:val="17"/>
                <w:szCs w:val="17"/>
                <w:color w:val="0000FF"/>
                <w:w w:val="98"/>
              </w:rPr>
            </w:pPr>
            <w:hyperlink r:id="rId133">
              <w:r>
                <w:rPr>
                  <w:rFonts w:ascii="Arial" w:cs="Arial" w:eastAsia="Arial" w:hAnsi="Arial"/>
                  <w:sz w:val="17"/>
                  <w:szCs w:val="17"/>
                  <w:color w:val="0000FF"/>
                  <w:w w:val="98"/>
                </w:rPr>
                <w:t>Form of Amendment to the Severance Protection Agreement is incorporated by reference to Exhibit 10(j) to Campbell's Form 10-K (SEC file</w:t>
              </w:r>
            </w:hyperlink>
          </w:p>
        </w:tc>
      </w:tr>
      <w:tr>
        <w:trPr>
          <w:trHeight w:val="147"/>
        </w:trPr>
        <w:tc>
          <w:tcPr>
            <w:tcW w:w="1140" w:type="dxa"/>
            <w:vAlign w:val="bottom"/>
          </w:tcPr>
          <w:p>
            <w:pPr>
              <w:spacing w:after="0"/>
              <w:rPr>
                <w:sz w:val="12"/>
                <w:szCs w:val="12"/>
                <w:color w:val="auto"/>
              </w:rPr>
            </w:pPr>
          </w:p>
        </w:tc>
        <w:tc>
          <w:tcPr>
            <w:tcW w:w="3300" w:type="dxa"/>
            <w:vAlign w:val="bottom"/>
            <w:tcBorders>
              <w:top w:val="single" w:sz="8" w:color="0000FF"/>
              <w:bottom w:val="single" w:sz="8" w:color="0000FF"/>
            </w:tcBorders>
            <w:gridSpan w:val="4"/>
          </w:tcPr>
          <w:p>
            <w:pPr>
              <w:spacing w:after="0" w:line="147" w:lineRule="exact"/>
              <w:rPr>
                <w:rFonts w:ascii="Arial" w:cs="Arial" w:eastAsia="Arial" w:hAnsi="Arial"/>
                <w:sz w:val="17"/>
                <w:szCs w:val="17"/>
                <w:color w:val="0000FF"/>
                <w:w w:val="91"/>
              </w:rPr>
            </w:pPr>
            <w:hyperlink r:id="rId133">
              <w:r>
                <w:rPr>
                  <w:rFonts w:ascii="Arial" w:cs="Arial" w:eastAsia="Arial" w:hAnsi="Arial"/>
                  <w:sz w:val="17"/>
                  <w:szCs w:val="17"/>
                  <w:color w:val="0000FF"/>
                  <w:w w:val="91"/>
                </w:rPr>
                <w:t>number) for the fiscal year ended July 30, 2017.</w:t>
              </w:r>
            </w:hyperlink>
          </w:p>
        </w:tc>
        <w:tc>
          <w:tcPr>
            <w:tcW w:w="6980" w:type="dxa"/>
            <w:vAlign w:val="bottom"/>
            <w:tcBorders>
              <w:top w:val="single" w:sz="8" w:color="0000FF"/>
            </w:tcBorders>
            <w:gridSpan w:val="30"/>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63"/>
        </w:trPr>
        <w:tc>
          <w:tcPr>
            <w:tcW w:w="1140" w:type="dxa"/>
            <w:vAlign w:val="bottom"/>
          </w:tcPr>
          <w:p>
            <w:pPr>
              <w:ind w:left="40"/>
              <w:spacing w:after="0"/>
              <w:rPr>
                <w:sz w:val="20"/>
                <w:szCs w:val="20"/>
                <w:color w:val="auto"/>
              </w:rPr>
            </w:pPr>
            <w:r>
              <w:rPr>
                <w:rFonts w:ascii="Arial" w:cs="Arial" w:eastAsia="Arial" w:hAnsi="Arial"/>
                <w:sz w:val="17"/>
                <w:szCs w:val="17"/>
                <w:color w:val="auto"/>
              </w:rPr>
              <w:t>10(l)+</w:t>
            </w:r>
          </w:p>
        </w:tc>
        <w:tc>
          <w:tcPr>
            <w:tcW w:w="10360" w:type="dxa"/>
            <w:vAlign w:val="bottom"/>
            <w:gridSpan w:val="38"/>
          </w:tcPr>
          <w:p>
            <w:pPr>
              <w:spacing w:after="0"/>
              <w:rPr>
                <w:rFonts w:ascii="Arial" w:cs="Arial" w:eastAsia="Arial" w:hAnsi="Arial"/>
                <w:sz w:val="17"/>
                <w:szCs w:val="17"/>
                <w:color w:val="0000FF"/>
                <w:w w:val="95"/>
              </w:rPr>
            </w:pPr>
            <w:hyperlink r:id="rId134">
              <w:r>
                <w:rPr>
                  <w:rFonts w:ascii="Arial" w:cs="Arial" w:eastAsia="Arial" w:hAnsi="Arial"/>
                  <w:sz w:val="17"/>
                  <w:szCs w:val="17"/>
                  <w:color w:val="0000FF"/>
                  <w:w w:val="95"/>
                </w:rPr>
                <w:t>Form of U.S. Severance Protection Agreement is incorporated by reference to Exhibit 10(m) to Campbell’s Form 10-K (SEC file number 1-3822)</w:t>
              </w:r>
            </w:hyperlink>
          </w:p>
        </w:tc>
      </w:tr>
      <w:tr>
        <w:trPr>
          <w:trHeight w:val="147"/>
        </w:trPr>
        <w:tc>
          <w:tcPr>
            <w:tcW w:w="1140" w:type="dxa"/>
            <w:vAlign w:val="bottom"/>
          </w:tcPr>
          <w:p>
            <w:pPr>
              <w:spacing w:after="0"/>
              <w:rPr>
                <w:sz w:val="12"/>
                <w:szCs w:val="12"/>
                <w:color w:val="auto"/>
              </w:rPr>
            </w:pPr>
          </w:p>
        </w:tc>
        <w:tc>
          <w:tcPr>
            <w:tcW w:w="10300" w:type="dxa"/>
            <w:vAlign w:val="bottom"/>
            <w:tcBorders>
              <w:top w:val="single" w:sz="8" w:color="0000FF"/>
            </w:tcBorders>
            <w:gridSpan w:val="35"/>
          </w:tcPr>
          <w:p>
            <w:pPr>
              <w:spacing w:after="0" w:line="147" w:lineRule="exact"/>
              <w:rPr>
                <w:rFonts w:ascii="Arial" w:cs="Arial" w:eastAsia="Arial" w:hAnsi="Arial"/>
                <w:sz w:val="17"/>
                <w:szCs w:val="17"/>
                <w:color w:val="0000FF"/>
              </w:rPr>
            </w:pPr>
            <w:hyperlink r:id="rId134">
              <w:r>
                <w:rPr>
                  <w:rFonts w:ascii="Arial" w:cs="Arial" w:eastAsia="Arial" w:hAnsi="Arial"/>
                  <w:sz w:val="17"/>
                  <w:szCs w:val="17"/>
                  <w:color w:val="0000FF"/>
                </w:rPr>
                <w:t>for the fiscal year ended July 31, 2011.</w:t>
              </w:r>
            </w:hyperlink>
          </w:p>
        </w:tc>
        <w:tc>
          <w:tcPr>
            <w:tcW w:w="60" w:type="dxa"/>
            <w:vAlign w:val="bottom"/>
            <w:gridSpan w:val="3"/>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Arial" w:cs="Arial" w:eastAsia="Arial" w:hAnsi="Arial"/>
                <w:sz w:val="17"/>
                <w:szCs w:val="17"/>
                <w:color w:val="auto"/>
              </w:rPr>
              <w:t>10(m)+</w:t>
            </w:r>
          </w:p>
        </w:tc>
        <w:tc>
          <w:tcPr>
            <w:tcW w:w="10360" w:type="dxa"/>
            <w:vAlign w:val="bottom"/>
            <w:gridSpan w:val="38"/>
          </w:tcPr>
          <w:p>
            <w:pPr>
              <w:spacing w:after="0"/>
              <w:rPr>
                <w:rFonts w:ascii="Arial" w:cs="Arial" w:eastAsia="Arial" w:hAnsi="Arial"/>
                <w:sz w:val="17"/>
                <w:szCs w:val="17"/>
                <w:color w:val="0000FF"/>
                <w:w w:val="97"/>
              </w:rPr>
            </w:pPr>
            <w:hyperlink r:id="rId135">
              <w:r>
                <w:rPr>
                  <w:rFonts w:ascii="Arial" w:cs="Arial" w:eastAsia="Arial" w:hAnsi="Arial"/>
                  <w:sz w:val="17"/>
                  <w:szCs w:val="17"/>
                  <w:color w:val="0000FF"/>
                  <w:w w:val="97"/>
                </w:rPr>
                <w:t>Form of Amendment to U.S. Severance Protection Agreement is incorporated by reference to Exhibit 10(o) to Campbell's Form 10-K (SEC file</w:t>
              </w:r>
            </w:hyperlink>
          </w:p>
        </w:tc>
      </w:tr>
      <w:tr>
        <w:trPr>
          <w:trHeight w:val="147"/>
        </w:trPr>
        <w:tc>
          <w:tcPr>
            <w:tcW w:w="1140" w:type="dxa"/>
            <w:vAlign w:val="bottom"/>
          </w:tcPr>
          <w:p>
            <w:pPr>
              <w:spacing w:after="0"/>
              <w:rPr>
                <w:sz w:val="12"/>
                <w:szCs w:val="12"/>
                <w:color w:val="auto"/>
              </w:rPr>
            </w:pPr>
          </w:p>
        </w:tc>
        <w:tc>
          <w:tcPr>
            <w:tcW w:w="10140" w:type="dxa"/>
            <w:vAlign w:val="bottom"/>
            <w:tcBorders>
              <w:top w:val="single" w:sz="8" w:color="0000FF"/>
            </w:tcBorders>
            <w:gridSpan w:val="27"/>
          </w:tcPr>
          <w:p>
            <w:pPr>
              <w:spacing w:after="0" w:line="147" w:lineRule="exact"/>
              <w:rPr>
                <w:rFonts w:ascii="Arial" w:cs="Arial" w:eastAsia="Arial" w:hAnsi="Arial"/>
                <w:sz w:val="17"/>
                <w:szCs w:val="17"/>
                <w:color w:val="0000FF"/>
              </w:rPr>
            </w:pPr>
            <w:hyperlink r:id="rId135">
              <w:r>
                <w:rPr>
                  <w:rFonts w:ascii="Arial" w:cs="Arial" w:eastAsia="Arial" w:hAnsi="Arial"/>
                  <w:sz w:val="17"/>
                  <w:szCs w:val="17"/>
                  <w:color w:val="0000FF"/>
                </w:rPr>
                <w:t>number 1-3822) for the fiscal year ended July 31, 2016.</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3820" w:type="dxa"/>
            <w:vAlign w:val="bottom"/>
            <w:gridSpan w:val="5"/>
            <w:shd w:val="clear" w:color="auto" w:fill="0000FF"/>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Arial" w:cs="Arial" w:eastAsia="Arial" w:hAnsi="Arial"/>
                <w:sz w:val="17"/>
                <w:szCs w:val="17"/>
                <w:color w:val="auto"/>
              </w:rPr>
              <w:t>10(n)+</w:t>
            </w:r>
          </w:p>
        </w:tc>
        <w:tc>
          <w:tcPr>
            <w:tcW w:w="10360" w:type="dxa"/>
            <w:vAlign w:val="bottom"/>
            <w:gridSpan w:val="38"/>
          </w:tcPr>
          <w:p>
            <w:pPr>
              <w:spacing w:after="0"/>
              <w:rPr>
                <w:rFonts w:ascii="Arial" w:cs="Arial" w:eastAsia="Arial" w:hAnsi="Arial"/>
                <w:sz w:val="17"/>
                <w:szCs w:val="17"/>
                <w:color w:val="0000FF"/>
                <w:w w:val="97"/>
              </w:rPr>
            </w:pPr>
            <w:hyperlink r:id="rId136">
              <w:r>
                <w:rPr>
                  <w:rFonts w:ascii="Arial" w:cs="Arial" w:eastAsia="Arial" w:hAnsi="Arial"/>
                  <w:sz w:val="17"/>
                  <w:szCs w:val="17"/>
                  <w:color w:val="0000FF"/>
                  <w:w w:val="97"/>
                </w:rPr>
                <w:t>Campbell Soup Company Supplemental Employees’ Retirement Plan, as amended and restated effective January 1, 2009, is incorporated by</w:t>
              </w:r>
            </w:hyperlink>
          </w:p>
        </w:tc>
      </w:tr>
      <w:tr>
        <w:trPr>
          <w:trHeight w:val="147"/>
        </w:trPr>
        <w:tc>
          <w:tcPr>
            <w:tcW w:w="1140" w:type="dxa"/>
            <w:vAlign w:val="bottom"/>
          </w:tcPr>
          <w:p>
            <w:pPr>
              <w:spacing w:after="0"/>
              <w:rPr>
                <w:sz w:val="12"/>
                <w:szCs w:val="12"/>
                <w:color w:val="auto"/>
              </w:rPr>
            </w:pPr>
          </w:p>
        </w:tc>
        <w:tc>
          <w:tcPr>
            <w:tcW w:w="8580" w:type="dxa"/>
            <w:vAlign w:val="bottom"/>
            <w:tcBorders>
              <w:top w:val="single" w:sz="8" w:color="0000FF"/>
              <w:bottom w:val="single" w:sz="8" w:color="0000FF"/>
            </w:tcBorders>
            <w:gridSpan w:val="20"/>
          </w:tcPr>
          <w:p>
            <w:pPr>
              <w:spacing w:after="0" w:line="147" w:lineRule="exact"/>
              <w:rPr>
                <w:rFonts w:ascii="Arial" w:cs="Arial" w:eastAsia="Arial" w:hAnsi="Arial"/>
                <w:sz w:val="17"/>
                <w:szCs w:val="17"/>
                <w:color w:val="0000FF"/>
                <w:w w:val="92"/>
              </w:rPr>
            </w:pPr>
            <w:hyperlink r:id="rId136">
              <w:r>
                <w:rPr>
                  <w:rFonts w:ascii="Arial" w:cs="Arial" w:eastAsia="Arial" w:hAnsi="Arial"/>
                  <w:sz w:val="17"/>
                  <w:szCs w:val="17"/>
                  <w:color w:val="0000FF"/>
                  <w:w w:val="92"/>
                </w:rPr>
                <w:t>reference to Exhibit 10(c) to Campbell’s Form 10-Q (SEC file number 1-3822) for the fiscal quarter ended February 1, 2009.</w:t>
              </w:r>
            </w:hyperlink>
          </w:p>
        </w:tc>
        <w:tc>
          <w:tcPr>
            <w:tcW w:w="166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263"/>
        </w:trPr>
        <w:tc>
          <w:tcPr>
            <w:tcW w:w="1140" w:type="dxa"/>
            <w:vAlign w:val="bottom"/>
          </w:tcPr>
          <w:p>
            <w:pPr>
              <w:ind w:left="40"/>
              <w:spacing w:after="0"/>
              <w:rPr>
                <w:sz w:val="20"/>
                <w:szCs w:val="20"/>
                <w:color w:val="auto"/>
              </w:rPr>
            </w:pPr>
            <w:r>
              <w:rPr>
                <w:rFonts w:ascii="Arial" w:cs="Arial" w:eastAsia="Arial" w:hAnsi="Arial"/>
                <w:sz w:val="17"/>
                <w:szCs w:val="17"/>
                <w:color w:val="auto"/>
              </w:rPr>
              <w:t>10(o)+</w:t>
            </w:r>
          </w:p>
        </w:tc>
        <w:tc>
          <w:tcPr>
            <w:tcW w:w="10360" w:type="dxa"/>
            <w:vAlign w:val="bottom"/>
            <w:gridSpan w:val="38"/>
          </w:tcPr>
          <w:p>
            <w:pPr>
              <w:spacing w:after="0"/>
              <w:rPr>
                <w:rFonts w:ascii="Arial" w:cs="Arial" w:eastAsia="Arial" w:hAnsi="Arial"/>
                <w:sz w:val="17"/>
                <w:szCs w:val="17"/>
                <w:color w:val="0000FF"/>
                <w:w w:val="94"/>
              </w:rPr>
            </w:pPr>
            <w:hyperlink r:id="rId137">
              <w:r>
                <w:rPr>
                  <w:rFonts w:ascii="Arial" w:cs="Arial" w:eastAsia="Arial" w:hAnsi="Arial"/>
                  <w:sz w:val="17"/>
                  <w:szCs w:val="17"/>
                  <w:color w:val="0000FF"/>
                  <w:w w:val="94"/>
                </w:rPr>
                <w:t>First Amendment to the Campbell Soup Company Supplemental Employees’ Retirement Plan, effective as of December 31, 2010, is incorporated</w:t>
              </w:r>
            </w:hyperlink>
          </w:p>
        </w:tc>
      </w:tr>
      <w:tr>
        <w:trPr>
          <w:trHeight w:val="147"/>
        </w:trPr>
        <w:tc>
          <w:tcPr>
            <w:tcW w:w="1140" w:type="dxa"/>
            <w:vAlign w:val="bottom"/>
          </w:tcPr>
          <w:p>
            <w:pPr>
              <w:spacing w:after="0"/>
              <w:rPr>
                <w:sz w:val="12"/>
                <w:szCs w:val="12"/>
                <w:color w:val="auto"/>
              </w:rPr>
            </w:pPr>
          </w:p>
        </w:tc>
        <w:tc>
          <w:tcPr>
            <w:tcW w:w="10080" w:type="dxa"/>
            <w:vAlign w:val="bottom"/>
            <w:tcBorders>
              <w:top w:val="single" w:sz="8" w:color="0000FF"/>
            </w:tcBorders>
            <w:gridSpan w:val="24"/>
          </w:tcPr>
          <w:p>
            <w:pPr>
              <w:spacing w:after="0" w:line="147" w:lineRule="exact"/>
              <w:rPr>
                <w:rFonts w:ascii="Arial" w:cs="Arial" w:eastAsia="Arial" w:hAnsi="Arial"/>
                <w:sz w:val="17"/>
                <w:szCs w:val="17"/>
                <w:color w:val="0000FF"/>
              </w:rPr>
            </w:pPr>
            <w:hyperlink r:id="rId137">
              <w:r>
                <w:rPr>
                  <w:rFonts w:ascii="Arial" w:cs="Arial" w:eastAsia="Arial" w:hAnsi="Arial"/>
                  <w:sz w:val="17"/>
                  <w:szCs w:val="17"/>
                  <w:color w:val="0000FF"/>
                </w:rPr>
                <w:t>by reference to Exhibit 10(c) to Campbell’s Form 10-Q (SEC file number 1-3822) for the fiscal quarter ended January 30, 2011.</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5320" w:type="dxa"/>
            <w:vAlign w:val="bottom"/>
            <w:gridSpan w:val="8"/>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Arial" w:cs="Arial" w:eastAsia="Arial" w:hAnsi="Arial"/>
                <w:sz w:val="17"/>
                <w:szCs w:val="17"/>
                <w:color w:val="auto"/>
              </w:rPr>
              <w:t>10(p)+</w:t>
            </w:r>
          </w:p>
        </w:tc>
        <w:tc>
          <w:tcPr>
            <w:tcW w:w="10360" w:type="dxa"/>
            <w:vAlign w:val="bottom"/>
            <w:gridSpan w:val="38"/>
          </w:tcPr>
          <w:p>
            <w:pPr>
              <w:spacing w:after="0"/>
              <w:rPr>
                <w:rFonts w:ascii="Arial" w:cs="Arial" w:eastAsia="Arial" w:hAnsi="Arial"/>
                <w:sz w:val="17"/>
                <w:szCs w:val="17"/>
                <w:color w:val="0000FF"/>
                <w:w w:val="98"/>
              </w:rPr>
            </w:pPr>
            <w:hyperlink r:id="rId138">
              <w:r>
                <w:rPr>
                  <w:rFonts w:ascii="Arial" w:cs="Arial" w:eastAsia="Arial" w:hAnsi="Arial"/>
                  <w:sz w:val="17"/>
                  <w:szCs w:val="17"/>
                  <w:color w:val="0000FF"/>
                  <w:w w:val="98"/>
                </w:rPr>
                <w:t>Form of 2005 Long-Term Incentive Plan Nonqualified Stock Option Agreement is incorporated by reference to Exhibit 10 to Campbell's Form</w:t>
              </w:r>
            </w:hyperlink>
          </w:p>
        </w:tc>
      </w:tr>
      <w:tr>
        <w:trPr>
          <w:trHeight w:val="147"/>
        </w:trPr>
        <w:tc>
          <w:tcPr>
            <w:tcW w:w="1140" w:type="dxa"/>
            <w:vAlign w:val="bottom"/>
          </w:tcPr>
          <w:p>
            <w:pPr>
              <w:spacing w:after="0"/>
              <w:rPr>
                <w:sz w:val="12"/>
                <w:szCs w:val="12"/>
                <w:color w:val="auto"/>
              </w:rPr>
            </w:pPr>
          </w:p>
        </w:tc>
        <w:tc>
          <w:tcPr>
            <w:tcW w:w="5460" w:type="dxa"/>
            <w:vAlign w:val="bottom"/>
            <w:tcBorders>
              <w:top w:val="single" w:sz="8" w:color="0000FF"/>
              <w:bottom w:val="single" w:sz="8" w:color="0000FF"/>
            </w:tcBorders>
            <w:gridSpan w:val="11"/>
          </w:tcPr>
          <w:p>
            <w:pPr>
              <w:spacing w:after="0" w:line="147" w:lineRule="exact"/>
              <w:rPr>
                <w:rFonts w:ascii="Arial" w:cs="Arial" w:eastAsia="Arial" w:hAnsi="Arial"/>
                <w:sz w:val="17"/>
                <w:szCs w:val="17"/>
                <w:color w:val="0000FF"/>
                <w:w w:val="91"/>
              </w:rPr>
            </w:pPr>
            <w:hyperlink r:id="rId138">
              <w:r>
                <w:rPr>
                  <w:rFonts w:ascii="Arial" w:cs="Arial" w:eastAsia="Arial" w:hAnsi="Arial"/>
                  <w:sz w:val="17"/>
                  <w:szCs w:val="17"/>
                  <w:color w:val="0000FF"/>
                  <w:w w:val="91"/>
                </w:rPr>
                <w:t>10-Q (SEC file number 1-3822) for the fiscal quarter ended November 1, 2015.</w:t>
              </w:r>
            </w:hyperlink>
          </w:p>
        </w:tc>
        <w:tc>
          <w:tcPr>
            <w:tcW w:w="4600" w:type="dxa"/>
            <w:vAlign w:val="bottom"/>
            <w:tcBorders>
              <w:top w:val="single" w:sz="8" w:color="0000FF"/>
            </w:tcBorders>
            <w:gridSpan w:val="1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263"/>
        </w:trPr>
        <w:tc>
          <w:tcPr>
            <w:tcW w:w="1140" w:type="dxa"/>
            <w:vAlign w:val="bottom"/>
          </w:tcPr>
          <w:p>
            <w:pPr>
              <w:ind w:left="40"/>
              <w:spacing w:after="0"/>
              <w:rPr>
                <w:sz w:val="20"/>
                <w:szCs w:val="20"/>
                <w:color w:val="auto"/>
              </w:rPr>
            </w:pPr>
            <w:r>
              <w:rPr>
                <w:rFonts w:ascii="Arial" w:cs="Arial" w:eastAsia="Arial" w:hAnsi="Arial"/>
                <w:sz w:val="17"/>
                <w:szCs w:val="17"/>
                <w:color w:val="auto"/>
              </w:rPr>
              <w:t>10(q)+</w:t>
            </w:r>
          </w:p>
        </w:tc>
        <w:tc>
          <w:tcPr>
            <w:tcW w:w="10360" w:type="dxa"/>
            <w:vAlign w:val="bottom"/>
            <w:gridSpan w:val="38"/>
          </w:tcPr>
          <w:p>
            <w:pPr>
              <w:spacing w:after="0"/>
              <w:rPr>
                <w:rFonts w:ascii="Arial" w:cs="Arial" w:eastAsia="Arial" w:hAnsi="Arial"/>
                <w:sz w:val="17"/>
                <w:szCs w:val="17"/>
                <w:color w:val="0000FF"/>
                <w:w w:val="99"/>
              </w:rPr>
            </w:pPr>
            <w:hyperlink r:id="rId139">
              <w:r>
                <w:rPr>
                  <w:rFonts w:ascii="Arial" w:cs="Arial" w:eastAsia="Arial" w:hAnsi="Arial"/>
                  <w:sz w:val="17"/>
                  <w:szCs w:val="17"/>
                  <w:color w:val="0000FF"/>
                  <w:w w:val="99"/>
                </w:rPr>
                <w:t>Form of 2015 Long-Term Incentive Plan Nonqualified Stock Option Agreement is incorporated by reference to Exhibit 10(dd) to Campbell's</w:t>
              </w:r>
            </w:hyperlink>
          </w:p>
        </w:tc>
      </w:tr>
      <w:tr>
        <w:trPr>
          <w:trHeight w:val="147"/>
        </w:trPr>
        <w:tc>
          <w:tcPr>
            <w:tcW w:w="1140" w:type="dxa"/>
            <w:vAlign w:val="bottom"/>
          </w:tcPr>
          <w:p>
            <w:pPr>
              <w:spacing w:after="0"/>
              <w:rPr>
                <w:sz w:val="12"/>
                <w:szCs w:val="12"/>
                <w:color w:val="auto"/>
              </w:rPr>
            </w:pPr>
          </w:p>
        </w:tc>
        <w:tc>
          <w:tcPr>
            <w:tcW w:w="10060" w:type="dxa"/>
            <w:vAlign w:val="bottom"/>
            <w:tcBorders>
              <w:top w:val="single" w:sz="8" w:color="0000FF"/>
            </w:tcBorders>
            <w:gridSpan w:val="23"/>
          </w:tcPr>
          <w:p>
            <w:pPr>
              <w:spacing w:after="0" w:line="147" w:lineRule="exact"/>
              <w:rPr>
                <w:rFonts w:ascii="Arial" w:cs="Arial" w:eastAsia="Arial" w:hAnsi="Arial"/>
                <w:sz w:val="17"/>
                <w:szCs w:val="17"/>
                <w:color w:val="0000FF"/>
              </w:rPr>
            </w:pPr>
            <w:hyperlink r:id="rId139">
              <w:r>
                <w:rPr>
                  <w:rFonts w:ascii="Arial" w:cs="Arial" w:eastAsia="Arial" w:hAnsi="Arial"/>
                  <w:sz w:val="17"/>
                  <w:szCs w:val="17"/>
                  <w:color w:val="0000FF"/>
                </w:rPr>
                <w:t>Form 10-K (SEC file number 1-3822) for the fiscal year ended July 31, 2016.</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5320" w:type="dxa"/>
            <w:vAlign w:val="bottom"/>
            <w:gridSpan w:val="8"/>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Arial" w:cs="Arial" w:eastAsia="Arial" w:hAnsi="Arial"/>
                <w:sz w:val="17"/>
                <w:szCs w:val="17"/>
                <w:color w:val="auto"/>
              </w:rPr>
              <w:t>10(r)+</w:t>
            </w:r>
          </w:p>
        </w:tc>
        <w:tc>
          <w:tcPr>
            <w:tcW w:w="10360" w:type="dxa"/>
            <w:vAlign w:val="bottom"/>
            <w:gridSpan w:val="38"/>
          </w:tcPr>
          <w:p>
            <w:pPr>
              <w:spacing w:after="0"/>
              <w:rPr>
                <w:rFonts w:ascii="Arial" w:cs="Arial" w:eastAsia="Arial" w:hAnsi="Arial"/>
                <w:sz w:val="17"/>
                <w:szCs w:val="17"/>
                <w:color w:val="0000FF"/>
                <w:w w:val="94"/>
              </w:rPr>
            </w:pPr>
            <w:hyperlink r:id="rId140">
              <w:r>
                <w:rPr>
                  <w:rFonts w:ascii="Arial" w:cs="Arial" w:eastAsia="Arial" w:hAnsi="Arial"/>
                  <w:sz w:val="17"/>
                  <w:szCs w:val="17"/>
                  <w:color w:val="0000FF"/>
                  <w:w w:val="94"/>
                </w:rPr>
                <w:t>Form of 2015 Long-Term Incentive Plan Performance Stock Unit Agreement (Earnings Per Share) is incorporated by reference to Exhibit 10(b) to</w:t>
              </w:r>
            </w:hyperlink>
          </w:p>
        </w:tc>
      </w:tr>
      <w:tr>
        <w:trPr>
          <w:trHeight w:val="147"/>
        </w:trPr>
        <w:tc>
          <w:tcPr>
            <w:tcW w:w="1140" w:type="dxa"/>
            <w:vAlign w:val="bottom"/>
          </w:tcPr>
          <w:p>
            <w:pPr>
              <w:spacing w:after="0"/>
              <w:rPr>
                <w:sz w:val="12"/>
                <w:szCs w:val="12"/>
                <w:color w:val="auto"/>
              </w:rPr>
            </w:pPr>
          </w:p>
        </w:tc>
        <w:tc>
          <w:tcPr>
            <w:tcW w:w="6600" w:type="dxa"/>
            <w:vAlign w:val="bottom"/>
            <w:tcBorders>
              <w:top w:val="single" w:sz="8" w:color="0000FF"/>
              <w:bottom w:val="single" w:sz="8" w:color="0000FF"/>
            </w:tcBorders>
            <w:gridSpan w:val="14"/>
          </w:tcPr>
          <w:p>
            <w:pPr>
              <w:spacing w:after="0" w:line="147" w:lineRule="exact"/>
              <w:rPr>
                <w:rFonts w:ascii="Arial" w:cs="Arial" w:eastAsia="Arial" w:hAnsi="Arial"/>
                <w:sz w:val="17"/>
                <w:szCs w:val="17"/>
                <w:color w:val="0000FF"/>
                <w:w w:val="91"/>
              </w:rPr>
            </w:pPr>
            <w:hyperlink r:id="rId140">
              <w:r>
                <w:rPr>
                  <w:rFonts w:ascii="Arial" w:cs="Arial" w:eastAsia="Arial" w:hAnsi="Arial"/>
                  <w:sz w:val="17"/>
                  <w:szCs w:val="17"/>
                  <w:color w:val="0000FF"/>
                  <w:w w:val="91"/>
                </w:rPr>
                <w:t>Campbell's Form 10-Q (SEC file number 1-3822) for the fiscal quarter ended October 30, 2016.</w:t>
              </w:r>
            </w:hyperlink>
          </w:p>
        </w:tc>
        <w:tc>
          <w:tcPr>
            <w:tcW w:w="3560" w:type="dxa"/>
            <w:vAlign w:val="bottom"/>
            <w:tcBorders>
              <w:top w:val="single" w:sz="8" w:color="0000FF"/>
            </w:tcBorders>
            <w:gridSpan w:val="14"/>
          </w:tcPr>
          <w:p>
            <w:pPr>
              <w:spacing w:after="0"/>
              <w:rPr>
                <w:sz w:val="12"/>
                <w:szCs w:val="12"/>
                <w:color w:val="auto"/>
              </w:rPr>
            </w:pPr>
          </w:p>
        </w:tc>
        <w:tc>
          <w:tcPr>
            <w:tcW w:w="100" w:type="dxa"/>
            <w:vAlign w:val="bottom"/>
            <w:gridSpan w:val="5"/>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263"/>
        </w:trPr>
        <w:tc>
          <w:tcPr>
            <w:tcW w:w="1140" w:type="dxa"/>
            <w:vAlign w:val="bottom"/>
          </w:tcPr>
          <w:p>
            <w:pPr>
              <w:ind w:left="40"/>
              <w:spacing w:after="0"/>
              <w:rPr>
                <w:sz w:val="20"/>
                <w:szCs w:val="20"/>
                <w:color w:val="auto"/>
              </w:rPr>
            </w:pPr>
            <w:r>
              <w:rPr>
                <w:rFonts w:ascii="Arial" w:cs="Arial" w:eastAsia="Arial" w:hAnsi="Arial"/>
                <w:sz w:val="17"/>
                <w:szCs w:val="17"/>
                <w:color w:val="auto"/>
              </w:rPr>
              <w:t>10(s)+</w:t>
            </w:r>
          </w:p>
        </w:tc>
        <w:tc>
          <w:tcPr>
            <w:tcW w:w="10360" w:type="dxa"/>
            <w:vAlign w:val="bottom"/>
            <w:gridSpan w:val="38"/>
          </w:tcPr>
          <w:p>
            <w:pPr>
              <w:spacing w:after="0"/>
              <w:rPr>
                <w:rFonts w:ascii="Arial" w:cs="Arial" w:eastAsia="Arial" w:hAnsi="Arial"/>
                <w:sz w:val="17"/>
                <w:szCs w:val="17"/>
                <w:color w:val="0000FF"/>
                <w:w w:val="96"/>
              </w:rPr>
            </w:pPr>
            <w:hyperlink r:id="rId141">
              <w:r>
                <w:rPr>
                  <w:rFonts w:ascii="Arial" w:cs="Arial" w:eastAsia="Arial" w:hAnsi="Arial"/>
                  <w:sz w:val="17"/>
                  <w:szCs w:val="17"/>
                  <w:color w:val="0000FF"/>
                  <w:w w:val="96"/>
                </w:rPr>
                <w:t>Form of 2015 Long-Term Incentive Plan Performance Stock Unit Agreement (Total Shareholder Return) is incorporated by reference to Exhibit</w:t>
              </w:r>
            </w:hyperlink>
          </w:p>
        </w:tc>
      </w:tr>
      <w:tr>
        <w:trPr>
          <w:trHeight w:val="147"/>
        </w:trPr>
        <w:tc>
          <w:tcPr>
            <w:tcW w:w="1140" w:type="dxa"/>
            <w:vAlign w:val="bottom"/>
          </w:tcPr>
          <w:p>
            <w:pPr>
              <w:spacing w:after="0"/>
              <w:rPr>
                <w:sz w:val="12"/>
                <w:szCs w:val="12"/>
                <w:color w:val="auto"/>
              </w:rPr>
            </w:pPr>
          </w:p>
        </w:tc>
        <w:tc>
          <w:tcPr>
            <w:tcW w:w="10260" w:type="dxa"/>
            <w:vAlign w:val="bottom"/>
            <w:tcBorders>
              <w:top w:val="single" w:sz="8" w:color="0000FF"/>
            </w:tcBorders>
            <w:gridSpan w:val="33"/>
          </w:tcPr>
          <w:p>
            <w:pPr>
              <w:spacing w:after="0" w:line="147" w:lineRule="exact"/>
              <w:rPr>
                <w:rFonts w:ascii="Arial" w:cs="Arial" w:eastAsia="Arial" w:hAnsi="Arial"/>
                <w:sz w:val="17"/>
                <w:szCs w:val="17"/>
                <w:color w:val="0000FF"/>
              </w:rPr>
            </w:pPr>
            <w:hyperlink r:id="rId141">
              <w:r>
                <w:rPr>
                  <w:rFonts w:ascii="Arial" w:cs="Arial" w:eastAsia="Arial" w:hAnsi="Arial"/>
                  <w:sz w:val="17"/>
                  <w:szCs w:val="17"/>
                  <w:color w:val="0000FF"/>
                </w:rPr>
                <w:t>10(ff) to Campbell’s Form 10-K (SEC file number 1-3822) for the fiscal year ended July 31, 2016.</w:t>
              </w:r>
            </w:hyperlink>
          </w:p>
        </w:tc>
        <w:tc>
          <w:tcPr>
            <w:tcW w:w="100" w:type="dxa"/>
            <w:vAlign w:val="bottom"/>
            <w:gridSpan w:val="5"/>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5400" w:type="dxa"/>
            <w:vAlign w:val="bottom"/>
            <w:gridSpan w:val="9"/>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140" w:type="dxa"/>
            <w:vAlign w:val="bottom"/>
            <w:gridSpan w:val="7"/>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Arial" w:cs="Arial" w:eastAsia="Arial" w:hAnsi="Arial"/>
                <w:sz w:val="17"/>
                <w:szCs w:val="17"/>
                <w:color w:val="auto"/>
              </w:rPr>
              <w:t>10(t)+</w:t>
            </w:r>
          </w:p>
        </w:tc>
        <w:tc>
          <w:tcPr>
            <w:tcW w:w="10360" w:type="dxa"/>
            <w:vAlign w:val="bottom"/>
            <w:gridSpan w:val="38"/>
          </w:tcPr>
          <w:p>
            <w:pPr>
              <w:spacing w:after="0"/>
              <w:rPr>
                <w:rFonts w:ascii="Arial" w:cs="Arial" w:eastAsia="Arial" w:hAnsi="Arial"/>
                <w:sz w:val="17"/>
                <w:szCs w:val="17"/>
                <w:color w:val="0000FF"/>
                <w:w w:val="95"/>
              </w:rPr>
            </w:pPr>
            <w:hyperlink r:id="rId142">
              <w:r>
                <w:rPr>
                  <w:rFonts w:ascii="Arial" w:cs="Arial" w:eastAsia="Arial" w:hAnsi="Arial"/>
                  <w:sz w:val="17"/>
                  <w:szCs w:val="17"/>
                  <w:color w:val="0000FF"/>
                  <w:w w:val="95"/>
                </w:rPr>
                <w:t>Form of 2015 Long-Term Incentive Plan Time-Lapse Restricted Stock Unit Agreement is incorporated by reference to Exhibit 10(c) to Campbell's</w:t>
              </w:r>
            </w:hyperlink>
          </w:p>
        </w:tc>
      </w:tr>
      <w:tr>
        <w:trPr>
          <w:trHeight w:val="147"/>
        </w:trPr>
        <w:tc>
          <w:tcPr>
            <w:tcW w:w="1140" w:type="dxa"/>
            <w:vAlign w:val="bottom"/>
          </w:tcPr>
          <w:p>
            <w:pPr>
              <w:spacing w:after="0"/>
              <w:rPr>
                <w:sz w:val="12"/>
                <w:szCs w:val="12"/>
                <w:color w:val="auto"/>
              </w:rPr>
            </w:pPr>
          </w:p>
        </w:tc>
        <w:tc>
          <w:tcPr>
            <w:tcW w:w="10120" w:type="dxa"/>
            <w:vAlign w:val="bottom"/>
            <w:tcBorders>
              <w:top w:val="single" w:sz="8" w:color="0000FF"/>
            </w:tcBorders>
            <w:gridSpan w:val="26"/>
          </w:tcPr>
          <w:p>
            <w:pPr>
              <w:spacing w:after="0" w:line="147" w:lineRule="exact"/>
              <w:rPr>
                <w:rFonts w:ascii="Arial" w:cs="Arial" w:eastAsia="Arial" w:hAnsi="Arial"/>
                <w:sz w:val="17"/>
                <w:szCs w:val="17"/>
                <w:color w:val="0000FF"/>
              </w:rPr>
            </w:pPr>
            <w:hyperlink r:id="rId142">
              <w:r>
                <w:rPr>
                  <w:rFonts w:ascii="Arial" w:cs="Arial" w:eastAsia="Arial" w:hAnsi="Arial"/>
                  <w:sz w:val="17"/>
                  <w:szCs w:val="17"/>
                  <w:color w:val="0000FF"/>
                </w:rPr>
                <w:t>Form 10-Q (SEC file number 1-3822) for the fiscal quarter ended October 30, 2016.</w:t>
              </w:r>
            </w:hyperlink>
          </w:p>
        </w:tc>
        <w:tc>
          <w:tcPr>
            <w:tcW w:w="240" w:type="dxa"/>
            <w:vAlign w:val="bottom"/>
            <w:gridSpan w:val="12"/>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5400" w:type="dxa"/>
            <w:vAlign w:val="bottom"/>
            <w:gridSpan w:val="9"/>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380" w:type="dxa"/>
            <w:vAlign w:val="bottom"/>
            <w:gridSpan w:val="19"/>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Arial" w:cs="Arial" w:eastAsia="Arial" w:hAnsi="Arial"/>
                <w:sz w:val="17"/>
                <w:szCs w:val="17"/>
                <w:color w:val="auto"/>
              </w:rPr>
              <w:t>10(u)+</w:t>
            </w:r>
          </w:p>
        </w:tc>
        <w:tc>
          <w:tcPr>
            <w:tcW w:w="10360" w:type="dxa"/>
            <w:vAlign w:val="bottom"/>
            <w:gridSpan w:val="38"/>
          </w:tcPr>
          <w:p>
            <w:pPr>
              <w:spacing w:after="0"/>
              <w:rPr>
                <w:rFonts w:ascii="Arial" w:cs="Arial" w:eastAsia="Arial" w:hAnsi="Arial"/>
                <w:sz w:val="17"/>
                <w:szCs w:val="17"/>
                <w:color w:val="0000FF"/>
                <w:w w:val="96"/>
              </w:rPr>
            </w:pPr>
            <w:hyperlink r:id="rId143">
              <w:r>
                <w:rPr>
                  <w:rFonts w:ascii="Arial" w:cs="Arial" w:eastAsia="Arial" w:hAnsi="Arial"/>
                  <w:sz w:val="17"/>
                  <w:szCs w:val="17"/>
                  <w:color w:val="0000FF"/>
                  <w:w w:val="96"/>
                </w:rPr>
                <w:t>Form of 2015 Long-Term Incentive Plan Time-Lapse Restricted Stock Unit Agreement incorporated by reference to Exhibit 10(s) to Campbell's</w:t>
              </w:r>
            </w:hyperlink>
          </w:p>
        </w:tc>
      </w:tr>
      <w:tr>
        <w:trPr>
          <w:trHeight w:val="147"/>
        </w:trPr>
        <w:tc>
          <w:tcPr>
            <w:tcW w:w="1140" w:type="dxa"/>
            <w:vAlign w:val="bottom"/>
          </w:tcPr>
          <w:p>
            <w:pPr>
              <w:spacing w:after="0"/>
              <w:rPr>
                <w:sz w:val="12"/>
                <w:szCs w:val="12"/>
                <w:color w:val="auto"/>
              </w:rPr>
            </w:pPr>
          </w:p>
        </w:tc>
        <w:tc>
          <w:tcPr>
            <w:tcW w:w="10140" w:type="dxa"/>
            <w:vAlign w:val="bottom"/>
            <w:tcBorders>
              <w:top w:val="single" w:sz="8" w:color="0000FF"/>
            </w:tcBorders>
            <w:gridSpan w:val="27"/>
          </w:tcPr>
          <w:p>
            <w:pPr>
              <w:spacing w:after="0" w:line="147" w:lineRule="exact"/>
              <w:rPr>
                <w:rFonts w:ascii="Arial" w:cs="Arial" w:eastAsia="Arial" w:hAnsi="Arial"/>
                <w:sz w:val="17"/>
                <w:szCs w:val="17"/>
                <w:color w:val="0000FF"/>
              </w:rPr>
            </w:pPr>
            <w:hyperlink r:id="rId143">
              <w:r>
                <w:rPr>
                  <w:rFonts w:ascii="Arial" w:cs="Arial" w:eastAsia="Arial" w:hAnsi="Arial"/>
                  <w:sz w:val="17"/>
                  <w:szCs w:val="17"/>
                  <w:color w:val="0000FF"/>
                </w:rPr>
                <w:t>Form 10-K(SEC file number 1-3822) for the fiscal year ended August 1, 2021.</w:t>
              </w:r>
            </w:hyperlink>
          </w:p>
        </w:tc>
        <w:tc>
          <w:tcPr>
            <w:tcW w:w="220" w:type="dxa"/>
            <w:vAlign w:val="bottom"/>
            <w:gridSpan w:val="11"/>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5400" w:type="dxa"/>
            <w:vAlign w:val="bottom"/>
            <w:gridSpan w:val="9"/>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380" w:type="dxa"/>
            <w:vAlign w:val="bottom"/>
            <w:gridSpan w:val="19"/>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Arial" w:cs="Arial" w:eastAsia="Arial" w:hAnsi="Arial"/>
                <w:sz w:val="17"/>
                <w:szCs w:val="17"/>
                <w:color w:val="auto"/>
              </w:rPr>
              <w:t>10(v)+</w:t>
            </w:r>
          </w:p>
        </w:tc>
        <w:tc>
          <w:tcPr>
            <w:tcW w:w="10360" w:type="dxa"/>
            <w:vAlign w:val="bottom"/>
            <w:gridSpan w:val="38"/>
          </w:tcPr>
          <w:p>
            <w:pPr>
              <w:spacing w:after="0"/>
              <w:rPr>
                <w:rFonts w:ascii="Arial" w:cs="Arial" w:eastAsia="Arial" w:hAnsi="Arial"/>
                <w:sz w:val="17"/>
                <w:szCs w:val="17"/>
                <w:color w:val="0000FF"/>
                <w:w w:val="98"/>
              </w:rPr>
            </w:pPr>
            <w:hyperlink r:id="rId144">
              <w:r>
                <w:rPr>
                  <w:rFonts w:ascii="Arial" w:cs="Arial" w:eastAsia="Arial" w:hAnsi="Arial"/>
                  <w:sz w:val="17"/>
                  <w:szCs w:val="17"/>
                  <w:color w:val="0000FF"/>
                  <w:w w:val="98"/>
                </w:rPr>
                <w:t>Form of 2015 Long-Term Incentive Performance Restricted Stock Unit Agreement is incorporated by reference to Exhibit 10(t) to Campbell's</w:t>
              </w:r>
            </w:hyperlink>
          </w:p>
        </w:tc>
      </w:tr>
      <w:tr>
        <w:trPr>
          <w:trHeight w:val="147"/>
        </w:trPr>
        <w:tc>
          <w:tcPr>
            <w:tcW w:w="1140" w:type="dxa"/>
            <w:vAlign w:val="bottom"/>
          </w:tcPr>
          <w:p>
            <w:pPr>
              <w:spacing w:after="0"/>
              <w:rPr>
                <w:sz w:val="12"/>
                <w:szCs w:val="12"/>
                <w:color w:val="auto"/>
              </w:rPr>
            </w:pPr>
          </w:p>
        </w:tc>
        <w:tc>
          <w:tcPr>
            <w:tcW w:w="10100" w:type="dxa"/>
            <w:vAlign w:val="bottom"/>
            <w:tcBorders>
              <w:top w:val="single" w:sz="8" w:color="0000FF"/>
            </w:tcBorders>
            <w:gridSpan w:val="25"/>
          </w:tcPr>
          <w:p>
            <w:pPr>
              <w:spacing w:after="0" w:line="147" w:lineRule="exact"/>
              <w:rPr>
                <w:rFonts w:ascii="Arial" w:cs="Arial" w:eastAsia="Arial" w:hAnsi="Arial"/>
                <w:sz w:val="17"/>
                <w:szCs w:val="17"/>
                <w:color w:val="0000FF"/>
              </w:rPr>
            </w:pPr>
            <w:hyperlink r:id="rId144">
              <w:r>
                <w:rPr>
                  <w:rFonts w:ascii="Arial" w:cs="Arial" w:eastAsia="Arial" w:hAnsi="Arial"/>
                  <w:sz w:val="17"/>
                  <w:szCs w:val="17"/>
                  <w:color w:val="0000FF"/>
                </w:rPr>
                <w:t>Form 10-K (SEC file number 1-3822) for the fiscal year ended August 1, 2021.</w:t>
              </w:r>
            </w:hyperlink>
          </w:p>
        </w:tc>
        <w:tc>
          <w:tcPr>
            <w:tcW w:w="260" w:type="dxa"/>
            <w:vAlign w:val="bottom"/>
            <w:gridSpan w:val="13"/>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5440" w:type="dxa"/>
            <w:vAlign w:val="bottom"/>
            <w:gridSpan w:val="10"/>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380" w:type="dxa"/>
            <w:vAlign w:val="bottom"/>
            <w:gridSpan w:val="19"/>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Arial" w:cs="Arial" w:eastAsia="Arial" w:hAnsi="Arial"/>
                <w:sz w:val="17"/>
                <w:szCs w:val="17"/>
                <w:color w:val="auto"/>
              </w:rPr>
              <w:t>10(w)+</w:t>
            </w:r>
          </w:p>
        </w:tc>
        <w:tc>
          <w:tcPr>
            <w:tcW w:w="6040" w:type="dxa"/>
            <w:vAlign w:val="bottom"/>
            <w:tcBorders>
              <w:bottom w:val="single" w:sz="8" w:color="0000FF"/>
            </w:tcBorders>
            <w:gridSpan w:val="13"/>
          </w:tcPr>
          <w:p>
            <w:pPr>
              <w:spacing w:after="0"/>
              <w:rPr>
                <w:sz w:val="20"/>
                <w:szCs w:val="20"/>
                <w:color w:val="auto"/>
              </w:rPr>
            </w:pPr>
            <w:r>
              <w:rPr>
                <w:rFonts w:ascii="Arial" w:cs="Arial" w:eastAsia="Arial" w:hAnsi="Arial"/>
                <w:sz w:val="17"/>
                <w:szCs w:val="17"/>
                <w:color w:val="0000FF"/>
                <w:w w:val="92"/>
              </w:rPr>
              <w:t>Form of 2022 Long-Term Incentive Plan Time-Lapse Restricted Stock Unit Agreement.</w:t>
            </w:r>
          </w:p>
        </w:tc>
        <w:tc>
          <w:tcPr>
            <w:tcW w:w="4320" w:type="dxa"/>
            <w:vAlign w:val="bottom"/>
            <w:gridSpan w:val="25"/>
          </w:tcPr>
          <w:p>
            <w:pPr>
              <w:spacing w:after="0"/>
              <w:rPr>
                <w:sz w:val="22"/>
                <w:szCs w:val="22"/>
                <w:color w:val="auto"/>
              </w:rPr>
            </w:pPr>
          </w:p>
        </w:tc>
      </w:tr>
      <w:tr>
        <w:trPr>
          <w:trHeight w:val="250"/>
        </w:trPr>
        <w:tc>
          <w:tcPr>
            <w:tcW w:w="1140" w:type="dxa"/>
            <w:vAlign w:val="bottom"/>
          </w:tcPr>
          <w:p>
            <w:pPr>
              <w:ind w:left="40"/>
              <w:spacing w:after="0"/>
              <w:rPr>
                <w:sz w:val="20"/>
                <w:szCs w:val="20"/>
                <w:color w:val="auto"/>
              </w:rPr>
            </w:pPr>
            <w:r>
              <w:rPr>
                <w:rFonts w:ascii="Arial" w:cs="Arial" w:eastAsia="Arial" w:hAnsi="Arial"/>
                <w:sz w:val="17"/>
                <w:szCs w:val="17"/>
                <w:color w:val="auto"/>
              </w:rPr>
              <w:t>10(x)+</w:t>
            </w:r>
          </w:p>
        </w:tc>
        <w:tc>
          <w:tcPr>
            <w:tcW w:w="7560" w:type="dxa"/>
            <w:vAlign w:val="bottom"/>
            <w:tcBorders>
              <w:bottom w:val="single" w:sz="8" w:color="0000FF"/>
            </w:tcBorders>
            <w:gridSpan w:val="16"/>
          </w:tcPr>
          <w:p>
            <w:pPr>
              <w:spacing w:after="0"/>
              <w:rPr>
                <w:sz w:val="20"/>
                <w:szCs w:val="20"/>
                <w:color w:val="auto"/>
              </w:rPr>
            </w:pPr>
            <w:r>
              <w:rPr>
                <w:rFonts w:ascii="Arial" w:cs="Arial" w:eastAsia="Arial" w:hAnsi="Arial"/>
                <w:sz w:val="17"/>
                <w:szCs w:val="17"/>
                <w:color w:val="0000FF"/>
                <w:w w:val="91"/>
              </w:rPr>
              <w:t>Form of 2022 Long-Term Incentive Plan Performance Restricted Stock Unit Agreement (Earnings Per Share).</w:t>
            </w:r>
          </w:p>
        </w:tc>
        <w:tc>
          <w:tcPr>
            <w:tcW w:w="2800" w:type="dxa"/>
            <w:vAlign w:val="bottom"/>
            <w:gridSpan w:val="22"/>
          </w:tcPr>
          <w:p>
            <w:pPr>
              <w:spacing w:after="0"/>
              <w:rPr>
                <w:sz w:val="21"/>
                <w:szCs w:val="21"/>
                <w:color w:val="auto"/>
              </w:rPr>
            </w:pPr>
          </w:p>
        </w:tc>
      </w:tr>
      <w:tr>
        <w:trPr>
          <w:trHeight w:val="250"/>
        </w:trPr>
        <w:tc>
          <w:tcPr>
            <w:tcW w:w="1140" w:type="dxa"/>
            <w:vAlign w:val="bottom"/>
          </w:tcPr>
          <w:p>
            <w:pPr>
              <w:ind w:left="40"/>
              <w:spacing w:after="0"/>
              <w:rPr>
                <w:sz w:val="20"/>
                <w:szCs w:val="20"/>
                <w:color w:val="auto"/>
              </w:rPr>
            </w:pPr>
            <w:r>
              <w:rPr>
                <w:rFonts w:ascii="Arial" w:cs="Arial" w:eastAsia="Arial" w:hAnsi="Arial"/>
                <w:sz w:val="17"/>
                <w:szCs w:val="17"/>
                <w:color w:val="auto"/>
              </w:rPr>
              <w:t>10(y)+</w:t>
            </w:r>
          </w:p>
        </w:tc>
        <w:tc>
          <w:tcPr>
            <w:tcW w:w="10360" w:type="dxa"/>
            <w:vAlign w:val="bottom"/>
            <w:gridSpan w:val="38"/>
          </w:tcPr>
          <w:p>
            <w:pPr>
              <w:spacing w:after="0"/>
              <w:rPr>
                <w:sz w:val="20"/>
                <w:szCs w:val="20"/>
                <w:color w:val="auto"/>
              </w:rPr>
            </w:pPr>
            <w:r>
              <w:rPr>
                <w:rFonts w:ascii="Arial" w:cs="Arial" w:eastAsia="Arial" w:hAnsi="Arial"/>
                <w:sz w:val="17"/>
                <w:szCs w:val="17"/>
                <w:color w:val="0000FF"/>
              </w:rPr>
              <w:t>Form of 2022 Long-Term Incentive Plan Performance Restricted Stock Unit Agreement (Total Shareholder Return).</w:t>
            </w:r>
          </w:p>
        </w:tc>
      </w:tr>
      <w:tr>
        <w:trPr>
          <w:trHeight w:val="803"/>
        </w:trPr>
        <w:tc>
          <w:tcPr>
            <w:tcW w:w="1140" w:type="dxa"/>
            <w:vAlign w:val="bottom"/>
          </w:tcPr>
          <w:p>
            <w:pPr>
              <w:spacing w:after="0"/>
              <w:rPr>
                <w:sz w:val="24"/>
                <w:szCs w:val="24"/>
                <w:color w:val="auto"/>
              </w:rPr>
            </w:pPr>
          </w:p>
        </w:tc>
        <w:tc>
          <w:tcPr>
            <w:tcW w:w="5260" w:type="dxa"/>
            <w:vAlign w:val="bottom"/>
            <w:tcBorders>
              <w:top w:val="single" w:sz="8" w:color="0000FF"/>
            </w:tcBorders>
            <w:gridSpan w:val="7"/>
          </w:tcPr>
          <w:p>
            <w:pPr>
              <w:ind w:left="4400"/>
              <w:spacing w:after="0"/>
              <w:rPr>
                <w:sz w:val="20"/>
                <w:szCs w:val="20"/>
                <w:color w:val="auto"/>
              </w:rPr>
            </w:pPr>
            <w:r>
              <w:rPr>
                <w:rFonts w:ascii="Arial" w:cs="Arial" w:eastAsia="Arial" w:hAnsi="Arial"/>
                <w:sz w:val="17"/>
                <w:szCs w:val="17"/>
                <w:color w:val="auto"/>
              </w:rPr>
              <w:t>77</w:t>
            </w: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8"/>
        </w:trPr>
        <w:tc>
          <w:tcPr>
            <w:tcW w:w="1140" w:type="dxa"/>
            <w:vAlign w:val="bottom"/>
            <w:tcBorders>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77" w:name="page78"/>
    <w:bookmarkEnd w:id="77"/>
    <w:tbl>
      <w:tblPr>
        <w:tblLayout w:type="fixed"/>
        <w:tblInd w:w="7" w:type="dxa"/>
        <w:tblCellMar>
          <w:top w:w="0" w:type="dxa"/>
          <w:left w:w="0" w:type="dxa"/>
          <w:bottom w:w="0" w:type="dxa"/>
          <w:right w:w="0" w:type="dxa"/>
        </w:tblCellMar>
      </w:tblPr>
      <w:tr>
        <w:trPr>
          <w:trHeight w:val="195"/>
        </w:trPr>
        <w:tc>
          <w:tcPr>
            <w:tcW w:w="1100" w:type="dxa"/>
            <w:vAlign w:val="bottom"/>
          </w:tcPr>
          <w:p>
            <w:pPr>
              <w:spacing w:after="0"/>
              <w:rPr>
                <w:sz w:val="20"/>
                <w:szCs w:val="20"/>
                <w:color w:val="auto"/>
              </w:rPr>
            </w:pPr>
            <w:r>
              <w:rPr>
                <w:rFonts w:ascii="Arial" w:cs="Arial" w:eastAsia="Arial" w:hAnsi="Arial"/>
                <w:sz w:val="17"/>
                <w:szCs w:val="17"/>
                <w:color w:val="auto"/>
              </w:rPr>
              <w:t>10(z)</w:t>
            </w:r>
          </w:p>
        </w:tc>
        <w:tc>
          <w:tcPr>
            <w:tcW w:w="9760" w:type="dxa"/>
            <w:vAlign w:val="bottom"/>
            <w:tcBorders>
              <w:bottom w:val="single" w:sz="8" w:color="0000FF"/>
            </w:tcBorders>
            <w:gridSpan w:val="13"/>
          </w:tcPr>
          <w:p>
            <w:pPr>
              <w:spacing w:after="0"/>
              <w:rPr>
                <w:rFonts w:ascii="Arial" w:cs="Arial" w:eastAsia="Arial" w:hAnsi="Arial"/>
                <w:sz w:val="17"/>
                <w:szCs w:val="17"/>
                <w:color w:val="0000FF"/>
                <w:w w:val="91"/>
              </w:rPr>
            </w:pPr>
            <w:hyperlink r:id="rId147">
              <w:r>
                <w:rPr>
                  <w:rFonts w:ascii="Arial" w:cs="Arial" w:eastAsia="Arial" w:hAnsi="Arial"/>
                  <w:sz w:val="17"/>
                  <w:szCs w:val="17"/>
                  <w:color w:val="0000FF"/>
                  <w:w w:val="91"/>
                </w:rPr>
                <w:t>Five-Year Credit Agreement, dated September 27, 2021, by and among Campbell Soup Company, the Eligible Subsidiaries party thereto from</w:t>
              </w:r>
            </w:hyperlink>
          </w:p>
        </w:tc>
        <w:tc>
          <w:tcPr>
            <w:tcW w:w="34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100" w:type="dxa"/>
            <w:vAlign w:val="bottom"/>
          </w:tcPr>
          <w:p>
            <w:pPr>
              <w:spacing w:after="0"/>
              <w:rPr>
                <w:sz w:val="12"/>
                <w:szCs w:val="12"/>
                <w:color w:val="auto"/>
              </w:rPr>
            </w:pPr>
          </w:p>
        </w:tc>
        <w:tc>
          <w:tcPr>
            <w:tcW w:w="10100" w:type="dxa"/>
            <w:vAlign w:val="bottom"/>
            <w:gridSpan w:val="20"/>
          </w:tcPr>
          <w:p>
            <w:pPr>
              <w:spacing w:after="0" w:line="147" w:lineRule="exact"/>
              <w:rPr>
                <w:rFonts w:ascii="Arial" w:cs="Arial" w:eastAsia="Arial" w:hAnsi="Arial"/>
                <w:sz w:val="17"/>
                <w:szCs w:val="17"/>
                <w:color w:val="0000FF"/>
                <w:w w:val="92"/>
              </w:rPr>
            </w:pPr>
            <w:hyperlink r:id="rId147">
              <w:r>
                <w:rPr>
                  <w:rFonts w:ascii="Arial" w:cs="Arial" w:eastAsia="Arial" w:hAnsi="Arial"/>
                  <w:sz w:val="17"/>
                  <w:szCs w:val="17"/>
                  <w:color w:val="0000FF"/>
                  <w:w w:val="92"/>
                </w:rPr>
                <w:t>time to time, JPMorgan Chase Bank, N.A., as administrative agent, and the other lenders named therein, incorporated by reference to Campbell's</w:t>
              </w:r>
            </w:hyperlink>
          </w:p>
        </w:tc>
        <w:tc>
          <w:tcPr>
            <w:tcW w:w="0" w:type="dxa"/>
            <w:vAlign w:val="bottom"/>
          </w:tcPr>
          <w:p>
            <w:pPr>
              <w:spacing w:after="0"/>
              <w:rPr>
                <w:sz w:val="1"/>
                <w:szCs w:val="1"/>
                <w:color w:val="auto"/>
              </w:rPr>
            </w:pPr>
          </w:p>
        </w:tc>
      </w:tr>
      <w:tr>
        <w:trPr>
          <w:trHeight w:val="147"/>
        </w:trPr>
        <w:tc>
          <w:tcPr>
            <w:tcW w:w="1100" w:type="dxa"/>
            <w:vAlign w:val="bottom"/>
          </w:tcPr>
          <w:p>
            <w:pPr>
              <w:spacing w:after="0"/>
              <w:rPr>
                <w:sz w:val="12"/>
                <w:szCs w:val="12"/>
                <w:color w:val="auto"/>
              </w:rPr>
            </w:pPr>
          </w:p>
        </w:tc>
        <w:tc>
          <w:tcPr>
            <w:tcW w:w="9960" w:type="dxa"/>
            <w:vAlign w:val="bottom"/>
            <w:tcBorders>
              <w:top w:val="single" w:sz="8" w:color="0000FF"/>
            </w:tcBorders>
            <w:gridSpan w:val="16"/>
          </w:tcPr>
          <w:p>
            <w:pPr>
              <w:spacing w:after="0" w:line="147" w:lineRule="exact"/>
              <w:rPr>
                <w:rFonts w:ascii="Arial" w:cs="Arial" w:eastAsia="Arial" w:hAnsi="Arial"/>
                <w:sz w:val="17"/>
                <w:szCs w:val="17"/>
                <w:color w:val="0000FF"/>
              </w:rPr>
            </w:pPr>
            <w:hyperlink r:id="rId147">
              <w:r>
                <w:rPr>
                  <w:rFonts w:ascii="Arial" w:cs="Arial" w:eastAsia="Arial" w:hAnsi="Arial"/>
                  <w:sz w:val="17"/>
                  <w:szCs w:val="17"/>
                  <w:color w:val="0000FF"/>
                </w:rPr>
                <w:t>Form 10-Q (SEC file number 1-3822) for the fiscal quarter ended October 31, 2021.</w:t>
              </w:r>
            </w:hyperlink>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100" w:type="dxa"/>
            <w:vAlign w:val="bottom"/>
          </w:tcPr>
          <w:p>
            <w:pPr>
              <w:spacing w:after="0"/>
              <w:rPr>
                <w:sz w:val="20"/>
                <w:szCs w:val="20"/>
                <w:color w:val="auto"/>
              </w:rPr>
            </w:pPr>
            <w:r>
              <w:rPr>
                <w:rFonts w:ascii="Arial" w:cs="Arial" w:eastAsia="Arial" w:hAnsi="Arial"/>
                <w:sz w:val="17"/>
                <w:szCs w:val="17"/>
                <w:color w:val="auto"/>
              </w:rPr>
              <w:t>10(aa)</w:t>
            </w:r>
          </w:p>
        </w:tc>
        <w:tc>
          <w:tcPr>
            <w:tcW w:w="10100" w:type="dxa"/>
            <w:vAlign w:val="bottom"/>
            <w:gridSpan w:val="20"/>
          </w:tcPr>
          <w:p>
            <w:pPr>
              <w:spacing w:after="0"/>
              <w:rPr>
                <w:rFonts w:ascii="Arial" w:cs="Arial" w:eastAsia="Arial" w:hAnsi="Arial"/>
                <w:sz w:val="17"/>
                <w:szCs w:val="17"/>
                <w:color w:val="0000FF"/>
                <w:w w:val="94"/>
              </w:rPr>
            </w:pPr>
            <w:hyperlink r:id="rId148">
              <w:r>
                <w:rPr>
                  <w:rFonts w:ascii="Arial" w:cs="Arial" w:eastAsia="Arial" w:hAnsi="Arial"/>
                  <w:sz w:val="17"/>
                  <w:szCs w:val="17"/>
                  <w:color w:val="0000FF"/>
                  <w:w w:val="94"/>
                </w:rPr>
                <w:t>Amendment No. 1 to Five-Year Credit Agreement by and among Campbell Soup Company, the Eligible Subsidiaries party thereto from time to</w:t>
              </w:r>
            </w:hyperlink>
          </w:p>
        </w:tc>
        <w:tc>
          <w:tcPr>
            <w:tcW w:w="0" w:type="dxa"/>
            <w:vAlign w:val="bottom"/>
          </w:tcPr>
          <w:p>
            <w:pPr>
              <w:spacing w:after="0"/>
              <w:rPr>
                <w:sz w:val="1"/>
                <w:szCs w:val="1"/>
                <w:color w:val="auto"/>
              </w:rPr>
            </w:pPr>
          </w:p>
        </w:tc>
      </w:tr>
      <w:tr>
        <w:trPr>
          <w:trHeight w:val="147"/>
        </w:trPr>
        <w:tc>
          <w:tcPr>
            <w:tcW w:w="1100" w:type="dxa"/>
            <w:vAlign w:val="bottom"/>
          </w:tcPr>
          <w:p>
            <w:pPr>
              <w:spacing w:after="0"/>
              <w:rPr>
                <w:sz w:val="12"/>
                <w:szCs w:val="12"/>
                <w:color w:val="auto"/>
              </w:rPr>
            </w:pPr>
          </w:p>
        </w:tc>
        <w:tc>
          <w:tcPr>
            <w:tcW w:w="9840" w:type="dxa"/>
            <w:vAlign w:val="bottom"/>
            <w:tcBorders>
              <w:top w:val="single" w:sz="8" w:color="0000FF"/>
            </w:tcBorders>
            <w:gridSpan w:val="15"/>
          </w:tcPr>
          <w:p>
            <w:pPr>
              <w:spacing w:after="0" w:line="147" w:lineRule="exact"/>
              <w:rPr>
                <w:rFonts w:ascii="Arial" w:cs="Arial" w:eastAsia="Arial" w:hAnsi="Arial"/>
                <w:sz w:val="17"/>
                <w:szCs w:val="17"/>
                <w:color w:val="0000FF"/>
                <w:w w:val="92"/>
              </w:rPr>
            </w:pPr>
            <w:hyperlink r:id="rId148">
              <w:r>
                <w:rPr>
                  <w:rFonts w:ascii="Arial" w:cs="Arial" w:eastAsia="Arial" w:hAnsi="Arial"/>
                  <w:sz w:val="17"/>
                  <w:szCs w:val="17"/>
                  <w:color w:val="0000FF"/>
                  <w:w w:val="92"/>
                </w:rPr>
                <w:t>time, JPMorgan Chase Bank, N.A., as administrative agent, and the other lenders named therein, dated as of April 4, 2023 is incorporated by</w:t>
              </w:r>
            </w:hyperlink>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100" w:type="dxa"/>
            <w:vAlign w:val="bottom"/>
          </w:tcPr>
          <w:p>
            <w:pPr>
              <w:spacing w:after="0"/>
              <w:rPr>
                <w:sz w:val="12"/>
                <w:szCs w:val="12"/>
                <w:color w:val="auto"/>
              </w:rPr>
            </w:pPr>
          </w:p>
        </w:tc>
        <w:tc>
          <w:tcPr>
            <w:tcW w:w="9660" w:type="dxa"/>
            <w:vAlign w:val="bottom"/>
            <w:tcBorders>
              <w:top w:val="single" w:sz="8" w:color="0000FF"/>
            </w:tcBorders>
            <w:gridSpan w:val="11"/>
          </w:tcPr>
          <w:p>
            <w:pPr>
              <w:spacing w:after="0" w:line="147" w:lineRule="exact"/>
              <w:rPr>
                <w:rFonts w:ascii="Arial" w:cs="Arial" w:eastAsia="Arial" w:hAnsi="Arial"/>
                <w:sz w:val="17"/>
                <w:szCs w:val="17"/>
                <w:color w:val="0000FF"/>
              </w:rPr>
            </w:pPr>
            <w:hyperlink r:id="rId148">
              <w:r>
                <w:rPr>
                  <w:rFonts w:ascii="Arial" w:cs="Arial" w:eastAsia="Arial" w:hAnsi="Arial"/>
                  <w:sz w:val="17"/>
                  <w:szCs w:val="17"/>
                  <w:color w:val="0000FF"/>
                </w:rPr>
                <w:t>reference to Exhibit 10.1 to Campbell's Form 10-Q (SEC file number 1-3822) for the fiscal quarter ended April 30, 2023.</w:t>
              </w:r>
            </w:hyperlink>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1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spacing w:after="0"/>
              <w:rPr>
                <w:sz w:val="20"/>
                <w:szCs w:val="20"/>
                <w:color w:val="auto"/>
              </w:rPr>
            </w:pPr>
            <w:r>
              <w:rPr>
                <w:rFonts w:ascii="Arial" w:cs="Arial" w:eastAsia="Arial" w:hAnsi="Arial"/>
                <w:sz w:val="17"/>
                <w:szCs w:val="17"/>
                <w:color w:val="auto"/>
              </w:rPr>
              <w:t>10(bb)</w:t>
            </w:r>
          </w:p>
        </w:tc>
        <w:tc>
          <w:tcPr>
            <w:tcW w:w="2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5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100" w:type="dxa"/>
            <w:vAlign w:val="bottom"/>
            <w:vMerge w:val="continue"/>
          </w:tcPr>
          <w:p>
            <w:pPr>
              <w:spacing w:after="0"/>
              <w:rPr>
                <w:sz w:val="24"/>
                <w:szCs w:val="24"/>
                <w:color w:val="auto"/>
              </w:rPr>
            </w:pPr>
          </w:p>
        </w:tc>
        <w:tc>
          <w:tcPr>
            <w:tcW w:w="10100" w:type="dxa"/>
            <w:vAlign w:val="bottom"/>
            <w:gridSpan w:val="20"/>
          </w:tcPr>
          <w:p>
            <w:pPr>
              <w:spacing w:after="0"/>
              <w:rPr>
                <w:rFonts w:ascii="Arial" w:cs="Arial" w:eastAsia="Arial" w:hAnsi="Arial"/>
                <w:sz w:val="17"/>
                <w:szCs w:val="17"/>
                <w:color w:val="0000FF"/>
                <w:w w:val="96"/>
              </w:rPr>
            </w:pPr>
            <w:hyperlink r:id="rId149">
              <w:r>
                <w:rPr>
                  <w:rFonts w:ascii="Arial" w:cs="Arial" w:eastAsia="Arial" w:hAnsi="Arial"/>
                  <w:sz w:val="17"/>
                  <w:szCs w:val="17"/>
                  <w:color w:val="0000FF"/>
                  <w:w w:val="96"/>
                </w:rPr>
                <w:t>2023 Non-Employee Director Fees are incorporated by reference to Exhibit 10.1 to Campbell’s Form 10-Q (SEC file number 1-3822) for the</w:t>
              </w:r>
            </w:hyperlink>
          </w:p>
        </w:tc>
        <w:tc>
          <w:tcPr>
            <w:tcW w:w="0" w:type="dxa"/>
            <w:vAlign w:val="bottom"/>
          </w:tcPr>
          <w:p>
            <w:pPr>
              <w:spacing w:after="0"/>
              <w:rPr>
                <w:sz w:val="1"/>
                <w:szCs w:val="1"/>
                <w:color w:val="auto"/>
              </w:rPr>
            </w:pPr>
          </w:p>
        </w:tc>
      </w:tr>
      <w:tr>
        <w:trPr>
          <w:trHeight w:val="173"/>
        </w:trPr>
        <w:tc>
          <w:tcPr>
            <w:tcW w:w="1100" w:type="dxa"/>
            <w:vAlign w:val="bottom"/>
          </w:tcPr>
          <w:p>
            <w:pPr>
              <w:spacing w:after="0"/>
              <w:rPr>
                <w:sz w:val="15"/>
                <w:szCs w:val="15"/>
                <w:color w:val="auto"/>
              </w:rPr>
            </w:pPr>
          </w:p>
        </w:tc>
        <w:tc>
          <w:tcPr>
            <w:tcW w:w="2640" w:type="dxa"/>
            <w:vAlign w:val="bottom"/>
            <w:tcBorders>
              <w:top w:val="single" w:sz="8" w:color="0000FF"/>
              <w:bottom w:val="single" w:sz="8" w:color="0000FF"/>
            </w:tcBorders>
          </w:tcPr>
          <w:p>
            <w:pPr>
              <w:spacing w:after="0" w:line="173" w:lineRule="exact"/>
              <w:rPr>
                <w:rFonts w:ascii="Arial" w:cs="Arial" w:eastAsia="Arial" w:hAnsi="Arial"/>
                <w:sz w:val="17"/>
                <w:szCs w:val="17"/>
                <w:color w:val="0000FF"/>
                <w:w w:val="90"/>
              </w:rPr>
            </w:pPr>
            <w:hyperlink r:id="rId149">
              <w:r>
                <w:rPr>
                  <w:rFonts w:ascii="Arial" w:cs="Arial" w:eastAsia="Arial" w:hAnsi="Arial"/>
                  <w:sz w:val="17"/>
                  <w:szCs w:val="17"/>
                  <w:color w:val="0000FF"/>
                  <w:w w:val="90"/>
                </w:rPr>
                <w:t>fiscal quarter ended October 30, 2022.</w:t>
              </w:r>
            </w:hyperlink>
          </w:p>
        </w:tc>
        <w:tc>
          <w:tcPr>
            <w:tcW w:w="7040" w:type="dxa"/>
            <w:vAlign w:val="bottom"/>
            <w:tcBorders>
              <w:top w:val="single" w:sz="8" w:color="0000FF"/>
            </w:tcBorders>
            <w:gridSpan w:val="11"/>
          </w:tcPr>
          <w:p>
            <w:pPr>
              <w:spacing w:after="0"/>
              <w:rPr>
                <w:sz w:val="15"/>
                <w:szCs w:val="15"/>
                <w:color w:val="auto"/>
              </w:rPr>
            </w:pPr>
          </w:p>
        </w:tc>
        <w:tc>
          <w:tcPr>
            <w:tcW w:w="42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1100" w:type="dxa"/>
            <w:vAlign w:val="bottom"/>
          </w:tcPr>
          <w:p>
            <w:pPr>
              <w:spacing w:after="0"/>
              <w:rPr>
                <w:sz w:val="20"/>
                <w:szCs w:val="20"/>
                <w:color w:val="auto"/>
              </w:rPr>
            </w:pPr>
            <w:r>
              <w:rPr>
                <w:rFonts w:ascii="Arial" w:cs="Arial" w:eastAsia="Arial" w:hAnsi="Arial"/>
                <w:sz w:val="17"/>
                <w:szCs w:val="17"/>
                <w:color w:val="auto"/>
              </w:rPr>
              <w:t>10(cc)+</w:t>
            </w:r>
          </w:p>
        </w:tc>
        <w:tc>
          <w:tcPr>
            <w:tcW w:w="10100" w:type="dxa"/>
            <w:vAlign w:val="bottom"/>
            <w:gridSpan w:val="20"/>
          </w:tcPr>
          <w:p>
            <w:pPr>
              <w:spacing w:after="0"/>
              <w:rPr>
                <w:rFonts w:ascii="Arial" w:cs="Arial" w:eastAsia="Arial" w:hAnsi="Arial"/>
                <w:sz w:val="17"/>
                <w:szCs w:val="17"/>
                <w:color w:val="0000FF"/>
                <w:w w:val="94"/>
              </w:rPr>
            </w:pPr>
            <w:hyperlink r:id="rId150">
              <w:r>
                <w:rPr>
                  <w:rFonts w:ascii="Arial" w:cs="Arial" w:eastAsia="Arial" w:hAnsi="Arial"/>
                  <w:sz w:val="17"/>
                  <w:szCs w:val="17"/>
                  <w:color w:val="0000FF"/>
                  <w:w w:val="94"/>
                </w:rPr>
                <w:t>First Amendment to the Campbell Soup Company Supplemental Retirement Plan effective November 30, 2018 is incorporated by reference to</w:t>
              </w:r>
            </w:hyperlink>
          </w:p>
        </w:tc>
        <w:tc>
          <w:tcPr>
            <w:tcW w:w="0" w:type="dxa"/>
            <w:vAlign w:val="bottom"/>
          </w:tcPr>
          <w:p>
            <w:pPr>
              <w:spacing w:after="0"/>
              <w:rPr>
                <w:sz w:val="1"/>
                <w:szCs w:val="1"/>
                <w:color w:val="auto"/>
              </w:rPr>
            </w:pPr>
          </w:p>
        </w:tc>
      </w:tr>
      <w:tr>
        <w:trPr>
          <w:trHeight w:val="147"/>
        </w:trPr>
        <w:tc>
          <w:tcPr>
            <w:tcW w:w="1100" w:type="dxa"/>
            <w:vAlign w:val="bottom"/>
          </w:tcPr>
          <w:p>
            <w:pPr>
              <w:spacing w:after="0"/>
              <w:rPr>
                <w:sz w:val="12"/>
                <w:szCs w:val="12"/>
                <w:color w:val="auto"/>
              </w:rPr>
            </w:pPr>
          </w:p>
        </w:tc>
        <w:tc>
          <w:tcPr>
            <w:tcW w:w="7720" w:type="dxa"/>
            <w:vAlign w:val="bottom"/>
            <w:tcBorders>
              <w:top w:val="single" w:sz="8" w:color="0000FF"/>
              <w:bottom w:val="single" w:sz="8" w:color="0000FF"/>
            </w:tcBorders>
            <w:gridSpan w:val="7"/>
          </w:tcPr>
          <w:p>
            <w:pPr>
              <w:spacing w:after="0" w:line="147" w:lineRule="exact"/>
              <w:rPr>
                <w:rFonts w:ascii="Arial" w:cs="Arial" w:eastAsia="Arial" w:hAnsi="Arial"/>
                <w:sz w:val="17"/>
                <w:szCs w:val="17"/>
                <w:color w:val="0000FF"/>
                <w:w w:val="92"/>
              </w:rPr>
            </w:pPr>
            <w:hyperlink r:id="rId150">
              <w:r>
                <w:rPr>
                  <w:rFonts w:ascii="Arial" w:cs="Arial" w:eastAsia="Arial" w:hAnsi="Arial"/>
                  <w:sz w:val="17"/>
                  <w:szCs w:val="17"/>
                  <w:color w:val="0000FF"/>
                  <w:w w:val="92"/>
                </w:rPr>
                <w:t>Exhibit 10(b) to Campbell's Form 10-Q (SEC file number 1-3822) for the fiscal quarter ended January 27, 2019.</w:t>
              </w:r>
            </w:hyperlink>
          </w:p>
        </w:tc>
        <w:tc>
          <w:tcPr>
            <w:tcW w:w="234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100" w:type="dxa"/>
            <w:vAlign w:val="bottom"/>
          </w:tcPr>
          <w:p>
            <w:pPr>
              <w:spacing w:after="0"/>
              <w:rPr>
                <w:sz w:val="20"/>
                <w:szCs w:val="20"/>
                <w:color w:val="auto"/>
              </w:rPr>
            </w:pPr>
            <w:r>
              <w:rPr>
                <w:rFonts w:ascii="Arial" w:cs="Arial" w:eastAsia="Arial" w:hAnsi="Arial"/>
                <w:sz w:val="17"/>
                <w:szCs w:val="17"/>
                <w:color w:val="auto"/>
              </w:rPr>
              <w:t>10(dd)+</w:t>
            </w:r>
          </w:p>
        </w:tc>
        <w:tc>
          <w:tcPr>
            <w:tcW w:w="10100" w:type="dxa"/>
            <w:vAlign w:val="bottom"/>
            <w:gridSpan w:val="20"/>
          </w:tcPr>
          <w:p>
            <w:pPr>
              <w:spacing w:after="0"/>
              <w:rPr>
                <w:rFonts w:ascii="Arial" w:cs="Arial" w:eastAsia="Arial" w:hAnsi="Arial"/>
                <w:sz w:val="17"/>
                <w:szCs w:val="17"/>
                <w:color w:val="0000FF"/>
                <w:w w:val="91"/>
              </w:rPr>
            </w:pPr>
            <w:hyperlink r:id="rId151">
              <w:r>
                <w:rPr>
                  <w:rFonts w:ascii="Arial" w:cs="Arial" w:eastAsia="Arial" w:hAnsi="Arial"/>
                  <w:sz w:val="17"/>
                  <w:szCs w:val="17"/>
                  <w:color w:val="0000FF"/>
                  <w:w w:val="91"/>
                </w:rPr>
                <w:t>Second Amendment to the Campbell Soup Company Supplemental Retirement Plan effective September 16, 2020 is incorporated by reference to</w:t>
              </w:r>
            </w:hyperlink>
          </w:p>
        </w:tc>
        <w:tc>
          <w:tcPr>
            <w:tcW w:w="0" w:type="dxa"/>
            <w:vAlign w:val="bottom"/>
          </w:tcPr>
          <w:p>
            <w:pPr>
              <w:spacing w:after="0"/>
              <w:rPr>
                <w:sz w:val="1"/>
                <w:szCs w:val="1"/>
                <w:color w:val="auto"/>
              </w:rPr>
            </w:pPr>
          </w:p>
        </w:tc>
      </w:tr>
      <w:tr>
        <w:trPr>
          <w:trHeight w:val="147"/>
        </w:trPr>
        <w:tc>
          <w:tcPr>
            <w:tcW w:w="1100" w:type="dxa"/>
            <w:vAlign w:val="bottom"/>
          </w:tcPr>
          <w:p>
            <w:pPr>
              <w:spacing w:after="0"/>
              <w:rPr>
                <w:sz w:val="12"/>
                <w:szCs w:val="12"/>
                <w:color w:val="auto"/>
              </w:rPr>
            </w:pPr>
          </w:p>
        </w:tc>
        <w:tc>
          <w:tcPr>
            <w:tcW w:w="9980" w:type="dxa"/>
            <w:vAlign w:val="bottom"/>
            <w:tcBorders>
              <w:top w:val="single" w:sz="8" w:color="0000FF"/>
            </w:tcBorders>
            <w:gridSpan w:val="17"/>
          </w:tcPr>
          <w:p>
            <w:pPr>
              <w:spacing w:after="0" w:line="147" w:lineRule="exact"/>
              <w:rPr>
                <w:rFonts w:ascii="Arial" w:cs="Arial" w:eastAsia="Arial" w:hAnsi="Arial"/>
                <w:sz w:val="17"/>
                <w:szCs w:val="17"/>
                <w:color w:val="0000FF"/>
              </w:rPr>
            </w:pPr>
            <w:hyperlink r:id="rId151">
              <w:r>
                <w:rPr>
                  <w:rFonts w:ascii="Arial" w:cs="Arial" w:eastAsia="Arial" w:hAnsi="Arial"/>
                  <w:sz w:val="17"/>
                  <w:szCs w:val="17"/>
                  <w:color w:val="0000FF"/>
                </w:rPr>
                <w:t>Exhibit 10(bb) to Campbell's Form 10-K (SEC file number 1-3822) for the fiscal year ended August 2, 2020.</w:t>
              </w:r>
            </w:hyperlink>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45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00" w:type="dxa"/>
            <w:vAlign w:val="bottom"/>
          </w:tcPr>
          <w:p>
            <w:pPr>
              <w:spacing w:after="0"/>
              <w:rPr>
                <w:sz w:val="20"/>
                <w:szCs w:val="20"/>
                <w:color w:val="auto"/>
              </w:rPr>
            </w:pPr>
            <w:r>
              <w:rPr>
                <w:rFonts w:ascii="Arial" w:cs="Arial" w:eastAsia="Arial" w:hAnsi="Arial"/>
                <w:sz w:val="17"/>
                <w:szCs w:val="17"/>
                <w:color w:val="auto"/>
              </w:rPr>
              <w:t>10(ee)+</w:t>
            </w:r>
          </w:p>
        </w:tc>
        <w:tc>
          <w:tcPr>
            <w:tcW w:w="10100" w:type="dxa"/>
            <w:vAlign w:val="bottom"/>
            <w:gridSpan w:val="20"/>
          </w:tcPr>
          <w:p>
            <w:pPr>
              <w:spacing w:after="0"/>
              <w:rPr>
                <w:rFonts w:ascii="Arial" w:cs="Arial" w:eastAsia="Arial" w:hAnsi="Arial"/>
                <w:sz w:val="17"/>
                <w:szCs w:val="17"/>
                <w:color w:val="0000FF"/>
                <w:w w:val="93"/>
              </w:rPr>
            </w:pPr>
            <w:hyperlink r:id="rId152">
              <w:r>
                <w:rPr>
                  <w:rFonts w:ascii="Arial" w:cs="Arial" w:eastAsia="Arial" w:hAnsi="Arial"/>
                  <w:sz w:val="17"/>
                  <w:szCs w:val="17"/>
                  <w:color w:val="0000FF"/>
                  <w:w w:val="93"/>
                </w:rPr>
                <w:t>Third Amendment to the Campbell Soup Company Supplemental Retirement Plan effective December 31, 2020 is incorporated by reference to</w:t>
              </w:r>
            </w:hyperlink>
          </w:p>
        </w:tc>
        <w:tc>
          <w:tcPr>
            <w:tcW w:w="0" w:type="dxa"/>
            <w:vAlign w:val="bottom"/>
          </w:tcPr>
          <w:p>
            <w:pPr>
              <w:spacing w:after="0"/>
              <w:rPr>
                <w:sz w:val="1"/>
                <w:szCs w:val="1"/>
                <w:color w:val="auto"/>
              </w:rPr>
            </w:pPr>
          </w:p>
        </w:tc>
      </w:tr>
      <w:tr>
        <w:trPr>
          <w:trHeight w:val="147"/>
        </w:trPr>
        <w:tc>
          <w:tcPr>
            <w:tcW w:w="1100" w:type="dxa"/>
            <w:vAlign w:val="bottom"/>
          </w:tcPr>
          <w:p>
            <w:pPr>
              <w:spacing w:after="0"/>
              <w:rPr>
                <w:sz w:val="12"/>
                <w:szCs w:val="12"/>
                <w:color w:val="auto"/>
              </w:rPr>
            </w:pPr>
          </w:p>
        </w:tc>
        <w:tc>
          <w:tcPr>
            <w:tcW w:w="7660" w:type="dxa"/>
            <w:vAlign w:val="bottom"/>
            <w:tcBorders>
              <w:top w:val="single" w:sz="8" w:color="0000FF"/>
              <w:bottom w:val="single" w:sz="8" w:color="0000FF"/>
            </w:tcBorders>
            <w:gridSpan w:val="6"/>
          </w:tcPr>
          <w:p>
            <w:pPr>
              <w:spacing w:after="0" w:line="147" w:lineRule="exact"/>
              <w:rPr>
                <w:rFonts w:ascii="Arial" w:cs="Arial" w:eastAsia="Arial" w:hAnsi="Arial"/>
                <w:sz w:val="17"/>
                <w:szCs w:val="17"/>
                <w:color w:val="0000FF"/>
                <w:w w:val="92"/>
              </w:rPr>
            </w:pPr>
            <w:hyperlink r:id="rId152">
              <w:r>
                <w:rPr>
                  <w:rFonts w:ascii="Arial" w:cs="Arial" w:eastAsia="Arial" w:hAnsi="Arial"/>
                  <w:sz w:val="17"/>
                  <w:szCs w:val="17"/>
                  <w:color w:val="0000FF"/>
                  <w:w w:val="92"/>
                </w:rPr>
                <w:t>Exhibit 10.1 to Campbell's Form 10-Q (SEC file number 1-3822) for the fiscal quarter ended January 31, 2021.</w:t>
              </w:r>
            </w:hyperlink>
          </w:p>
        </w:tc>
        <w:tc>
          <w:tcPr>
            <w:tcW w:w="2160" w:type="dxa"/>
            <w:vAlign w:val="bottom"/>
            <w:tcBorders>
              <w:top w:val="single" w:sz="8" w:color="0000FF"/>
            </w:tcBorders>
            <w:gridSpan w:val="8"/>
          </w:tcPr>
          <w:p>
            <w:pPr>
              <w:spacing w:after="0"/>
              <w:rPr>
                <w:sz w:val="12"/>
                <w:szCs w:val="12"/>
                <w:color w:val="auto"/>
              </w:rPr>
            </w:pPr>
          </w:p>
        </w:tc>
        <w:tc>
          <w:tcPr>
            <w:tcW w:w="140" w:type="dxa"/>
            <w:vAlign w:val="bottom"/>
            <w:gridSpan w:val="2"/>
          </w:tcPr>
          <w:p>
            <w:pPr>
              <w:spacing w:after="0"/>
              <w:rPr>
                <w:sz w:val="12"/>
                <w:szCs w:val="12"/>
                <w:color w:val="auto"/>
              </w:rPr>
            </w:pPr>
          </w:p>
        </w:tc>
        <w:tc>
          <w:tcPr>
            <w:tcW w:w="12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100" w:type="dxa"/>
            <w:vAlign w:val="bottom"/>
          </w:tcPr>
          <w:p>
            <w:pPr>
              <w:spacing w:after="0"/>
              <w:rPr>
                <w:sz w:val="20"/>
                <w:szCs w:val="20"/>
                <w:color w:val="auto"/>
              </w:rPr>
            </w:pPr>
            <w:r>
              <w:rPr>
                <w:rFonts w:ascii="Arial" w:cs="Arial" w:eastAsia="Arial" w:hAnsi="Arial"/>
                <w:sz w:val="17"/>
                <w:szCs w:val="17"/>
                <w:color w:val="auto"/>
              </w:rPr>
              <w:t>10(ff)+</w:t>
            </w:r>
          </w:p>
        </w:tc>
        <w:tc>
          <w:tcPr>
            <w:tcW w:w="7800" w:type="dxa"/>
            <w:vAlign w:val="bottom"/>
            <w:tcBorders>
              <w:bottom w:val="single" w:sz="8" w:color="0000FF"/>
            </w:tcBorders>
            <w:gridSpan w:val="8"/>
          </w:tcPr>
          <w:p>
            <w:pPr>
              <w:spacing w:after="0"/>
              <w:rPr>
                <w:sz w:val="20"/>
                <w:szCs w:val="20"/>
                <w:color w:val="auto"/>
              </w:rPr>
            </w:pPr>
            <w:r>
              <w:rPr>
                <w:rFonts w:ascii="Arial" w:cs="Arial" w:eastAsia="Arial" w:hAnsi="Arial"/>
                <w:sz w:val="17"/>
                <w:szCs w:val="17"/>
                <w:color w:val="0000FF"/>
                <w:w w:val="91"/>
              </w:rPr>
              <w:t>Fourth Amendment to the Campbell Soup Company Supplemental Retirement Plan, effective September 1, 2023.</w:t>
            </w:r>
          </w:p>
        </w:tc>
        <w:tc>
          <w:tcPr>
            <w:tcW w:w="2300" w:type="dxa"/>
            <w:vAlign w:val="bottom"/>
            <w:gridSpan w:val="12"/>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10(gg)+</w:t>
            </w:r>
          </w:p>
        </w:tc>
        <w:tc>
          <w:tcPr>
            <w:tcW w:w="10100" w:type="dxa"/>
            <w:vAlign w:val="bottom"/>
            <w:gridSpan w:val="20"/>
          </w:tcPr>
          <w:p>
            <w:pPr>
              <w:spacing w:after="0"/>
              <w:rPr>
                <w:rFonts w:ascii="Arial" w:cs="Arial" w:eastAsia="Arial" w:hAnsi="Arial"/>
                <w:sz w:val="17"/>
                <w:szCs w:val="17"/>
                <w:color w:val="0000FF"/>
                <w:w w:val="93"/>
              </w:rPr>
            </w:pPr>
            <w:hyperlink r:id="rId153">
              <w:r>
                <w:rPr>
                  <w:rFonts w:ascii="Arial" w:cs="Arial" w:eastAsia="Arial" w:hAnsi="Arial"/>
                  <w:sz w:val="17"/>
                  <w:szCs w:val="17"/>
                  <w:color w:val="0000FF"/>
                  <w:w w:val="93"/>
                </w:rPr>
                <w:t>Campbell Soup Company Executive Severance Pay Plan is incorporated by reference to Exhibit 10 to Campbell's Form 8-K (SEC file number 1-</w:t>
              </w:r>
            </w:hyperlink>
          </w:p>
        </w:tc>
        <w:tc>
          <w:tcPr>
            <w:tcW w:w="0" w:type="dxa"/>
            <w:vAlign w:val="bottom"/>
          </w:tcPr>
          <w:p>
            <w:pPr>
              <w:spacing w:after="0"/>
              <w:rPr>
                <w:sz w:val="1"/>
                <w:szCs w:val="1"/>
                <w:color w:val="auto"/>
              </w:rPr>
            </w:pPr>
          </w:p>
        </w:tc>
      </w:tr>
      <w:tr>
        <w:trPr>
          <w:trHeight w:val="147"/>
        </w:trPr>
        <w:tc>
          <w:tcPr>
            <w:tcW w:w="1100" w:type="dxa"/>
            <w:vAlign w:val="bottom"/>
          </w:tcPr>
          <w:p>
            <w:pPr>
              <w:spacing w:after="0"/>
              <w:rPr>
                <w:sz w:val="12"/>
                <w:szCs w:val="12"/>
                <w:color w:val="auto"/>
              </w:rPr>
            </w:pPr>
          </w:p>
        </w:tc>
        <w:tc>
          <w:tcPr>
            <w:tcW w:w="2940" w:type="dxa"/>
            <w:vAlign w:val="bottom"/>
            <w:tcBorders>
              <w:top w:val="single" w:sz="8" w:color="0000FF"/>
              <w:bottom w:val="single" w:sz="8" w:color="0000FF"/>
            </w:tcBorders>
            <w:gridSpan w:val="2"/>
          </w:tcPr>
          <w:p>
            <w:pPr>
              <w:spacing w:after="0" w:line="147" w:lineRule="exact"/>
              <w:rPr>
                <w:rFonts w:ascii="Arial" w:cs="Arial" w:eastAsia="Arial" w:hAnsi="Arial"/>
                <w:sz w:val="17"/>
                <w:szCs w:val="17"/>
                <w:color w:val="0000FF"/>
                <w:w w:val="93"/>
              </w:rPr>
            </w:pPr>
            <w:hyperlink r:id="rId153">
              <w:r>
                <w:rPr>
                  <w:rFonts w:ascii="Arial" w:cs="Arial" w:eastAsia="Arial" w:hAnsi="Arial"/>
                  <w:sz w:val="17"/>
                  <w:szCs w:val="17"/>
                  <w:color w:val="0000FF"/>
                  <w:w w:val="93"/>
                </w:rPr>
                <w:t>3822) filed with the SEC on April 2, 2019.</w:t>
              </w:r>
            </w:hyperlink>
          </w:p>
        </w:tc>
        <w:tc>
          <w:tcPr>
            <w:tcW w:w="7140" w:type="dxa"/>
            <w:vAlign w:val="bottom"/>
            <w:tcBorders>
              <w:top w:val="single" w:sz="8" w:color="0000FF"/>
            </w:tcBorders>
            <w:gridSpan w:val="17"/>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00" w:type="dxa"/>
            <w:vAlign w:val="bottom"/>
          </w:tcPr>
          <w:p>
            <w:pPr>
              <w:spacing w:after="0"/>
              <w:rPr>
                <w:sz w:val="20"/>
                <w:szCs w:val="20"/>
                <w:color w:val="auto"/>
              </w:rPr>
            </w:pPr>
            <w:r>
              <w:rPr>
                <w:rFonts w:ascii="Arial" w:cs="Arial" w:eastAsia="Arial" w:hAnsi="Arial"/>
                <w:sz w:val="17"/>
                <w:szCs w:val="17"/>
                <w:color w:val="auto"/>
              </w:rPr>
              <w:t>10(hh)+</w:t>
            </w:r>
          </w:p>
        </w:tc>
        <w:tc>
          <w:tcPr>
            <w:tcW w:w="764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color w:val="0000FF"/>
                <w:w w:val="90"/>
              </w:rPr>
              <w:t>First Amendment to the Campbell Soup Company Executive Severance Pay Plan, effective September 1, 2023.</w:t>
            </w:r>
          </w:p>
        </w:tc>
        <w:tc>
          <w:tcPr>
            <w:tcW w:w="2460" w:type="dxa"/>
            <w:vAlign w:val="bottom"/>
            <w:gridSpan w:val="15"/>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10(ii)</w:t>
            </w:r>
          </w:p>
        </w:tc>
        <w:tc>
          <w:tcPr>
            <w:tcW w:w="10100" w:type="dxa"/>
            <w:vAlign w:val="bottom"/>
            <w:gridSpan w:val="20"/>
          </w:tcPr>
          <w:p>
            <w:pPr>
              <w:spacing w:after="0"/>
              <w:rPr>
                <w:rFonts w:ascii="Arial" w:cs="Arial" w:eastAsia="Arial" w:hAnsi="Arial"/>
                <w:sz w:val="17"/>
                <w:szCs w:val="17"/>
                <w:color w:val="0000FF"/>
                <w:w w:val="95"/>
              </w:rPr>
            </w:pPr>
            <w:hyperlink r:id="rId154">
              <w:r>
                <w:rPr>
                  <w:rFonts w:ascii="Arial" w:cs="Arial" w:eastAsia="Arial" w:hAnsi="Arial"/>
                  <w:sz w:val="17"/>
                  <w:szCs w:val="17"/>
                  <w:color w:val="0000FF"/>
                  <w:w w:val="95"/>
                </w:rPr>
                <w:t>Voting Agreement, dated August 7, 2023, by and among certain funds associated with Advent International Corporation and Campbell Soup</w:t>
              </w:r>
            </w:hyperlink>
          </w:p>
        </w:tc>
        <w:tc>
          <w:tcPr>
            <w:tcW w:w="0" w:type="dxa"/>
            <w:vAlign w:val="bottom"/>
          </w:tcPr>
          <w:p>
            <w:pPr>
              <w:spacing w:after="0"/>
              <w:rPr>
                <w:sz w:val="1"/>
                <w:szCs w:val="1"/>
                <w:color w:val="auto"/>
              </w:rPr>
            </w:pPr>
          </w:p>
        </w:tc>
      </w:tr>
      <w:tr>
        <w:trPr>
          <w:trHeight w:val="147"/>
        </w:trPr>
        <w:tc>
          <w:tcPr>
            <w:tcW w:w="1100" w:type="dxa"/>
            <w:vAlign w:val="bottom"/>
          </w:tcPr>
          <w:p>
            <w:pPr>
              <w:spacing w:after="0"/>
              <w:rPr>
                <w:sz w:val="12"/>
                <w:szCs w:val="12"/>
                <w:color w:val="auto"/>
              </w:rPr>
            </w:pPr>
          </w:p>
        </w:tc>
        <w:tc>
          <w:tcPr>
            <w:tcW w:w="9640" w:type="dxa"/>
            <w:vAlign w:val="bottom"/>
            <w:tcBorders>
              <w:top w:val="single" w:sz="8" w:color="0000FF"/>
            </w:tcBorders>
            <w:gridSpan w:val="10"/>
          </w:tcPr>
          <w:p>
            <w:pPr>
              <w:spacing w:after="0" w:line="147" w:lineRule="exact"/>
              <w:rPr>
                <w:rFonts w:ascii="Arial" w:cs="Arial" w:eastAsia="Arial" w:hAnsi="Arial"/>
                <w:sz w:val="17"/>
                <w:szCs w:val="17"/>
                <w:color w:val="0000FF"/>
                <w:w w:val="93"/>
              </w:rPr>
            </w:pPr>
            <w:hyperlink r:id="rId154">
              <w:r>
                <w:rPr>
                  <w:rFonts w:ascii="Arial" w:cs="Arial" w:eastAsia="Arial" w:hAnsi="Arial"/>
                  <w:sz w:val="17"/>
                  <w:szCs w:val="17"/>
                  <w:color w:val="0000FF"/>
                  <w:w w:val="93"/>
                </w:rPr>
                <w:t>Company, is incorporated by reference to Exhibit 10.1 to Campbell’s Form 8-K (SEC file number 1-3822) filed with the SEC on August 7,</w:t>
              </w:r>
            </w:hyperlink>
          </w:p>
        </w:tc>
        <w:tc>
          <w:tcPr>
            <w:tcW w:w="460" w:type="dxa"/>
            <w:vAlign w:val="bottom"/>
            <w:gridSpan w:val="10"/>
          </w:tcPr>
          <w:p>
            <w:pPr>
              <w:jc w:val="right"/>
              <w:ind w:right="140"/>
              <w:spacing w:after="0" w:line="147" w:lineRule="exact"/>
              <w:rPr>
                <w:rFonts w:ascii="Arial" w:cs="Arial" w:eastAsia="Arial" w:hAnsi="Arial"/>
                <w:sz w:val="17"/>
                <w:szCs w:val="17"/>
                <w:color w:val="0000FF"/>
                <w:w w:val="70"/>
              </w:rPr>
            </w:pPr>
            <w:hyperlink r:id="rId154">
              <w:r>
                <w:rPr>
                  <w:rFonts w:ascii="Arial" w:cs="Arial" w:eastAsia="Arial" w:hAnsi="Arial"/>
                  <w:sz w:val="17"/>
                  <w:szCs w:val="17"/>
                  <w:color w:val="0000FF"/>
                  <w:w w:val="70"/>
                </w:rPr>
                <w:t>2023.</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1107" w:hanging="1107"/>
        <w:spacing w:after="0"/>
        <w:tabs>
          <w:tab w:leader="none" w:pos="1107"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0000FF"/>
        </w:rPr>
        <w:t>Subsidiary List.</w:t>
      </w:r>
    </w:p>
    <w:p>
      <w:pPr>
        <w:spacing w:after="0" w:line="75" w:lineRule="exact"/>
        <w:rPr>
          <w:sz w:val="20"/>
          <w:szCs w:val="20"/>
          <w:color w:val="auto"/>
        </w:rPr>
      </w:pPr>
    </w:p>
    <w:p>
      <w:pPr>
        <w:ind w:left="1107" w:hanging="1107"/>
        <w:spacing w:after="0"/>
        <w:tabs>
          <w:tab w:leader="none" w:pos="1107"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0000FF"/>
        </w:rPr>
        <w:t>Consent of Independent Registered Public Accounting Firm.</w:t>
      </w:r>
    </w:p>
    <w:p>
      <w:pPr>
        <w:spacing w:after="0" w:line="74" w:lineRule="exact"/>
        <w:rPr>
          <w:rFonts w:ascii="Arial" w:cs="Arial" w:eastAsia="Arial" w:hAnsi="Arial"/>
          <w:sz w:val="17"/>
          <w:szCs w:val="17"/>
          <w:color w:val="auto"/>
        </w:rPr>
      </w:pPr>
    </w:p>
    <w:p>
      <w:pPr>
        <w:ind w:left="1107" w:hanging="1107"/>
        <w:spacing w:after="0"/>
        <w:tabs>
          <w:tab w:leader="none" w:pos="1107"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0000FF"/>
        </w:rPr>
        <w:t>Powers of Attorney.</w:t>
      </w:r>
    </w:p>
    <w:p>
      <w:pPr>
        <w:spacing w:after="0" w:line="59" w:lineRule="exact"/>
        <w:rPr>
          <w:sz w:val="20"/>
          <w:szCs w:val="20"/>
          <w:color w:val="auto"/>
        </w:rPr>
      </w:pPr>
    </w:p>
    <w:tbl>
      <w:tblPr>
        <w:tblLayout w:type="fixed"/>
        <w:tblInd w:w="7" w:type="dxa"/>
        <w:tblCellMar>
          <w:top w:w="0" w:type="dxa"/>
          <w:left w:w="0" w:type="dxa"/>
          <w:bottom w:w="0" w:type="dxa"/>
          <w:right w:w="0" w:type="dxa"/>
        </w:tblCellMar>
      </w:tblPr>
      <w:tr>
        <w:trPr>
          <w:trHeight w:val="195"/>
        </w:trPr>
        <w:tc>
          <w:tcPr>
            <w:tcW w:w="1100" w:type="dxa"/>
            <w:vAlign w:val="bottom"/>
          </w:tcPr>
          <w:p>
            <w:pPr>
              <w:spacing w:after="0"/>
              <w:rPr>
                <w:sz w:val="20"/>
                <w:szCs w:val="20"/>
                <w:color w:val="auto"/>
              </w:rPr>
            </w:pPr>
            <w:r>
              <w:rPr>
                <w:rFonts w:ascii="Arial" w:cs="Arial" w:eastAsia="Arial" w:hAnsi="Arial"/>
                <w:sz w:val="17"/>
                <w:szCs w:val="17"/>
                <w:color w:val="auto"/>
              </w:rPr>
              <w:t>31(a)</w:t>
            </w:r>
          </w:p>
        </w:tc>
        <w:tc>
          <w:tcPr>
            <w:tcW w:w="4940" w:type="dxa"/>
            <w:vAlign w:val="bottom"/>
            <w:gridSpan w:val="4"/>
          </w:tcPr>
          <w:p>
            <w:pPr>
              <w:spacing w:after="0"/>
              <w:rPr>
                <w:sz w:val="20"/>
                <w:szCs w:val="20"/>
                <w:color w:val="auto"/>
              </w:rPr>
            </w:pPr>
            <w:r>
              <w:rPr>
                <w:rFonts w:ascii="Arial" w:cs="Arial" w:eastAsia="Arial" w:hAnsi="Arial"/>
                <w:sz w:val="17"/>
                <w:szCs w:val="17"/>
                <w:color w:val="0000FF"/>
              </w:rPr>
              <w:t>Certification of Mark A. Clouse pursuant to Rule 13a-14(a).</w:t>
            </w:r>
          </w:p>
        </w:tc>
      </w:tr>
      <w:tr>
        <w:trPr>
          <w:trHeight w:val="20"/>
        </w:trPr>
        <w:tc>
          <w:tcPr>
            <w:tcW w:w="1100" w:type="dxa"/>
            <w:vAlign w:val="bottom"/>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31(b)</w:t>
            </w:r>
          </w:p>
        </w:tc>
        <w:tc>
          <w:tcPr>
            <w:tcW w:w="436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92"/>
              </w:rPr>
              <w:t>Certification of Carrie L. Anderson pursuant to Rule 13a-14(a).</w:t>
            </w:r>
          </w:p>
        </w:tc>
        <w:tc>
          <w:tcPr>
            <w:tcW w:w="580" w:type="dxa"/>
            <w:vAlign w:val="bottom"/>
            <w:gridSpan w:val="2"/>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32(a)</w:t>
            </w:r>
          </w:p>
        </w:tc>
        <w:tc>
          <w:tcPr>
            <w:tcW w:w="4720" w:type="dxa"/>
            <w:vAlign w:val="bottom"/>
            <w:tcBorders>
              <w:bottom w:val="single" w:sz="8" w:color="0000FF"/>
            </w:tcBorders>
            <w:gridSpan w:val="3"/>
          </w:tcPr>
          <w:p>
            <w:pPr>
              <w:spacing w:after="0"/>
              <w:rPr>
                <w:sz w:val="20"/>
                <w:szCs w:val="20"/>
                <w:color w:val="auto"/>
              </w:rPr>
            </w:pPr>
            <w:r>
              <w:rPr>
                <w:rFonts w:ascii="Arial" w:cs="Arial" w:eastAsia="Arial" w:hAnsi="Arial"/>
                <w:sz w:val="17"/>
                <w:szCs w:val="17"/>
                <w:color w:val="0000FF"/>
                <w:w w:val="92"/>
              </w:rPr>
              <w:t>Certification of Mark A. Clouse pursuant to 18 U.S.C. Section 1350.</w:t>
            </w:r>
          </w:p>
        </w:tc>
        <w:tc>
          <w:tcPr>
            <w:tcW w:w="2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32(b)</w:t>
            </w:r>
          </w:p>
        </w:tc>
        <w:tc>
          <w:tcPr>
            <w:tcW w:w="494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w w:val="92"/>
              </w:rPr>
              <w:t>Certification of Carrie L. Anderson pursuant to 18 U.S.C. Section 1350.</w:t>
            </w:r>
          </w:p>
        </w:tc>
      </w:tr>
      <w:tr>
        <w:trPr>
          <w:trHeight w:val="288"/>
        </w:trPr>
        <w:tc>
          <w:tcPr>
            <w:tcW w:w="1100" w:type="dxa"/>
            <w:vAlign w:val="bottom"/>
          </w:tcPr>
          <w:p>
            <w:pPr>
              <w:spacing w:after="0"/>
              <w:rPr>
                <w:sz w:val="20"/>
                <w:szCs w:val="20"/>
                <w:color w:val="auto"/>
              </w:rPr>
            </w:pPr>
            <w:r>
              <w:rPr>
                <w:rFonts w:ascii="Arial" w:cs="Arial" w:eastAsia="Arial" w:hAnsi="Arial"/>
                <w:sz w:val="17"/>
                <w:szCs w:val="17"/>
                <w:color w:val="auto"/>
              </w:rPr>
              <w:t>101.INS</w:t>
            </w:r>
          </w:p>
        </w:tc>
        <w:tc>
          <w:tcPr>
            <w:tcW w:w="4940" w:type="dxa"/>
            <w:vAlign w:val="bottom"/>
            <w:gridSpan w:val="4"/>
          </w:tcPr>
          <w:p>
            <w:pPr>
              <w:spacing w:after="0"/>
              <w:rPr>
                <w:sz w:val="20"/>
                <w:szCs w:val="20"/>
                <w:color w:val="auto"/>
              </w:rPr>
            </w:pPr>
            <w:r>
              <w:rPr>
                <w:rFonts w:ascii="Arial" w:cs="Arial" w:eastAsia="Arial" w:hAnsi="Arial"/>
                <w:sz w:val="17"/>
                <w:szCs w:val="17"/>
                <w:color w:val="auto"/>
              </w:rPr>
              <w:t>XBRL Instance Document</w:t>
            </w:r>
          </w:p>
        </w:tc>
      </w:tr>
      <w:tr>
        <w:trPr>
          <w:trHeight w:val="270"/>
        </w:trPr>
        <w:tc>
          <w:tcPr>
            <w:tcW w:w="1100" w:type="dxa"/>
            <w:vAlign w:val="bottom"/>
          </w:tcPr>
          <w:p>
            <w:pPr>
              <w:spacing w:after="0"/>
              <w:rPr>
                <w:sz w:val="20"/>
                <w:szCs w:val="20"/>
                <w:color w:val="auto"/>
              </w:rPr>
            </w:pPr>
            <w:r>
              <w:rPr>
                <w:rFonts w:ascii="Arial" w:cs="Arial" w:eastAsia="Arial" w:hAnsi="Arial"/>
                <w:sz w:val="17"/>
                <w:szCs w:val="17"/>
                <w:color w:val="auto"/>
              </w:rPr>
              <w:t>101.SCH</w:t>
            </w:r>
          </w:p>
        </w:tc>
        <w:tc>
          <w:tcPr>
            <w:tcW w:w="4940" w:type="dxa"/>
            <w:vAlign w:val="bottom"/>
            <w:gridSpan w:val="4"/>
          </w:tcPr>
          <w:p>
            <w:pPr>
              <w:spacing w:after="0"/>
              <w:rPr>
                <w:sz w:val="20"/>
                <w:szCs w:val="20"/>
                <w:color w:val="auto"/>
              </w:rPr>
            </w:pPr>
            <w:r>
              <w:rPr>
                <w:rFonts w:ascii="Arial" w:cs="Arial" w:eastAsia="Arial" w:hAnsi="Arial"/>
                <w:sz w:val="17"/>
                <w:szCs w:val="17"/>
                <w:color w:val="auto"/>
              </w:rPr>
              <w:t>XBRL Schema Document</w:t>
            </w:r>
          </w:p>
        </w:tc>
      </w:tr>
      <w:tr>
        <w:trPr>
          <w:trHeight w:val="270"/>
        </w:trPr>
        <w:tc>
          <w:tcPr>
            <w:tcW w:w="1100" w:type="dxa"/>
            <w:vAlign w:val="bottom"/>
          </w:tcPr>
          <w:p>
            <w:pPr>
              <w:spacing w:after="0"/>
              <w:rPr>
                <w:sz w:val="20"/>
                <w:szCs w:val="20"/>
                <w:color w:val="auto"/>
              </w:rPr>
            </w:pPr>
            <w:r>
              <w:rPr>
                <w:rFonts w:ascii="Arial" w:cs="Arial" w:eastAsia="Arial" w:hAnsi="Arial"/>
                <w:sz w:val="17"/>
                <w:szCs w:val="17"/>
                <w:color w:val="auto"/>
              </w:rPr>
              <w:t>101.CAL</w:t>
            </w:r>
          </w:p>
        </w:tc>
        <w:tc>
          <w:tcPr>
            <w:tcW w:w="4940" w:type="dxa"/>
            <w:vAlign w:val="bottom"/>
            <w:gridSpan w:val="4"/>
          </w:tcPr>
          <w:p>
            <w:pPr>
              <w:spacing w:after="0"/>
              <w:rPr>
                <w:sz w:val="20"/>
                <w:szCs w:val="20"/>
                <w:color w:val="auto"/>
              </w:rPr>
            </w:pPr>
            <w:r>
              <w:rPr>
                <w:rFonts w:ascii="Arial" w:cs="Arial" w:eastAsia="Arial" w:hAnsi="Arial"/>
                <w:sz w:val="17"/>
                <w:szCs w:val="17"/>
                <w:color w:val="auto"/>
              </w:rPr>
              <w:t>XBRL Calculation Linkbase Document</w:t>
            </w:r>
          </w:p>
        </w:tc>
      </w:tr>
      <w:tr>
        <w:trPr>
          <w:trHeight w:val="270"/>
        </w:trPr>
        <w:tc>
          <w:tcPr>
            <w:tcW w:w="1100" w:type="dxa"/>
            <w:vAlign w:val="bottom"/>
          </w:tcPr>
          <w:p>
            <w:pPr>
              <w:spacing w:after="0"/>
              <w:rPr>
                <w:sz w:val="20"/>
                <w:szCs w:val="20"/>
                <w:color w:val="auto"/>
              </w:rPr>
            </w:pPr>
            <w:r>
              <w:rPr>
                <w:rFonts w:ascii="Arial" w:cs="Arial" w:eastAsia="Arial" w:hAnsi="Arial"/>
                <w:sz w:val="17"/>
                <w:szCs w:val="17"/>
                <w:color w:val="auto"/>
              </w:rPr>
              <w:t>101.DEF</w:t>
            </w:r>
          </w:p>
        </w:tc>
        <w:tc>
          <w:tcPr>
            <w:tcW w:w="4940" w:type="dxa"/>
            <w:vAlign w:val="bottom"/>
            <w:gridSpan w:val="4"/>
          </w:tcPr>
          <w:p>
            <w:pPr>
              <w:spacing w:after="0"/>
              <w:rPr>
                <w:sz w:val="20"/>
                <w:szCs w:val="20"/>
                <w:color w:val="auto"/>
              </w:rPr>
            </w:pPr>
            <w:r>
              <w:rPr>
                <w:rFonts w:ascii="Arial" w:cs="Arial" w:eastAsia="Arial" w:hAnsi="Arial"/>
                <w:sz w:val="17"/>
                <w:szCs w:val="17"/>
                <w:color w:val="auto"/>
              </w:rPr>
              <w:t>XBRL Definition Linkbase Document</w:t>
            </w:r>
          </w:p>
        </w:tc>
      </w:tr>
      <w:tr>
        <w:trPr>
          <w:trHeight w:val="270"/>
        </w:trPr>
        <w:tc>
          <w:tcPr>
            <w:tcW w:w="1100" w:type="dxa"/>
            <w:vAlign w:val="bottom"/>
          </w:tcPr>
          <w:p>
            <w:pPr>
              <w:spacing w:after="0"/>
              <w:rPr>
                <w:sz w:val="20"/>
                <w:szCs w:val="20"/>
                <w:color w:val="auto"/>
              </w:rPr>
            </w:pPr>
            <w:r>
              <w:rPr>
                <w:rFonts w:ascii="Arial" w:cs="Arial" w:eastAsia="Arial" w:hAnsi="Arial"/>
                <w:sz w:val="17"/>
                <w:szCs w:val="17"/>
                <w:color w:val="auto"/>
              </w:rPr>
              <w:t>101.LAB</w:t>
            </w:r>
          </w:p>
        </w:tc>
        <w:tc>
          <w:tcPr>
            <w:tcW w:w="4940" w:type="dxa"/>
            <w:vAlign w:val="bottom"/>
            <w:gridSpan w:val="4"/>
          </w:tcPr>
          <w:p>
            <w:pPr>
              <w:spacing w:after="0"/>
              <w:rPr>
                <w:sz w:val="20"/>
                <w:szCs w:val="20"/>
                <w:color w:val="auto"/>
              </w:rPr>
            </w:pPr>
            <w:r>
              <w:rPr>
                <w:rFonts w:ascii="Arial" w:cs="Arial" w:eastAsia="Arial" w:hAnsi="Arial"/>
                <w:sz w:val="17"/>
                <w:szCs w:val="17"/>
                <w:color w:val="auto"/>
              </w:rPr>
              <w:t>XBRL Label Linkbase Document</w:t>
            </w:r>
          </w:p>
        </w:tc>
      </w:tr>
      <w:tr>
        <w:trPr>
          <w:trHeight w:val="270"/>
        </w:trPr>
        <w:tc>
          <w:tcPr>
            <w:tcW w:w="1100" w:type="dxa"/>
            <w:vAlign w:val="bottom"/>
          </w:tcPr>
          <w:p>
            <w:pPr>
              <w:spacing w:after="0"/>
              <w:rPr>
                <w:sz w:val="20"/>
                <w:szCs w:val="20"/>
                <w:color w:val="auto"/>
              </w:rPr>
            </w:pPr>
            <w:r>
              <w:rPr>
                <w:rFonts w:ascii="Arial" w:cs="Arial" w:eastAsia="Arial" w:hAnsi="Arial"/>
                <w:sz w:val="17"/>
                <w:szCs w:val="17"/>
                <w:color w:val="auto"/>
              </w:rPr>
              <w:t>101.PRE</w:t>
            </w:r>
          </w:p>
        </w:tc>
        <w:tc>
          <w:tcPr>
            <w:tcW w:w="4940" w:type="dxa"/>
            <w:vAlign w:val="bottom"/>
            <w:gridSpan w:val="4"/>
          </w:tcPr>
          <w:p>
            <w:pPr>
              <w:spacing w:after="0"/>
              <w:rPr>
                <w:sz w:val="20"/>
                <w:szCs w:val="20"/>
                <w:color w:val="auto"/>
              </w:rPr>
            </w:pPr>
            <w:r>
              <w:rPr>
                <w:rFonts w:ascii="Arial" w:cs="Arial" w:eastAsia="Arial" w:hAnsi="Arial"/>
                <w:sz w:val="17"/>
                <w:szCs w:val="17"/>
                <w:color w:val="auto"/>
              </w:rPr>
              <w:t>XBRL Presentation Linkbase Document</w:t>
            </w:r>
          </w:p>
        </w:tc>
      </w:tr>
    </w:tbl>
    <w:p>
      <w:pPr>
        <w:spacing w:after="0" w:line="53" w:lineRule="exact"/>
        <w:rPr>
          <w:sz w:val="20"/>
          <w:szCs w:val="20"/>
          <w:color w:val="auto"/>
        </w:rPr>
      </w:pPr>
    </w:p>
    <w:p>
      <w:pPr>
        <w:ind w:left="7" w:right="3100" w:hanging="7"/>
        <w:spacing w:after="0" w:line="358" w:lineRule="auto"/>
        <w:tabs>
          <w:tab w:leader="none" w:pos="1114"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cover page from this Annual Report on Form 10-K, formulated in Inline XBRL (see exhibit 101) +This exhibit is a management contract or compensatory plan or arrangement.</w:t>
      </w:r>
    </w:p>
    <w:p>
      <w:pPr>
        <w:spacing w:after="0" w:line="200" w:lineRule="exact"/>
        <w:rPr>
          <w:sz w:val="20"/>
          <w:szCs w:val="20"/>
          <w:color w:val="auto"/>
        </w:rPr>
      </w:pPr>
    </w:p>
    <w:p>
      <w:pPr>
        <w:spacing w:after="0" w:line="221"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116205</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7"/>
          </w:cols>
          <w:pgMar w:left="353" w:top="974" w:right="379" w:bottom="1440" w:gutter="0" w:footer="0" w:header="0"/>
        </w:sectPr>
      </w:pPr>
    </w:p>
    <w:bookmarkStart w:id="78" w:name="page79"/>
    <w:bookmarkEnd w:id="78"/>
    <w:p>
      <w:pPr>
        <w:jc w:val="center"/>
        <w:ind w:right="100"/>
        <w:spacing w:after="0"/>
        <w:rPr>
          <w:sz w:val="20"/>
          <w:szCs w:val="20"/>
          <w:color w:val="auto"/>
        </w:rPr>
      </w:pPr>
      <w:r>
        <w:rPr>
          <w:rFonts w:ascii="Arial" w:cs="Arial" w:eastAsia="Arial" w:hAnsi="Arial"/>
          <w:sz w:val="17"/>
          <w:szCs w:val="17"/>
          <w:b w:val="1"/>
          <w:bCs w:val="1"/>
          <w:color w:val="auto"/>
        </w:rPr>
        <w:t>SIGNATURES</w:t>
      </w:r>
    </w:p>
    <w:p>
      <w:pPr>
        <w:spacing w:after="0" w:line="120" w:lineRule="exact"/>
        <w:rPr>
          <w:sz w:val="20"/>
          <w:szCs w:val="20"/>
          <w:color w:val="auto"/>
        </w:rPr>
      </w:pPr>
    </w:p>
    <w:p>
      <w:pPr>
        <w:ind w:right="100" w:firstLine="309"/>
        <w:spacing w:after="0" w:line="279"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Campbell has duly caused this Report to be signed on its behalf by the undersigned, thereunto duly authorized.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September 21, 2023</w:t>
      </w:r>
    </w:p>
    <w:p>
      <w:pPr>
        <w:spacing w:after="0" w:line="43" w:lineRule="exact"/>
        <w:rPr>
          <w:sz w:val="20"/>
          <w:szCs w:val="20"/>
          <w:color w:val="auto"/>
        </w:rPr>
      </w:pPr>
    </w:p>
    <w:tbl>
      <w:tblPr>
        <w:tblLayout w:type="fixed"/>
        <w:tblInd w:w="5420" w:type="dxa"/>
        <w:tblCellMar>
          <w:top w:w="0" w:type="dxa"/>
          <w:left w:w="0" w:type="dxa"/>
          <w:bottom w:w="0" w:type="dxa"/>
          <w:right w:w="0" w:type="dxa"/>
        </w:tblCellMar>
      </w:tblPr>
      <w:tr>
        <w:trPr>
          <w:trHeight w:val="223"/>
        </w:trPr>
        <w:tc>
          <w:tcPr>
            <w:tcW w:w="280" w:type="dxa"/>
            <w:vAlign w:val="bottom"/>
          </w:tcPr>
          <w:p>
            <w:pPr>
              <w:spacing w:after="0"/>
              <w:rPr>
                <w:sz w:val="19"/>
                <w:szCs w:val="19"/>
                <w:color w:val="auto"/>
              </w:rPr>
            </w:pPr>
          </w:p>
        </w:tc>
        <w:tc>
          <w:tcPr>
            <w:tcW w:w="5000" w:type="dxa"/>
            <w:vAlign w:val="bottom"/>
          </w:tcPr>
          <w:p>
            <w:pPr>
              <w:jc w:val="center"/>
              <w:spacing w:after="0"/>
              <w:rPr>
                <w:sz w:val="20"/>
                <w:szCs w:val="20"/>
                <w:color w:val="auto"/>
              </w:rPr>
            </w:pPr>
            <w:r>
              <w:rPr>
                <w:rFonts w:ascii="Arial" w:cs="Arial" w:eastAsia="Arial" w:hAnsi="Arial"/>
                <w:sz w:val="17"/>
                <w:szCs w:val="17"/>
                <w:b w:val="1"/>
                <w:bCs w:val="1"/>
                <w:color w:val="auto"/>
              </w:rPr>
              <w:t>CAMPBELL SOUP COMPANY</w:t>
            </w:r>
          </w:p>
        </w:tc>
      </w:tr>
      <w:tr>
        <w:trPr>
          <w:trHeight w:val="426"/>
        </w:trPr>
        <w:tc>
          <w:tcPr>
            <w:tcW w:w="280" w:type="dxa"/>
            <w:vAlign w:val="bottom"/>
          </w:tcPr>
          <w:p>
            <w:pPr>
              <w:spacing w:after="0"/>
              <w:rPr>
                <w:sz w:val="20"/>
                <w:szCs w:val="20"/>
                <w:color w:val="auto"/>
              </w:rPr>
            </w:pPr>
            <w:r>
              <w:rPr>
                <w:rFonts w:ascii="Arial" w:cs="Arial" w:eastAsia="Arial" w:hAnsi="Arial"/>
                <w:sz w:val="17"/>
                <w:szCs w:val="17"/>
                <w:color w:val="auto"/>
              </w:rPr>
              <w:t>By:</w:t>
            </w:r>
          </w:p>
        </w:tc>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/s/ Carrie L. Anderson</w:t>
            </w:r>
          </w:p>
        </w:tc>
      </w:tr>
      <w:tr>
        <w:trPr>
          <w:trHeight w:val="211"/>
        </w:trPr>
        <w:tc>
          <w:tcPr>
            <w:tcW w:w="280" w:type="dxa"/>
            <w:vAlign w:val="bottom"/>
          </w:tcPr>
          <w:p>
            <w:pPr>
              <w:spacing w:after="0"/>
              <w:rPr>
                <w:sz w:val="18"/>
                <w:szCs w:val="18"/>
                <w:color w:val="auto"/>
              </w:rPr>
            </w:pPr>
          </w:p>
        </w:tc>
        <w:tc>
          <w:tcPr>
            <w:tcW w:w="5000" w:type="dxa"/>
            <w:vAlign w:val="bottom"/>
          </w:tcPr>
          <w:p>
            <w:pPr>
              <w:jc w:val="center"/>
              <w:spacing w:after="0"/>
              <w:rPr>
                <w:sz w:val="20"/>
                <w:szCs w:val="20"/>
                <w:color w:val="auto"/>
              </w:rPr>
            </w:pPr>
            <w:r>
              <w:rPr>
                <w:rFonts w:ascii="Arial" w:cs="Arial" w:eastAsia="Arial" w:hAnsi="Arial"/>
                <w:sz w:val="17"/>
                <w:szCs w:val="17"/>
                <w:color w:val="auto"/>
                <w:w w:val="93"/>
              </w:rPr>
              <w:t>Carrie L. Anderson</w:t>
            </w:r>
          </w:p>
        </w:tc>
      </w:tr>
      <w:tr>
        <w:trPr>
          <w:trHeight w:val="169"/>
        </w:trPr>
        <w:tc>
          <w:tcPr>
            <w:tcW w:w="280" w:type="dxa"/>
            <w:vAlign w:val="bottom"/>
          </w:tcPr>
          <w:p>
            <w:pPr>
              <w:spacing w:after="0"/>
              <w:rPr>
                <w:sz w:val="14"/>
                <w:szCs w:val="14"/>
                <w:color w:val="auto"/>
              </w:rPr>
            </w:pPr>
          </w:p>
        </w:tc>
        <w:tc>
          <w:tcPr>
            <w:tcW w:w="5000" w:type="dxa"/>
            <w:vAlign w:val="bottom"/>
          </w:tcPr>
          <w:p>
            <w:pPr>
              <w:jc w:val="center"/>
              <w:spacing w:after="0" w:line="169" w:lineRule="exact"/>
              <w:rPr>
                <w:sz w:val="20"/>
                <w:szCs w:val="20"/>
                <w:color w:val="auto"/>
              </w:rPr>
            </w:pPr>
            <w:r>
              <w:rPr>
                <w:rFonts w:ascii="Arial" w:cs="Arial" w:eastAsia="Arial" w:hAnsi="Arial"/>
                <w:sz w:val="17"/>
                <w:szCs w:val="17"/>
                <w:color w:val="auto"/>
                <w:w w:val="93"/>
              </w:rPr>
              <w:t>Executive Vice President and Chief Financial Officer (Principal</w:t>
            </w:r>
          </w:p>
        </w:tc>
      </w:tr>
      <w:tr>
        <w:trPr>
          <w:trHeight w:val="217"/>
        </w:trPr>
        <w:tc>
          <w:tcPr>
            <w:tcW w:w="280" w:type="dxa"/>
            <w:vAlign w:val="bottom"/>
          </w:tcPr>
          <w:p>
            <w:pPr>
              <w:spacing w:after="0"/>
              <w:rPr>
                <w:sz w:val="18"/>
                <w:szCs w:val="18"/>
                <w:color w:val="auto"/>
              </w:rPr>
            </w:pPr>
          </w:p>
        </w:tc>
        <w:tc>
          <w:tcPr>
            <w:tcW w:w="5000" w:type="dxa"/>
            <w:vAlign w:val="bottom"/>
          </w:tcPr>
          <w:p>
            <w:pPr>
              <w:jc w:val="center"/>
              <w:spacing w:after="0"/>
              <w:rPr>
                <w:sz w:val="20"/>
                <w:szCs w:val="20"/>
                <w:color w:val="auto"/>
              </w:rPr>
            </w:pPr>
            <w:r>
              <w:rPr>
                <w:rFonts w:ascii="Arial" w:cs="Arial" w:eastAsia="Arial" w:hAnsi="Arial"/>
                <w:sz w:val="17"/>
                <w:szCs w:val="17"/>
                <w:color w:val="auto"/>
                <w:w w:val="94"/>
              </w:rPr>
              <w:t>Financial Officer)</w:t>
            </w:r>
          </w:p>
        </w:tc>
      </w:tr>
    </w:tbl>
    <w:p>
      <w:pPr>
        <w:spacing w:after="0" w:line="195" w:lineRule="exact"/>
        <w:rPr>
          <w:sz w:val="20"/>
          <w:szCs w:val="20"/>
          <w:color w:val="auto"/>
        </w:rPr>
      </w:pPr>
    </w:p>
    <w:p>
      <w:pPr>
        <w:ind w:right="380" w:firstLine="309"/>
        <w:spacing w:after="0" w:line="279" w:lineRule="auto"/>
        <w:rPr>
          <w:sz w:val="20"/>
          <w:szCs w:val="20"/>
          <w:color w:val="auto"/>
        </w:rPr>
      </w:pPr>
      <w:r>
        <w:rPr>
          <w:rFonts w:ascii="Arial" w:cs="Arial" w:eastAsia="Arial" w:hAnsi="Arial"/>
          <w:sz w:val="17"/>
          <w:szCs w:val="17"/>
          <w:color w:val="auto"/>
        </w:rPr>
        <w:t>Pursuant to the requirements of the Securities Exchange Act of 1934, as amended, this Report has been signed below by the following persons on behalf of Campbell and in the capacities indicated on September 21, 2023.</w:t>
      </w:r>
    </w:p>
    <w:p>
      <w:pPr>
        <w:spacing w:after="0" w:line="331"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14605</wp:posOffset>
            </wp:positionV>
            <wp:extent cx="64141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6">
                      <a:extLst>
                        <a:ext uri="{28A0092B-C50C-407E-A947-70E740481C1C}"/>
                      </a:extLst>
                    </a:blip>
                    <a:srcRect/>
                    <a:stretch>
                      <a:fillRect/>
                    </a:stretch>
                  </pic:blipFill>
                  <pic:spPr bwMode="auto">
                    <a:xfrm>
                      <a:off x="0" y="0"/>
                      <a:ext cx="6414135" cy="8255"/>
                    </a:xfrm>
                    <a:prstGeom prst="rect">
                      <a:avLst/>
                    </a:prstGeom>
                    <a:noFill/>
                  </pic:spPr>
                </pic:pic>
              </a:graphicData>
            </a:graphic>
          </wp:anchor>
        </w:drawing>
      </w:r>
    </w:p>
    <w:p>
      <w:pPr>
        <w:sectPr>
          <w:pgSz w:w="11900" w:h="16838" w:orient="portrait"/>
          <w:cols w:equalWidth="0" w:num="1">
            <w:col w:w="11340"/>
          </w:cols>
          <w:pgMar w:left="320" w:top="945" w:right="239" w:bottom="1440" w:gutter="0" w:footer="0" w:header="0"/>
        </w:sectPr>
      </w:pPr>
    </w:p>
    <w:p>
      <w:pPr>
        <w:spacing w:after="0" w:line="22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/s/ Mark A. Clouse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14605</wp:posOffset>
            </wp:positionV>
            <wp:extent cx="31070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7">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spacing w:after="0" w:line="16"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Mark A. Clouse</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6"/>
          <w:szCs w:val="16"/>
          <w:color w:val="auto"/>
        </w:rPr>
        <w:t>President and Chief Executive Officer and Director</w:t>
      </w:r>
    </w:p>
    <w:p>
      <w:pPr>
        <w:spacing w:after="0" w:line="35" w:lineRule="exact"/>
        <w:rPr>
          <w:sz w:val="20"/>
          <w:szCs w:val="20"/>
          <w:color w:val="auto"/>
        </w:rPr>
      </w:pPr>
    </w:p>
    <w:p>
      <w:pPr>
        <w:jc w:val="center"/>
        <w:ind w:left="980"/>
        <w:spacing w:after="0"/>
        <w:rPr>
          <w:sz w:val="20"/>
          <w:szCs w:val="20"/>
          <w:color w:val="auto"/>
        </w:rPr>
      </w:pPr>
      <w:r>
        <w:rPr>
          <w:rFonts w:ascii="Arial" w:cs="Arial" w:eastAsia="Arial" w:hAnsi="Arial"/>
          <w:sz w:val="17"/>
          <w:szCs w:val="17"/>
          <w:color w:val="auto"/>
        </w:rPr>
        <w:t>(Principal Executive Officer)</w:t>
      </w:r>
    </w:p>
    <w:p>
      <w:pPr>
        <w:spacing w:after="0" w:line="229" w:lineRule="exact"/>
        <w:rPr>
          <w:sz w:val="20"/>
          <w:szCs w:val="20"/>
          <w:color w:val="auto"/>
        </w:rPr>
      </w:pPr>
    </w:p>
    <w:p>
      <w:pPr>
        <w:ind w:left="2920"/>
        <w:spacing w:after="0"/>
        <w:rPr>
          <w:sz w:val="20"/>
          <w:szCs w:val="20"/>
          <w:color w:val="auto"/>
        </w:rPr>
      </w:pPr>
      <w:r>
        <w:rPr>
          <w:rFonts w:ascii="Arial" w:cs="Arial" w:eastAsia="Arial" w:hAnsi="Arial"/>
          <w:sz w:val="17"/>
          <w:szCs w:val="17"/>
          <w:color w:val="auto"/>
        </w:rPr>
        <w:t>/s/ Carrie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14605</wp:posOffset>
            </wp:positionV>
            <wp:extent cx="31070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8">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spacing w:after="0" w:line="16"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Carrie L. Anderson</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5"/>
          <w:szCs w:val="15"/>
          <w:color w:val="auto"/>
        </w:rPr>
        <w:t>Executive Vice President and Chief Financial Officer</w:t>
      </w:r>
    </w:p>
    <w:p>
      <w:pPr>
        <w:spacing w:after="0" w:line="46" w:lineRule="exact"/>
        <w:rPr>
          <w:sz w:val="20"/>
          <w:szCs w:val="20"/>
          <w:color w:val="auto"/>
        </w:rPr>
      </w:pPr>
    </w:p>
    <w:p>
      <w:pPr>
        <w:jc w:val="center"/>
        <w:ind w:left="980"/>
        <w:spacing w:after="0"/>
        <w:rPr>
          <w:sz w:val="20"/>
          <w:szCs w:val="20"/>
          <w:color w:val="auto"/>
        </w:rPr>
      </w:pPr>
      <w:r>
        <w:rPr>
          <w:rFonts w:ascii="Arial" w:cs="Arial" w:eastAsia="Arial" w:hAnsi="Arial"/>
          <w:sz w:val="17"/>
          <w:szCs w:val="17"/>
          <w:color w:val="auto"/>
        </w:rPr>
        <w:t>(Principal Financial Officer)</w:t>
      </w:r>
    </w:p>
    <w:p>
      <w:pPr>
        <w:spacing w:after="0" w:line="229"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/s/ Stanley Polomski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14605</wp:posOffset>
            </wp:positionV>
            <wp:extent cx="31070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9">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spacing w:after="0" w:line="16" w:lineRule="exact"/>
        <w:rPr>
          <w:sz w:val="20"/>
          <w:szCs w:val="20"/>
          <w:color w:val="auto"/>
        </w:rPr>
      </w:pPr>
    </w:p>
    <w:p>
      <w:pPr>
        <w:ind w:left="3080"/>
        <w:spacing w:after="0"/>
        <w:rPr>
          <w:sz w:val="20"/>
          <w:szCs w:val="20"/>
          <w:color w:val="auto"/>
        </w:rPr>
      </w:pPr>
      <w:r>
        <w:rPr>
          <w:rFonts w:ascii="Arial" w:cs="Arial" w:eastAsia="Arial" w:hAnsi="Arial"/>
          <w:sz w:val="17"/>
          <w:szCs w:val="17"/>
          <w:color w:val="auto"/>
        </w:rPr>
        <w:t>Stanley Polomski</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7"/>
          <w:szCs w:val="17"/>
          <w:color w:val="auto"/>
        </w:rPr>
        <w:t>Senior Vice President and Controller</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7"/>
          <w:szCs w:val="17"/>
          <w:color w:val="auto"/>
        </w:rPr>
        <w:t>(Principal Accounting Officer)</w:t>
      </w:r>
    </w:p>
    <w:p>
      <w:pPr>
        <w:spacing w:after="0" w:line="229" w:lineRule="exact"/>
        <w:rPr>
          <w:sz w:val="20"/>
          <w:szCs w:val="20"/>
          <w:color w:val="auto"/>
        </w:rPr>
      </w:pPr>
    </w:p>
    <w:p>
      <w:pPr>
        <w:ind w:left="3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14605</wp:posOffset>
            </wp:positionV>
            <wp:extent cx="31070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0">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spacing w:after="0" w:line="16" w:lineRule="exact"/>
        <w:rPr>
          <w:sz w:val="20"/>
          <w:szCs w:val="20"/>
          <w:color w:val="auto"/>
        </w:rPr>
      </w:pPr>
    </w:p>
    <w:p>
      <w:pPr>
        <w:ind w:left="2940"/>
        <w:spacing w:after="0"/>
        <w:rPr>
          <w:sz w:val="20"/>
          <w:szCs w:val="20"/>
          <w:color w:val="auto"/>
        </w:rPr>
      </w:pPr>
      <w:r>
        <w:rPr>
          <w:rFonts w:ascii="Arial" w:cs="Arial" w:eastAsia="Arial" w:hAnsi="Arial"/>
          <w:sz w:val="17"/>
          <w:szCs w:val="17"/>
          <w:color w:val="auto"/>
        </w:rPr>
        <w:t>Keith R. McLoughlin</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7"/>
          <w:szCs w:val="17"/>
          <w:color w:val="auto"/>
        </w:rPr>
        <w:t>Chair and Director</w:t>
      </w:r>
    </w:p>
    <w:p>
      <w:pPr>
        <w:spacing w:after="0" w:line="229" w:lineRule="exact"/>
        <w:rPr>
          <w:sz w:val="20"/>
          <w:szCs w:val="20"/>
          <w:color w:val="auto"/>
        </w:rPr>
      </w:pPr>
    </w:p>
    <w:p>
      <w:pPr>
        <w:ind w:left="3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14605</wp:posOffset>
            </wp:positionV>
            <wp:extent cx="31070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1">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spacing w:after="0" w:line="16" w:lineRule="exact"/>
        <w:rPr>
          <w:sz w:val="20"/>
          <w:szCs w:val="20"/>
          <w:color w:val="auto"/>
        </w:rPr>
      </w:pPr>
    </w:p>
    <w:p>
      <w:pPr>
        <w:ind w:left="2940"/>
        <w:spacing w:after="0"/>
        <w:rPr>
          <w:sz w:val="20"/>
          <w:szCs w:val="20"/>
          <w:color w:val="auto"/>
        </w:rPr>
      </w:pPr>
      <w:r>
        <w:rPr>
          <w:rFonts w:ascii="Arial" w:cs="Arial" w:eastAsia="Arial" w:hAnsi="Arial"/>
          <w:sz w:val="17"/>
          <w:szCs w:val="17"/>
          <w:color w:val="auto"/>
        </w:rPr>
        <w:t>Fabiola R. Arredondo</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7"/>
          <w:szCs w:val="17"/>
          <w:color w:val="auto"/>
        </w:rPr>
        <w:t>Director</w:t>
      </w:r>
    </w:p>
    <w:p>
      <w:pPr>
        <w:spacing w:after="0" w:line="229" w:lineRule="exact"/>
        <w:rPr>
          <w:sz w:val="20"/>
          <w:szCs w:val="20"/>
          <w:color w:val="auto"/>
        </w:rPr>
      </w:pPr>
    </w:p>
    <w:p>
      <w:pPr>
        <w:ind w:left="3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14605</wp:posOffset>
            </wp:positionV>
            <wp:extent cx="31070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2">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spacing w:after="0" w:line="16"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Howard M. Averill</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7"/>
          <w:szCs w:val="17"/>
          <w:color w:val="auto"/>
        </w:rPr>
        <w:t>Director</w:t>
      </w:r>
    </w:p>
    <w:p>
      <w:pPr>
        <w:spacing w:after="0" w:line="229" w:lineRule="exact"/>
        <w:rPr>
          <w:sz w:val="20"/>
          <w:szCs w:val="20"/>
          <w:color w:val="auto"/>
        </w:rPr>
      </w:pPr>
    </w:p>
    <w:p>
      <w:pPr>
        <w:ind w:left="3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14605</wp:posOffset>
            </wp:positionV>
            <wp:extent cx="31070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3">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spacing w:after="0" w:line="16"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John P. Bilbrey</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7"/>
          <w:szCs w:val="17"/>
          <w:color w:val="auto"/>
        </w:rPr>
        <w:t>Director</w:t>
      </w:r>
    </w:p>
    <w:p>
      <w:pPr>
        <w:spacing w:after="0" w:line="229" w:lineRule="exact"/>
        <w:rPr>
          <w:sz w:val="20"/>
          <w:szCs w:val="20"/>
          <w:color w:val="auto"/>
        </w:rPr>
      </w:pPr>
    </w:p>
    <w:p>
      <w:pPr>
        <w:ind w:left="3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14605</wp:posOffset>
            </wp:positionV>
            <wp:extent cx="31070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4">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spacing w:after="0" w:line="16" w:lineRule="exact"/>
        <w:rPr>
          <w:sz w:val="20"/>
          <w:szCs w:val="20"/>
          <w:color w:val="auto"/>
        </w:rPr>
      </w:pPr>
    </w:p>
    <w:p>
      <w:pPr>
        <w:ind w:left="2960"/>
        <w:spacing w:after="0"/>
        <w:rPr>
          <w:sz w:val="20"/>
          <w:szCs w:val="20"/>
          <w:color w:val="auto"/>
        </w:rPr>
      </w:pPr>
      <w:r>
        <w:rPr>
          <w:rFonts w:ascii="Arial" w:cs="Arial" w:eastAsia="Arial" w:hAnsi="Arial"/>
          <w:sz w:val="17"/>
          <w:szCs w:val="17"/>
          <w:color w:val="auto"/>
        </w:rPr>
        <w:t>Bennett Dorrance, Jr.</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23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54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5">
                      <a:extLst>
                        <a:ext uri="{28A0092B-C50C-407E-A947-70E740481C1C}"/>
                      </a:extLst>
                    </a:blip>
                    <a:srcRect/>
                    <a:stretch>
                      <a:fillRect/>
                    </a:stretch>
                  </pic:blipFill>
                  <pic:spPr bwMode="auto">
                    <a:xfrm>
                      <a:off x="0" y="0"/>
                      <a:ext cx="2685415" cy="8255"/>
                    </a:xfrm>
                    <a:prstGeom prst="rect">
                      <a:avLst/>
                    </a:prstGeom>
                    <a:noFill/>
                  </pic:spPr>
                </pic:pic>
              </a:graphicData>
            </a:graphic>
          </wp:anchor>
        </w:drawing>
      </w:r>
    </w:p>
    <w:p>
      <w:pPr>
        <w:spacing w:after="0" w:line="16"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Maria Teresa Hilado</w:t>
      </w:r>
    </w:p>
    <w:p>
      <w:pPr>
        <w:spacing w:after="0" w:line="23" w:lineRule="exact"/>
        <w:rPr>
          <w:sz w:val="20"/>
          <w:szCs w:val="20"/>
          <w:color w:val="auto"/>
        </w:rPr>
      </w:pPr>
    </w:p>
    <w:p>
      <w:pPr>
        <w:ind w:left="208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48" w:lineRule="exact"/>
        <w:rPr>
          <w:sz w:val="20"/>
          <w:szCs w:val="20"/>
          <w:color w:val="auto"/>
        </w:rPr>
      </w:pPr>
    </w:p>
    <w:p>
      <w:pPr>
        <w:ind w:left="23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54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6">
                      <a:extLst>
                        <a:ext uri="{28A0092B-C50C-407E-A947-70E740481C1C}"/>
                      </a:extLst>
                    </a:blip>
                    <a:srcRect/>
                    <a:stretch>
                      <a:fillRect/>
                    </a:stretch>
                  </pic:blipFill>
                  <pic:spPr bwMode="auto">
                    <a:xfrm>
                      <a:off x="0" y="0"/>
                      <a:ext cx="2685415" cy="8255"/>
                    </a:xfrm>
                    <a:prstGeom prst="rect">
                      <a:avLst/>
                    </a:prstGeom>
                    <a:noFill/>
                  </pic:spPr>
                </pic:pic>
              </a:graphicData>
            </a:graphic>
          </wp:anchor>
        </w:drawing>
      </w:r>
    </w:p>
    <w:p>
      <w:pPr>
        <w:spacing w:after="0" w:line="1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Grant H. Hill</w:t>
      </w:r>
    </w:p>
    <w:p>
      <w:pPr>
        <w:spacing w:after="0" w:line="23" w:lineRule="exact"/>
        <w:rPr>
          <w:sz w:val="20"/>
          <w:szCs w:val="20"/>
          <w:color w:val="auto"/>
        </w:rPr>
      </w:pPr>
    </w:p>
    <w:p>
      <w:pPr>
        <w:ind w:left="208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48" w:lineRule="exact"/>
        <w:rPr>
          <w:sz w:val="20"/>
          <w:szCs w:val="20"/>
          <w:color w:val="auto"/>
        </w:rPr>
      </w:pPr>
    </w:p>
    <w:p>
      <w:pPr>
        <w:ind w:left="23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54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7">
                      <a:extLst>
                        <a:ext uri="{28A0092B-C50C-407E-A947-70E740481C1C}"/>
                      </a:extLst>
                    </a:blip>
                    <a:srcRect/>
                    <a:stretch>
                      <a:fillRect/>
                    </a:stretch>
                  </pic:blipFill>
                  <pic:spPr bwMode="auto">
                    <a:xfrm>
                      <a:off x="0" y="0"/>
                      <a:ext cx="2685415" cy="8255"/>
                    </a:xfrm>
                    <a:prstGeom prst="rect">
                      <a:avLst/>
                    </a:prstGeom>
                    <a:noFill/>
                  </pic:spPr>
                </pic:pic>
              </a:graphicData>
            </a:graphic>
          </wp:anchor>
        </w:drawing>
      </w:r>
    </w:p>
    <w:p>
      <w:pPr>
        <w:spacing w:after="0" w:line="16" w:lineRule="exact"/>
        <w:rPr>
          <w:sz w:val="20"/>
          <w:szCs w:val="20"/>
          <w:color w:val="auto"/>
        </w:rPr>
      </w:pPr>
    </w:p>
    <w:p>
      <w:pPr>
        <w:ind w:left="1800"/>
        <w:spacing w:after="0"/>
        <w:rPr>
          <w:sz w:val="20"/>
          <w:szCs w:val="20"/>
          <w:color w:val="auto"/>
        </w:rPr>
      </w:pPr>
      <w:r>
        <w:rPr>
          <w:rFonts w:ascii="Arial" w:cs="Arial" w:eastAsia="Arial" w:hAnsi="Arial"/>
          <w:sz w:val="17"/>
          <w:szCs w:val="17"/>
          <w:color w:val="auto"/>
        </w:rPr>
        <w:t>Sarah Hofstetter</w:t>
      </w:r>
    </w:p>
    <w:p>
      <w:pPr>
        <w:spacing w:after="0" w:line="23" w:lineRule="exact"/>
        <w:rPr>
          <w:sz w:val="20"/>
          <w:szCs w:val="20"/>
          <w:color w:val="auto"/>
        </w:rPr>
      </w:pPr>
    </w:p>
    <w:p>
      <w:pPr>
        <w:ind w:left="208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48" w:lineRule="exact"/>
        <w:rPr>
          <w:sz w:val="20"/>
          <w:szCs w:val="20"/>
          <w:color w:val="auto"/>
        </w:rPr>
      </w:pPr>
    </w:p>
    <w:p>
      <w:pPr>
        <w:ind w:left="23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54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8">
                      <a:extLst>
                        <a:ext uri="{28A0092B-C50C-407E-A947-70E740481C1C}"/>
                      </a:extLst>
                    </a:blip>
                    <a:srcRect/>
                    <a:stretch>
                      <a:fillRect/>
                    </a:stretch>
                  </pic:blipFill>
                  <pic:spPr bwMode="auto">
                    <a:xfrm>
                      <a:off x="0" y="0"/>
                      <a:ext cx="2685415" cy="8255"/>
                    </a:xfrm>
                    <a:prstGeom prst="rect">
                      <a:avLst/>
                    </a:prstGeom>
                    <a:noFill/>
                  </pic:spPr>
                </pic:pic>
              </a:graphicData>
            </a:graphic>
          </wp:anchor>
        </w:drawing>
      </w:r>
    </w:p>
    <w:p>
      <w:pPr>
        <w:spacing w:after="0" w:line="16"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Marc B. Lautenbach</w:t>
      </w:r>
    </w:p>
    <w:p>
      <w:pPr>
        <w:spacing w:after="0" w:line="23" w:lineRule="exact"/>
        <w:rPr>
          <w:sz w:val="20"/>
          <w:szCs w:val="20"/>
          <w:color w:val="auto"/>
        </w:rPr>
      </w:pPr>
    </w:p>
    <w:p>
      <w:pPr>
        <w:jc w:val="center"/>
        <w:ind w:left="-259"/>
        <w:spacing w:after="0"/>
        <w:rPr>
          <w:sz w:val="20"/>
          <w:szCs w:val="20"/>
          <w:color w:val="auto"/>
        </w:rPr>
      </w:pPr>
      <w:r>
        <w:rPr>
          <w:rFonts w:ascii="Arial" w:cs="Arial" w:eastAsia="Arial" w:hAnsi="Arial"/>
          <w:sz w:val="17"/>
          <w:szCs w:val="17"/>
          <w:color w:val="auto"/>
        </w:rPr>
        <w:t>Director</w:t>
      </w:r>
    </w:p>
    <w:p>
      <w:pPr>
        <w:spacing w:after="0" w:line="229" w:lineRule="exact"/>
        <w:rPr>
          <w:sz w:val="20"/>
          <w:szCs w:val="20"/>
          <w:color w:val="auto"/>
        </w:rPr>
      </w:pPr>
    </w:p>
    <w:p>
      <w:pPr>
        <w:ind w:left="23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54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9">
                      <a:extLst>
                        <a:ext uri="{28A0092B-C50C-407E-A947-70E740481C1C}"/>
                      </a:extLst>
                    </a:blip>
                    <a:srcRect/>
                    <a:stretch>
                      <a:fillRect/>
                    </a:stretch>
                  </pic:blipFill>
                  <pic:spPr bwMode="auto">
                    <a:xfrm>
                      <a:off x="0" y="0"/>
                      <a:ext cx="2685415" cy="8255"/>
                    </a:xfrm>
                    <a:prstGeom prst="rect">
                      <a:avLst/>
                    </a:prstGeom>
                    <a:noFill/>
                  </pic:spPr>
                </pic:pic>
              </a:graphicData>
            </a:graphic>
          </wp:anchor>
        </w:drawing>
      </w:r>
    </w:p>
    <w:p>
      <w:pPr>
        <w:spacing w:after="0" w:line="16"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Mary Alice D. Malone</w:t>
      </w:r>
    </w:p>
    <w:p>
      <w:pPr>
        <w:spacing w:after="0" w:line="23" w:lineRule="exact"/>
        <w:rPr>
          <w:sz w:val="20"/>
          <w:szCs w:val="20"/>
          <w:color w:val="auto"/>
        </w:rPr>
      </w:pPr>
    </w:p>
    <w:p>
      <w:pPr>
        <w:jc w:val="center"/>
        <w:ind w:left="-259"/>
        <w:spacing w:after="0"/>
        <w:rPr>
          <w:sz w:val="20"/>
          <w:szCs w:val="20"/>
          <w:color w:val="auto"/>
        </w:rPr>
      </w:pPr>
      <w:r>
        <w:rPr>
          <w:rFonts w:ascii="Arial" w:cs="Arial" w:eastAsia="Arial" w:hAnsi="Arial"/>
          <w:sz w:val="17"/>
          <w:szCs w:val="17"/>
          <w:color w:val="auto"/>
        </w:rPr>
        <w:t>Director</w:t>
      </w:r>
    </w:p>
    <w:p>
      <w:pPr>
        <w:spacing w:after="0" w:line="229" w:lineRule="exact"/>
        <w:rPr>
          <w:sz w:val="20"/>
          <w:szCs w:val="20"/>
          <w:color w:val="auto"/>
        </w:rPr>
      </w:pPr>
    </w:p>
    <w:p>
      <w:pPr>
        <w:ind w:left="23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54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0">
                      <a:extLst>
                        <a:ext uri="{28A0092B-C50C-407E-A947-70E740481C1C}"/>
                      </a:extLst>
                    </a:blip>
                    <a:srcRect/>
                    <a:stretch>
                      <a:fillRect/>
                    </a:stretch>
                  </pic:blipFill>
                  <pic:spPr bwMode="auto">
                    <a:xfrm>
                      <a:off x="0" y="0"/>
                      <a:ext cx="2685415" cy="8255"/>
                    </a:xfrm>
                    <a:prstGeom prst="rect">
                      <a:avLst/>
                    </a:prstGeom>
                    <a:noFill/>
                  </pic:spPr>
                </pic:pic>
              </a:graphicData>
            </a:graphic>
          </wp:anchor>
        </w:drawing>
      </w:r>
    </w:p>
    <w:p>
      <w:pPr>
        <w:spacing w:after="0" w:line="16" w:lineRule="exact"/>
        <w:rPr>
          <w:sz w:val="20"/>
          <w:szCs w:val="20"/>
          <w:color w:val="auto"/>
        </w:rPr>
      </w:pPr>
    </w:p>
    <w:p>
      <w:pPr>
        <w:ind w:left="1800"/>
        <w:spacing w:after="0"/>
        <w:rPr>
          <w:sz w:val="20"/>
          <w:szCs w:val="20"/>
          <w:color w:val="auto"/>
        </w:rPr>
      </w:pPr>
      <w:r>
        <w:rPr>
          <w:rFonts w:ascii="Arial" w:cs="Arial" w:eastAsia="Arial" w:hAnsi="Arial"/>
          <w:sz w:val="17"/>
          <w:szCs w:val="17"/>
          <w:color w:val="auto"/>
        </w:rPr>
        <w:t>Kurt T. Schmidt</w:t>
      </w:r>
    </w:p>
    <w:p>
      <w:pPr>
        <w:spacing w:after="0" w:line="23" w:lineRule="exact"/>
        <w:rPr>
          <w:sz w:val="20"/>
          <w:szCs w:val="20"/>
          <w:color w:val="auto"/>
        </w:rPr>
      </w:pPr>
    </w:p>
    <w:p>
      <w:pPr>
        <w:jc w:val="center"/>
        <w:ind w:left="-259"/>
        <w:spacing w:after="0"/>
        <w:rPr>
          <w:sz w:val="20"/>
          <w:szCs w:val="20"/>
          <w:color w:val="auto"/>
        </w:rPr>
      </w:pPr>
      <w:r>
        <w:rPr>
          <w:rFonts w:ascii="Arial" w:cs="Arial" w:eastAsia="Arial" w:hAnsi="Arial"/>
          <w:sz w:val="17"/>
          <w:szCs w:val="17"/>
          <w:color w:val="auto"/>
        </w:rPr>
        <w:t>Director</w:t>
      </w:r>
    </w:p>
    <w:p>
      <w:pPr>
        <w:spacing w:after="0" w:line="229" w:lineRule="exact"/>
        <w:rPr>
          <w:sz w:val="20"/>
          <w:szCs w:val="20"/>
          <w:color w:val="auto"/>
        </w:rPr>
      </w:pPr>
    </w:p>
    <w:p>
      <w:pPr>
        <w:ind w:left="23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54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1">
                      <a:extLst>
                        <a:ext uri="{28A0092B-C50C-407E-A947-70E740481C1C}"/>
                      </a:extLst>
                    </a:blip>
                    <a:srcRect/>
                    <a:stretch>
                      <a:fillRect/>
                    </a:stretch>
                  </pic:blipFill>
                  <pic:spPr bwMode="auto">
                    <a:xfrm>
                      <a:off x="0" y="0"/>
                      <a:ext cx="2685415" cy="8255"/>
                    </a:xfrm>
                    <a:prstGeom prst="rect">
                      <a:avLst/>
                    </a:prstGeom>
                    <a:noFill/>
                  </pic:spPr>
                </pic:pic>
              </a:graphicData>
            </a:graphic>
          </wp:anchor>
        </w:drawing>
      </w:r>
    </w:p>
    <w:p>
      <w:pPr>
        <w:spacing w:after="0" w:line="16"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Archbold D. van Beuren</w:t>
      </w:r>
    </w:p>
    <w:p>
      <w:pPr>
        <w:spacing w:after="0" w:line="23" w:lineRule="exact"/>
        <w:rPr>
          <w:sz w:val="20"/>
          <w:szCs w:val="20"/>
          <w:color w:val="auto"/>
        </w:rPr>
      </w:pPr>
    </w:p>
    <w:p>
      <w:pPr>
        <w:ind w:left="2080"/>
        <w:spacing w:after="0"/>
        <w:rPr>
          <w:sz w:val="20"/>
          <w:szCs w:val="20"/>
          <w:color w:val="auto"/>
        </w:rPr>
      </w:pPr>
      <w:r>
        <w:rPr>
          <w:rFonts w:ascii="Arial" w:cs="Arial" w:eastAsia="Arial" w:hAnsi="Arial"/>
          <w:sz w:val="17"/>
          <w:szCs w:val="17"/>
          <w:color w:val="auto"/>
        </w:rPr>
        <w:t>Director</w:t>
      </w:r>
    </w:p>
    <w:p>
      <w:pPr>
        <w:spacing w:after="0" w:line="229" w:lineRule="exact"/>
        <w:rPr>
          <w:sz w:val="20"/>
          <w:szCs w:val="20"/>
          <w:color w:val="auto"/>
        </w:rPr>
      </w:pPr>
    </w:p>
    <w:p>
      <w:pPr>
        <w:ind w:left="1380" w:hanging="134"/>
        <w:spacing w:after="0"/>
        <w:tabs>
          <w:tab w:leader="none" w:pos="13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By: /s/ Charles A. Brawley, III</w:t>
      </w:r>
    </w:p>
    <w:p>
      <w:pPr>
        <w:spacing w:after="0" w:line="3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Name: Charles A. Brawley,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26854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2">
                      <a:extLst>
                        <a:ext uri="{28A0092B-C50C-407E-A947-70E740481C1C}"/>
                      </a:extLst>
                    </a:blip>
                    <a:srcRect/>
                    <a:stretch>
                      <a:fillRect/>
                    </a:stretch>
                  </pic:blipFill>
                  <pic:spPr bwMode="auto">
                    <a:xfrm>
                      <a:off x="0" y="0"/>
                      <a:ext cx="2685415" cy="8255"/>
                    </a:xfrm>
                    <a:prstGeom prst="rect">
                      <a:avLst/>
                    </a:prstGeom>
                    <a:noFill/>
                  </pic:spPr>
                </pic:pic>
              </a:graphicData>
            </a:graphic>
          </wp:anchor>
        </w:drawing>
      </w:r>
    </w:p>
    <w:p>
      <w:pPr>
        <w:spacing w:after="0" w:line="3"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Title: Senior Vice President, Deputy General Counsel and Co Secretary,</w:t>
      </w:r>
    </w:p>
    <w:p>
      <w:pPr>
        <w:ind w:left="60"/>
        <w:spacing w:after="0"/>
        <w:rPr>
          <w:sz w:val="20"/>
          <w:szCs w:val="20"/>
          <w:color w:val="auto"/>
        </w:rPr>
      </w:pPr>
      <w:r>
        <w:rPr>
          <w:rFonts w:ascii="Arial" w:cs="Arial" w:eastAsia="Arial" w:hAnsi="Arial"/>
          <w:sz w:val="17"/>
          <w:szCs w:val="17"/>
          <w:color w:val="auto"/>
        </w:rPr>
        <w:t>as Attorney-in-fact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(pursuant to powers of attorney)</w:t>
      </w:r>
    </w:p>
    <w:p>
      <w:pPr>
        <w:spacing w:after="0" w:line="200" w:lineRule="exact"/>
        <w:rPr>
          <w:sz w:val="20"/>
          <w:szCs w:val="20"/>
          <w:color w:val="auto"/>
        </w:rPr>
      </w:pPr>
    </w:p>
    <w:p>
      <w:pPr>
        <w:sectPr>
          <w:pgSz w:w="11900" w:h="16838" w:orient="portrait"/>
          <w:cols w:equalWidth="0" w:num="2">
            <w:col w:w="6400" w:space="720"/>
            <w:col w:w="4220"/>
          </w:cols>
          <w:pgMar w:left="320" w:top="945" w:right="239" w:bottom="1440" w:gutter="0" w:footer="0" w:header="0"/>
          <w:type w:val="continuous"/>
        </w:sectPr>
      </w:pPr>
    </w:p>
    <w:p>
      <w:pPr>
        <w:spacing w:after="0" w:line="200" w:lineRule="exact"/>
        <w:rPr>
          <w:sz w:val="20"/>
          <w:szCs w:val="20"/>
          <w:color w:val="auto"/>
        </w:rPr>
      </w:pPr>
    </w:p>
    <w:p>
      <w:pPr>
        <w:spacing w:after="0" w:line="370"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146685</wp:posOffset>
            </wp:positionV>
            <wp:extent cx="716407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945" w:right="239" w:bottom="1440" w:gutter="0" w:footer="0" w:header="0"/>
          <w:type w:val="continuous"/>
        </w:sectPr>
      </w:pPr>
    </w:p>
    <w:bookmarkStart w:id="79" w:name="page80"/>
    <w:bookmarkEnd w:id="79"/>
    <w:p>
      <w:pPr>
        <w:jc w:val="right"/>
        <w:spacing w:after="0"/>
        <w:rPr>
          <w:sz w:val="20"/>
          <w:szCs w:val="20"/>
          <w:color w:val="auto"/>
        </w:rPr>
      </w:pPr>
      <w:r>
        <w:rPr>
          <w:rFonts w:ascii="Arial" w:cs="Arial" w:eastAsia="Arial" w:hAnsi="Arial"/>
          <w:sz w:val="17"/>
          <w:szCs w:val="17"/>
          <w:b w:val="1"/>
          <w:bCs w:val="1"/>
          <w:color w:val="auto"/>
        </w:rPr>
        <w:t>Schedule II</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Valuation and Qualifying Accounts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 the Fiscal Years ended July 30, 2023, July 31, 2022, and August 1, 2021</w:t>
      </w:r>
    </w:p>
    <w:p>
      <w:pPr>
        <w:sectPr>
          <w:pgSz w:w="11900" w:h="16838" w:orient="portrait"/>
          <w:cols w:equalWidth="0" w:num="1">
            <w:col w:w="11240"/>
          </w:cols>
          <w:pgMar w:left="320" w:top="945" w:right="339" w:bottom="1440" w:gutter="0" w:footer="0" w:header="0"/>
        </w:sect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Charged to/</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5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3"/>
          </w:tcPr>
          <w:p>
            <w:pPr>
              <w:jc w:val="center"/>
              <w:ind w:right="120"/>
              <w:spacing w:after="0" w:line="132" w:lineRule="exact"/>
              <w:rPr>
                <w:sz w:val="20"/>
                <w:szCs w:val="20"/>
                <w:color w:val="auto"/>
              </w:rPr>
            </w:pPr>
            <w:r>
              <w:rPr>
                <w:rFonts w:ascii="Arial" w:cs="Arial" w:eastAsia="Arial" w:hAnsi="Arial"/>
                <w:sz w:val="14"/>
                <w:szCs w:val="14"/>
                <w:b w:val="1"/>
                <w:bCs w:val="1"/>
                <w:color w:val="auto"/>
                <w:w w:val="87"/>
              </w:rPr>
              <w:t>(Reduction in) Costs</w:t>
            </w: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5540" w:type="dxa"/>
            <w:vAlign w:val="bottom"/>
            <w:vMerge w:val="restart"/>
          </w:tcPr>
          <w:p>
            <w:pPr>
              <w:spacing w:after="0"/>
              <w:rPr>
                <w:sz w:val="20"/>
                <w:szCs w:val="20"/>
                <w:color w:val="auto"/>
              </w:rPr>
            </w:pPr>
            <w:r>
              <w:rPr>
                <w:rFonts w:ascii="Arial" w:cs="Arial" w:eastAsia="Arial" w:hAnsi="Arial"/>
                <w:sz w:val="14"/>
                <w:szCs w:val="14"/>
                <w:b w:val="1"/>
                <w:bCs w:val="1"/>
                <w:color w:val="auto"/>
              </w:rPr>
              <w:t>(Millions)</w:t>
            </w:r>
          </w:p>
        </w:tc>
        <w:tc>
          <w:tcPr>
            <w:tcW w:w="1420" w:type="dxa"/>
            <w:vAlign w:val="bottom"/>
            <w:gridSpan w:val="3"/>
          </w:tcPr>
          <w:p>
            <w:pPr>
              <w:jc w:val="center"/>
              <w:ind w:right="100"/>
              <w:spacing w:after="0" w:line="151" w:lineRule="exact"/>
              <w:rPr>
                <w:sz w:val="20"/>
                <w:szCs w:val="20"/>
                <w:color w:val="auto"/>
              </w:rPr>
            </w:pPr>
            <w:r>
              <w:rPr>
                <w:rFonts w:ascii="Arial" w:cs="Arial" w:eastAsia="Arial" w:hAnsi="Arial"/>
                <w:sz w:val="14"/>
                <w:szCs w:val="14"/>
                <w:b w:val="1"/>
                <w:bCs w:val="1"/>
                <w:color w:val="auto"/>
                <w:w w:val="87"/>
              </w:rPr>
              <w:t>Balance at Beginning</w:t>
            </w:r>
          </w:p>
        </w:tc>
        <w:tc>
          <w:tcPr>
            <w:tcW w:w="220" w:type="dxa"/>
            <w:vAlign w:val="bottom"/>
          </w:tcPr>
          <w:p>
            <w:pPr>
              <w:spacing w:after="0"/>
              <w:rPr>
                <w:sz w:val="13"/>
                <w:szCs w:val="13"/>
                <w:color w:val="auto"/>
              </w:rPr>
            </w:pPr>
          </w:p>
        </w:tc>
        <w:tc>
          <w:tcPr>
            <w:tcW w:w="1220" w:type="dxa"/>
            <w:vAlign w:val="bottom"/>
            <w:gridSpan w:val="2"/>
          </w:tcPr>
          <w:p>
            <w:pPr>
              <w:jc w:val="center"/>
              <w:ind w:right="320"/>
              <w:spacing w:after="0" w:line="151" w:lineRule="exact"/>
              <w:rPr>
                <w:sz w:val="20"/>
                <w:szCs w:val="20"/>
                <w:color w:val="auto"/>
              </w:rPr>
            </w:pPr>
            <w:r>
              <w:rPr>
                <w:rFonts w:ascii="Arial" w:cs="Arial" w:eastAsia="Arial" w:hAnsi="Arial"/>
                <w:sz w:val="14"/>
                <w:szCs w:val="14"/>
                <w:b w:val="1"/>
                <w:bCs w:val="1"/>
                <w:color w:val="auto"/>
                <w:w w:val="88"/>
              </w:rPr>
              <w:t>and</w:t>
            </w:r>
          </w:p>
        </w:tc>
        <w:tc>
          <w:tcPr>
            <w:tcW w:w="220" w:type="dxa"/>
            <w:vAlign w:val="bottom"/>
          </w:tcPr>
          <w:p>
            <w:pPr>
              <w:spacing w:after="0"/>
              <w:rPr>
                <w:sz w:val="13"/>
                <w:szCs w:val="13"/>
                <w:color w:val="auto"/>
              </w:rPr>
            </w:pPr>
          </w:p>
        </w:tc>
        <w:tc>
          <w:tcPr>
            <w:tcW w:w="110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w w:val="97"/>
              </w:rPr>
              <w:t>Deductions</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5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of Period</w:t>
            </w: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Expenses</w:t>
            </w: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540" w:type="dxa"/>
            <w:vAlign w:val="bottom"/>
          </w:tcPr>
          <w:p>
            <w:pPr>
              <w:spacing w:after="0"/>
              <w:rPr>
                <w:sz w:val="20"/>
                <w:szCs w:val="20"/>
                <w:color w:val="auto"/>
              </w:rPr>
            </w:pPr>
            <w:r>
              <w:rPr>
                <w:rFonts w:ascii="Arial" w:cs="Arial" w:eastAsia="Arial" w:hAnsi="Arial"/>
                <w:sz w:val="17"/>
                <w:szCs w:val="17"/>
                <w:color w:val="auto"/>
              </w:rPr>
              <w:t>Fiscal year ended July 30, 2023</w:t>
            </w: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117</w:t>
            </w:r>
          </w:p>
        </w:tc>
        <w:tc>
          <w:tcPr>
            <w:tcW w:w="12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(116)</w:t>
            </w:r>
          </w:p>
        </w:tc>
        <w:tc>
          <w:tcPr>
            <w:tcW w:w="2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5"/>
        </w:trPr>
        <w:tc>
          <w:tcPr>
            <w:tcW w:w="5540" w:type="dxa"/>
            <w:vAlign w:val="bottom"/>
          </w:tcPr>
          <w:p>
            <w:pPr>
              <w:spacing w:after="0"/>
              <w:rPr>
                <w:sz w:val="20"/>
                <w:szCs w:val="20"/>
                <w:color w:val="auto"/>
              </w:rPr>
            </w:pPr>
            <w:r>
              <w:rPr>
                <w:rFonts w:ascii="Arial" w:cs="Arial" w:eastAsia="Arial" w:hAnsi="Arial"/>
                <w:sz w:val="17"/>
                <w:szCs w:val="17"/>
                <w:color w:val="auto"/>
              </w:rPr>
              <w:t>Cash discount</w:t>
            </w: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540" w:type="dxa"/>
            <w:vAlign w:val="bottom"/>
          </w:tcPr>
          <w:p>
            <w:pPr>
              <w:spacing w:after="0"/>
              <w:rPr>
                <w:sz w:val="20"/>
                <w:szCs w:val="20"/>
                <w:color w:val="auto"/>
              </w:rPr>
            </w:pPr>
            <w:r>
              <w:rPr>
                <w:rFonts w:ascii="Arial" w:cs="Arial" w:eastAsia="Arial" w:hAnsi="Arial"/>
                <w:sz w:val="17"/>
                <w:szCs w:val="17"/>
                <w:color w:val="auto"/>
              </w:rPr>
              <w:t>Bad debt reserve</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540" w:type="dxa"/>
            <w:vAlign w:val="bottom"/>
          </w:tcPr>
          <w:p>
            <w:pPr>
              <w:spacing w:after="0" w:line="225" w:lineRule="exact"/>
              <w:rPr>
                <w:sz w:val="20"/>
                <w:szCs w:val="20"/>
                <w:color w:val="auto"/>
              </w:rPr>
            </w:pPr>
            <w:r>
              <w:rPr>
                <w:rFonts w:ascii="Arial" w:cs="Arial" w:eastAsia="Arial" w:hAnsi="Arial"/>
                <w:sz w:val="17"/>
                <w:szCs w:val="17"/>
                <w:color w:val="auto"/>
              </w:rPr>
              <w:t>Returns reserve</w:t>
            </w:r>
            <w:r>
              <w:rPr>
                <w:rFonts w:ascii="Arial" w:cs="Arial" w:eastAsia="Arial" w:hAnsi="Arial"/>
                <w:sz w:val="22"/>
                <w:szCs w:val="22"/>
                <w:color w:val="auto"/>
                <w:vertAlign w:val="superscript"/>
              </w:rPr>
              <w:t>(1)</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540" w:type="dxa"/>
            <w:vAlign w:val="bottom"/>
          </w:tcPr>
          <w:p>
            <w:pPr>
              <w:spacing w:after="0"/>
              <w:rPr>
                <w:sz w:val="20"/>
                <w:szCs w:val="20"/>
                <w:color w:val="auto"/>
              </w:rPr>
            </w:pPr>
            <w:r>
              <w:rPr>
                <w:rFonts w:ascii="Arial" w:cs="Arial" w:eastAsia="Arial" w:hAnsi="Arial"/>
                <w:sz w:val="17"/>
                <w:szCs w:val="17"/>
                <w:color w:val="auto"/>
              </w:rPr>
              <w:t>Total Accounts receivable allowances</w:t>
            </w:r>
          </w:p>
        </w:tc>
        <w:tc>
          <w:tcPr>
            <w:tcW w:w="2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124</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(117)</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7"/>
                <w:szCs w:val="17"/>
                <w:color w:val="auto"/>
              </w:rPr>
              <w:t>Fiscal year ended July 31, 2022</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5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540" w:type="dxa"/>
            <w:vAlign w:val="bottom"/>
          </w:tcPr>
          <w:p>
            <w:pPr>
              <w:spacing w:after="0"/>
              <w:rPr>
                <w:sz w:val="20"/>
                <w:szCs w:val="20"/>
                <w:color w:val="auto"/>
              </w:rPr>
            </w:pPr>
            <w:r>
              <w:rPr>
                <w:rFonts w:ascii="Arial" w:cs="Arial" w:eastAsia="Arial" w:hAnsi="Arial"/>
                <w:sz w:val="17"/>
                <w:szCs w:val="17"/>
                <w:color w:val="auto"/>
              </w:rPr>
              <w:t>Cash discount</w:t>
            </w: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136</w:t>
            </w:r>
          </w:p>
        </w:tc>
        <w:tc>
          <w:tcPr>
            <w:tcW w:w="12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(137)</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5540" w:type="dxa"/>
            <w:vAlign w:val="bottom"/>
          </w:tcPr>
          <w:p>
            <w:pPr>
              <w:spacing w:after="0"/>
              <w:rPr>
                <w:sz w:val="20"/>
                <w:szCs w:val="20"/>
                <w:color w:val="auto"/>
              </w:rPr>
            </w:pPr>
            <w:r>
              <w:rPr>
                <w:rFonts w:ascii="Arial" w:cs="Arial" w:eastAsia="Arial" w:hAnsi="Arial"/>
                <w:sz w:val="17"/>
                <w:szCs w:val="17"/>
                <w:color w:val="auto"/>
              </w:rPr>
              <w:t>Bad debt reserve</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540" w:type="dxa"/>
            <w:vAlign w:val="bottom"/>
          </w:tcPr>
          <w:p>
            <w:pPr>
              <w:spacing w:after="0" w:line="225" w:lineRule="exact"/>
              <w:rPr>
                <w:sz w:val="20"/>
                <w:szCs w:val="20"/>
                <w:color w:val="auto"/>
              </w:rPr>
            </w:pPr>
            <w:r>
              <w:rPr>
                <w:rFonts w:ascii="Arial" w:cs="Arial" w:eastAsia="Arial" w:hAnsi="Arial"/>
                <w:sz w:val="17"/>
                <w:szCs w:val="17"/>
                <w:color w:val="auto"/>
              </w:rPr>
              <w:t>Returns reserve</w:t>
            </w:r>
            <w:r>
              <w:rPr>
                <w:rFonts w:ascii="Arial" w:cs="Arial" w:eastAsia="Arial" w:hAnsi="Arial"/>
                <w:sz w:val="22"/>
                <w:szCs w:val="22"/>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540" w:type="dxa"/>
            <w:vAlign w:val="bottom"/>
          </w:tcPr>
          <w:p>
            <w:pPr>
              <w:spacing w:after="0"/>
              <w:rPr>
                <w:sz w:val="20"/>
                <w:szCs w:val="20"/>
                <w:color w:val="auto"/>
              </w:rPr>
            </w:pPr>
            <w:r>
              <w:rPr>
                <w:rFonts w:ascii="Arial" w:cs="Arial" w:eastAsia="Arial" w:hAnsi="Arial"/>
                <w:sz w:val="17"/>
                <w:szCs w:val="17"/>
                <w:color w:val="auto"/>
              </w:rPr>
              <w:t>Total Accounts receivable allowances</w:t>
            </w:r>
          </w:p>
        </w:tc>
        <w:tc>
          <w:tcPr>
            <w:tcW w:w="2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7"/>
                <w:szCs w:val="17"/>
                <w:color w:val="auto"/>
              </w:rPr>
              <w:t>Fiscal year ended August 1, 2021</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5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540" w:type="dxa"/>
            <w:vAlign w:val="bottom"/>
          </w:tcPr>
          <w:p>
            <w:pPr>
              <w:spacing w:after="0"/>
              <w:rPr>
                <w:sz w:val="20"/>
                <w:szCs w:val="20"/>
                <w:color w:val="auto"/>
              </w:rPr>
            </w:pPr>
            <w:r>
              <w:rPr>
                <w:rFonts w:ascii="Arial" w:cs="Arial" w:eastAsia="Arial" w:hAnsi="Arial"/>
                <w:sz w:val="17"/>
                <w:szCs w:val="17"/>
                <w:color w:val="auto"/>
              </w:rPr>
              <w:t>Cash discount</w:t>
            </w: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137</w:t>
            </w:r>
          </w:p>
        </w:tc>
        <w:tc>
          <w:tcPr>
            <w:tcW w:w="12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(137)</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5540" w:type="dxa"/>
            <w:vAlign w:val="bottom"/>
          </w:tcPr>
          <w:p>
            <w:pPr>
              <w:spacing w:after="0"/>
              <w:rPr>
                <w:sz w:val="20"/>
                <w:szCs w:val="20"/>
                <w:color w:val="auto"/>
              </w:rPr>
            </w:pPr>
            <w:r>
              <w:rPr>
                <w:rFonts w:ascii="Arial" w:cs="Arial" w:eastAsia="Arial" w:hAnsi="Arial"/>
                <w:sz w:val="17"/>
                <w:szCs w:val="17"/>
                <w:color w:val="auto"/>
              </w:rPr>
              <w:t>Bad debt reserve</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540" w:type="dxa"/>
            <w:vAlign w:val="bottom"/>
          </w:tcPr>
          <w:p>
            <w:pPr>
              <w:spacing w:after="0" w:line="225" w:lineRule="exact"/>
              <w:rPr>
                <w:sz w:val="20"/>
                <w:szCs w:val="20"/>
                <w:color w:val="auto"/>
              </w:rPr>
            </w:pPr>
            <w:r>
              <w:rPr>
                <w:rFonts w:ascii="Arial" w:cs="Arial" w:eastAsia="Arial" w:hAnsi="Arial"/>
                <w:sz w:val="17"/>
                <w:szCs w:val="17"/>
                <w:color w:val="auto"/>
              </w:rPr>
              <w:t>Returns reserve</w:t>
            </w:r>
            <w:r>
              <w:rPr>
                <w:rFonts w:ascii="Arial" w:cs="Arial" w:eastAsia="Arial" w:hAnsi="Arial"/>
                <w:sz w:val="22"/>
                <w:szCs w:val="22"/>
                <w:color w:val="auto"/>
                <w:vertAlign w:val="superscript"/>
              </w:rPr>
              <w:t>(1)</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540" w:type="dxa"/>
            <w:vAlign w:val="bottom"/>
          </w:tcPr>
          <w:p>
            <w:pPr>
              <w:spacing w:after="0"/>
              <w:rPr>
                <w:sz w:val="20"/>
                <w:szCs w:val="20"/>
                <w:color w:val="auto"/>
              </w:rPr>
            </w:pPr>
            <w:r>
              <w:rPr>
                <w:rFonts w:ascii="Arial" w:cs="Arial" w:eastAsia="Arial" w:hAnsi="Arial"/>
                <w:sz w:val="17"/>
                <w:szCs w:val="17"/>
                <w:color w:val="auto"/>
              </w:rPr>
              <w:t>Total Accounts receivable allowances</w:t>
            </w:r>
          </w:p>
        </w:tc>
        <w:tc>
          <w:tcPr>
            <w:tcW w:w="2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137</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(139)</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-2207260</wp:posOffset>
            </wp:positionV>
            <wp:extent cx="7089775" cy="1390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4">
                      <a:extLst>
                        <a:ext uri="{28A0092B-C50C-407E-A947-70E740481C1C}"/>
                      </a:extLst>
                    </a:blip>
                    <a:srcRect/>
                    <a:stretch>
                      <a:fillRect/>
                    </a:stretch>
                  </pic:blipFill>
                  <pic:spPr bwMode="auto">
                    <a:xfrm>
                      <a:off x="0" y="0"/>
                      <a:ext cx="7089775" cy="1390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-1610360</wp:posOffset>
            </wp:positionV>
            <wp:extent cx="7089775" cy="1390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5">
                      <a:extLst>
                        <a:ext uri="{28A0092B-C50C-407E-A947-70E740481C1C}"/>
                      </a:extLst>
                    </a:blip>
                    <a:srcRect/>
                    <a:stretch>
                      <a:fillRect/>
                    </a:stretch>
                  </pic:blipFill>
                  <pic:spPr bwMode="auto">
                    <a:xfrm>
                      <a:off x="0" y="0"/>
                      <a:ext cx="7089775" cy="1390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-1332230</wp:posOffset>
            </wp:positionV>
            <wp:extent cx="7089775" cy="1390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6">
                      <a:extLst>
                        <a:ext uri="{28A0092B-C50C-407E-A947-70E740481C1C}"/>
                      </a:extLst>
                    </a:blip>
                    <a:srcRect/>
                    <a:stretch>
                      <a:fillRect/>
                    </a:stretch>
                  </pic:blipFill>
                  <pic:spPr bwMode="auto">
                    <a:xfrm>
                      <a:off x="0" y="0"/>
                      <a:ext cx="7089775" cy="1390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-735330</wp:posOffset>
            </wp:positionV>
            <wp:extent cx="7089775" cy="1390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7">
                      <a:extLst>
                        <a:ext uri="{28A0092B-C50C-407E-A947-70E740481C1C}"/>
                      </a:extLst>
                    </a:blip>
                    <a:srcRect/>
                    <a:stretch>
                      <a:fillRect/>
                    </a:stretch>
                  </pic:blipFill>
                  <pic:spPr bwMode="auto">
                    <a:xfrm>
                      <a:off x="0" y="0"/>
                      <a:ext cx="7089775" cy="1390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-457200</wp:posOffset>
            </wp:positionV>
            <wp:extent cx="7089775" cy="1390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8">
                      <a:extLst>
                        <a:ext uri="{28A0092B-C50C-407E-A947-70E740481C1C}"/>
                      </a:extLst>
                    </a:blip>
                    <a:srcRect/>
                    <a:stretch>
                      <a:fillRect/>
                    </a:stretch>
                  </pic:blipFill>
                  <pic:spPr bwMode="auto">
                    <a:xfrm>
                      <a:off x="0" y="0"/>
                      <a:ext cx="7089775" cy="1390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-179070</wp:posOffset>
            </wp:positionV>
            <wp:extent cx="7089775" cy="163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9">
                      <a:extLst>
                        <a:ext uri="{28A0092B-C50C-407E-A947-70E740481C1C}"/>
                      </a:extLst>
                    </a:blip>
                    <a:srcRect/>
                    <a:stretch>
                      <a:fillRect/>
                    </a:stretch>
                  </pic:blipFill>
                  <pic:spPr bwMode="auto">
                    <a:xfrm>
                      <a:off x="0" y="0"/>
                      <a:ext cx="7089775" cy="163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-1054100</wp:posOffset>
            </wp:positionV>
            <wp:extent cx="7089775" cy="163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0">
                      <a:extLst>
                        <a:ext uri="{28A0092B-C50C-407E-A947-70E740481C1C}"/>
                      </a:extLst>
                    </a:blip>
                    <a:srcRect/>
                    <a:stretch>
                      <a:fillRect/>
                    </a:stretch>
                  </pic:blipFill>
                  <pic:spPr bwMode="auto">
                    <a:xfrm>
                      <a:off x="0" y="0"/>
                      <a:ext cx="7089775" cy="163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-1929130</wp:posOffset>
            </wp:positionV>
            <wp:extent cx="7089775" cy="163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1">
                      <a:extLst>
                        <a:ext uri="{28A0092B-C50C-407E-A947-70E740481C1C}"/>
                      </a:extLst>
                    </a:blip>
                    <a:srcRect/>
                    <a:stretch>
                      <a:fillRect/>
                    </a:stretch>
                  </pic:blipFill>
                  <pic:spPr bwMode="auto">
                    <a:xfrm>
                      <a:off x="0" y="0"/>
                      <a:ext cx="7089775" cy="163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-2485390</wp:posOffset>
            </wp:positionV>
            <wp:extent cx="7089775" cy="1390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2">
                      <a:extLst>
                        <a:ext uri="{28A0092B-C50C-407E-A947-70E740481C1C}"/>
                      </a:extLst>
                    </a:blip>
                    <a:srcRect/>
                    <a:stretch>
                      <a:fillRect/>
                    </a:stretch>
                  </pic:blipFill>
                  <pic:spPr bwMode="auto">
                    <a:xfrm>
                      <a:off x="0" y="0"/>
                      <a:ext cx="7089775" cy="13906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jc w:val="center"/>
        <w:ind w:right="420"/>
        <w:spacing w:after="0"/>
        <w:rPr>
          <w:sz w:val="20"/>
          <w:szCs w:val="20"/>
          <w:color w:val="auto"/>
        </w:rPr>
      </w:pPr>
      <w:r>
        <w:rPr>
          <w:rFonts w:ascii="Arial" w:cs="Arial" w:eastAsia="Arial" w:hAnsi="Arial"/>
          <w:sz w:val="11"/>
          <w:szCs w:val="11"/>
          <w:b w:val="1"/>
          <w:bCs w:val="1"/>
          <w:color w:val="auto"/>
        </w:rPr>
        <w:t>Balance at</w:t>
      </w:r>
    </w:p>
    <w:p>
      <w:pPr>
        <w:spacing w:after="0" w:line="44" w:lineRule="exact"/>
        <w:rPr>
          <w:sz w:val="20"/>
          <w:szCs w:val="20"/>
          <w:color w:val="auto"/>
        </w:rPr>
      </w:pPr>
    </w:p>
    <w:p>
      <w:pPr>
        <w:jc w:val="center"/>
        <w:ind w:right="420"/>
        <w:spacing w:after="0"/>
        <w:rPr>
          <w:sz w:val="20"/>
          <w:szCs w:val="20"/>
          <w:color w:val="auto"/>
        </w:rPr>
      </w:pPr>
      <w:r>
        <w:rPr>
          <w:rFonts w:ascii="Arial" w:cs="Arial" w:eastAsia="Arial" w:hAnsi="Arial"/>
          <w:sz w:val="14"/>
          <w:szCs w:val="14"/>
          <w:b w:val="1"/>
          <w:bCs w:val="1"/>
          <w:color w:val="auto"/>
        </w:rPr>
        <w:t>End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Period</w:t>
      </w:r>
    </w:p>
    <w:p>
      <w:pPr>
        <w:spacing w:after="0" w:line="257" w:lineRule="exact"/>
        <w:rPr>
          <w:sz w:val="20"/>
          <w:szCs w:val="20"/>
          <w:color w:val="auto"/>
        </w:rPr>
      </w:pPr>
    </w:p>
    <w:p>
      <w:pPr>
        <w:jc w:val="right"/>
        <w:ind w:right="140"/>
        <w:spacing w:after="0"/>
        <w:rPr>
          <w:sz w:val="20"/>
          <w:szCs w:val="20"/>
          <w:color w:val="auto"/>
        </w:rPr>
      </w:pPr>
      <w:r>
        <w:rPr>
          <w:rFonts w:ascii="Arial" w:cs="Arial" w:eastAsia="Arial" w:hAnsi="Arial"/>
          <w:sz w:val="17"/>
          <w:szCs w:val="17"/>
          <w:b w:val="1"/>
          <w:bCs w:val="1"/>
          <w:color w:val="auto"/>
        </w:rPr>
        <w:t>6</w:t>
      </w:r>
    </w:p>
    <w:p>
      <w:pPr>
        <w:spacing w:after="0" w:line="27" w:lineRule="exact"/>
        <w:rPr>
          <w:sz w:val="20"/>
          <w:szCs w:val="20"/>
          <w:color w:val="auto"/>
        </w:rPr>
      </w:pPr>
    </w:p>
    <w:p>
      <w:pPr>
        <w:jc w:val="right"/>
        <w:ind w:right="140"/>
        <w:spacing w:after="0"/>
        <w:rPr>
          <w:sz w:val="20"/>
          <w:szCs w:val="20"/>
          <w:color w:val="auto"/>
        </w:rPr>
      </w:pPr>
      <w:r>
        <w:rPr>
          <w:rFonts w:ascii="Arial" w:cs="Arial" w:eastAsia="Arial" w:hAnsi="Arial"/>
          <w:sz w:val="17"/>
          <w:szCs w:val="17"/>
          <w:b w:val="1"/>
          <w:bCs w:val="1"/>
          <w:color w:val="auto"/>
        </w:rPr>
        <w:t>10</w:t>
      </w:r>
    </w:p>
    <w:p>
      <w:pPr>
        <w:spacing w:after="0" w:line="23" w:lineRule="exact"/>
        <w:rPr>
          <w:sz w:val="20"/>
          <w:szCs w:val="20"/>
          <w:color w:val="auto"/>
        </w:rPr>
      </w:pPr>
    </w:p>
    <w:p>
      <w:pPr>
        <w:jc w:val="right"/>
        <w:ind w:right="140"/>
        <w:spacing w:after="0"/>
        <w:rPr>
          <w:sz w:val="20"/>
          <w:szCs w:val="20"/>
          <w:color w:val="auto"/>
        </w:rPr>
      </w:pPr>
      <w:r>
        <w:rPr>
          <w:rFonts w:ascii="Arial" w:cs="Arial" w:eastAsia="Arial" w:hAnsi="Arial"/>
          <w:sz w:val="17"/>
          <w:szCs w:val="17"/>
          <w:b w:val="1"/>
          <w:bCs w:val="1"/>
          <w:color w:val="auto"/>
        </w:rPr>
        <w:t>3</w:t>
      </w:r>
    </w:p>
    <w:p>
      <w:pPr>
        <w:spacing w:after="0" w:line="32" w:lineRule="exact"/>
        <w:rPr>
          <w:sz w:val="20"/>
          <w:szCs w:val="20"/>
          <w:color w:val="auto"/>
        </w:rPr>
      </w:pPr>
    </w:p>
    <w:p>
      <w:pPr>
        <w:jc w:val="right"/>
        <w:ind w:right="140"/>
        <w:spacing w:after="0"/>
        <w:rPr>
          <w:sz w:val="20"/>
          <w:szCs w:val="20"/>
          <w:color w:val="auto"/>
        </w:rPr>
      </w:pPr>
      <w:r>
        <w:rPr>
          <w:rFonts w:ascii="Arial" w:cs="Arial" w:eastAsia="Arial" w:hAnsi="Arial"/>
          <w:sz w:val="17"/>
          <w:szCs w:val="17"/>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43180</wp:posOffset>
            </wp:positionV>
            <wp:extent cx="84201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3">
                      <a:extLst>
                        <a:ext uri="{28A0092B-C50C-407E-A947-70E740481C1C}"/>
                      </a:extLst>
                    </a:blip>
                    <a:srcRect/>
                    <a:stretch>
                      <a:fillRect/>
                    </a:stretch>
                  </pic:blipFill>
                  <pic:spPr bwMode="auto">
                    <a:xfrm>
                      <a:off x="0" y="0"/>
                      <a:ext cx="842010"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right"/>
        <w:ind w:right="140"/>
        <w:spacing w:after="0"/>
        <w:rPr>
          <w:sz w:val="20"/>
          <w:szCs w:val="20"/>
          <w:color w:val="auto"/>
        </w:rPr>
      </w:pPr>
      <w:r>
        <w:rPr>
          <w:rFonts w:ascii="Arial" w:cs="Arial" w:eastAsia="Arial" w:hAnsi="Arial"/>
          <w:sz w:val="17"/>
          <w:szCs w:val="17"/>
          <w:color w:val="auto"/>
        </w:rPr>
        <w:t>5</w:t>
      </w:r>
    </w:p>
    <w:p>
      <w:pPr>
        <w:spacing w:after="0" w:line="23" w:lineRule="exact"/>
        <w:rPr>
          <w:sz w:val="20"/>
          <w:szCs w:val="20"/>
          <w:color w:val="auto"/>
        </w:rPr>
      </w:pPr>
    </w:p>
    <w:p>
      <w:pPr>
        <w:jc w:val="right"/>
        <w:ind w:right="140"/>
        <w:spacing w:after="0"/>
        <w:rPr>
          <w:sz w:val="20"/>
          <w:szCs w:val="20"/>
          <w:color w:val="auto"/>
        </w:rPr>
      </w:pPr>
      <w:r>
        <w:rPr>
          <w:rFonts w:ascii="Arial" w:cs="Arial" w:eastAsia="Arial" w:hAnsi="Arial"/>
          <w:sz w:val="17"/>
          <w:szCs w:val="17"/>
          <w:color w:val="auto"/>
        </w:rPr>
        <w:t>4</w:t>
      </w:r>
    </w:p>
    <w:p>
      <w:pPr>
        <w:spacing w:after="0" w:line="23" w:lineRule="exact"/>
        <w:rPr>
          <w:sz w:val="20"/>
          <w:szCs w:val="20"/>
          <w:color w:val="auto"/>
        </w:rPr>
      </w:pPr>
    </w:p>
    <w:p>
      <w:pPr>
        <w:jc w:val="right"/>
        <w:ind w:right="140"/>
        <w:spacing w:after="0"/>
        <w:rPr>
          <w:sz w:val="20"/>
          <w:szCs w:val="20"/>
          <w:color w:val="auto"/>
        </w:rPr>
      </w:pPr>
      <w:r>
        <w:rPr>
          <w:rFonts w:ascii="Arial" w:cs="Arial" w:eastAsia="Arial" w:hAnsi="Arial"/>
          <w:sz w:val="17"/>
          <w:szCs w:val="17"/>
          <w:color w:val="auto"/>
        </w:rPr>
        <w:t>3</w:t>
      </w:r>
    </w:p>
    <w:p>
      <w:pPr>
        <w:spacing w:after="0" w:line="36" w:lineRule="exact"/>
        <w:rPr>
          <w:sz w:val="20"/>
          <w:szCs w:val="20"/>
          <w:color w:val="auto"/>
        </w:rPr>
      </w:pPr>
    </w:p>
    <w:p>
      <w:pPr>
        <w:jc w:val="right"/>
        <w:ind w:right="1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39370</wp:posOffset>
            </wp:positionV>
            <wp:extent cx="84201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4">
                      <a:extLst>
                        <a:ext uri="{28A0092B-C50C-407E-A947-70E740481C1C}"/>
                      </a:extLst>
                    </a:blip>
                    <a:srcRect/>
                    <a:stretch>
                      <a:fillRect/>
                    </a:stretch>
                  </pic:blipFill>
                  <pic:spPr bwMode="auto">
                    <a:xfrm>
                      <a:off x="0" y="0"/>
                      <a:ext cx="84201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right"/>
        <w:ind w:right="140"/>
        <w:spacing w:after="0"/>
        <w:rPr>
          <w:sz w:val="20"/>
          <w:szCs w:val="20"/>
          <w:color w:val="auto"/>
        </w:rPr>
      </w:pPr>
      <w:r>
        <w:rPr>
          <w:rFonts w:ascii="Arial" w:cs="Arial" w:eastAsia="Arial" w:hAnsi="Arial"/>
          <w:sz w:val="17"/>
          <w:szCs w:val="17"/>
          <w:color w:val="auto"/>
        </w:rPr>
        <w:t>6</w:t>
      </w:r>
    </w:p>
    <w:p>
      <w:pPr>
        <w:spacing w:after="0" w:line="23" w:lineRule="exact"/>
        <w:rPr>
          <w:sz w:val="20"/>
          <w:szCs w:val="20"/>
          <w:color w:val="auto"/>
        </w:rPr>
      </w:pPr>
    </w:p>
    <w:p>
      <w:pPr>
        <w:jc w:val="right"/>
        <w:ind w:right="140"/>
        <w:spacing w:after="0"/>
        <w:rPr>
          <w:sz w:val="20"/>
          <w:szCs w:val="20"/>
          <w:color w:val="auto"/>
        </w:rPr>
      </w:pPr>
      <w:r>
        <w:rPr>
          <w:rFonts w:ascii="Arial" w:cs="Arial" w:eastAsia="Arial" w:hAnsi="Arial"/>
          <w:sz w:val="17"/>
          <w:szCs w:val="17"/>
          <w:color w:val="auto"/>
        </w:rPr>
        <w:t>2</w:t>
      </w:r>
    </w:p>
    <w:p>
      <w:pPr>
        <w:spacing w:after="0" w:line="23" w:lineRule="exact"/>
        <w:rPr>
          <w:sz w:val="20"/>
          <w:szCs w:val="20"/>
          <w:color w:val="auto"/>
        </w:rPr>
      </w:pPr>
    </w:p>
    <w:p>
      <w:pPr>
        <w:jc w:val="right"/>
        <w:ind w:right="140"/>
        <w:spacing w:after="0"/>
        <w:rPr>
          <w:sz w:val="20"/>
          <w:szCs w:val="20"/>
          <w:color w:val="auto"/>
        </w:rPr>
      </w:pPr>
      <w:r>
        <w:rPr>
          <w:rFonts w:ascii="Arial" w:cs="Arial" w:eastAsia="Arial" w:hAnsi="Arial"/>
          <w:sz w:val="17"/>
          <w:szCs w:val="17"/>
          <w:color w:val="auto"/>
        </w:rPr>
        <w:t>4</w:t>
      </w:r>
    </w:p>
    <w:p>
      <w:pPr>
        <w:spacing w:after="0" w:line="36" w:lineRule="exact"/>
        <w:rPr>
          <w:sz w:val="20"/>
          <w:szCs w:val="20"/>
          <w:color w:val="auto"/>
        </w:rPr>
      </w:pPr>
    </w:p>
    <w:p>
      <w:pPr>
        <w:jc w:val="right"/>
        <w:ind w:right="1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39370</wp:posOffset>
            </wp:positionV>
            <wp:extent cx="84201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5">
                      <a:extLst>
                        <a:ext uri="{28A0092B-C50C-407E-A947-70E740481C1C}"/>
                      </a:extLst>
                    </a:blip>
                    <a:srcRect/>
                    <a:stretch>
                      <a:fillRect/>
                    </a:stretch>
                  </pic:blipFill>
                  <pic:spPr bwMode="auto">
                    <a:xfrm>
                      <a:off x="0" y="0"/>
                      <a:ext cx="842010" cy="8255"/>
                    </a:xfrm>
                    <a:prstGeom prst="rect">
                      <a:avLst/>
                    </a:prstGeom>
                    <a:noFill/>
                  </pic:spPr>
                </pic:pic>
              </a:graphicData>
            </a:graphic>
          </wp:anchor>
        </w:drawing>
      </w:r>
    </w:p>
    <w:p>
      <w:pPr>
        <w:spacing w:after="0" w:line="435" w:lineRule="exact"/>
        <w:rPr>
          <w:sz w:val="20"/>
          <w:szCs w:val="20"/>
          <w:color w:val="auto"/>
        </w:rPr>
      </w:pPr>
    </w:p>
    <w:p>
      <w:pPr>
        <w:sectPr>
          <w:pgSz w:w="11900" w:h="16838" w:orient="portrait"/>
          <w:cols w:equalWidth="0" w:num="2">
            <w:col w:w="9940" w:space="260"/>
            <w:col w:w="1040"/>
          </w:cols>
          <w:pgMar w:left="320" w:top="945" w:right="339" w:bottom="1440" w:gutter="0" w:footer="0" w:header="0"/>
          <w:type w:val="continuous"/>
        </w:sectPr>
      </w:pPr>
    </w:p>
    <w:p>
      <w:pPr>
        <w:ind w:left="320" w:hanging="317"/>
        <w:spacing w:after="0" w:line="284" w:lineRule="auto"/>
        <w:tabs>
          <w:tab w:leader="none" w:pos="308" w:val="left"/>
        </w:tabs>
        <w:numPr>
          <w:ilvl w:val="0"/>
          <w:numId w:val="64"/>
        </w:numPr>
        <w:rPr>
          <w:rFonts w:ascii="Arial" w:cs="Arial" w:eastAsia="Arial" w:hAnsi="Arial"/>
          <w:sz w:val="19"/>
          <w:szCs w:val="19"/>
          <w:color w:val="auto"/>
          <w:vertAlign w:val="superscript"/>
        </w:rPr>
      </w:pPr>
      <w:r>
        <w:rPr>
          <w:rFonts w:ascii="Arial" w:cs="Arial" w:eastAsia="Arial" w:hAnsi="Arial"/>
          <w:sz w:val="15"/>
          <w:szCs w:val="15"/>
          <w:color w:val="auto"/>
        </w:rPr>
        <w:t>The returns reserve is evaluated quarterly and adjusted accordingly. During each period, returns are charged to Net sales in the Consolidated Statements of Earnings as incurred. Actual returns were approximately $105 million in 2023, $110 million in 2022, and $100 million in 2021, or less than 2% of Net sales.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240"/>
          </w:cols>
          <w:pgMar w:left="320" w:top="945" w:right="339" w:bottom="144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21"/>
          <w:szCs w:val="21"/>
          <w:b w:val="1"/>
          <w:bCs w:val="1"/>
          <w:color w:val="auto"/>
        </w:rPr>
        <w:t>Fourth Amendment to the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Campbell Soup Company</w:t>
      </w:r>
    </w:p>
    <w:p>
      <w:pPr>
        <w:jc w:val="center"/>
        <w:spacing w:after="0"/>
        <w:rPr>
          <w:sz w:val="20"/>
          <w:szCs w:val="20"/>
          <w:color w:val="auto"/>
        </w:rPr>
      </w:pPr>
      <w:r>
        <w:rPr>
          <w:rFonts w:ascii="Arial" w:cs="Arial" w:eastAsia="Arial" w:hAnsi="Arial"/>
          <w:sz w:val="21"/>
          <w:szCs w:val="21"/>
          <w:b w:val="1"/>
          <w:bCs w:val="1"/>
          <w:color w:val="auto"/>
        </w:rPr>
        <w:t>Supplemental Retirement Plan</w:t>
      </w:r>
    </w:p>
    <w:p>
      <w:pPr>
        <w:spacing w:after="0" w:line="215" w:lineRule="exact"/>
        <w:rPr>
          <w:sz w:val="20"/>
          <w:szCs w:val="20"/>
          <w:color w:val="auto"/>
        </w:rPr>
      </w:pPr>
    </w:p>
    <w:p>
      <w:pPr>
        <w:ind w:right="20" w:firstLine="725"/>
        <w:spacing w:after="0" w:line="262"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Campbell Soup Company (“Company”) previously established the Campbell Soup Company Supplemental Retirement Plan</w:t>
      </w:r>
      <w:r>
        <w:rPr>
          <w:rFonts w:ascii="Arial" w:cs="Arial" w:eastAsia="Arial" w:hAnsi="Arial"/>
          <w:sz w:val="19"/>
          <w:szCs w:val="19"/>
          <w:b w:val="1"/>
          <w:bCs w:val="1"/>
          <w:color w:val="auto"/>
        </w:rPr>
        <w:t xml:space="preserve"> </w:t>
      </w:r>
      <w:r>
        <w:rPr>
          <w:rFonts w:ascii="Arial" w:cs="Arial" w:eastAsia="Arial" w:hAnsi="Arial"/>
          <w:sz w:val="19"/>
          <w:szCs w:val="19"/>
          <w:color w:val="auto"/>
        </w:rPr>
        <w:t>(the “Plan”) primarily to provide eligible executives of the Company and any designated subsidiary with an additional method of planning for retirement and other significant saving needs with respect to amounts deferred or vested after 2004;</w:t>
      </w:r>
    </w:p>
    <w:p>
      <w:pPr>
        <w:spacing w:after="0" w:line="186" w:lineRule="exact"/>
        <w:rPr>
          <w:sz w:val="20"/>
          <w:szCs w:val="20"/>
          <w:color w:val="auto"/>
        </w:rPr>
      </w:pPr>
    </w:p>
    <w:p>
      <w:pPr>
        <w:ind w:right="100" w:firstLine="726"/>
        <w:spacing w:after="0" w:line="28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pursuant to Article IX of the Plan, the corporate officer in charge of Human Resources of the Company reserves the right to</w:t>
      </w:r>
      <w:r>
        <w:rPr>
          <w:rFonts w:ascii="Arial" w:cs="Arial" w:eastAsia="Arial" w:hAnsi="Arial"/>
          <w:sz w:val="19"/>
          <w:szCs w:val="19"/>
          <w:b w:val="1"/>
          <w:bCs w:val="1"/>
          <w:color w:val="auto"/>
        </w:rPr>
        <w:t xml:space="preserve"> </w:t>
      </w:r>
      <w:r>
        <w:rPr>
          <w:rFonts w:ascii="Arial" w:cs="Arial" w:eastAsia="Arial" w:hAnsi="Arial"/>
          <w:sz w:val="19"/>
          <w:szCs w:val="19"/>
          <w:color w:val="auto"/>
        </w:rPr>
        <w:t>amend or terminate the Plan;</w:t>
      </w:r>
    </w:p>
    <w:p>
      <w:pPr>
        <w:spacing w:after="0" w:line="176" w:lineRule="exact"/>
        <w:rPr>
          <w:sz w:val="20"/>
          <w:szCs w:val="20"/>
          <w:color w:val="auto"/>
        </w:rPr>
      </w:pPr>
    </w:p>
    <w:p>
      <w:pPr>
        <w:ind w:right="180" w:firstLine="618"/>
        <w:spacing w:after="0" w:line="248"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corporate officer in charge of Human Resources desires to amend the Plan to reflect certain new definitions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Company’s 2022 Long-Term Incentive Plan recently approved by its shareholders (the “LTI Plan”) and thus, conform the Plan definitions with the LTI Plan and provide consistency across the entire organization to those employees affected in the future.</w:t>
      </w:r>
    </w:p>
    <w:p>
      <w:pPr>
        <w:spacing w:after="0" w:line="194" w:lineRule="exact"/>
        <w:rPr>
          <w:sz w:val="20"/>
          <w:szCs w:val="20"/>
          <w:color w:val="auto"/>
        </w:rPr>
      </w:pPr>
    </w:p>
    <w:p>
      <w:pPr>
        <w:ind w:left="720"/>
        <w:spacing w:after="0"/>
        <w:rPr>
          <w:sz w:val="20"/>
          <w:szCs w:val="20"/>
          <w:color w:val="auto"/>
        </w:rPr>
      </w:pPr>
      <w:r>
        <w:rPr>
          <w:rFonts w:ascii="Arial" w:cs="Arial" w:eastAsia="Arial" w:hAnsi="Arial"/>
          <w:sz w:val="21"/>
          <w:szCs w:val="21"/>
          <w:b w:val="1"/>
          <w:bCs w:val="1"/>
          <w:color w:val="auto"/>
        </w:rPr>
        <w:t>NOW, THEREFORE, BE IT:</w:t>
      </w:r>
    </w:p>
    <w:p>
      <w:pPr>
        <w:spacing w:after="0" w:line="209" w:lineRule="exact"/>
        <w:rPr>
          <w:sz w:val="20"/>
          <w:szCs w:val="20"/>
          <w:color w:val="auto"/>
        </w:rPr>
      </w:pPr>
    </w:p>
    <w:p>
      <w:pPr>
        <w:ind w:left="760"/>
        <w:spacing w:after="0"/>
        <w:rPr>
          <w:sz w:val="20"/>
          <w:szCs w:val="20"/>
          <w:color w:val="auto"/>
        </w:rPr>
      </w:pPr>
      <w:r>
        <w:rPr>
          <w:rFonts w:ascii="Arial" w:cs="Arial" w:eastAsia="Arial" w:hAnsi="Arial"/>
          <w:sz w:val="21"/>
          <w:szCs w:val="21"/>
          <w:b w:val="1"/>
          <w:bCs w:val="1"/>
          <w:color w:val="auto"/>
        </w:rPr>
        <w:t>RESOLVED</w:t>
      </w:r>
      <w:r>
        <w:rPr>
          <w:rFonts w:ascii="Arial" w:cs="Arial" w:eastAsia="Arial" w:hAnsi="Arial"/>
          <w:sz w:val="21"/>
          <w:szCs w:val="21"/>
          <w:color w:val="auto"/>
        </w:rPr>
        <w:t>, effective September 1, 2023, Article I, Section 1.26 is amended to read, in its entirety, as follows:</w:t>
      </w:r>
    </w:p>
    <w:p>
      <w:pPr>
        <w:spacing w:after="0" w:line="222" w:lineRule="exact"/>
        <w:rPr>
          <w:sz w:val="20"/>
          <w:szCs w:val="20"/>
          <w:color w:val="auto"/>
        </w:rPr>
      </w:pPr>
    </w:p>
    <w:p>
      <w:pPr>
        <w:ind w:right="220" w:firstLine="766"/>
        <w:spacing w:after="0" w:line="258" w:lineRule="auto"/>
        <w:rPr>
          <w:sz w:val="20"/>
          <w:szCs w:val="20"/>
          <w:color w:val="auto"/>
        </w:rPr>
      </w:pPr>
      <w:r>
        <w:rPr>
          <w:rFonts w:ascii="Arial" w:cs="Arial" w:eastAsia="Arial" w:hAnsi="Arial"/>
          <w:sz w:val="21"/>
          <w:szCs w:val="21"/>
          <w:color w:val="auto"/>
        </w:rPr>
        <w:t xml:space="preserve">1.26 </w:t>
      </w:r>
      <w:r>
        <w:rPr>
          <w:rFonts w:ascii="Arial" w:cs="Arial" w:eastAsia="Arial" w:hAnsi="Arial"/>
          <w:sz w:val="21"/>
          <w:szCs w:val="21"/>
          <w:b w:val="1"/>
          <w:bCs w:val="1"/>
          <w:color w:val="auto"/>
        </w:rPr>
        <w:t>“LTIP”</w:t>
      </w:r>
      <w:r>
        <w:rPr>
          <w:rFonts w:ascii="Arial" w:cs="Arial" w:eastAsia="Arial" w:hAnsi="Arial"/>
          <w:sz w:val="21"/>
          <w:szCs w:val="21"/>
          <w:color w:val="auto"/>
        </w:rPr>
        <w:t xml:space="preserve"> means any Employer long-term incentive plan, including but not limited to the Campbell Soup Company 2022 Long-Term Incentive Plan.</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RESOLVED</w:t>
      </w:r>
      <w:r>
        <w:rPr>
          <w:rFonts w:ascii="Arial" w:cs="Arial" w:eastAsia="Arial" w:hAnsi="Arial"/>
          <w:sz w:val="20"/>
          <w:szCs w:val="20"/>
          <w:color w:val="auto"/>
        </w:rPr>
        <w:t>, effective September 1, 2023, Article IV, Section 4.2(b) is amended to read, in its entirety, as follows:</w:t>
      </w:r>
    </w:p>
    <w:p>
      <w:pPr>
        <w:spacing w:after="0" w:line="234" w:lineRule="exact"/>
        <w:rPr>
          <w:sz w:val="20"/>
          <w:szCs w:val="20"/>
          <w:color w:val="auto"/>
        </w:rPr>
      </w:pPr>
    </w:p>
    <w:p>
      <w:pPr>
        <w:ind w:right="40" w:firstLine="769"/>
        <w:spacing w:after="0" w:line="274" w:lineRule="auto"/>
        <w:tabs>
          <w:tab w:leader="none" w:pos="1057" w:val="left"/>
        </w:tabs>
        <w:numPr>
          <w:ilvl w:val="1"/>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Involuntary Termination by the Company without Cause. </w:t>
      </w:r>
      <w:r>
        <w:rPr>
          <w:rFonts w:ascii="Arial" w:cs="Arial" w:eastAsia="Arial" w:hAnsi="Arial"/>
          <w:sz w:val="18"/>
          <w:szCs w:val="18"/>
          <w:color w:val="auto"/>
        </w:rPr>
        <w:t>If a Participant is terminated by the Company without Cause</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Participant has completed at least five Years of Service but has not attained age 55, the Participant’s Executive Retirement Contributions (and earnings thereon) shall be 20% vested. For this purpose, “Cause” means (i) the definition of “Cause” as set forth in any individual employment agreement applicable to such Participant, or (ii) in the case of a Participant who does not have an individual employment agreement that defines Cause, then “Cause” means the termination of a Participant’s employment by reason of his or her</w:t>
      </w:r>
    </w:p>
    <w:p>
      <w:pPr>
        <w:spacing w:after="0" w:line="1" w:lineRule="exact"/>
        <w:rPr>
          <w:rFonts w:ascii="Arial" w:cs="Arial" w:eastAsia="Arial" w:hAnsi="Arial"/>
          <w:sz w:val="18"/>
          <w:szCs w:val="18"/>
          <w:color w:val="auto"/>
        </w:rPr>
      </w:pPr>
    </w:p>
    <w:p>
      <w:pPr>
        <w:ind w:firstLine="3"/>
        <w:spacing w:after="0" w:line="242" w:lineRule="auto"/>
        <w:tabs>
          <w:tab w:leader="none" w:pos="292" w:val="left"/>
        </w:tabs>
        <w:numPr>
          <w:ilvl w:val="0"/>
          <w:numId w:val="66"/>
        </w:numPr>
        <w:rPr>
          <w:rFonts w:ascii="Arial" w:cs="Arial" w:eastAsia="Arial" w:hAnsi="Arial"/>
          <w:sz w:val="20"/>
          <w:szCs w:val="20"/>
          <w:color w:val="auto"/>
        </w:rPr>
      </w:pPr>
      <w:r>
        <w:rPr>
          <w:rFonts w:ascii="Arial" w:cs="Arial" w:eastAsia="Arial" w:hAnsi="Arial"/>
          <w:sz w:val="20"/>
          <w:szCs w:val="20"/>
          <w:color w:val="auto"/>
        </w:rPr>
        <w:t>engaging in gross misconduct that is injurious to the Company and/or any of its subsidiaries the majority of the voting stock of which is owned directly or indirectly by the Company (hereinafter, the “Campbell Group”), monetarily or otherwise, (2) material breach by the Participant of the Company’s Code of Business Conduct and Ethics or the Company’s Code of Ethics for the Chief Executive Officer and Senior Financial Officers, as applicable, as such codes may be amended from time to time (or any successor policies thereto), (3) misappropriation of funds, (4) willful misrepresentation to the directors or officers of the Campbell Group, (5) gross negligence in the performance of the Participant’s duties having an adverse effect on the business, operations, assets, properties or financial condition of the Campbell Group, (6) conviction of a crime involving moral turpitude, or (7) material breach of any employment agreement between the Participant and a member of the Campbell Group or any confidentiality, intellectual property, non-solicitation, non-competition or similar restrictive covenant in any agreement between the Participant and a member of the Campbell Group. The</w:t>
      </w:r>
    </w:p>
    <w:p>
      <w:pPr>
        <w:sectPr>
          <w:pgSz w:w="11900" w:h="16838" w:orient="portrait"/>
          <w:cols w:equalWidth="0" w:num="1">
            <w:col w:w="11240"/>
          </w:cols>
          <w:pgMar w:left="320" w:top="1348" w:right="339" w:bottom="1440" w:gutter="0" w:footer="0" w:header="0"/>
        </w:sectPr>
      </w:pPr>
    </w:p>
    <w:bookmarkStart w:id="81" w:name="page82"/>
    <w:bookmarkEnd w:id="81"/>
    <w:p>
      <w:pPr>
        <w:ind w:right="480"/>
        <w:spacing w:after="0" w:line="252" w:lineRule="auto"/>
        <w:rPr>
          <w:sz w:val="20"/>
          <w:szCs w:val="20"/>
          <w:color w:val="auto"/>
        </w:rPr>
      </w:pPr>
      <w:r>
        <w:rPr>
          <w:rFonts w:ascii="Arial" w:cs="Arial" w:eastAsia="Arial" w:hAnsi="Arial"/>
          <w:sz w:val="21"/>
          <w:szCs w:val="21"/>
          <w:color w:val="auto"/>
        </w:rPr>
        <w:t>determination of whether a Participant’s employment was terminated for Cause shall be made by the Plan Administrator in its sole discretion.</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effective September 1, 2023, Article X, Sections 10.2 and 10.3 are amended to read, in their entirety, as follows:</w:t>
      </w:r>
    </w:p>
    <w:p>
      <w:pPr>
        <w:spacing w:after="0" w:line="257" w:lineRule="exact"/>
        <w:rPr>
          <w:sz w:val="20"/>
          <w:szCs w:val="20"/>
          <w:color w:val="auto"/>
        </w:rPr>
      </w:pPr>
    </w:p>
    <w:p>
      <w:pPr>
        <w:ind w:left="760"/>
        <w:spacing w:after="0"/>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b w:val="1"/>
          <w:bCs w:val="1"/>
          <w:color w:val="auto"/>
        </w:rPr>
        <w:t>Definition of Change in Control.</w:t>
      </w:r>
      <w:r>
        <w:rPr>
          <w:rFonts w:ascii="Arial" w:cs="Arial" w:eastAsia="Arial" w:hAnsi="Arial"/>
          <w:sz w:val="19"/>
          <w:szCs w:val="19"/>
          <w:color w:val="auto"/>
        </w:rPr>
        <w:t xml:space="preserve"> For purposes of the Plan “Change in Control” shall mean any of the following events:</w:t>
      </w:r>
    </w:p>
    <w:p>
      <w:pPr>
        <w:spacing w:after="0" w:line="251" w:lineRule="exact"/>
        <w:rPr>
          <w:sz w:val="20"/>
          <w:szCs w:val="20"/>
          <w:color w:val="auto"/>
        </w:rPr>
      </w:pPr>
    </w:p>
    <w:p>
      <w:pPr>
        <w:ind w:right="100" w:firstLine="776"/>
        <w:spacing w:after="0" w:line="233" w:lineRule="auto"/>
        <w:tabs>
          <w:tab w:leader="none" w:pos="1227" w:val="left"/>
        </w:tabs>
        <w:numPr>
          <w:ilvl w:val="0"/>
          <w:numId w:val="67"/>
        </w:numPr>
        <w:rPr>
          <w:rFonts w:ascii="Arial" w:cs="Arial" w:eastAsia="Arial" w:hAnsi="Arial"/>
          <w:sz w:val="19"/>
          <w:szCs w:val="19"/>
          <w:color w:val="auto"/>
        </w:rPr>
      </w:pPr>
      <w:r>
        <w:rPr>
          <w:rFonts w:ascii="Arial" w:cs="Arial" w:eastAsia="Arial" w:hAnsi="Arial"/>
          <w:sz w:val="21"/>
          <w:szCs w:val="21"/>
          <w:color w:val="auto"/>
        </w:rPr>
        <w:t>The acquisition in one or more transactions by any “Person” (as the term person is used for purposes of Section 13(d) or 14(d) of the Securities Exchange Act of 1934, as amended (the “1934 Act”)) of “Beneficial Ownership” (within the meaning of Rule 13d-3 promulgated under the Exchange Act) of twenty-five percent (25%) or more of the combined voting power of the Company’s then outstanding voting securities (the “Voting Securities”), provided, however, that for purposes of this Section 10.2(a), the Voting Securities acquired directly from the Company by any Person shall be excluded from the determination of such Person’s Beneficial Ownership of Voting Securities (but such Voting Securities shall be included in the calculation of the total number of Voting Securities then outstanding); or</w:t>
      </w:r>
    </w:p>
    <w:p>
      <w:pPr>
        <w:spacing w:after="0" w:line="200" w:lineRule="exact"/>
        <w:rPr>
          <w:rFonts w:ascii="Arial" w:cs="Arial" w:eastAsia="Arial" w:hAnsi="Arial"/>
          <w:sz w:val="19"/>
          <w:szCs w:val="19"/>
          <w:color w:val="auto"/>
        </w:rPr>
      </w:pPr>
    </w:p>
    <w:p>
      <w:pPr>
        <w:ind w:right="80" w:firstLine="776"/>
        <w:spacing w:after="0" w:line="245" w:lineRule="auto"/>
        <w:tabs>
          <w:tab w:leader="none" w:pos="1232"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individuals who, as of November 30, 2022, are members of the Board (the “Incumbent Board”), cease for any reason to constitute more than fifty percent of the Board; provided, however, that if the election, or nomination for election by the Company’s holders of shares of Campbell Stock (hereinafter, the “Shareholders”), of any new director was approved by a vote of at least two-thirds of the Incumbent Board, such new director shall, for purposes of the Plan, be considered as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98" w:lineRule="exact"/>
        <w:rPr>
          <w:rFonts w:ascii="Arial" w:cs="Arial" w:eastAsia="Arial" w:hAnsi="Arial"/>
          <w:sz w:val="20"/>
          <w:szCs w:val="20"/>
          <w:color w:val="auto"/>
        </w:rPr>
      </w:pPr>
    </w:p>
    <w:p>
      <w:pPr>
        <w:ind w:right="500" w:firstLine="776"/>
        <w:spacing w:after="0" w:line="236" w:lineRule="auto"/>
        <w:tabs>
          <w:tab w:leader="none" w:pos="1233" w:val="left"/>
        </w:tabs>
        <w:numPr>
          <w:ilvl w:val="0"/>
          <w:numId w:val="67"/>
        </w:numPr>
        <w:rPr>
          <w:rFonts w:ascii="Arial" w:cs="Arial" w:eastAsia="Arial" w:hAnsi="Arial"/>
          <w:sz w:val="21"/>
          <w:szCs w:val="21"/>
          <w:color w:val="auto"/>
        </w:rPr>
      </w:pPr>
      <w:r>
        <w:rPr>
          <w:rFonts w:ascii="Arial" w:cs="Arial" w:eastAsia="Arial" w:hAnsi="Arial"/>
          <w:sz w:val="21"/>
          <w:szCs w:val="21"/>
          <w:color w:val="auto"/>
        </w:rPr>
        <w:t>The consummation of a merger or consolidation involving the Company if the Shareholders of the Company, immediately before such merger or consolidation, do not own, directly or indirectly immediately following such merger or consolidation, more than fifty percent (50%) of the combined voting power of the outstanding Voting Securities of the corporation resulting from such merger or consolidation in substantially the same proportion as their ownership of the Voting Securities immediately before such merger or consolidation; or</w:t>
      </w:r>
    </w:p>
    <w:p>
      <w:pPr>
        <w:spacing w:after="0" w:line="203" w:lineRule="exact"/>
        <w:rPr>
          <w:rFonts w:ascii="Arial" w:cs="Arial" w:eastAsia="Arial" w:hAnsi="Arial"/>
          <w:sz w:val="21"/>
          <w:szCs w:val="21"/>
          <w:color w:val="auto"/>
        </w:rPr>
      </w:pPr>
    </w:p>
    <w:p>
      <w:pPr>
        <w:ind w:right="260" w:firstLine="776"/>
        <w:spacing w:after="0" w:line="241" w:lineRule="auto"/>
        <w:tabs>
          <w:tab w:leader="none" w:pos="1232" w:val="left"/>
        </w:tabs>
        <w:numPr>
          <w:ilvl w:val="0"/>
          <w:numId w:val="67"/>
        </w:numPr>
        <w:rPr>
          <w:rFonts w:ascii="Arial" w:cs="Arial" w:eastAsia="Arial" w:hAnsi="Arial"/>
          <w:sz w:val="21"/>
          <w:szCs w:val="21"/>
          <w:color w:val="auto"/>
        </w:rPr>
      </w:pPr>
      <w:r>
        <w:rPr>
          <w:rFonts w:ascii="Arial" w:cs="Arial" w:eastAsia="Arial" w:hAnsi="Arial"/>
          <w:sz w:val="21"/>
          <w:szCs w:val="21"/>
          <w:color w:val="auto"/>
        </w:rPr>
        <w:t>Approval by Shareholders of the Company of a complete liquidation or dissolution of the Company or the consummation of a sale or other disposition (in one transaction or a series of related transactions) of more than fifty percent (50%) of the assets of the Company; or</w:t>
      </w:r>
    </w:p>
    <w:p>
      <w:pPr>
        <w:spacing w:after="0" w:line="199" w:lineRule="exact"/>
        <w:rPr>
          <w:rFonts w:ascii="Arial" w:cs="Arial" w:eastAsia="Arial" w:hAnsi="Arial"/>
          <w:sz w:val="21"/>
          <w:szCs w:val="21"/>
          <w:color w:val="auto"/>
        </w:rPr>
      </w:pPr>
    </w:p>
    <w:p>
      <w:pPr>
        <w:ind w:firstLine="776"/>
        <w:spacing w:after="0" w:line="249" w:lineRule="auto"/>
        <w:tabs>
          <w:tab w:leader="none" w:pos="1233"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consummation of a share exchange transaction whereby the Shareholders of the Company, immediately before such transaction, do not own, directly or indirectly immediately following such transaction, more than fifty percent (50%) of the combined voting power of the outstanding Voting Securities of the corporation resulting from such transaction in substantially the same proportion as their ownership of the Voting Securities outstanding immediately before such transaction.</w:t>
      </w:r>
    </w:p>
    <w:p>
      <w:pPr>
        <w:sectPr>
          <w:pgSz w:w="11900" w:h="16838" w:orient="portrait"/>
          <w:cols w:equalWidth="0" w:num="1">
            <w:col w:w="11240"/>
          </w:cols>
          <w:pgMar w:left="320" w:top="1354" w:right="339" w:bottom="1440" w:gutter="0" w:footer="0" w:header="0"/>
        </w:sectPr>
      </w:pPr>
    </w:p>
    <w:bookmarkStart w:id="82" w:name="page83"/>
    <w:bookmarkEnd w:id="82"/>
    <w:p>
      <w:pPr>
        <w:ind w:firstLine="766"/>
        <w:spacing w:after="0" w:line="255" w:lineRule="auto"/>
        <w:rPr>
          <w:sz w:val="20"/>
          <w:szCs w:val="20"/>
          <w:color w:val="auto"/>
        </w:rPr>
      </w:pPr>
      <w:r>
        <w:rPr>
          <w:rFonts w:ascii="Arial" w:cs="Arial" w:eastAsia="Arial" w:hAnsi="Arial"/>
          <w:sz w:val="19"/>
          <w:szCs w:val="19"/>
          <w:color w:val="auto"/>
        </w:rPr>
        <w:t>Notwithstanding the foregoing, a Change in Control shall not be deemed to occur solely because twenty-five percent (25%) or more of the then outstanding Voting Securities is acquired by (i) a trustee or other fiduciary holding securities under one or more employee benefit plans maintained by the Company or any of its subsidiaries the majority of the voting stock of which is owned directly or indirectly by the Company, (ii) any corporation which, immediately prior to such acquisition, is owned directly or indirectly by the Shareholders of the Company in the same proportion as their ownership of stock in the Company immediately prior to such acquisition, (iii) any “Grandfathered Dorrance Family Shareholder” (as hereinafter defined) or (iv) any Person who has acquired such Voting Securities directly from any Grandfathered Dorrance Family Shareholder but only if such Person has executed an agreement which is approved by two-thirds of the Board and pursuant to which such Person has agreed that he (or they) will not increase his (or their) Beneficial Ownership (directly or indirectly) to 30% or more of the outstanding Voting Securities (the “Standstill Agreement”) and only for the period during which the Standstill Agreement is effective and fully honored by such Person. For purposes of this Section 10.2, “Grandfathered Dorrance Family Shareholder” shall mean at any time a “Dorrance Family Shareholder” (as hereinafter defined) who or which is at the time in question the Beneficial Owner solely of (v) Voting Securities Beneficially Owned by such individual on January 25, 1990, (w) Voting Securities acquired directly from the Company, (x) Voting Securities acquired directly from another Grandfathered Dorrance Family Shareholder, (y) Voting Securities which are also Beneficially Owned by other Grandfathered Dorrance Family Shareholders at the time in question, and (z) Voting Securities acquired after January 25, 1990 other than directly from the Company or from another Grandfathered Dorrance Family Shareholder by any “Dorrance Grandchild” (as hereinafter defined) provided that the aggregate amount of Voting Securities so acquired by each such Dorrance Grandchild shall not exceed five percent (5%) of the Voting Securities outstanding at the time of such acquisition. A “Dorrance Family Shareholder” who or which is at the time in question the Beneficial Owner of Voting Securities which are not specified in clauses (v), (w), (x), (y) and (z) of the immediately preceding sentence shall not be a Grandfathered Dorrance Family Shareholder at the time in question. For purposes of this Section 10.2, “Dorrance Family Shareholders” shall mean individuals who are descendants of the late Dr. John T. Dorrance, Sr. and/or the spouses, fiduciaries and foundations of such descendants. A “Dorrance Grandchild” means as to each particular grandchild of the late Dr. John T. Dorrance, Sr., all of the following taken collectively: such grandchild, such grandchild’s descendants and/or the spouses, fiduciaries and foundations of such grandchild and such grandchild’s descendants.</w:t>
      </w:r>
    </w:p>
    <w:p>
      <w:pPr>
        <w:spacing w:after="0" w:line="198" w:lineRule="exact"/>
        <w:rPr>
          <w:sz w:val="20"/>
          <w:szCs w:val="20"/>
          <w:color w:val="auto"/>
        </w:rPr>
      </w:pPr>
    </w:p>
    <w:p>
      <w:pPr>
        <w:ind w:right="60" w:firstLine="766"/>
        <w:spacing w:after="0" w:line="260" w:lineRule="auto"/>
        <w:rPr>
          <w:sz w:val="20"/>
          <w:szCs w:val="20"/>
          <w:color w:val="auto"/>
        </w:rPr>
      </w:pPr>
      <w:r>
        <w:rPr>
          <w:rFonts w:ascii="Arial" w:cs="Arial" w:eastAsia="Arial" w:hAnsi="Arial"/>
          <w:sz w:val="19"/>
          <w:szCs w:val="19"/>
          <w:color w:val="auto"/>
        </w:rPr>
        <w:t>Moreover, notwithstanding the foregoing, a Change in Control shall not be deemed to occur solely because any Person (the “Subject Person”) acquired Beneficial Ownership of more than the permitted amount of the outstanding Voting Securities as a result of the acquisition of Voting Securities by the Company which, by reducing the number of Voting Securities outstanding, increases the proportional number of shares Beneficially Owned by the Subject Person, provided that if a Change in Control would occur (but for the operation of this sentence) as a result of the acquisition of Voting Securities by the Company, and after such share acquisition by the Company, the Subject Person becomes the Beneficial Owner of any additional Voting Securities which increases the percentage of the then outstanding Voting Securities Beneficially Owned by the Subject Person, then a Change in Control shall occur.</w:t>
      </w:r>
    </w:p>
    <w:p>
      <w:pPr>
        <w:spacing w:after="0" w:line="185" w:lineRule="exact"/>
        <w:rPr>
          <w:sz w:val="20"/>
          <w:szCs w:val="20"/>
          <w:color w:val="auto"/>
        </w:rPr>
      </w:pPr>
    </w:p>
    <w:p>
      <w:pPr>
        <w:ind w:right="580" w:firstLine="766"/>
        <w:spacing w:after="0" w:line="252" w:lineRule="auto"/>
        <w:rPr>
          <w:sz w:val="20"/>
          <w:szCs w:val="20"/>
          <w:color w:val="auto"/>
        </w:rPr>
      </w:pPr>
      <w:r>
        <w:rPr>
          <w:rFonts w:ascii="Arial" w:cs="Arial" w:eastAsia="Arial" w:hAnsi="Arial"/>
          <w:sz w:val="21"/>
          <w:szCs w:val="21"/>
          <w:color w:val="auto"/>
        </w:rPr>
        <w:t>Notwithstanding anything contained in this Plan to the contrary, with respect to any portion of the Participant’s Account Balance that is subject to Section 409A of the Code and any</w:t>
      </w:r>
    </w:p>
    <w:p>
      <w:pPr>
        <w:sectPr>
          <w:pgSz w:w="11900" w:h="16838" w:orient="portrait"/>
          <w:cols w:equalWidth="0" w:num="1">
            <w:col w:w="11240"/>
          </w:cols>
          <w:pgMar w:left="320" w:top="1354" w:right="339" w:bottom="1440" w:gutter="0" w:footer="0" w:header="0"/>
        </w:sectPr>
      </w:pPr>
    </w:p>
    <w:bookmarkStart w:id="83" w:name="page84"/>
    <w:bookmarkEnd w:id="83"/>
    <w:p>
      <w:pPr>
        <w:ind w:right="160"/>
        <w:spacing w:after="0" w:line="236" w:lineRule="auto"/>
        <w:rPr>
          <w:sz w:val="20"/>
          <w:szCs w:val="20"/>
          <w:color w:val="auto"/>
        </w:rPr>
      </w:pPr>
      <w:r>
        <w:rPr>
          <w:rFonts w:ascii="Arial" w:cs="Arial" w:eastAsia="Arial" w:hAnsi="Arial"/>
          <w:sz w:val="21"/>
          <w:szCs w:val="21"/>
          <w:color w:val="auto"/>
        </w:rPr>
        <w:t>payments or settlement of Account Balance that will accelerate upon a Change in Control, no event set forth in this Plan or other agreement applicable to a Participant or in clauses (a)-(e) of this Section 10.2 shall constitute a Change in Control for purposes of the Plan unless such event also constitutes a “change in ownership”, “change in effective control” or “change in the ownership of a substantial portion of the company’s assets” as defined under Section 409A of the Code and the regulations and guidance promulgated thereunder.</w:t>
      </w:r>
    </w:p>
    <w:p>
      <w:pPr>
        <w:spacing w:after="0" w:line="203" w:lineRule="exact"/>
        <w:rPr>
          <w:sz w:val="20"/>
          <w:szCs w:val="20"/>
          <w:color w:val="auto"/>
        </w:rPr>
      </w:pPr>
    </w:p>
    <w:p>
      <w:pPr>
        <w:ind w:right="20" w:firstLine="766"/>
        <w:spacing w:after="0" w:line="234" w:lineRule="auto"/>
        <w:rPr>
          <w:sz w:val="20"/>
          <w:szCs w:val="20"/>
          <w:color w:val="auto"/>
        </w:rPr>
      </w:pPr>
      <w:r>
        <w:rPr>
          <w:rFonts w:ascii="Arial" w:cs="Arial" w:eastAsia="Arial" w:hAnsi="Arial"/>
          <w:sz w:val="21"/>
          <w:szCs w:val="21"/>
          <w:color w:val="auto"/>
        </w:rPr>
        <w:t>Notwithstanding anything contained in this Plan to the contrary, if a Participant’s employment is terminated by the Company without Cause within one year prior to a Change in Control and such termination (i) was at the request of a third party who effectuates a Change in Control or (ii) otherwise occurred in connection with or in anticipation of, a Change in Control, then for purposes of this Article X only, the date of a Change in Control shall mean the date immediately prior to the date of such Participant’s termination of employment.</w:t>
      </w:r>
    </w:p>
    <w:p>
      <w:pPr>
        <w:spacing w:after="0" w:line="201" w:lineRule="exact"/>
        <w:rPr>
          <w:sz w:val="20"/>
          <w:szCs w:val="20"/>
          <w:color w:val="auto"/>
        </w:rPr>
      </w:pPr>
    </w:p>
    <w:p>
      <w:pPr>
        <w:ind w:right="100" w:firstLine="766"/>
        <w:spacing w:after="0" w:line="234" w:lineRule="auto"/>
        <w:rPr>
          <w:sz w:val="20"/>
          <w:szCs w:val="20"/>
          <w:color w:val="auto"/>
        </w:rPr>
      </w:pPr>
      <w:r>
        <w:rPr>
          <w:rFonts w:ascii="Arial" w:cs="Arial" w:eastAsia="Arial" w:hAnsi="Arial"/>
          <w:sz w:val="21"/>
          <w:szCs w:val="21"/>
          <w:color w:val="auto"/>
        </w:rPr>
        <w:t>For purposes of this Article X only, with respect to any Participant, (i) “Cause” shall be defined as set forth in any individual agreement applicable to a Participant, or (ii) in the case of a Participant who does not have an individual agreement that defines Cause, then Cause shall mean the termination of a Participant’s employment by reason of his or her (A) conviction of a felony or (B) engaging in conduct which constitutes willful gross misconduct which is demonstrably and materially injurious to the Campbell Group, monetarily or otherwise. No act, nor failure to act, on the Participant’s part, shall be considered “willful” unless he or she has acted, or failed to act, with an absence of good faith and without a reasonable belief that his or her action or failure to act was in the best interest of the Campbell Group.</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9"/>
          <w:szCs w:val="19"/>
          <w:b w:val="1"/>
          <w:bCs w:val="1"/>
          <w:color w:val="auto"/>
        </w:rPr>
        <w:t xml:space="preserve">10.3 Definition of “Termination Following A Change in Control”. </w:t>
      </w:r>
      <w:r>
        <w:rPr>
          <w:rFonts w:ascii="Arial" w:cs="Arial" w:eastAsia="Arial" w:hAnsi="Arial"/>
          <w:sz w:val="19"/>
          <w:szCs w:val="19"/>
          <w:color w:val="auto"/>
        </w:rPr>
        <w:t>For purposes of the Plan, “Termination Following a</w:t>
      </w:r>
    </w:p>
    <w:p>
      <w:pPr>
        <w:spacing w:after="0" w:line="37" w:lineRule="exact"/>
        <w:rPr>
          <w:sz w:val="20"/>
          <w:szCs w:val="20"/>
          <w:color w:val="auto"/>
        </w:rPr>
      </w:pPr>
    </w:p>
    <w:p>
      <w:pPr>
        <w:spacing w:after="0"/>
        <w:rPr>
          <w:sz w:val="20"/>
          <w:szCs w:val="20"/>
          <w:color w:val="auto"/>
        </w:rPr>
      </w:pPr>
      <w:r>
        <w:rPr>
          <w:rFonts w:ascii="Arial" w:cs="Arial" w:eastAsia="Arial" w:hAnsi="Arial"/>
          <w:sz w:val="21"/>
          <w:szCs w:val="21"/>
          <w:color w:val="auto"/>
        </w:rPr>
        <w:t>Change in Control” means a termination of employment:</w:t>
      </w:r>
    </w:p>
    <w:p>
      <w:pPr>
        <w:spacing w:after="0" w:line="204" w:lineRule="exact"/>
        <w:rPr>
          <w:sz w:val="20"/>
          <w:szCs w:val="20"/>
          <w:color w:val="auto"/>
        </w:rPr>
      </w:pPr>
    </w:p>
    <w:p>
      <w:pPr>
        <w:ind w:left="1040" w:hanging="271"/>
        <w:spacing w:after="0"/>
        <w:tabs>
          <w:tab w:leader="none" w:pos="1040" w:val="left"/>
        </w:tabs>
        <w:numPr>
          <w:ilvl w:val="1"/>
          <w:numId w:val="68"/>
        </w:numPr>
        <w:rPr>
          <w:rFonts w:ascii="Arial" w:cs="Arial" w:eastAsia="Arial" w:hAnsi="Arial"/>
          <w:sz w:val="21"/>
          <w:szCs w:val="21"/>
          <w:color w:val="auto"/>
        </w:rPr>
      </w:pPr>
      <w:r>
        <w:rPr>
          <w:rFonts w:ascii="Arial" w:cs="Arial" w:eastAsia="Arial" w:hAnsi="Arial"/>
          <w:sz w:val="21"/>
          <w:szCs w:val="21"/>
          <w:color w:val="auto"/>
        </w:rPr>
        <w:t>initiated by the employer of the Participant,</w:t>
      </w:r>
    </w:p>
    <w:p>
      <w:pPr>
        <w:spacing w:after="0" w:line="222" w:lineRule="exact"/>
        <w:rPr>
          <w:rFonts w:ascii="Arial" w:cs="Arial" w:eastAsia="Arial" w:hAnsi="Arial"/>
          <w:sz w:val="21"/>
          <w:szCs w:val="21"/>
          <w:color w:val="auto"/>
        </w:rPr>
      </w:pPr>
    </w:p>
    <w:p>
      <w:pPr>
        <w:ind w:left="360" w:hanging="283"/>
        <w:spacing w:after="0"/>
        <w:tabs>
          <w:tab w:leader="none" w:pos="360" w:val="left"/>
        </w:tabs>
        <w:numPr>
          <w:ilvl w:val="0"/>
          <w:numId w:val="69"/>
        </w:numPr>
        <w:rPr>
          <w:rFonts w:ascii="Arial" w:cs="Arial" w:eastAsia="Arial" w:hAnsi="Arial"/>
          <w:sz w:val="19"/>
          <w:szCs w:val="19"/>
          <w:color w:val="auto"/>
        </w:rPr>
      </w:pPr>
      <w:r>
        <w:rPr>
          <w:rFonts w:ascii="Arial" w:cs="Arial" w:eastAsia="Arial" w:hAnsi="Arial"/>
          <w:sz w:val="19"/>
          <w:szCs w:val="19"/>
          <w:color w:val="auto"/>
        </w:rPr>
        <w:t>initiated by the Participant for “Good Reason” as defined as set forth in any individual agreement applicable to the Participant, or</w:t>
      </w:r>
    </w:p>
    <w:p>
      <w:pPr>
        <w:spacing w:after="0" w:line="245" w:lineRule="exact"/>
        <w:rPr>
          <w:rFonts w:ascii="Arial" w:cs="Arial" w:eastAsia="Arial" w:hAnsi="Arial"/>
          <w:sz w:val="19"/>
          <w:szCs w:val="19"/>
          <w:color w:val="auto"/>
        </w:rPr>
      </w:pPr>
    </w:p>
    <w:p>
      <w:pPr>
        <w:ind w:right="680" w:firstLine="769"/>
        <w:spacing w:after="0" w:line="252" w:lineRule="auto"/>
        <w:tabs>
          <w:tab w:leader="none" w:pos="1046" w:val="left"/>
        </w:tabs>
        <w:numPr>
          <w:ilvl w:val="1"/>
          <w:numId w:val="69"/>
        </w:numPr>
        <w:rPr>
          <w:rFonts w:ascii="Arial" w:cs="Arial" w:eastAsia="Arial" w:hAnsi="Arial"/>
          <w:sz w:val="21"/>
          <w:szCs w:val="21"/>
          <w:color w:val="auto"/>
        </w:rPr>
      </w:pPr>
      <w:r>
        <w:rPr>
          <w:rFonts w:ascii="Arial" w:cs="Arial" w:eastAsia="Arial" w:hAnsi="Arial"/>
          <w:sz w:val="21"/>
          <w:szCs w:val="21"/>
          <w:color w:val="auto"/>
        </w:rPr>
        <w:t>in the case of a Participant who does not have an individual agreement that defines “Good Reason,” initiated by the Participant following one or more of the following events:</w:t>
      </w:r>
    </w:p>
    <w:p>
      <w:pPr>
        <w:spacing w:after="0" w:line="192" w:lineRule="exact"/>
        <w:rPr>
          <w:rFonts w:ascii="Arial" w:cs="Arial" w:eastAsia="Arial" w:hAnsi="Arial"/>
          <w:sz w:val="21"/>
          <w:szCs w:val="21"/>
          <w:color w:val="auto"/>
        </w:rPr>
      </w:pPr>
    </w:p>
    <w:p>
      <w:pPr>
        <w:ind w:firstLine="1239"/>
        <w:spacing w:after="0" w:line="242" w:lineRule="auto"/>
        <w:tabs>
          <w:tab w:leader="none" w:pos="1462" w:val="left"/>
        </w:tabs>
        <w:numPr>
          <w:ilvl w:val="2"/>
          <w:numId w:val="69"/>
        </w:numPr>
        <w:rPr>
          <w:rFonts w:ascii="Arial" w:cs="Arial" w:eastAsia="Arial" w:hAnsi="Arial"/>
          <w:sz w:val="19"/>
          <w:szCs w:val="19"/>
          <w:color w:val="auto"/>
        </w:rPr>
      </w:pPr>
      <w:r>
        <w:rPr>
          <w:rFonts w:ascii="Arial" w:cs="Arial" w:eastAsia="Arial" w:hAnsi="Arial"/>
          <w:sz w:val="19"/>
          <w:szCs w:val="19"/>
          <w:color w:val="auto"/>
        </w:rPr>
        <w:t>a reduction in the Participant’s base salary or any failure to pay the Participant any compensation or benefits to which he or she is entitled within thirty (30) days of the date due;</w:t>
      </w:r>
    </w:p>
    <w:p>
      <w:pPr>
        <w:ind w:right="160" w:firstLine="1239"/>
        <w:spacing w:after="0" w:line="231" w:lineRule="auto"/>
        <w:tabs>
          <w:tab w:leader="none" w:pos="1514" w:val="left"/>
        </w:tabs>
        <w:numPr>
          <w:ilvl w:val="2"/>
          <w:numId w:val="69"/>
        </w:numPr>
        <w:rPr>
          <w:rFonts w:ascii="Arial" w:cs="Arial" w:eastAsia="Arial" w:hAnsi="Arial"/>
          <w:sz w:val="19"/>
          <w:szCs w:val="19"/>
          <w:color w:val="auto"/>
        </w:rPr>
      </w:pPr>
      <w:r>
        <w:rPr>
          <w:rFonts w:ascii="Arial" w:cs="Arial" w:eastAsia="Arial" w:hAnsi="Arial"/>
          <w:sz w:val="19"/>
          <w:szCs w:val="19"/>
          <w:color w:val="auto"/>
        </w:rPr>
        <w:t>the Campbell Group’s requiring the Participant to be based at any place outside a 50-mile radius from his or her site of employment prior to the Change in Control, except for reasonably required travel on the Campbell Group’s business which is not greater than such travel requirements prior to the Change in Control;</w:t>
      </w:r>
    </w:p>
    <w:p>
      <w:pPr>
        <w:ind w:right="260" w:firstLine="1239"/>
        <w:spacing w:after="0" w:line="258" w:lineRule="auto"/>
        <w:tabs>
          <w:tab w:leader="none" w:pos="1566" w:val="left"/>
        </w:tabs>
        <w:numPr>
          <w:ilvl w:val="2"/>
          <w:numId w:val="69"/>
        </w:numPr>
        <w:rPr>
          <w:rFonts w:ascii="Arial" w:cs="Arial" w:eastAsia="Arial" w:hAnsi="Arial"/>
          <w:sz w:val="17"/>
          <w:szCs w:val="17"/>
          <w:color w:val="auto"/>
        </w:rPr>
      </w:pPr>
      <w:r>
        <w:rPr>
          <w:rFonts w:ascii="Arial" w:cs="Arial" w:eastAsia="Arial" w:hAnsi="Arial"/>
          <w:sz w:val="17"/>
          <w:szCs w:val="17"/>
          <w:color w:val="auto"/>
        </w:rPr>
        <w:t>the failure by the Campbell Group to provide the Participant with compensation and benefits, in the aggregate, substantially equivalent (in terms of benefit levels and/or reward opportunities) to those provided for under compensation or employee benefit plans, programs and practices as in effect immediately prior to the Change in Control (or as in effect following the Change in Control, if greater);</w:t>
      </w:r>
    </w:p>
    <w:p>
      <w:pPr>
        <w:ind w:right="500" w:firstLine="1239"/>
        <w:spacing w:after="0" w:line="233" w:lineRule="auto"/>
        <w:tabs>
          <w:tab w:leader="none" w:pos="1556" w:val="left"/>
        </w:tabs>
        <w:numPr>
          <w:ilvl w:val="2"/>
          <w:numId w:val="69"/>
        </w:numPr>
        <w:rPr>
          <w:rFonts w:ascii="Arial" w:cs="Arial" w:eastAsia="Arial" w:hAnsi="Arial"/>
          <w:sz w:val="19"/>
          <w:szCs w:val="19"/>
          <w:color w:val="auto"/>
        </w:rPr>
      </w:pPr>
      <w:r>
        <w:rPr>
          <w:rFonts w:ascii="Arial" w:cs="Arial" w:eastAsia="Arial" w:hAnsi="Arial"/>
          <w:sz w:val="19"/>
          <w:szCs w:val="19"/>
          <w:color w:val="auto"/>
        </w:rPr>
        <w:t>any purported termination of the Participant’s employment for Cause which does not comply with the requirements of the definition of “Cause” as set forth in Section 10.2; or</w:t>
      </w:r>
    </w:p>
    <w:p>
      <w:pPr>
        <w:ind w:left="1500" w:hanging="261"/>
        <w:spacing w:after="0"/>
        <w:tabs>
          <w:tab w:leader="none" w:pos="1500" w:val="left"/>
        </w:tabs>
        <w:numPr>
          <w:ilvl w:val="2"/>
          <w:numId w:val="69"/>
        </w:numPr>
        <w:rPr>
          <w:rFonts w:ascii="Arial" w:cs="Arial" w:eastAsia="Arial" w:hAnsi="Arial"/>
          <w:sz w:val="16"/>
          <w:szCs w:val="16"/>
          <w:color w:val="auto"/>
        </w:rPr>
      </w:pPr>
      <w:r>
        <w:rPr>
          <w:rFonts w:ascii="Arial" w:cs="Arial" w:eastAsia="Arial" w:hAnsi="Arial"/>
          <w:sz w:val="16"/>
          <w:szCs w:val="16"/>
          <w:color w:val="auto"/>
        </w:rPr>
        <w:t>the failure of the Company to obtain an agreement from any successor or assign of the Company to assume and agree to perform</w:t>
      </w:r>
    </w:p>
    <w:p>
      <w:pPr>
        <w:spacing w:after="0" w:line="2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9"/>
          <w:szCs w:val="19"/>
          <w:color w:val="auto"/>
        </w:rPr>
        <w:t>the Plan.</w:t>
      </w:r>
    </w:p>
    <w:p>
      <w:pPr>
        <w:sectPr>
          <w:pgSz w:w="11900" w:h="16838" w:orient="portrait"/>
          <w:cols w:equalWidth="0" w:num="1">
            <w:col w:w="11240"/>
          </w:cols>
          <w:pgMar w:left="320" w:top="1354" w:right="339" w:bottom="1440" w:gutter="0" w:footer="0" w:header="0"/>
        </w:sectPr>
      </w:pPr>
    </w:p>
    <w:bookmarkStart w:id="84" w:name="page85"/>
    <w:bookmarkEnd w:id="8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72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this instrument has been executed on August 31, 2023.</w:t>
      </w:r>
    </w:p>
    <w:p>
      <w:pPr>
        <w:spacing w:after="0" w:line="245" w:lineRule="exact"/>
        <w:rPr>
          <w:sz w:val="20"/>
          <w:szCs w:val="20"/>
          <w:color w:val="auto"/>
        </w:rPr>
      </w:pPr>
    </w:p>
    <w:p>
      <w:pPr>
        <w:jc w:val="center"/>
        <w:ind w:right="299"/>
        <w:spacing w:after="0"/>
        <w:rPr>
          <w:sz w:val="20"/>
          <w:szCs w:val="20"/>
          <w:color w:val="auto"/>
        </w:rPr>
      </w:pPr>
      <w:r>
        <w:rPr>
          <w:rFonts w:ascii="Arial" w:cs="Arial" w:eastAsia="Arial" w:hAnsi="Arial"/>
          <w:sz w:val="21"/>
          <w:szCs w:val="21"/>
          <w:b w:val="1"/>
          <w:bCs w:val="1"/>
          <w:color w:val="auto"/>
        </w:rPr>
        <w:t>Campbell Soup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720"/>
        <w:spacing w:after="0"/>
        <w:rPr>
          <w:sz w:val="20"/>
          <w:szCs w:val="20"/>
          <w:color w:val="auto"/>
        </w:rPr>
      </w:pPr>
      <w:r>
        <w:rPr>
          <w:rFonts w:ascii="Arial" w:cs="Arial" w:eastAsia="Arial" w:hAnsi="Arial"/>
          <w:sz w:val="21"/>
          <w:szCs w:val="21"/>
          <w:color w:val="auto"/>
        </w:rPr>
        <w:t>By</w:t>
      </w:r>
      <w:r>
        <w:rPr>
          <w:rFonts w:ascii="Arial" w:cs="Arial" w:eastAsia="Arial" w:hAnsi="Arial"/>
          <w:sz w:val="21"/>
          <w:szCs w:val="21"/>
          <w:u w:val="single" w:color="auto"/>
          <w:color w:val="auto"/>
        </w:rPr>
        <w:t>: /s/ Diane Johnson May</w:t>
      </w:r>
    </w:p>
    <w:p>
      <w:pPr>
        <w:ind w:left="3720"/>
        <w:spacing w:after="0" w:line="238" w:lineRule="auto"/>
        <w:rPr>
          <w:sz w:val="20"/>
          <w:szCs w:val="20"/>
          <w:color w:val="auto"/>
        </w:rPr>
      </w:pPr>
      <w:r>
        <w:rPr>
          <w:rFonts w:ascii="Arial" w:cs="Arial" w:eastAsia="Arial" w:hAnsi="Arial"/>
          <w:sz w:val="21"/>
          <w:szCs w:val="21"/>
          <w:color w:val="auto"/>
        </w:rPr>
        <w:t>Diane Johnson May</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EVP &amp; Chief Human Resources Officer</w:t>
      </w:r>
    </w:p>
    <w:p>
      <w:pPr>
        <w:sectPr>
          <w:pgSz w:w="11900" w:h="16838" w:orient="portrait"/>
          <w:cols w:equalWidth="0" w:num="1">
            <w:col w:w="10139"/>
          </w:cols>
          <w:pgMar w:left="320" w:top="1440" w:right="1440" w:bottom="1440" w:gutter="0" w:footer="0" w:header="0"/>
        </w:sectPr>
      </w:pPr>
    </w:p>
    <w:bookmarkStart w:id="85" w:name="page86"/>
    <w:bookmarkEnd w:id="85"/>
    <w:p>
      <w:pPr>
        <w:jc w:val="center"/>
        <w:ind w:right="-99"/>
        <w:spacing w:after="0"/>
        <w:rPr>
          <w:sz w:val="20"/>
          <w:szCs w:val="20"/>
          <w:color w:val="auto"/>
        </w:rPr>
      </w:pPr>
      <w:r>
        <w:rPr>
          <w:rFonts w:ascii="Arial" w:cs="Arial" w:eastAsia="Arial" w:hAnsi="Arial"/>
          <w:sz w:val="21"/>
          <w:szCs w:val="21"/>
          <w:b w:val="1"/>
          <w:bCs w:val="1"/>
          <w:color w:val="auto"/>
        </w:rPr>
        <w:t>First Amendment to the</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21"/>
          <w:szCs w:val="21"/>
          <w:b w:val="1"/>
          <w:bCs w:val="1"/>
          <w:color w:val="auto"/>
        </w:rPr>
        <w:t>Deferred Compensation Plan for</w:t>
      </w:r>
    </w:p>
    <w:p>
      <w:pPr>
        <w:jc w:val="center"/>
        <w:ind w:right="-99"/>
        <w:spacing w:after="0"/>
        <w:rPr>
          <w:sz w:val="20"/>
          <w:szCs w:val="20"/>
          <w:color w:val="auto"/>
        </w:rPr>
      </w:pPr>
      <w:r>
        <w:rPr>
          <w:rFonts w:ascii="Arial" w:cs="Arial" w:eastAsia="Arial" w:hAnsi="Arial"/>
          <w:sz w:val="21"/>
          <w:szCs w:val="21"/>
          <w:b w:val="1"/>
          <w:bCs w:val="1"/>
          <w:color w:val="auto"/>
        </w:rPr>
        <w:t>Eligible Executives of Campbell Soup Company</w:t>
      </w:r>
    </w:p>
    <w:p>
      <w:pPr>
        <w:spacing w:after="0" w:line="200" w:lineRule="exact"/>
        <w:rPr>
          <w:sz w:val="20"/>
          <w:szCs w:val="20"/>
          <w:color w:val="auto"/>
        </w:rPr>
      </w:pPr>
    </w:p>
    <w:p>
      <w:pPr>
        <w:spacing w:after="0" w:line="247" w:lineRule="exact"/>
        <w:rPr>
          <w:sz w:val="20"/>
          <w:szCs w:val="20"/>
          <w:color w:val="auto"/>
        </w:rPr>
      </w:pPr>
    </w:p>
    <w:p>
      <w:pPr>
        <w:ind w:right="60" w:firstLine="725"/>
        <w:spacing w:after="0" w:line="30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Campbell Soup Company (“Company”) previously established the Deferred Compensation Plan for Eligible Executives of</w:t>
      </w:r>
      <w:r>
        <w:rPr>
          <w:rFonts w:ascii="Arial" w:cs="Arial" w:eastAsia="Arial" w:hAnsi="Arial"/>
          <w:sz w:val="17"/>
          <w:szCs w:val="17"/>
          <w:b w:val="1"/>
          <w:bCs w:val="1"/>
          <w:color w:val="auto"/>
        </w:rPr>
        <w:t xml:space="preserve"> </w:t>
      </w:r>
      <w:r>
        <w:rPr>
          <w:rFonts w:ascii="Arial" w:cs="Arial" w:eastAsia="Arial" w:hAnsi="Arial"/>
          <w:sz w:val="17"/>
          <w:szCs w:val="17"/>
          <w:color w:val="auto"/>
        </w:rPr>
        <w:t>Campbell Soup Company (the “Plan”) primarily to provide eligible executives of the Company and any designated subsidiary with an additional method of planning for retirement and other significant saving needs with respect to amounts deferred or vested prior to 2004;</w:t>
      </w:r>
    </w:p>
    <w:p>
      <w:pPr>
        <w:spacing w:after="0" w:line="151" w:lineRule="exact"/>
        <w:rPr>
          <w:sz w:val="20"/>
          <w:szCs w:val="20"/>
          <w:color w:val="auto"/>
        </w:rPr>
      </w:pPr>
    </w:p>
    <w:p>
      <w:pPr>
        <w:ind w:right="100" w:firstLine="726"/>
        <w:spacing w:after="0" w:line="28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pursuant to Article IX of the Plan, the corporate officer in charge of Human Resources of the Company (as of the effective</w:t>
      </w:r>
      <w:r>
        <w:rPr>
          <w:rFonts w:ascii="Arial" w:cs="Arial" w:eastAsia="Arial" w:hAnsi="Arial"/>
          <w:sz w:val="19"/>
          <w:szCs w:val="19"/>
          <w:b w:val="1"/>
          <w:bCs w:val="1"/>
          <w:color w:val="auto"/>
        </w:rPr>
        <w:t xml:space="preserve"> </w:t>
      </w:r>
      <w:r>
        <w:rPr>
          <w:rFonts w:ascii="Arial" w:cs="Arial" w:eastAsia="Arial" w:hAnsi="Arial"/>
          <w:sz w:val="19"/>
          <w:szCs w:val="19"/>
          <w:color w:val="auto"/>
        </w:rPr>
        <w:t>date of the Plan, the Vice President-Human Resources) reserves the right to amend or terminate the Plan;</w:t>
      </w:r>
    </w:p>
    <w:p>
      <w:pPr>
        <w:spacing w:after="0" w:line="176" w:lineRule="exact"/>
        <w:rPr>
          <w:sz w:val="20"/>
          <w:szCs w:val="20"/>
          <w:color w:val="auto"/>
        </w:rPr>
      </w:pPr>
    </w:p>
    <w:p>
      <w:pPr>
        <w:ind w:right="80" w:firstLine="720"/>
        <w:spacing w:after="0" w:line="269"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corporate officer in charge of Human Resources desires to amend the Plan to reflect certain new definitions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2022 Long-Term Incentive Plan recently approved by its shareholders (the “LTI Plan”) and thus, conform the Plan definitions with the LTI Plan and provide consistency across the entire organization to those employees affected in the future.</w:t>
      </w:r>
    </w:p>
    <w:p>
      <w:pPr>
        <w:spacing w:after="0" w:line="200" w:lineRule="exact"/>
        <w:rPr>
          <w:sz w:val="20"/>
          <w:szCs w:val="20"/>
          <w:color w:val="auto"/>
        </w:rPr>
      </w:pPr>
    </w:p>
    <w:p>
      <w:pPr>
        <w:spacing w:after="0" w:line="207" w:lineRule="exact"/>
        <w:rPr>
          <w:sz w:val="20"/>
          <w:szCs w:val="20"/>
          <w:color w:val="auto"/>
        </w:rPr>
      </w:pPr>
    </w:p>
    <w:p>
      <w:pPr>
        <w:ind w:left="720"/>
        <w:spacing w:after="0"/>
        <w:rPr>
          <w:sz w:val="20"/>
          <w:szCs w:val="20"/>
          <w:color w:val="auto"/>
        </w:rPr>
      </w:pPr>
      <w:r>
        <w:rPr>
          <w:rFonts w:ascii="Arial" w:cs="Arial" w:eastAsia="Arial" w:hAnsi="Arial"/>
          <w:sz w:val="21"/>
          <w:szCs w:val="21"/>
          <w:b w:val="1"/>
          <w:bCs w:val="1"/>
          <w:color w:val="auto"/>
        </w:rPr>
        <w:t>NOW, THEREFORE, BE IT:</w:t>
      </w:r>
    </w:p>
    <w:p>
      <w:pPr>
        <w:spacing w:after="0" w:line="209" w:lineRule="exact"/>
        <w:rPr>
          <w:sz w:val="20"/>
          <w:szCs w:val="20"/>
          <w:color w:val="auto"/>
        </w:rPr>
      </w:pPr>
    </w:p>
    <w:p>
      <w:pPr>
        <w:ind w:left="760"/>
        <w:spacing w:after="0"/>
        <w:rPr>
          <w:sz w:val="20"/>
          <w:szCs w:val="20"/>
          <w:color w:val="auto"/>
        </w:rPr>
      </w:pPr>
      <w:r>
        <w:rPr>
          <w:rFonts w:ascii="Arial" w:cs="Arial" w:eastAsia="Arial" w:hAnsi="Arial"/>
          <w:sz w:val="21"/>
          <w:szCs w:val="21"/>
          <w:b w:val="1"/>
          <w:bCs w:val="1"/>
          <w:color w:val="auto"/>
        </w:rPr>
        <w:t>RESOLVED</w:t>
      </w:r>
      <w:r>
        <w:rPr>
          <w:rFonts w:ascii="Arial" w:cs="Arial" w:eastAsia="Arial" w:hAnsi="Arial"/>
          <w:sz w:val="21"/>
          <w:szCs w:val="21"/>
          <w:color w:val="auto"/>
        </w:rPr>
        <w:t>, effective September 1, 2023, Article I, Section 1.18 is amended to read, in its entirety, as follows:</w:t>
      </w:r>
    </w:p>
    <w:p>
      <w:pPr>
        <w:spacing w:after="0" w:line="222" w:lineRule="exact"/>
        <w:rPr>
          <w:sz w:val="20"/>
          <w:szCs w:val="20"/>
          <w:color w:val="auto"/>
        </w:rPr>
      </w:pPr>
    </w:p>
    <w:p>
      <w:pPr>
        <w:ind w:right="80" w:firstLine="766"/>
        <w:spacing w:after="0" w:line="258" w:lineRule="auto"/>
        <w:rPr>
          <w:sz w:val="20"/>
          <w:szCs w:val="20"/>
          <w:color w:val="auto"/>
        </w:rPr>
      </w:pPr>
      <w:r>
        <w:rPr>
          <w:rFonts w:ascii="Arial" w:cs="Arial" w:eastAsia="Arial" w:hAnsi="Arial"/>
          <w:sz w:val="21"/>
          <w:szCs w:val="21"/>
          <w:color w:val="auto"/>
        </w:rPr>
        <w:t xml:space="preserve">1.18 </w:t>
      </w:r>
      <w:r>
        <w:rPr>
          <w:rFonts w:ascii="Arial" w:cs="Arial" w:eastAsia="Arial" w:hAnsi="Arial"/>
          <w:sz w:val="21"/>
          <w:szCs w:val="21"/>
          <w:b w:val="1"/>
          <w:bCs w:val="1"/>
          <w:color w:val="auto"/>
        </w:rPr>
        <w:t>“LTPP”</w:t>
      </w:r>
      <w:r>
        <w:rPr>
          <w:rFonts w:ascii="Arial" w:cs="Arial" w:eastAsia="Arial" w:hAnsi="Arial"/>
          <w:sz w:val="21"/>
          <w:szCs w:val="21"/>
          <w:color w:val="auto"/>
        </w:rPr>
        <w:t xml:space="preserve"> means any Employer long-term incentive plan, including but not limited to the Campbell Soup Company 2022 Long-Term Incentive Plan.</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effective February 1, 2023, Article X, Sections 10.2 and 10.3 are amended to read, in their entirety, as follows:</w:t>
      </w:r>
    </w:p>
    <w:p>
      <w:pPr>
        <w:spacing w:after="0" w:line="2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color w:val="auto"/>
        </w:rPr>
        <w:t>Definition of Change in Control.</w:t>
      </w:r>
      <w:r>
        <w:rPr>
          <w:rFonts w:ascii="Arial" w:cs="Arial" w:eastAsia="Arial" w:hAnsi="Arial"/>
          <w:sz w:val="18"/>
          <w:szCs w:val="18"/>
          <w:color w:val="auto"/>
        </w:rPr>
        <w:t xml:space="preserve"> For purposes of the Plan “Change in Control” shall mean any of the following events:</w:t>
      </w:r>
    </w:p>
    <w:p>
      <w:pPr>
        <w:spacing w:after="0" w:line="263" w:lineRule="exact"/>
        <w:rPr>
          <w:sz w:val="20"/>
          <w:szCs w:val="20"/>
          <w:color w:val="auto"/>
        </w:rPr>
      </w:pPr>
    </w:p>
    <w:p>
      <w:pPr>
        <w:ind w:firstLine="776"/>
        <w:spacing w:after="0" w:line="233" w:lineRule="auto"/>
        <w:tabs>
          <w:tab w:leader="none" w:pos="1227" w:val="left"/>
        </w:tabs>
        <w:numPr>
          <w:ilvl w:val="0"/>
          <w:numId w:val="70"/>
        </w:numPr>
        <w:rPr>
          <w:rFonts w:ascii="Arial" w:cs="Arial" w:eastAsia="Arial" w:hAnsi="Arial"/>
          <w:sz w:val="19"/>
          <w:szCs w:val="19"/>
          <w:color w:val="auto"/>
        </w:rPr>
      </w:pPr>
      <w:r>
        <w:rPr>
          <w:rFonts w:ascii="Arial" w:cs="Arial" w:eastAsia="Arial" w:hAnsi="Arial"/>
          <w:sz w:val="21"/>
          <w:szCs w:val="21"/>
          <w:color w:val="auto"/>
        </w:rPr>
        <w:t>The acquisition in one or more transactions by any “Person” (as the term person is used for purposes of Section 13(d) or 14(d) of the Securities Exchange Act of 1934, as amended (the “1934 Act”)) of “Beneficial Ownership” (within the meaning of Rule 13d-3 promulgated under the Exchange Act) of twenty-five percent (25%) or more of the combined voting power of the Company’s then outstanding voting securities (the “Voting Securities”), provided, however, that for purposes of this Section 10.2(a), the Voting Securities acquired directly from the Company by any Person shall be excluded from the determination of such Person’s Beneficial Ownership of Voting Securities (but such Voting Securities shall be included in the calculation of the total number of Voting Securities then outstanding); or</w:t>
      </w:r>
    </w:p>
    <w:p>
      <w:pPr>
        <w:spacing w:after="0" w:line="200" w:lineRule="exact"/>
        <w:rPr>
          <w:rFonts w:ascii="Arial" w:cs="Arial" w:eastAsia="Arial" w:hAnsi="Arial"/>
          <w:sz w:val="19"/>
          <w:szCs w:val="19"/>
          <w:color w:val="auto"/>
        </w:rPr>
      </w:pPr>
    </w:p>
    <w:p>
      <w:pPr>
        <w:jc w:val="both"/>
        <w:ind w:right="440" w:firstLine="776"/>
        <w:spacing w:after="0" w:line="279" w:lineRule="auto"/>
        <w:tabs>
          <w:tab w:leader="none" w:pos="1232"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individuals who, as of November 30, 2022, are members of the Board (the “Incumbent Board”), cease for any reason to constitute more than fifty percent of the Board; provided, however, that if the election, or nomination for election by the Company’s holders of shares of Campbell Stock (hereinafter, the “Shareholders”), of any new director was approved by</w:t>
      </w:r>
    </w:p>
    <w:p>
      <w:pPr>
        <w:sectPr>
          <w:pgSz w:w="11900" w:h="16838" w:orient="portrait"/>
          <w:cols w:equalWidth="0" w:num="1">
            <w:col w:w="11140"/>
          </w:cols>
          <w:pgMar w:left="320" w:top="1348" w:right="439" w:bottom="1440" w:gutter="0" w:footer="0" w:header="0"/>
        </w:sectPr>
      </w:pPr>
    </w:p>
    <w:bookmarkStart w:id="86" w:name="page87"/>
    <w:bookmarkEnd w:id="86"/>
    <w:p>
      <w:pPr>
        <w:ind w:right="40"/>
        <w:spacing w:after="0" w:line="238" w:lineRule="auto"/>
        <w:rPr>
          <w:sz w:val="20"/>
          <w:szCs w:val="20"/>
          <w:color w:val="auto"/>
        </w:rPr>
      </w:pPr>
      <w:r>
        <w:rPr>
          <w:rFonts w:ascii="Arial" w:cs="Arial" w:eastAsia="Arial" w:hAnsi="Arial"/>
          <w:sz w:val="21"/>
          <w:szCs w:val="21"/>
          <w:color w:val="auto"/>
        </w:rPr>
        <w:t>a vote of at least two-thirds of the Incumbent Board, such new director shall, for purposes of the Plan, be considered as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201" w:lineRule="exact"/>
        <w:rPr>
          <w:sz w:val="20"/>
          <w:szCs w:val="20"/>
          <w:color w:val="auto"/>
        </w:rPr>
      </w:pPr>
    </w:p>
    <w:p>
      <w:pPr>
        <w:ind w:right="500" w:firstLine="776"/>
        <w:spacing w:after="0" w:line="234" w:lineRule="auto"/>
        <w:tabs>
          <w:tab w:leader="none" w:pos="1233" w:val="left"/>
        </w:tabs>
        <w:numPr>
          <w:ilvl w:val="0"/>
          <w:numId w:val="71"/>
        </w:numPr>
        <w:rPr>
          <w:rFonts w:ascii="Arial" w:cs="Arial" w:eastAsia="Arial" w:hAnsi="Arial"/>
          <w:sz w:val="21"/>
          <w:szCs w:val="21"/>
          <w:color w:val="auto"/>
        </w:rPr>
      </w:pPr>
      <w:r>
        <w:rPr>
          <w:rFonts w:ascii="Arial" w:cs="Arial" w:eastAsia="Arial" w:hAnsi="Arial"/>
          <w:sz w:val="21"/>
          <w:szCs w:val="21"/>
          <w:color w:val="auto"/>
        </w:rPr>
        <w:t>The consummation of a merger or consolidation involving the Company if the Shareholders of the Company, immediately before such merger or consolidation, do not own, directly or indirectly immediately following such merger or consolidation, more than fifty percent (50%) of the combined voting power of the outstanding Voting Securities of the corporation resulting from such merger or consolidation in substantially the same proportion as their ownership of the Voting Securities immediately before such merger or consolidation; or</w:t>
      </w:r>
    </w:p>
    <w:p>
      <w:pPr>
        <w:spacing w:after="0" w:line="200" w:lineRule="exact"/>
        <w:rPr>
          <w:rFonts w:ascii="Arial" w:cs="Arial" w:eastAsia="Arial" w:hAnsi="Arial"/>
          <w:sz w:val="21"/>
          <w:szCs w:val="21"/>
          <w:color w:val="auto"/>
        </w:rPr>
      </w:pPr>
    </w:p>
    <w:p>
      <w:pPr>
        <w:ind w:right="260" w:firstLine="776"/>
        <w:spacing w:after="0" w:line="236" w:lineRule="auto"/>
        <w:tabs>
          <w:tab w:leader="none" w:pos="1232" w:val="left"/>
        </w:tabs>
        <w:numPr>
          <w:ilvl w:val="0"/>
          <w:numId w:val="71"/>
        </w:numPr>
        <w:rPr>
          <w:rFonts w:ascii="Arial" w:cs="Arial" w:eastAsia="Arial" w:hAnsi="Arial"/>
          <w:sz w:val="21"/>
          <w:szCs w:val="21"/>
          <w:color w:val="auto"/>
        </w:rPr>
      </w:pPr>
      <w:r>
        <w:rPr>
          <w:rFonts w:ascii="Arial" w:cs="Arial" w:eastAsia="Arial" w:hAnsi="Arial"/>
          <w:sz w:val="21"/>
          <w:szCs w:val="21"/>
          <w:color w:val="auto"/>
        </w:rPr>
        <w:t>Approval by Shareholders of the Company of a complete liquidation or dissolution of the Company or the consummation of a sale or other disposition (in one transaction or a series of related transactions) of more than fifty percent (50%) of the assets of the Company; or</w:t>
      </w:r>
    </w:p>
    <w:p>
      <w:pPr>
        <w:spacing w:after="0" w:line="1" w:lineRule="exact"/>
        <w:rPr>
          <w:rFonts w:ascii="Arial" w:cs="Arial" w:eastAsia="Arial" w:hAnsi="Arial"/>
          <w:sz w:val="21"/>
          <w:szCs w:val="21"/>
          <w:color w:val="auto"/>
        </w:rPr>
      </w:pPr>
    </w:p>
    <w:p>
      <w:pPr>
        <w:ind w:firstLine="776"/>
        <w:spacing w:after="0" w:line="247" w:lineRule="auto"/>
        <w:tabs>
          <w:tab w:leader="none" w:pos="1233"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consummation of a share exchange transaction whereby the Shareholders of the Company, immediately before such transaction, do not own, directly or indirectly immediately following such transaction, more than fifty percent (50%) of the combined voting power of the outstanding Voting Securities of the corporation resulting from such transaction in substantially the same proportion as their ownership of the Voting Securities outstanding immediately before such transaction.</w:t>
      </w:r>
    </w:p>
    <w:p>
      <w:pPr>
        <w:spacing w:after="0" w:line="194" w:lineRule="exact"/>
        <w:rPr>
          <w:sz w:val="20"/>
          <w:szCs w:val="20"/>
          <w:color w:val="auto"/>
        </w:rPr>
      </w:pPr>
    </w:p>
    <w:p>
      <w:pPr>
        <w:ind w:right="20" w:firstLine="766"/>
        <w:spacing w:after="0" w:line="271" w:lineRule="auto"/>
        <w:rPr>
          <w:sz w:val="20"/>
          <w:szCs w:val="20"/>
          <w:color w:val="auto"/>
        </w:rPr>
      </w:pPr>
      <w:r>
        <w:rPr>
          <w:rFonts w:ascii="Arial" w:cs="Arial" w:eastAsia="Arial" w:hAnsi="Arial"/>
          <w:sz w:val="18"/>
          <w:szCs w:val="18"/>
          <w:color w:val="auto"/>
        </w:rPr>
        <w:t>Notwithstanding the foregoing, a Change in Control shall not be deemed to occur solely because twenty-five percent (25%) or more of the then outstanding Voting Securities is acquired by (i) a trustee or other fiduciary holding securities under one or more employee benefit plans maintained by the Company or any of its subsidiaries the majority of the voting stock of which is owned directly or indirectly by the Company, (ii) any corporation which, immediately prior to such acquisition, is owned directly or indirectly by the Shareholders of the Company in the same proportion as their ownership of stock in the Company immediately prior to such acquisition, (iii) any “Grandfathered Dorrance Family Shareholder” (as hereinafter defined) or (iv) any Person who has acquired such Voting Securities directly from any Grandfathered Dorrance Family Shareholder but only if such Person has executed an agreement which is approved by two-thirds of the Board and pursuant to which such Person has agreed that he (or they) will not increase his (or their) Beneficial Ownership (directly or indirectly) to 30% or more of the outstanding Voting Securities (the “Standstill Agreement”) and only for the period during which the Standstill Agreement is effective and fully honored by such Person. For purposes of this Section 10.2, “Grandfathered Dorrance Family Shareholder” shall mean at any time a “Dorrance Family Shareholder” (as hereinafter defined) who or which is at the time in question the Beneficial Owner solely of (v) Voting Securities Beneficially Owned by such individual on January 25, 1990, (w) Voting Securities acquired directly from the Company, (x) Voting Securities acquired directly from another Grandfathered Dorrance Family Shareholder, (y) Voting Securities which are also Beneficially Owned by other Grandfathered Dorrance Family Shareholders at the time in question, and (z) Voting Securities acquired after January 25, 1990 other than directly from the Company or from another Grandfathered Dorrance Family Shareholder by any “Dorrance Grandchild” (as hereinafter defined) provided that the aggregate amount of Voting Securities so acquired by each such Dorrance Grandchild shall not exceed five</w:t>
      </w:r>
    </w:p>
    <w:p>
      <w:pPr>
        <w:sectPr>
          <w:pgSz w:w="11900" w:h="16838" w:orient="portrait"/>
          <w:cols w:equalWidth="0" w:num="1">
            <w:col w:w="11240"/>
          </w:cols>
          <w:pgMar w:left="320" w:top="1354" w:right="339" w:bottom="1440" w:gutter="0" w:footer="0" w:header="0"/>
        </w:sectPr>
      </w:pPr>
    </w:p>
    <w:bookmarkStart w:id="87" w:name="page88"/>
    <w:bookmarkEnd w:id="87"/>
    <w:p>
      <w:pPr>
        <w:ind w:right="40"/>
        <w:spacing w:after="0" w:line="260" w:lineRule="auto"/>
        <w:rPr>
          <w:sz w:val="20"/>
          <w:szCs w:val="20"/>
          <w:color w:val="auto"/>
        </w:rPr>
      </w:pPr>
      <w:r>
        <w:rPr>
          <w:rFonts w:ascii="Arial" w:cs="Arial" w:eastAsia="Arial" w:hAnsi="Arial"/>
          <w:sz w:val="19"/>
          <w:szCs w:val="19"/>
          <w:color w:val="auto"/>
        </w:rPr>
        <w:t>percent (5%) of the Voting Securities outstanding at the time of such acquisition. A “Dorrance Family Shareholder” who or which is at the time in question the Beneficial Owner of Voting Securities which are not specified in clauses (v), (w), (x), (y) and (z) of the immediately preceding sentence shall not be a Grandfathered Dorrance Family Shareholder at the time in question. For purposes of this Section 10.2, “Dorrance Family Shareholders” shall mean individuals who are descendants of the late Dr. John T. Dorrance, Sr. and/or the spouses, fiduciaries and foundations of such descendants. A “Dorrance Grandchild” means as to each particular grandchild of the late Dr. John T. Dorrance, Sr., all of the following taken collectively: such grandchild, such grandchild’s descendants and/or the spouses, fiduciaries and foundations of such grandchild and such grandchild’s descendants.</w:t>
      </w:r>
    </w:p>
    <w:p>
      <w:pPr>
        <w:spacing w:after="0" w:line="185" w:lineRule="exact"/>
        <w:rPr>
          <w:sz w:val="20"/>
          <w:szCs w:val="20"/>
          <w:color w:val="auto"/>
        </w:rPr>
      </w:pPr>
    </w:p>
    <w:p>
      <w:pPr>
        <w:ind w:right="40" w:firstLine="766"/>
        <w:spacing w:after="0" w:line="262" w:lineRule="auto"/>
        <w:rPr>
          <w:sz w:val="20"/>
          <w:szCs w:val="20"/>
          <w:color w:val="auto"/>
        </w:rPr>
      </w:pPr>
      <w:r>
        <w:rPr>
          <w:rFonts w:ascii="Arial" w:cs="Arial" w:eastAsia="Arial" w:hAnsi="Arial"/>
          <w:sz w:val="19"/>
          <w:szCs w:val="19"/>
          <w:color w:val="auto"/>
        </w:rPr>
        <w:t>Moreover, notwithstanding the foregoing, a Change in Control shall not be deemed to occur solely because any Person (the “Subject Person”) acquired Beneficial Ownership of more than the permitted amount of the outstanding Voting Securities as a result of the acquisition of Voting Securities by the Company which, by reducing the number of Voting Securities outstanding, increases the proportional number of shares Beneficially Owned by the Subject Person, provided that if a Change in Control would occur (but for the operation of this sentence) as a result of the acquisition of Voting Securities by the Company, and after such share acquisition by the Company, the Subject Person becomes the Beneficial Owner of any additional Voting Securities which increases the percentage of the then outstanding Voting Securities Beneficially Owned by the Subject Person, then a Change in Control shall occur.</w:t>
      </w:r>
    </w:p>
    <w:p>
      <w:pPr>
        <w:spacing w:after="0" w:line="185" w:lineRule="exact"/>
        <w:rPr>
          <w:sz w:val="20"/>
          <w:szCs w:val="20"/>
          <w:color w:val="auto"/>
        </w:rPr>
      </w:pPr>
    </w:p>
    <w:p>
      <w:pPr>
        <w:ind w:right="60" w:firstLine="766"/>
        <w:spacing w:after="0" w:line="246" w:lineRule="auto"/>
        <w:rPr>
          <w:sz w:val="20"/>
          <w:szCs w:val="20"/>
          <w:color w:val="auto"/>
        </w:rPr>
      </w:pPr>
      <w:r>
        <w:rPr>
          <w:rFonts w:ascii="Arial" w:cs="Arial" w:eastAsia="Arial" w:hAnsi="Arial"/>
          <w:sz w:val="20"/>
          <w:szCs w:val="20"/>
          <w:color w:val="auto"/>
        </w:rPr>
        <w:t>Notwithstanding anything contained in this Plan to the contrary, with respect to any portion of the Participant’s Account Balance that is subject to Section 409A of the Code and any payments or settlement of Account Balance that will accelerate upon a Change in Control, no event set forth in this Plan or other agreement applicable to a Participant or in clauses (a)-(e) of this Section 10.2 shall constitute a Change in Control for purposes of the Plan unless such event also constitutes a “change in ownership”, “change in effective control” or “change in the ownership of a substantial portion of the company’s assets” as defined under Section 409A of the Code and the regulations and guidance promulgated thereunder.</w:t>
      </w:r>
    </w:p>
    <w:p>
      <w:pPr>
        <w:spacing w:after="0" w:line="195" w:lineRule="exact"/>
        <w:rPr>
          <w:sz w:val="20"/>
          <w:szCs w:val="20"/>
          <w:color w:val="auto"/>
        </w:rPr>
      </w:pPr>
    </w:p>
    <w:p>
      <w:pPr>
        <w:ind w:firstLine="766"/>
        <w:spacing w:after="0" w:line="236" w:lineRule="auto"/>
        <w:rPr>
          <w:sz w:val="20"/>
          <w:szCs w:val="20"/>
          <w:color w:val="auto"/>
        </w:rPr>
      </w:pPr>
      <w:r>
        <w:rPr>
          <w:rFonts w:ascii="Arial" w:cs="Arial" w:eastAsia="Arial" w:hAnsi="Arial"/>
          <w:sz w:val="21"/>
          <w:szCs w:val="21"/>
          <w:color w:val="auto"/>
        </w:rPr>
        <w:t>Notwithstanding anything contained in this Plan to the contrary, if a Participant’s employment is terminated by the Company without Cause within one year prior to a Change in Control and such termination (i) was at the request of a third party who effectuates a Change in Control or (ii) otherwise occurred in connection with or in anticipation of, a Change in Control, then for purposes of this Article X only, the date of a Change in Control shall mean the date immediately prior to the date of such Participant’s termination of employment.</w:t>
      </w:r>
    </w:p>
    <w:p>
      <w:pPr>
        <w:spacing w:after="0" w:line="203" w:lineRule="exact"/>
        <w:rPr>
          <w:sz w:val="20"/>
          <w:szCs w:val="20"/>
          <w:color w:val="auto"/>
        </w:rPr>
      </w:pPr>
    </w:p>
    <w:p>
      <w:pPr>
        <w:ind w:right="20" w:firstLine="766"/>
        <w:spacing w:after="0" w:line="233" w:lineRule="auto"/>
        <w:rPr>
          <w:sz w:val="20"/>
          <w:szCs w:val="20"/>
          <w:color w:val="auto"/>
        </w:rPr>
      </w:pPr>
      <w:r>
        <w:rPr>
          <w:rFonts w:ascii="Arial" w:cs="Arial" w:eastAsia="Arial" w:hAnsi="Arial"/>
          <w:sz w:val="21"/>
          <w:szCs w:val="21"/>
          <w:color w:val="auto"/>
        </w:rPr>
        <w:t>With respect to any Participant, (i) “Cause” shall be defined as set forth in any individual agreement applicable to a Participant, or (ii) in the case of a Participant who does not have an individual agreement that defines Cause, then Cause shall mean the termination of a Participant’s employment by reason of his or her (A) conviction of a felony or (B) engaging in conduct which constitutes willful gross misconduct which is demonstrably and materially injurious to the Company and/or any of its subsidiaries the majority of the voting stock of which is owned directly or indirectly by the Company (hereinafter, the “Campbell Group”), monetarily or otherwise. No act, nor failure to act, on the Participant’s part, shall be considered “willful” unless he or she has acted, or failed to act, with an absence of good faith and without a</w:t>
      </w:r>
    </w:p>
    <w:p>
      <w:pPr>
        <w:sectPr>
          <w:pgSz w:w="11900" w:h="16838" w:orient="portrait"/>
          <w:cols w:equalWidth="0" w:num="1">
            <w:col w:w="11220"/>
          </w:cols>
          <w:pgMar w:left="320" w:top="1354" w:right="359" w:bottom="1440" w:gutter="0" w:footer="0" w:header="0"/>
        </w:sectPr>
      </w:pPr>
    </w:p>
    <w:bookmarkStart w:id="88" w:name="page89"/>
    <w:bookmarkEnd w:id="88"/>
    <w:p>
      <w:pPr>
        <w:spacing w:after="0"/>
        <w:rPr>
          <w:sz w:val="20"/>
          <w:szCs w:val="20"/>
          <w:color w:val="auto"/>
        </w:rPr>
      </w:pPr>
      <w:r>
        <w:rPr>
          <w:rFonts w:ascii="Arial" w:cs="Arial" w:eastAsia="Arial" w:hAnsi="Arial"/>
          <w:sz w:val="21"/>
          <w:szCs w:val="21"/>
          <w:color w:val="auto"/>
        </w:rPr>
        <w:t>reasonable belief that his or her action or failure to act was in the best interest of the Campbell Group.</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9"/>
          <w:szCs w:val="19"/>
          <w:b w:val="1"/>
          <w:bCs w:val="1"/>
          <w:color w:val="auto"/>
        </w:rPr>
        <w:t xml:space="preserve">10.3 Definition of “Termination Following A Change in Control”. </w:t>
      </w:r>
      <w:r>
        <w:rPr>
          <w:rFonts w:ascii="Arial" w:cs="Arial" w:eastAsia="Arial" w:hAnsi="Arial"/>
          <w:sz w:val="19"/>
          <w:szCs w:val="19"/>
          <w:color w:val="auto"/>
        </w:rPr>
        <w:t>For purposes of the Plan, “Termination Following a</w:t>
      </w:r>
    </w:p>
    <w:p>
      <w:pPr>
        <w:spacing w:after="0" w:line="37" w:lineRule="exact"/>
        <w:rPr>
          <w:sz w:val="20"/>
          <w:szCs w:val="20"/>
          <w:color w:val="auto"/>
        </w:rPr>
      </w:pPr>
    </w:p>
    <w:p>
      <w:pPr>
        <w:spacing w:after="0"/>
        <w:rPr>
          <w:sz w:val="20"/>
          <w:szCs w:val="20"/>
          <w:color w:val="auto"/>
        </w:rPr>
      </w:pPr>
      <w:r>
        <w:rPr>
          <w:rFonts w:ascii="Arial" w:cs="Arial" w:eastAsia="Arial" w:hAnsi="Arial"/>
          <w:sz w:val="21"/>
          <w:szCs w:val="21"/>
          <w:color w:val="auto"/>
        </w:rPr>
        <w:t>Change in Control” means a termination of employment:</w:t>
      </w:r>
    </w:p>
    <w:p>
      <w:pPr>
        <w:spacing w:after="0" w:line="204" w:lineRule="exact"/>
        <w:rPr>
          <w:sz w:val="20"/>
          <w:szCs w:val="20"/>
          <w:color w:val="auto"/>
        </w:rPr>
      </w:pPr>
    </w:p>
    <w:p>
      <w:pPr>
        <w:ind w:left="1040" w:hanging="271"/>
        <w:spacing w:after="0"/>
        <w:tabs>
          <w:tab w:leader="none" w:pos="1040" w:val="left"/>
        </w:tabs>
        <w:numPr>
          <w:ilvl w:val="0"/>
          <w:numId w:val="72"/>
        </w:numPr>
        <w:rPr>
          <w:rFonts w:ascii="Arial" w:cs="Arial" w:eastAsia="Arial" w:hAnsi="Arial"/>
          <w:sz w:val="21"/>
          <w:szCs w:val="21"/>
          <w:color w:val="auto"/>
        </w:rPr>
      </w:pPr>
      <w:r>
        <w:rPr>
          <w:rFonts w:ascii="Arial" w:cs="Arial" w:eastAsia="Arial" w:hAnsi="Arial"/>
          <w:sz w:val="21"/>
          <w:szCs w:val="21"/>
          <w:color w:val="auto"/>
        </w:rPr>
        <w:t>initiated by the employer of the Participant,</w:t>
      </w:r>
    </w:p>
    <w:p>
      <w:pPr>
        <w:spacing w:after="0" w:line="222" w:lineRule="exact"/>
        <w:rPr>
          <w:rFonts w:ascii="Arial" w:cs="Arial" w:eastAsia="Arial" w:hAnsi="Arial"/>
          <w:sz w:val="21"/>
          <w:szCs w:val="21"/>
          <w:color w:val="auto"/>
        </w:rPr>
      </w:pPr>
    </w:p>
    <w:p>
      <w:pPr>
        <w:ind w:right="740" w:firstLine="769"/>
        <w:spacing w:after="0" w:line="252" w:lineRule="auto"/>
        <w:tabs>
          <w:tab w:leader="none" w:pos="1057" w:val="left"/>
        </w:tabs>
        <w:numPr>
          <w:ilvl w:val="0"/>
          <w:numId w:val="72"/>
        </w:numPr>
        <w:rPr>
          <w:rFonts w:ascii="Arial" w:cs="Arial" w:eastAsia="Arial" w:hAnsi="Arial"/>
          <w:sz w:val="21"/>
          <w:szCs w:val="21"/>
          <w:color w:val="auto"/>
        </w:rPr>
      </w:pPr>
      <w:r>
        <w:rPr>
          <w:rFonts w:ascii="Arial" w:cs="Arial" w:eastAsia="Arial" w:hAnsi="Arial"/>
          <w:sz w:val="21"/>
          <w:szCs w:val="21"/>
          <w:color w:val="auto"/>
        </w:rPr>
        <w:t>initiated by the Participant for “Good Reason” as defined as set forth in any individual agreement applicable to the Participant, or</w:t>
      </w:r>
    </w:p>
    <w:p>
      <w:pPr>
        <w:spacing w:after="0" w:line="175" w:lineRule="exact"/>
        <w:rPr>
          <w:rFonts w:ascii="Arial" w:cs="Arial" w:eastAsia="Arial" w:hAnsi="Arial"/>
          <w:sz w:val="21"/>
          <w:szCs w:val="21"/>
          <w:color w:val="auto"/>
        </w:rPr>
      </w:pPr>
    </w:p>
    <w:p>
      <w:pPr>
        <w:ind w:right="680" w:firstLine="769"/>
        <w:spacing w:after="0" w:line="252" w:lineRule="auto"/>
        <w:tabs>
          <w:tab w:leader="none" w:pos="1046" w:val="left"/>
        </w:tabs>
        <w:numPr>
          <w:ilvl w:val="0"/>
          <w:numId w:val="72"/>
        </w:numPr>
        <w:rPr>
          <w:rFonts w:ascii="Arial" w:cs="Arial" w:eastAsia="Arial" w:hAnsi="Arial"/>
          <w:sz w:val="21"/>
          <w:szCs w:val="21"/>
          <w:color w:val="auto"/>
        </w:rPr>
      </w:pPr>
      <w:r>
        <w:rPr>
          <w:rFonts w:ascii="Arial" w:cs="Arial" w:eastAsia="Arial" w:hAnsi="Arial"/>
          <w:sz w:val="21"/>
          <w:szCs w:val="21"/>
          <w:color w:val="auto"/>
        </w:rPr>
        <w:t>in the case of a Participant who does not have an individual agreement that defines “Good Reason,” initiated by the Participant following one or more of the following events:</w:t>
      </w:r>
    </w:p>
    <w:p>
      <w:pPr>
        <w:spacing w:after="0" w:line="192" w:lineRule="exact"/>
        <w:rPr>
          <w:rFonts w:ascii="Arial" w:cs="Arial" w:eastAsia="Arial" w:hAnsi="Arial"/>
          <w:sz w:val="21"/>
          <w:szCs w:val="21"/>
          <w:color w:val="auto"/>
        </w:rPr>
      </w:pPr>
    </w:p>
    <w:p>
      <w:pPr>
        <w:ind w:firstLine="1239"/>
        <w:spacing w:after="0" w:line="242" w:lineRule="auto"/>
        <w:tabs>
          <w:tab w:leader="none" w:pos="1462" w:val="left"/>
        </w:tabs>
        <w:numPr>
          <w:ilvl w:val="1"/>
          <w:numId w:val="72"/>
        </w:numPr>
        <w:rPr>
          <w:rFonts w:ascii="Arial" w:cs="Arial" w:eastAsia="Arial" w:hAnsi="Arial"/>
          <w:sz w:val="19"/>
          <w:szCs w:val="19"/>
          <w:color w:val="auto"/>
        </w:rPr>
      </w:pPr>
      <w:r>
        <w:rPr>
          <w:rFonts w:ascii="Arial" w:cs="Arial" w:eastAsia="Arial" w:hAnsi="Arial"/>
          <w:sz w:val="19"/>
          <w:szCs w:val="19"/>
          <w:color w:val="auto"/>
        </w:rPr>
        <w:t>a reduction in the Participant’s base salary or any failure to pay the Participant any compensation or benefits to which he or she is entitled within thirty (30) days of the date due;</w:t>
      </w:r>
    </w:p>
    <w:p>
      <w:pPr>
        <w:ind w:right="160" w:firstLine="1239"/>
        <w:spacing w:after="0" w:line="231" w:lineRule="auto"/>
        <w:tabs>
          <w:tab w:leader="none" w:pos="1514" w:val="left"/>
        </w:tabs>
        <w:numPr>
          <w:ilvl w:val="1"/>
          <w:numId w:val="72"/>
        </w:numPr>
        <w:rPr>
          <w:rFonts w:ascii="Arial" w:cs="Arial" w:eastAsia="Arial" w:hAnsi="Arial"/>
          <w:sz w:val="19"/>
          <w:szCs w:val="19"/>
          <w:color w:val="auto"/>
        </w:rPr>
      </w:pPr>
      <w:r>
        <w:rPr>
          <w:rFonts w:ascii="Arial" w:cs="Arial" w:eastAsia="Arial" w:hAnsi="Arial"/>
          <w:sz w:val="19"/>
          <w:szCs w:val="19"/>
          <w:color w:val="auto"/>
        </w:rPr>
        <w:t>the Campbell Group’s requiring the Participant to be based at any place outside a 50-mile radius from his or her site of employment prior to the Change in Control, except for reasonably required travel on the Campbell Group’s business which is not greater than such travel requirements prior to the Change in Control;</w:t>
      </w:r>
    </w:p>
    <w:p>
      <w:pPr>
        <w:ind w:right="260" w:firstLine="1239"/>
        <w:spacing w:after="0" w:line="263" w:lineRule="auto"/>
        <w:tabs>
          <w:tab w:leader="none" w:pos="1566" w:val="left"/>
        </w:tabs>
        <w:numPr>
          <w:ilvl w:val="1"/>
          <w:numId w:val="72"/>
        </w:numPr>
        <w:rPr>
          <w:rFonts w:ascii="Arial" w:cs="Arial" w:eastAsia="Arial" w:hAnsi="Arial"/>
          <w:sz w:val="17"/>
          <w:szCs w:val="17"/>
          <w:color w:val="auto"/>
        </w:rPr>
      </w:pPr>
      <w:r>
        <w:rPr>
          <w:rFonts w:ascii="Arial" w:cs="Arial" w:eastAsia="Arial" w:hAnsi="Arial"/>
          <w:sz w:val="17"/>
          <w:szCs w:val="17"/>
          <w:color w:val="auto"/>
        </w:rPr>
        <w:t>the failure by the Campbell Group to provide the Participant with compensation and benefits, in the aggregate, substantially equivalent (in terms of benefit levels and/or reward opportunities) to those provided for under compensation or employee benefit plans, programs and practices as in effect immediately prior to the Change in Control (or as in effect following the Change in Control, if greater);</w:t>
      </w:r>
    </w:p>
    <w:p>
      <w:pPr>
        <w:spacing w:after="0" w:line="1" w:lineRule="exact"/>
        <w:rPr>
          <w:rFonts w:ascii="Arial" w:cs="Arial" w:eastAsia="Arial" w:hAnsi="Arial"/>
          <w:sz w:val="17"/>
          <w:szCs w:val="17"/>
          <w:color w:val="auto"/>
        </w:rPr>
      </w:pPr>
    </w:p>
    <w:p>
      <w:pPr>
        <w:ind w:right="500" w:firstLine="1239"/>
        <w:spacing w:after="0" w:line="226" w:lineRule="auto"/>
        <w:tabs>
          <w:tab w:leader="none" w:pos="1556" w:val="left"/>
        </w:tabs>
        <w:numPr>
          <w:ilvl w:val="1"/>
          <w:numId w:val="72"/>
        </w:numPr>
        <w:rPr>
          <w:rFonts w:ascii="Arial" w:cs="Arial" w:eastAsia="Arial" w:hAnsi="Arial"/>
          <w:sz w:val="19"/>
          <w:szCs w:val="19"/>
          <w:color w:val="auto"/>
        </w:rPr>
      </w:pPr>
      <w:r>
        <w:rPr>
          <w:rFonts w:ascii="Arial" w:cs="Arial" w:eastAsia="Arial" w:hAnsi="Arial"/>
          <w:sz w:val="19"/>
          <w:szCs w:val="19"/>
          <w:color w:val="auto"/>
        </w:rPr>
        <w:t>any purported termination of the Participant’s employment for Cause which does not comply with the requirements of the definition of “Cause” as set forth in Section 10.2; or</w:t>
      </w:r>
    </w:p>
    <w:p>
      <w:pPr>
        <w:ind w:left="1500" w:hanging="261"/>
        <w:spacing w:after="0"/>
        <w:tabs>
          <w:tab w:leader="none" w:pos="1500" w:val="left"/>
        </w:tabs>
        <w:numPr>
          <w:ilvl w:val="1"/>
          <w:numId w:val="72"/>
        </w:numPr>
        <w:rPr>
          <w:rFonts w:ascii="Arial" w:cs="Arial" w:eastAsia="Arial" w:hAnsi="Arial"/>
          <w:sz w:val="16"/>
          <w:szCs w:val="16"/>
          <w:color w:val="auto"/>
        </w:rPr>
      </w:pPr>
      <w:r>
        <w:rPr>
          <w:rFonts w:ascii="Arial" w:cs="Arial" w:eastAsia="Arial" w:hAnsi="Arial"/>
          <w:sz w:val="16"/>
          <w:szCs w:val="16"/>
          <w:color w:val="auto"/>
        </w:rPr>
        <w:t>the failure of the Company to obtain an agreement from any successor or assign of the Company to assume and agree to perform</w:t>
      </w:r>
    </w:p>
    <w:p>
      <w:pPr>
        <w:spacing w:after="0" w:line="3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9"/>
          <w:szCs w:val="19"/>
          <w:color w:val="auto"/>
        </w:rPr>
        <w:t>the Plan.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720"/>
        <w:spacing w:after="0"/>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this instrument has been executed on August 31, 2023.</w:t>
      </w:r>
    </w:p>
    <w:p>
      <w:pPr>
        <w:spacing w:after="0" w:line="222" w:lineRule="exact"/>
        <w:rPr>
          <w:sz w:val="20"/>
          <w:szCs w:val="20"/>
          <w:color w:val="auto"/>
        </w:rPr>
      </w:pPr>
    </w:p>
    <w:p>
      <w:pPr>
        <w:ind w:left="3780"/>
        <w:spacing w:after="0"/>
        <w:rPr>
          <w:sz w:val="20"/>
          <w:szCs w:val="20"/>
          <w:color w:val="auto"/>
        </w:rPr>
      </w:pPr>
      <w:r>
        <w:rPr>
          <w:rFonts w:ascii="Arial" w:cs="Arial" w:eastAsia="Arial" w:hAnsi="Arial"/>
          <w:sz w:val="21"/>
          <w:szCs w:val="21"/>
          <w:b w:val="1"/>
          <w:bCs w:val="1"/>
          <w:color w:val="auto"/>
        </w:rPr>
        <w:t>Campbell Soup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72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Diane Johnson May</w:t>
      </w:r>
      <w:r>
        <w:rPr>
          <w:rFonts w:ascii="Arial" w:cs="Arial" w:eastAsia="Arial" w:hAnsi="Arial"/>
          <w:sz w:val="21"/>
          <w:szCs w:val="21"/>
          <w:color w:val="auto"/>
        </w:rPr>
        <w:t>________</w:t>
      </w:r>
    </w:p>
    <w:p>
      <w:pPr>
        <w:ind w:left="3720"/>
        <w:spacing w:after="0" w:line="238" w:lineRule="auto"/>
        <w:rPr>
          <w:sz w:val="20"/>
          <w:szCs w:val="20"/>
          <w:color w:val="auto"/>
        </w:rPr>
      </w:pPr>
      <w:r>
        <w:rPr>
          <w:rFonts w:ascii="Arial" w:cs="Arial" w:eastAsia="Arial" w:hAnsi="Arial"/>
          <w:sz w:val="21"/>
          <w:szCs w:val="21"/>
          <w:color w:val="auto"/>
        </w:rPr>
        <w:t>Diane Johnson May</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EVP &amp; Chief Human Resources Officer</w:t>
      </w:r>
    </w:p>
    <w:p>
      <w:pPr>
        <w:sectPr>
          <w:pgSz w:w="11900" w:h="16838" w:orient="portrait"/>
          <w:cols w:equalWidth="0" w:num="1">
            <w:col w:w="11240"/>
          </w:cols>
          <w:pgMar w:left="320" w:top="1354" w:right="339" w:bottom="1440" w:gutter="0" w:footer="0" w:header="0"/>
        </w:sectPr>
      </w:pPr>
    </w:p>
    <w:bookmarkStart w:id="89" w:name="page90"/>
    <w:bookmarkEnd w:id="89"/>
    <w:p>
      <w:pPr>
        <w:jc w:val="center"/>
        <w:ind w:right="-39"/>
        <w:spacing w:after="0"/>
        <w:rPr>
          <w:sz w:val="20"/>
          <w:szCs w:val="20"/>
          <w:color w:val="auto"/>
        </w:rPr>
      </w:pPr>
      <w:r>
        <w:rPr>
          <w:rFonts w:ascii="Arial" w:cs="Arial" w:eastAsia="Arial" w:hAnsi="Arial"/>
          <w:sz w:val="21"/>
          <w:szCs w:val="21"/>
          <w:b w:val="1"/>
          <w:bCs w:val="1"/>
          <w:color w:val="auto"/>
        </w:rPr>
        <w:t>First Amendment to the</w:t>
      </w:r>
    </w:p>
    <w:p>
      <w:pPr>
        <w:jc w:val="center"/>
        <w:ind w:right="-39"/>
        <w:spacing w:after="0" w:line="231" w:lineRule="auto"/>
        <w:rPr>
          <w:sz w:val="20"/>
          <w:szCs w:val="20"/>
          <w:color w:val="auto"/>
        </w:rPr>
      </w:pPr>
      <w:r>
        <w:rPr>
          <w:rFonts w:ascii="Arial" w:cs="Arial" w:eastAsia="Arial" w:hAnsi="Arial"/>
          <w:sz w:val="21"/>
          <w:szCs w:val="21"/>
          <w:b w:val="1"/>
          <w:bCs w:val="1"/>
          <w:color w:val="auto"/>
        </w:rPr>
        <w:t>Campbell Soup Company</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Executive Severance Pay Plan</w:t>
      </w:r>
    </w:p>
    <w:p>
      <w:pPr>
        <w:spacing w:after="0" w:line="200" w:lineRule="exact"/>
        <w:rPr>
          <w:sz w:val="20"/>
          <w:szCs w:val="20"/>
          <w:color w:val="auto"/>
        </w:rPr>
      </w:pPr>
    </w:p>
    <w:p>
      <w:pPr>
        <w:spacing w:after="0" w:line="222" w:lineRule="exact"/>
        <w:rPr>
          <w:sz w:val="20"/>
          <w:szCs w:val="20"/>
          <w:color w:val="auto"/>
        </w:rPr>
      </w:pPr>
    </w:p>
    <w:p>
      <w:pPr>
        <w:ind w:right="140" w:firstLine="725"/>
        <w:spacing w:after="0" w:line="33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Campbell Soup Company (the “Company”) previously established the Campbell Soup Company Executive Severance Pay</w:t>
      </w:r>
      <w:r>
        <w:rPr>
          <w:rFonts w:ascii="Arial" w:cs="Arial" w:eastAsia="Arial" w:hAnsi="Arial"/>
          <w:sz w:val="17"/>
          <w:szCs w:val="17"/>
          <w:b w:val="1"/>
          <w:bCs w:val="1"/>
          <w:color w:val="auto"/>
        </w:rPr>
        <w:t xml:space="preserve"> </w:t>
      </w:r>
      <w:r>
        <w:rPr>
          <w:rFonts w:ascii="Arial" w:cs="Arial" w:eastAsia="Arial" w:hAnsi="Arial"/>
          <w:sz w:val="17"/>
          <w:szCs w:val="17"/>
          <w:color w:val="auto"/>
        </w:rPr>
        <w:t>Plan, as amended (the “Plan”), primarily to assist former Salaried Employees at salary grade level A while seeking other employment;</w:t>
      </w:r>
    </w:p>
    <w:p>
      <w:pPr>
        <w:spacing w:after="0" w:line="118" w:lineRule="exact"/>
        <w:rPr>
          <w:sz w:val="20"/>
          <w:szCs w:val="20"/>
          <w:color w:val="auto"/>
        </w:rPr>
      </w:pPr>
    </w:p>
    <w:p>
      <w:pPr>
        <w:ind w:right="200" w:firstLine="726"/>
        <w:spacing w:after="0" w:line="274"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pursuant to the delegation of the Compensation and Organization Committee of the Board of Directors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under Article X, Section 10.1 of the Plan, the Chief Executive Officer of the Company reserves the right to amend, modify, suspend, or terminate</w:t>
      </w:r>
    </w:p>
    <w:p>
      <w:pPr>
        <w:spacing w:after="0" w:line="1"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the Plan in any respect, at any time, and without notice; provided, however, that such amendment authority shall be limited to amendments that do not increase the benefits available under the Plan or substantially change the form of benefits provided under the Plan, unless otherwise required by</w:t>
      </w:r>
    </w:p>
    <w:p>
      <w:pPr>
        <w:spacing w:after="0"/>
        <w:rPr>
          <w:sz w:val="20"/>
          <w:szCs w:val="20"/>
          <w:color w:val="auto"/>
        </w:rPr>
      </w:pPr>
      <w:r>
        <w:rPr>
          <w:rFonts w:ascii="Arial" w:cs="Arial" w:eastAsia="Arial" w:hAnsi="Arial"/>
          <w:sz w:val="19"/>
          <w:szCs w:val="19"/>
          <w:color w:val="auto"/>
        </w:rPr>
        <w:t>law; and</w:t>
      </w:r>
    </w:p>
    <w:p>
      <w:pPr>
        <w:spacing w:after="0" w:line="197"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Chief Executive Officer desires to amend the Plan to reflect certain new definitions under the Company’s 2022 Long-</w:t>
      </w:r>
    </w:p>
    <w:p>
      <w:pPr>
        <w:spacing w:after="0" w:line="33" w:lineRule="exact"/>
        <w:rPr>
          <w:sz w:val="20"/>
          <w:szCs w:val="20"/>
          <w:color w:val="auto"/>
        </w:rPr>
      </w:pPr>
    </w:p>
    <w:p>
      <w:pPr>
        <w:ind w:right="300"/>
        <w:spacing w:after="0" w:line="229" w:lineRule="auto"/>
        <w:rPr>
          <w:sz w:val="20"/>
          <w:szCs w:val="20"/>
          <w:color w:val="auto"/>
        </w:rPr>
      </w:pPr>
      <w:r>
        <w:rPr>
          <w:rFonts w:ascii="Arial" w:cs="Arial" w:eastAsia="Arial" w:hAnsi="Arial"/>
          <w:sz w:val="19"/>
          <w:szCs w:val="19"/>
          <w:color w:val="auto"/>
        </w:rPr>
        <w:t>Term Incentive Plan recently approved by its shareholders (the “LTI Plan”) and thus, conform the Plan definitions with the LTI Plan and provide consistency across the entire organization to those employees affected in the future.</w:t>
      </w:r>
    </w:p>
    <w:p>
      <w:pPr>
        <w:spacing w:after="0" w:line="175" w:lineRule="exact"/>
        <w:rPr>
          <w:sz w:val="20"/>
          <w:szCs w:val="20"/>
          <w:color w:val="auto"/>
        </w:rPr>
      </w:pPr>
    </w:p>
    <w:p>
      <w:pPr>
        <w:ind w:left="720"/>
        <w:spacing w:after="0"/>
        <w:rPr>
          <w:sz w:val="20"/>
          <w:szCs w:val="20"/>
          <w:color w:val="auto"/>
        </w:rPr>
      </w:pPr>
      <w:r>
        <w:rPr>
          <w:rFonts w:ascii="Arial" w:cs="Arial" w:eastAsia="Arial" w:hAnsi="Arial"/>
          <w:sz w:val="19"/>
          <w:szCs w:val="19"/>
          <w:b w:val="1"/>
          <w:bCs w:val="1"/>
          <w:color w:val="auto"/>
        </w:rPr>
        <w:t>NOW, THEREFORE, BE IT</w:t>
      </w:r>
      <w:r>
        <w:rPr>
          <w:rFonts w:ascii="Arial" w:cs="Arial" w:eastAsia="Arial" w:hAnsi="Arial"/>
          <w:sz w:val="20"/>
          <w:szCs w:val="20"/>
          <w:b w:val="1"/>
          <w:bCs w:val="1"/>
          <w:color w:val="auto"/>
        </w:rPr>
        <w:t>:</w:t>
      </w:r>
    </w:p>
    <w:p>
      <w:pPr>
        <w:spacing w:after="0" w:line="238" w:lineRule="exact"/>
        <w:rPr>
          <w:sz w:val="20"/>
          <w:szCs w:val="20"/>
          <w:color w:val="auto"/>
        </w:rPr>
      </w:pPr>
    </w:p>
    <w:p>
      <w:pPr>
        <w:ind w:right="280" w:firstLine="720"/>
        <w:spacing w:after="0" w:line="270" w:lineRule="auto"/>
        <w:rPr>
          <w:sz w:val="20"/>
          <w:szCs w:val="20"/>
          <w:color w:val="auto"/>
        </w:rPr>
      </w:pPr>
      <w:r>
        <w:rPr>
          <w:rFonts w:ascii="Arial" w:cs="Arial" w:eastAsia="Arial" w:hAnsi="Arial"/>
          <w:sz w:val="19"/>
          <w:szCs w:val="19"/>
          <w:b w:val="1"/>
          <w:bCs w:val="1"/>
          <w:color w:val="auto"/>
        </w:rPr>
        <w:t>RESOLVED</w:t>
      </w:r>
      <w:r>
        <w:rPr>
          <w:rFonts w:ascii="Arial" w:cs="Arial" w:eastAsia="Arial" w:hAnsi="Arial"/>
          <w:sz w:val="19"/>
          <w:szCs w:val="19"/>
          <w:color w:val="auto"/>
        </w:rPr>
        <w:t>, effective September 1, 2023, the definition of “Cause” under Article II, Section 2.2 of the Plan is amended to read, in its</w:t>
      </w:r>
      <w:r>
        <w:rPr>
          <w:rFonts w:ascii="Arial" w:cs="Arial" w:eastAsia="Arial" w:hAnsi="Arial"/>
          <w:sz w:val="19"/>
          <w:szCs w:val="19"/>
          <w:b w:val="1"/>
          <w:bCs w:val="1"/>
          <w:color w:val="auto"/>
        </w:rPr>
        <w:t xml:space="preserve"> </w:t>
      </w:r>
      <w:r>
        <w:rPr>
          <w:rFonts w:ascii="Arial" w:cs="Arial" w:eastAsia="Arial" w:hAnsi="Arial"/>
          <w:sz w:val="19"/>
          <w:szCs w:val="19"/>
          <w:color w:val="auto"/>
        </w:rPr>
        <w:t>entirety, as follows:</w:t>
      </w:r>
    </w:p>
    <w:p>
      <w:pPr>
        <w:spacing w:after="0" w:line="158" w:lineRule="exact"/>
        <w:rPr>
          <w:sz w:val="20"/>
          <w:szCs w:val="20"/>
          <w:color w:val="auto"/>
        </w:rPr>
      </w:pPr>
    </w:p>
    <w:p>
      <w:pPr>
        <w:ind w:right="60" w:firstLine="720"/>
        <w:spacing w:after="0" w:line="254" w:lineRule="auto"/>
        <w:rPr>
          <w:sz w:val="20"/>
          <w:szCs w:val="20"/>
          <w:color w:val="auto"/>
        </w:rPr>
      </w:pPr>
      <w:r>
        <w:rPr>
          <w:rFonts w:ascii="Arial" w:cs="Arial" w:eastAsia="Arial" w:hAnsi="Arial"/>
          <w:sz w:val="17"/>
          <w:szCs w:val="17"/>
          <w:color w:val="auto"/>
        </w:rPr>
        <w:t>2.2 “Cause” means (i) the definition of “Cause” as set forth in any individual employment agreement applicable to such Participant, or (ii) in the case of a Participant who does not have an individual employment agreement that defines Cause, then “Cause” means the termination of a</w:t>
      </w:r>
    </w:p>
    <w:p>
      <w:pPr>
        <w:spacing w:after="0" w:line="1" w:lineRule="exact"/>
        <w:rPr>
          <w:sz w:val="20"/>
          <w:szCs w:val="20"/>
          <w:color w:val="auto"/>
        </w:rPr>
      </w:pPr>
    </w:p>
    <w:p>
      <w:pPr>
        <w:jc w:val="both"/>
        <w:ind w:right="20"/>
        <w:spacing w:after="0" w:line="237" w:lineRule="auto"/>
        <w:rPr>
          <w:sz w:val="20"/>
          <w:szCs w:val="20"/>
          <w:color w:val="auto"/>
        </w:rPr>
      </w:pPr>
      <w:r>
        <w:rPr>
          <w:rFonts w:ascii="Arial" w:cs="Arial" w:eastAsia="Arial" w:hAnsi="Arial"/>
          <w:sz w:val="17"/>
          <w:szCs w:val="17"/>
          <w:color w:val="auto"/>
        </w:rPr>
        <w:t>Participant’s employment by reason of his or her (1) engaging in gross misconduct that is injurious to the Company and/or any of its subsidiaries the majority of the voting stock of which is owned directly or indirectly by the Company (hereinafter, the “Campbell Group”), monetarily or otherwise,</w:t>
      </w:r>
    </w:p>
    <w:p>
      <w:pPr>
        <w:ind w:right="40" w:firstLine="3"/>
        <w:spacing w:after="0" w:line="245" w:lineRule="auto"/>
        <w:tabs>
          <w:tab w:leader="none" w:pos="267" w:val="left"/>
        </w:tabs>
        <w:numPr>
          <w:ilvl w:val="0"/>
          <w:numId w:val="73"/>
        </w:numPr>
        <w:rPr>
          <w:rFonts w:ascii="Arial" w:cs="Arial" w:eastAsia="Arial" w:hAnsi="Arial"/>
          <w:sz w:val="17"/>
          <w:szCs w:val="17"/>
          <w:color w:val="auto"/>
        </w:rPr>
      </w:pPr>
      <w:r>
        <w:rPr>
          <w:rFonts w:ascii="Arial" w:cs="Arial" w:eastAsia="Arial" w:hAnsi="Arial"/>
          <w:sz w:val="17"/>
          <w:szCs w:val="17"/>
          <w:color w:val="auto"/>
        </w:rPr>
        <w:t>material breach by the Participant of the Company’s Code of Business Conduct and Ethics or the Company’s Code of Ethics for the Chief Executive Officer and Senior Financial Officers, as applicable, as such codes may be amended from time to time (or any successor policies thereto),</w:t>
      </w:r>
    </w:p>
    <w:p>
      <w:pPr>
        <w:ind w:firstLine="3"/>
        <w:spacing w:after="0" w:line="232" w:lineRule="auto"/>
        <w:tabs>
          <w:tab w:leader="none" w:pos="267" w:val="left"/>
        </w:tabs>
        <w:numPr>
          <w:ilvl w:val="0"/>
          <w:numId w:val="73"/>
        </w:numPr>
        <w:rPr>
          <w:rFonts w:ascii="Arial" w:cs="Arial" w:eastAsia="Arial" w:hAnsi="Arial"/>
          <w:sz w:val="18"/>
          <w:szCs w:val="18"/>
          <w:color w:val="auto"/>
        </w:rPr>
      </w:pPr>
      <w:r>
        <w:rPr>
          <w:rFonts w:ascii="Arial" w:cs="Arial" w:eastAsia="Arial" w:hAnsi="Arial"/>
          <w:sz w:val="18"/>
          <w:szCs w:val="18"/>
          <w:color w:val="auto"/>
        </w:rPr>
        <w:t>misappropriation of funds, (4) willful misrepresentation to the directors or officers of the Campbell Group, (5) gross negligence in the performance of the Participant’s duties having an adverse effect on the business, operations, assets, properties or financial condition of the Campbell Group, (6) conviction of a crime involving moral turpitude, or (7) material breach of any employment agreement between the Participant and a member of the Campbell Group or any confidentiality, intellectual property, non-solicitation, non-competition or similar restrictive covenant in any agreement between the Participant and a member of the Campbell Group. The determination of whether a Participant’s employment was terminated for Cause shall be made by the Plan Administrator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20"/>
          </w:cols>
          <w:pgMar w:left="320" w:top="1348" w:right="359" w:bottom="1440" w:gutter="0" w:footer="0" w:header="0"/>
        </w:sectPr>
      </w:pPr>
    </w:p>
    <w:bookmarkStart w:id="90" w:name="page91"/>
    <w:bookmarkEnd w:id="90"/>
    <w:p>
      <w:pPr>
        <w:jc w:val="right"/>
        <w:ind w:right="3039"/>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this instrument has been executed on August 31, 2023.</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21"/>
          <w:szCs w:val="21"/>
          <w:b w:val="1"/>
          <w:bCs w:val="1"/>
          <w:color w:val="auto"/>
        </w:rPr>
        <w:t>Campbell Soup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720"/>
        <w:spacing w:after="0"/>
        <w:rPr>
          <w:sz w:val="20"/>
          <w:szCs w:val="20"/>
          <w:color w:val="auto"/>
        </w:rPr>
      </w:pPr>
      <w:r>
        <w:rPr>
          <w:rFonts w:ascii="Arial" w:cs="Arial" w:eastAsia="Arial" w:hAnsi="Arial"/>
          <w:sz w:val="19"/>
          <w:szCs w:val="19"/>
          <w:color w:val="auto"/>
        </w:rPr>
        <w:t>By</w:t>
      </w:r>
      <w:r>
        <w:rPr>
          <w:rFonts w:ascii="Arial" w:cs="Arial" w:eastAsia="Arial" w:hAnsi="Arial"/>
          <w:sz w:val="19"/>
          <w:szCs w:val="19"/>
          <w:u w:val="single" w:color="auto"/>
          <w:color w:val="auto"/>
        </w:rPr>
        <w:t>: /s/ Mark A. Clouse</w:t>
      </w:r>
      <w:r>
        <w:rPr>
          <w:rFonts w:ascii="Arial" w:cs="Arial" w:eastAsia="Arial" w:hAnsi="Arial"/>
          <w:sz w:val="19"/>
          <w:szCs w:val="19"/>
          <w:color w:val="auto"/>
        </w:rPr>
        <w:t>_____________</w:t>
      </w:r>
    </w:p>
    <w:p>
      <w:pPr>
        <w:spacing w:after="0" w:line="22" w:lineRule="exact"/>
        <w:rPr>
          <w:sz w:val="20"/>
          <w:szCs w:val="20"/>
          <w:color w:val="auto"/>
        </w:rPr>
      </w:pPr>
    </w:p>
    <w:p>
      <w:pPr>
        <w:ind w:left="3720"/>
        <w:spacing w:after="0"/>
        <w:rPr>
          <w:sz w:val="20"/>
          <w:szCs w:val="20"/>
          <w:color w:val="auto"/>
        </w:rPr>
      </w:pPr>
      <w:r>
        <w:rPr>
          <w:rFonts w:ascii="Arial" w:cs="Arial" w:eastAsia="Arial" w:hAnsi="Arial"/>
          <w:sz w:val="21"/>
          <w:szCs w:val="21"/>
          <w:color w:val="auto"/>
        </w:rPr>
        <w:t>Mark A. Clouse</w:t>
      </w:r>
    </w:p>
    <w:p>
      <w:pPr>
        <w:spacing w:after="0"/>
        <w:rPr>
          <w:sz w:val="20"/>
          <w:szCs w:val="20"/>
          <w:color w:val="auto"/>
        </w:rPr>
      </w:pPr>
      <w:r>
        <w:rPr>
          <w:rFonts w:ascii="Arial" w:cs="Arial" w:eastAsia="Arial" w:hAnsi="Arial"/>
          <w:sz w:val="21"/>
          <w:szCs w:val="21"/>
          <w:color w:val="auto"/>
        </w:rPr>
        <w:t>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560"/>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0139"/>
          </w:cols>
          <w:pgMar w:left="320" w:top="1340" w:right="1440" w:bottom="1440" w:gutter="0" w:footer="0" w:header="0"/>
        </w:sectPr>
      </w:pPr>
    </w:p>
    <w:bookmarkStart w:id="91" w:name="page92"/>
    <w:bookmarkEnd w:id="91"/>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CAMPBELL SOUP COMPANY</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2022 LONG-TERM INCENTIVE PLAN</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TIME-LAPSE RESTRICTED STOCK UNIT AGREEMENT</w:t>
      </w:r>
    </w:p>
    <w:p>
      <w:pPr>
        <w:spacing w:after="0" w:line="197" w:lineRule="exact"/>
        <w:rPr>
          <w:sz w:val="20"/>
          <w:szCs w:val="20"/>
          <w:color w:val="auto"/>
        </w:rPr>
      </w:pPr>
    </w:p>
    <w:p>
      <w:pPr>
        <w:jc w:val="both"/>
        <w:ind w:right="20" w:firstLine="618"/>
        <w:spacing w:after="0" w:line="248"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TIME-LAPSE RESTRICTED STOCK UNIT AGREEMENT</w:t>
      </w:r>
      <w:r>
        <w:rPr>
          <w:rFonts w:ascii="Arial" w:cs="Arial" w:eastAsia="Arial" w:hAnsi="Arial"/>
          <w:sz w:val="19"/>
          <w:szCs w:val="19"/>
          <w:color w:val="auto"/>
        </w:rPr>
        <w:t xml:space="preserve"> (the “Agreement”) between Campbell Soup Company (the “Company”) and [Employee Full Legal Name] (“Grantee”), an employee of the Company or one of its participating subsidiaries, on [Grant Date] (the “Grant Date”).</w:t>
      </w:r>
    </w:p>
    <w:p>
      <w:pPr>
        <w:spacing w:after="0" w:line="198" w:lineRule="exact"/>
        <w:rPr>
          <w:sz w:val="20"/>
          <w:szCs w:val="20"/>
          <w:color w:val="auto"/>
        </w:rPr>
      </w:pPr>
    </w:p>
    <w:p>
      <w:pPr>
        <w:jc w:val="both"/>
        <w:ind w:right="20" w:firstLine="618"/>
        <w:spacing w:after="0" w:line="241"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Company desires to award Grantee time-lapse Restricted Stock Units (the “Award), which each represent a right to receive</w:t>
      </w:r>
      <w:r>
        <w:rPr>
          <w:rFonts w:ascii="Arial" w:cs="Arial" w:eastAsia="Arial" w:hAnsi="Arial"/>
          <w:sz w:val="19"/>
          <w:szCs w:val="19"/>
          <w:b w:val="1"/>
          <w:bCs w:val="1"/>
          <w:color w:val="auto"/>
        </w:rPr>
        <w:t xml:space="preserve"> </w:t>
      </w:r>
      <w:r>
        <w:rPr>
          <w:rFonts w:ascii="Arial" w:cs="Arial" w:eastAsia="Arial" w:hAnsi="Arial"/>
          <w:sz w:val="19"/>
          <w:szCs w:val="19"/>
          <w:color w:val="auto"/>
        </w:rPr>
        <w:t>one share of capital stock, $.0375 par value of the Company (a “Share” or “Shares”) as hereinafter provided (the “Restricted Stock Units”), under the Campbell Soup Company 2022 Long-Term Incentive Plan (the “Plan”) and this Agreement; and</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by accepting this Award, Grantee agrees to the terms of this Agreement;</w:t>
      </w:r>
    </w:p>
    <w:p>
      <w:pPr>
        <w:spacing w:after="0" w:line="219" w:lineRule="exact"/>
        <w:rPr>
          <w:sz w:val="20"/>
          <w:szCs w:val="20"/>
          <w:color w:val="auto"/>
        </w:rPr>
      </w:pPr>
    </w:p>
    <w:p>
      <w:pPr>
        <w:jc w:val="both"/>
        <w:ind w:right="20" w:firstLine="618"/>
        <w:spacing w:after="0" w:line="270"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valuable considerations the legal sufficiency of which is hereby acknowledged,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and Grantee, each intending to be legally bound, agree as follows:</w:t>
      </w:r>
    </w:p>
    <w:p>
      <w:pPr>
        <w:spacing w:after="0" w:line="165" w:lineRule="exact"/>
        <w:rPr>
          <w:sz w:val="20"/>
          <w:szCs w:val="20"/>
          <w:color w:val="auto"/>
        </w:rPr>
      </w:pPr>
    </w:p>
    <w:p>
      <w:pPr>
        <w:jc w:val="both"/>
        <w:ind w:right="20" w:firstLine="621"/>
        <w:spacing w:after="0" w:line="241" w:lineRule="auto"/>
        <w:tabs>
          <w:tab w:leader="none" w:pos="820" w:val="left"/>
        </w:tabs>
        <w:numPr>
          <w:ilvl w:val="0"/>
          <w:numId w:val="7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Award of Restricted Stock Units</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hereby grants to Grantee on the Grant Date [#Granted] Restricted Stock Units. The</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Restricted Stock Units are in all respects limited and conditioned as hereinafter provided, and are subject in all respects to the Plan’s terms and conditions, as amended. During the restriction periods set forth below, the Award shall consist of stock units but any portion of the Award that ultimately vests will be delivered in Shares.</w:t>
      </w:r>
    </w:p>
    <w:p>
      <w:pPr>
        <w:spacing w:after="0" w:line="204" w:lineRule="exact"/>
        <w:rPr>
          <w:rFonts w:ascii="Arial" w:cs="Arial" w:eastAsia="Arial" w:hAnsi="Arial"/>
          <w:sz w:val="19"/>
          <w:szCs w:val="19"/>
          <w:b w:val="1"/>
          <w:bCs w:val="1"/>
          <w:color w:val="auto"/>
        </w:rPr>
      </w:pPr>
    </w:p>
    <w:p>
      <w:pPr>
        <w:jc w:val="both"/>
        <w:ind w:right="20" w:firstLine="621"/>
        <w:spacing w:after="0" w:line="263" w:lineRule="auto"/>
        <w:tabs>
          <w:tab w:leader="none" w:pos="820"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Restriction Period; Payment</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terms of this Agreement and the Plan and provided that Grantee remains continuously</w:t>
      </w:r>
      <w:r>
        <w:rPr>
          <w:rFonts w:ascii="Arial" w:cs="Arial" w:eastAsia="Arial" w:hAnsi="Arial"/>
          <w:sz w:val="17"/>
          <w:szCs w:val="17"/>
          <w:b w:val="1"/>
          <w:bCs w:val="1"/>
          <w:color w:val="auto"/>
        </w:rPr>
        <w:t xml:space="preserve"> </w:t>
      </w:r>
      <w:r>
        <w:rPr>
          <w:rFonts w:ascii="Arial" w:cs="Arial" w:eastAsia="Arial" w:hAnsi="Arial"/>
          <w:sz w:val="17"/>
          <w:szCs w:val="17"/>
          <w:color w:val="auto"/>
        </w:rPr>
        <w:t>employed throughout the restriction periods set forth below, one-third (1/3) of the Restricted Stock Units shall vest per year over three years on each</w:t>
      </w:r>
    </w:p>
    <w:tbl>
      <w:tblPr>
        <w:tblLayout w:type="fixed"/>
        <w:tblInd w:w="10" w:type="dxa"/>
        <w:tblCellMar>
          <w:top w:w="0" w:type="dxa"/>
          <w:left w:w="0" w:type="dxa"/>
          <w:bottom w:w="0" w:type="dxa"/>
          <w:right w:w="0" w:type="dxa"/>
        </w:tblCellMar>
      </w:tblPr>
      <w:tr>
        <w:trPr>
          <w:trHeight w:val="251"/>
        </w:trPr>
        <w:tc>
          <w:tcPr>
            <w:tcW w:w="9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w w:val="89"/>
              </w:rPr>
              <w:t>September</w:t>
            </w:r>
          </w:p>
        </w:tc>
        <w:tc>
          <w:tcPr>
            <w:tcW w:w="1040" w:type="dxa"/>
            <w:vAlign w:val="bottom"/>
            <w:tcBorders>
              <w:bottom w:val="single" w:sz="8" w:color="auto"/>
            </w:tcBorders>
          </w:tcPr>
          <w:p>
            <w:pPr>
              <w:ind w:left="380"/>
              <w:spacing w:after="0" w:line="251" w:lineRule="exact"/>
              <w:rPr>
                <w:sz w:val="20"/>
                <w:szCs w:val="20"/>
                <w:color w:val="auto"/>
              </w:rPr>
            </w:pPr>
            <w:r>
              <w:rPr>
                <w:rFonts w:ascii="Arial" w:cs="Arial" w:eastAsia="Arial" w:hAnsi="Arial"/>
                <w:sz w:val="19"/>
                <w:szCs w:val="19"/>
                <w:b w:val="1"/>
                <w:bCs w:val="1"/>
                <w:color w:val="auto"/>
              </w:rPr>
              <w:t>30</w:t>
            </w:r>
            <w:r>
              <w:rPr>
                <w:rFonts w:ascii="Arial" w:cs="Arial" w:eastAsia="Arial" w:hAnsi="Arial"/>
                <w:sz w:val="24"/>
                <w:szCs w:val="24"/>
                <w:b w:val="1"/>
                <w:bCs w:val="1"/>
                <w:color w:val="auto"/>
                <w:vertAlign w:val="superscript"/>
              </w:rPr>
              <w:t>th</w:t>
            </w: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9"/>
                <w:szCs w:val="19"/>
                <w:color w:val="auto"/>
              </w:rPr>
              <w:t>following</w:t>
            </w:r>
          </w:p>
        </w:tc>
        <w:tc>
          <w:tcPr>
            <w:tcW w:w="660" w:type="dxa"/>
            <w:vAlign w:val="bottom"/>
            <w:tcBorders>
              <w:bottom w:val="single" w:sz="8" w:color="auto"/>
            </w:tcBorders>
          </w:tcPr>
          <w:p>
            <w:pPr>
              <w:ind w:left="220"/>
              <w:spacing w:after="0"/>
              <w:rPr>
                <w:sz w:val="20"/>
                <w:szCs w:val="20"/>
                <w:color w:val="auto"/>
              </w:rPr>
            </w:pPr>
            <w:r>
              <w:rPr>
                <w:rFonts w:ascii="Arial" w:cs="Arial" w:eastAsia="Arial" w:hAnsi="Arial"/>
                <w:sz w:val="19"/>
                <w:szCs w:val="19"/>
                <w:color w:val="auto"/>
              </w:rPr>
              <w:t>the</w:t>
            </w:r>
          </w:p>
        </w:tc>
        <w:tc>
          <w:tcPr>
            <w:tcW w:w="700" w:type="dxa"/>
            <w:vAlign w:val="bottom"/>
            <w:tcBorders>
              <w:bottom w:val="single" w:sz="8" w:color="auto"/>
            </w:tcBorders>
          </w:tcPr>
          <w:p>
            <w:pPr>
              <w:ind w:left="200"/>
              <w:spacing w:after="0"/>
              <w:rPr>
                <w:sz w:val="20"/>
                <w:szCs w:val="20"/>
                <w:color w:val="auto"/>
              </w:rPr>
            </w:pPr>
            <w:r>
              <w:rPr>
                <w:rFonts w:ascii="Arial" w:cs="Arial" w:eastAsia="Arial" w:hAnsi="Arial"/>
                <w:sz w:val="19"/>
                <w:szCs w:val="19"/>
                <w:color w:val="auto"/>
              </w:rPr>
              <w:t>Grant</w:t>
            </w: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9"/>
                <w:szCs w:val="19"/>
                <w:color w:val="auto"/>
              </w:rPr>
              <w:t>Date</w:t>
            </w: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9"/>
                <w:szCs w:val="19"/>
                <w:color w:val="auto"/>
              </w:rPr>
              <w:t>(each</w:t>
            </w:r>
          </w:p>
        </w:tc>
        <w:tc>
          <w:tcPr>
            <w:tcW w:w="500" w:type="dxa"/>
            <w:vAlign w:val="bottom"/>
            <w:tcBorders>
              <w:bottom w:val="single" w:sz="8" w:color="auto"/>
            </w:tcBorders>
          </w:tcPr>
          <w:p>
            <w:pPr>
              <w:ind w:left="200"/>
              <w:spacing w:after="0"/>
              <w:rPr>
                <w:sz w:val="20"/>
                <w:szCs w:val="20"/>
                <w:color w:val="auto"/>
              </w:rPr>
            </w:pPr>
            <w:r>
              <w:rPr>
                <w:rFonts w:ascii="Arial" w:cs="Arial" w:eastAsia="Arial" w:hAnsi="Arial"/>
                <w:sz w:val="19"/>
                <w:szCs w:val="19"/>
                <w:color w:val="auto"/>
              </w:rPr>
              <w:t>a</w:t>
            </w:r>
          </w:p>
        </w:tc>
        <w:tc>
          <w:tcPr>
            <w:tcW w:w="860" w:type="dxa"/>
            <w:vAlign w:val="bottom"/>
            <w:tcBorders>
              <w:bottom w:val="single" w:sz="8" w:color="auto"/>
            </w:tcBorders>
          </w:tcPr>
          <w:p>
            <w:pPr>
              <w:ind w:left="200"/>
              <w:spacing w:after="0"/>
              <w:rPr>
                <w:sz w:val="20"/>
                <w:szCs w:val="20"/>
                <w:color w:val="auto"/>
              </w:rPr>
            </w:pPr>
            <w:r>
              <w:rPr>
                <w:rFonts w:ascii="Arial" w:cs="Arial" w:eastAsia="Arial" w:hAnsi="Arial"/>
                <w:sz w:val="19"/>
                <w:szCs w:val="19"/>
                <w:color w:val="auto"/>
                <w:w w:val="88"/>
              </w:rPr>
              <w:t>“Vesting</w:t>
            </w:r>
          </w:p>
        </w:tc>
        <w:tc>
          <w:tcPr>
            <w:tcW w:w="1040" w:type="dxa"/>
            <w:vAlign w:val="bottom"/>
            <w:tcBorders>
              <w:bottom w:val="single" w:sz="8" w:color="auto"/>
            </w:tcBorders>
          </w:tcPr>
          <w:p>
            <w:pPr>
              <w:ind w:left="400"/>
              <w:spacing w:after="0"/>
              <w:rPr>
                <w:sz w:val="20"/>
                <w:szCs w:val="20"/>
                <w:color w:val="auto"/>
              </w:rPr>
            </w:pPr>
            <w:r>
              <w:rPr>
                <w:rFonts w:ascii="Arial" w:cs="Arial" w:eastAsia="Arial" w:hAnsi="Arial"/>
                <w:sz w:val="19"/>
                <w:szCs w:val="19"/>
                <w:color w:val="auto"/>
              </w:rPr>
              <w:t>Date”),</w:t>
            </w:r>
          </w:p>
        </w:tc>
        <w:tc>
          <w:tcPr>
            <w:tcW w:w="700" w:type="dxa"/>
            <w:vAlign w:val="bottom"/>
            <w:tcBorders>
              <w:bottom w:val="single" w:sz="8" w:color="auto"/>
            </w:tcBorders>
          </w:tcPr>
          <w:p>
            <w:pPr>
              <w:ind w:left="320"/>
              <w:spacing w:after="0"/>
              <w:rPr>
                <w:sz w:val="20"/>
                <w:szCs w:val="20"/>
                <w:color w:val="auto"/>
              </w:rPr>
            </w:pPr>
            <w:r>
              <w:rPr>
                <w:rFonts w:ascii="Arial" w:cs="Arial" w:eastAsia="Arial" w:hAnsi="Arial"/>
                <w:sz w:val="19"/>
                <w:szCs w:val="19"/>
                <w:color w:val="auto"/>
              </w:rPr>
              <w:t>as</w:t>
            </w:r>
          </w:p>
        </w:tc>
        <w:tc>
          <w:tcPr>
            <w:tcW w:w="620" w:type="dxa"/>
            <w:vAlign w:val="bottom"/>
            <w:tcBorders>
              <w:bottom w:val="single" w:sz="8" w:color="auto"/>
            </w:tcBorders>
          </w:tcPr>
          <w:p>
            <w:pPr>
              <w:ind w:left="200"/>
              <w:spacing w:after="0"/>
              <w:rPr>
                <w:sz w:val="20"/>
                <w:szCs w:val="20"/>
                <w:color w:val="auto"/>
              </w:rPr>
            </w:pPr>
            <w:r>
              <w:rPr>
                <w:rFonts w:ascii="Arial" w:cs="Arial" w:eastAsia="Arial" w:hAnsi="Arial"/>
                <w:sz w:val="19"/>
                <w:szCs w:val="19"/>
                <w:color w:val="auto"/>
              </w:rPr>
              <w:t>set</w:t>
            </w: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9"/>
                <w:szCs w:val="19"/>
                <w:color w:val="auto"/>
              </w:rPr>
              <w:t>forth</w:t>
            </w: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9"/>
                <w:szCs w:val="19"/>
                <w:color w:val="auto"/>
                <w:w w:val="90"/>
              </w:rPr>
              <w:t>below:</w:t>
            </w:r>
          </w:p>
        </w:tc>
      </w:tr>
      <w:tr>
        <w:trPr>
          <w:trHeight w:val="269"/>
        </w:trPr>
        <w:tc>
          <w:tcPr>
            <w:tcW w:w="19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21"/>
                <w:szCs w:val="21"/>
                <w:color w:val="auto"/>
                <w:w w:val="90"/>
              </w:rPr>
              <w:t>Restriction Period</w:t>
            </w:r>
          </w:p>
        </w:tc>
        <w:tc>
          <w:tcPr>
            <w:tcW w:w="9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2"/>
          </w:tcPr>
          <w:p>
            <w:pPr>
              <w:jc w:val="center"/>
              <w:ind w:left="326"/>
              <w:spacing w:after="0"/>
              <w:rPr>
                <w:sz w:val="20"/>
                <w:szCs w:val="20"/>
                <w:color w:val="auto"/>
              </w:rPr>
            </w:pPr>
            <w:r>
              <w:rPr>
                <w:rFonts w:ascii="Arial" w:cs="Arial" w:eastAsia="Arial" w:hAnsi="Arial"/>
                <w:sz w:val="19"/>
                <w:szCs w:val="19"/>
                <w:color w:val="auto"/>
                <w:w w:val="87"/>
              </w:rPr>
              <w:t>Vesting Dates</w:t>
            </w:r>
          </w:p>
        </w:tc>
        <w:tc>
          <w:tcPr>
            <w:tcW w:w="74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860" w:type="dxa"/>
            <w:vAlign w:val="bottom"/>
            <w:tcBorders>
              <w:bottom w:val="single" w:sz="8" w:color="auto"/>
              <w:right w:val="single" w:sz="8" w:color="auto"/>
            </w:tcBorders>
          </w:tcPr>
          <w:p>
            <w:pPr>
              <w:spacing w:after="0"/>
              <w:rPr>
                <w:sz w:val="23"/>
                <w:szCs w:val="23"/>
                <w:color w:val="auto"/>
              </w:rPr>
            </w:pPr>
          </w:p>
        </w:tc>
        <w:tc>
          <w:tcPr>
            <w:tcW w:w="3280" w:type="dxa"/>
            <w:vAlign w:val="bottom"/>
            <w:tcBorders>
              <w:bottom w:val="single" w:sz="8" w:color="auto"/>
            </w:tcBorders>
            <w:gridSpan w:val="4"/>
          </w:tcPr>
          <w:p>
            <w:pPr>
              <w:jc w:val="center"/>
              <w:ind w:left="466"/>
              <w:spacing w:after="0"/>
              <w:rPr>
                <w:sz w:val="20"/>
                <w:szCs w:val="20"/>
                <w:color w:val="auto"/>
              </w:rPr>
            </w:pPr>
            <w:r>
              <w:rPr>
                <w:rFonts w:ascii="Arial" w:cs="Arial" w:eastAsia="Arial" w:hAnsi="Arial"/>
                <w:sz w:val="19"/>
                <w:szCs w:val="19"/>
                <w:color w:val="auto"/>
                <w:w w:val="91"/>
              </w:rPr>
              <w:t>Number of Restricted Stock Units</w:t>
            </w:r>
          </w:p>
        </w:tc>
        <w:tc>
          <w:tcPr>
            <w:tcW w:w="600" w:type="dxa"/>
            <w:vAlign w:val="bottom"/>
            <w:tcBorders>
              <w:bottom w:val="single" w:sz="8" w:color="auto"/>
              <w:right w:val="single" w:sz="8" w:color="auto"/>
            </w:tcBorders>
          </w:tcPr>
          <w:p>
            <w:pPr>
              <w:spacing w:after="0"/>
              <w:rPr>
                <w:sz w:val="23"/>
                <w:szCs w:val="23"/>
                <w:color w:val="auto"/>
              </w:rPr>
            </w:pPr>
          </w:p>
        </w:tc>
      </w:tr>
      <w:tr>
        <w:trPr>
          <w:trHeight w:val="253"/>
        </w:trPr>
        <w:tc>
          <w:tcPr>
            <w:tcW w:w="900" w:type="dxa"/>
            <w:vAlign w:val="bottom"/>
            <w:tcBorders>
              <w:left w:val="single" w:sz="8" w:color="auto"/>
              <w:bottom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jc w:val="center"/>
              <w:ind w:right="806"/>
              <w:spacing w:after="0"/>
              <w:rPr>
                <w:sz w:val="20"/>
                <w:szCs w:val="20"/>
                <w:color w:val="auto"/>
              </w:rPr>
            </w:pPr>
            <w:r>
              <w:rPr>
                <w:rFonts w:ascii="Arial" w:cs="Arial" w:eastAsia="Arial" w:hAnsi="Arial"/>
                <w:sz w:val="19"/>
                <w:szCs w:val="19"/>
                <w:color w:val="auto"/>
                <w:w w:val="94"/>
              </w:rPr>
              <w:t>1</w:t>
            </w:r>
          </w:p>
        </w:tc>
        <w:tc>
          <w:tcPr>
            <w:tcW w:w="9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166"/>
              <w:spacing w:after="0"/>
              <w:rPr>
                <w:sz w:val="20"/>
                <w:szCs w:val="20"/>
                <w:color w:val="auto"/>
              </w:rPr>
            </w:pPr>
            <w:r>
              <w:rPr>
                <w:rFonts w:ascii="Arial" w:cs="Arial" w:eastAsia="Arial" w:hAnsi="Arial"/>
                <w:sz w:val="19"/>
                <w:szCs w:val="19"/>
                <w:color w:val="auto"/>
                <w:w w:val="93"/>
              </w:rPr>
              <w:t>[Date 1]</w:t>
            </w:r>
          </w:p>
        </w:tc>
        <w:tc>
          <w:tcPr>
            <w:tcW w:w="7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3"/>
          </w:tcPr>
          <w:p>
            <w:pPr>
              <w:jc w:val="center"/>
              <w:ind w:right="366"/>
              <w:spacing w:after="0"/>
              <w:rPr>
                <w:sz w:val="20"/>
                <w:szCs w:val="20"/>
                <w:color w:val="auto"/>
              </w:rPr>
            </w:pPr>
            <w:r>
              <w:rPr>
                <w:rFonts w:ascii="Arial" w:cs="Arial" w:eastAsia="Arial" w:hAnsi="Arial"/>
                <w:sz w:val="19"/>
                <w:szCs w:val="19"/>
                <w:color w:val="auto"/>
                <w:w w:val="91"/>
              </w:rPr>
              <w:t>[#Vesting on Date 1]</w:t>
            </w:r>
          </w:p>
        </w:tc>
        <w:tc>
          <w:tcPr>
            <w:tcW w:w="600" w:type="dxa"/>
            <w:vAlign w:val="bottom"/>
            <w:tcBorders>
              <w:bottom w:val="single" w:sz="8" w:color="auto"/>
              <w:right w:val="single" w:sz="8" w:color="auto"/>
            </w:tcBorders>
          </w:tcPr>
          <w:p>
            <w:pPr>
              <w:spacing w:after="0"/>
              <w:rPr>
                <w:sz w:val="22"/>
                <w:szCs w:val="22"/>
                <w:color w:val="auto"/>
              </w:rPr>
            </w:pPr>
          </w:p>
        </w:tc>
      </w:tr>
      <w:tr>
        <w:trPr>
          <w:trHeight w:val="250"/>
        </w:trPr>
        <w:tc>
          <w:tcPr>
            <w:tcW w:w="900" w:type="dxa"/>
            <w:vAlign w:val="bottom"/>
            <w:tcBorders>
              <w:left w:val="single" w:sz="8" w:color="auto"/>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center"/>
              <w:ind w:right="806"/>
              <w:spacing w:after="0"/>
              <w:rPr>
                <w:sz w:val="20"/>
                <w:szCs w:val="20"/>
                <w:color w:val="auto"/>
              </w:rPr>
            </w:pPr>
            <w:r>
              <w:rPr>
                <w:rFonts w:ascii="Arial" w:cs="Arial" w:eastAsia="Arial" w:hAnsi="Arial"/>
                <w:sz w:val="19"/>
                <w:szCs w:val="19"/>
                <w:color w:val="auto"/>
                <w:w w:val="94"/>
              </w:rPr>
              <w:t>2</w:t>
            </w:r>
          </w:p>
        </w:tc>
        <w:tc>
          <w:tcPr>
            <w:tcW w:w="9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66"/>
              <w:spacing w:after="0"/>
              <w:rPr>
                <w:sz w:val="20"/>
                <w:szCs w:val="20"/>
                <w:color w:val="auto"/>
              </w:rPr>
            </w:pPr>
            <w:r>
              <w:rPr>
                <w:rFonts w:ascii="Arial" w:cs="Arial" w:eastAsia="Arial" w:hAnsi="Arial"/>
                <w:sz w:val="19"/>
                <w:szCs w:val="19"/>
                <w:color w:val="auto"/>
                <w:w w:val="93"/>
              </w:rPr>
              <w:t>[Date 2]</w:t>
            </w:r>
          </w:p>
        </w:tc>
        <w:tc>
          <w:tcPr>
            <w:tcW w:w="7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3"/>
          </w:tcPr>
          <w:p>
            <w:pPr>
              <w:jc w:val="center"/>
              <w:ind w:right="366"/>
              <w:spacing w:after="0"/>
              <w:rPr>
                <w:sz w:val="20"/>
                <w:szCs w:val="20"/>
                <w:color w:val="auto"/>
              </w:rPr>
            </w:pPr>
            <w:r>
              <w:rPr>
                <w:rFonts w:ascii="Arial" w:cs="Arial" w:eastAsia="Arial" w:hAnsi="Arial"/>
                <w:sz w:val="19"/>
                <w:szCs w:val="19"/>
                <w:color w:val="auto"/>
                <w:w w:val="91"/>
              </w:rPr>
              <w:t>[#Vesting on Date 2]</w:t>
            </w:r>
          </w:p>
        </w:tc>
        <w:tc>
          <w:tcPr>
            <w:tcW w:w="600" w:type="dxa"/>
            <w:vAlign w:val="bottom"/>
            <w:tcBorders>
              <w:bottom w:val="single" w:sz="8" w:color="auto"/>
              <w:right w:val="single" w:sz="8" w:color="auto"/>
            </w:tcBorders>
          </w:tcPr>
          <w:p>
            <w:pPr>
              <w:spacing w:after="0"/>
              <w:rPr>
                <w:sz w:val="21"/>
                <w:szCs w:val="21"/>
                <w:color w:val="auto"/>
              </w:rPr>
            </w:pPr>
          </w:p>
        </w:tc>
      </w:tr>
      <w:tr>
        <w:trPr>
          <w:trHeight w:val="250"/>
        </w:trPr>
        <w:tc>
          <w:tcPr>
            <w:tcW w:w="900" w:type="dxa"/>
            <w:vAlign w:val="bottom"/>
            <w:tcBorders>
              <w:left w:val="single" w:sz="8" w:color="auto"/>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center"/>
              <w:ind w:right="806"/>
              <w:spacing w:after="0"/>
              <w:rPr>
                <w:sz w:val="20"/>
                <w:szCs w:val="20"/>
                <w:color w:val="auto"/>
              </w:rPr>
            </w:pPr>
            <w:r>
              <w:rPr>
                <w:rFonts w:ascii="Arial" w:cs="Arial" w:eastAsia="Arial" w:hAnsi="Arial"/>
                <w:sz w:val="19"/>
                <w:szCs w:val="19"/>
                <w:color w:val="auto"/>
                <w:w w:val="94"/>
              </w:rPr>
              <w:t>3</w:t>
            </w:r>
          </w:p>
        </w:tc>
        <w:tc>
          <w:tcPr>
            <w:tcW w:w="9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66"/>
              <w:spacing w:after="0"/>
              <w:rPr>
                <w:sz w:val="20"/>
                <w:szCs w:val="20"/>
                <w:color w:val="auto"/>
              </w:rPr>
            </w:pPr>
            <w:r>
              <w:rPr>
                <w:rFonts w:ascii="Arial" w:cs="Arial" w:eastAsia="Arial" w:hAnsi="Arial"/>
                <w:sz w:val="19"/>
                <w:szCs w:val="19"/>
                <w:color w:val="auto"/>
                <w:w w:val="93"/>
              </w:rPr>
              <w:t>[Date 3]</w:t>
            </w:r>
          </w:p>
        </w:tc>
        <w:tc>
          <w:tcPr>
            <w:tcW w:w="7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3"/>
          </w:tcPr>
          <w:p>
            <w:pPr>
              <w:jc w:val="center"/>
              <w:ind w:right="366"/>
              <w:spacing w:after="0"/>
              <w:rPr>
                <w:sz w:val="20"/>
                <w:szCs w:val="20"/>
                <w:color w:val="auto"/>
              </w:rPr>
            </w:pPr>
            <w:r>
              <w:rPr>
                <w:rFonts w:ascii="Arial" w:cs="Arial" w:eastAsia="Arial" w:hAnsi="Arial"/>
                <w:sz w:val="19"/>
                <w:szCs w:val="19"/>
                <w:color w:val="auto"/>
                <w:w w:val="91"/>
              </w:rPr>
              <w:t>[#Vesting on Date 3]</w:t>
            </w:r>
          </w:p>
        </w:tc>
        <w:tc>
          <w:tcPr>
            <w:tcW w:w="600" w:type="dxa"/>
            <w:vAlign w:val="bottom"/>
            <w:tcBorders>
              <w:bottom w:val="single" w:sz="8" w:color="auto"/>
              <w:right w:val="single" w:sz="8" w:color="auto"/>
            </w:tcBorders>
          </w:tcPr>
          <w:p>
            <w:pPr>
              <w:spacing w:after="0"/>
              <w:rPr>
                <w:sz w:val="21"/>
                <w:szCs w:val="21"/>
                <w:color w:val="auto"/>
              </w:rPr>
            </w:pPr>
          </w:p>
        </w:tc>
      </w:tr>
    </w:tbl>
    <w:p>
      <w:pPr>
        <w:spacing w:after="0" w:line="305"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Except as otherwise provided below, the Company shall deliver to Grantee one Share for each vested Restricted Stock Unit during the month following each applicable Vesting Date. Unless terminated earlier under paragraph 5 below, a Grantee’s rights under this Agreement shall terminate with respect to each Restricted Stock Unit at the time such Restricted Stock Unit is converted into a Share.</w:t>
      </w:r>
    </w:p>
    <w:p>
      <w:pPr>
        <w:spacing w:after="0" w:line="188" w:lineRule="exact"/>
        <w:rPr>
          <w:sz w:val="20"/>
          <w:szCs w:val="20"/>
          <w:color w:val="auto"/>
        </w:rPr>
      </w:pPr>
    </w:p>
    <w:p>
      <w:pPr>
        <w:jc w:val="both"/>
        <w:ind w:right="20" w:firstLine="621"/>
        <w:spacing w:after="0" w:line="279" w:lineRule="auto"/>
        <w:tabs>
          <w:tab w:leader="none" w:pos="807" w:val="left"/>
        </w:tabs>
        <w:numPr>
          <w:ilvl w:val="0"/>
          <w:numId w:val="7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Dividend Equivalent Payment</w:t>
      </w:r>
      <w:r>
        <w:rPr>
          <w:rFonts w:ascii="Arial" w:cs="Arial" w:eastAsia="Arial" w:hAnsi="Arial"/>
          <w:sz w:val="17"/>
          <w:szCs w:val="17"/>
          <w:b w:val="1"/>
          <w:bCs w:val="1"/>
          <w:color w:val="auto"/>
        </w:rPr>
        <w:t xml:space="preserve">. </w:t>
      </w:r>
      <w:r>
        <w:rPr>
          <w:rFonts w:ascii="Arial" w:cs="Arial" w:eastAsia="Arial" w:hAnsi="Arial"/>
          <w:sz w:val="17"/>
          <w:szCs w:val="17"/>
          <w:color w:val="auto"/>
        </w:rPr>
        <w:t>After a Vesting Date, Grantee shall be paid in cash the accumulated amount equivalent to the dividends</w:t>
      </w:r>
      <w:r>
        <w:rPr>
          <w:rFonts w:ascii="Arial" w:cs="Arial" w:eastAsia="Arial" w:hAnsi="Arial"/>
          <w:sz w:val="17"/>
          <w:szCs w:val="17"/>
          <w:b w:val="1"/>
          <w:bCs w:val="1"/>
          <w:color w:val="auto"/>
        </w:rPr>
        <w:t xml:space="preserve"> </w:t>
      </w:r>
      <w:r>
        <w:rPr>
          <w:rFonts w:ascii="Arial" w:cs="Arial" w:eastAsia="Arial" w:hAnsi="Arial"/>
          <w:sz w:val="17"/>
          <w:szCs w:val="17"/>
          <w:color w:val="auto"/>
        </w:rPr>
        <w:t>which would have been paid on such Shares underlying the Restricted Stock Units to the extent the Company’s Board of Directors had approved and declared a dividend on its capital stock. Such dividend equivalent amount shall be paid during the month following the applicable Vesting Date. Subject to paragraph 5 below, the dividend equivalent payment shall be forfeited for any Restricted Stock Units terminated under paragraph 5.</w:t>
      </w:r>
    </w:p>
    <w:p>
      <w:pPr>
        <w:spacing w:after="0" w:line="172" w:lineRule="exact"/>
        <w:rPr>
          <w:rFonts w:ascii="Arial" w:cs="Arial" w:eastAsia="Arial" w:hAnsi="Arial"/>
          <w:sz w:val="17"/>
          <w:szCs w:val="17"/>
          <w:b w:val="1"/>
          <w:bCs w:val="1"/>
          <w:color w:val="auto"/>
        </w:rPr>
      </w:pPr>
    </w:p>
    <w:p>
      <w:pPr>
        <w:jc w:val="both"/>
        <w:ind w:right="20" w:firstLine="621"/>
        <w:spacing w:after="0" w:line="241" w:lineRule="auto"/>
        <w:tabs>
          <w:tab w:leader="none" w:pos="807" w:val="left"/>
        </w:tabs>
        <w:numPr>
          <w:ilvl w:val="0"/>
          <w:numId w:val="7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Incorporation of Plan Terms</w:t>
      </w:r>
      <w:r>
        <w:rPr>
          <w:rFonts w:ascii="Arial" w:cs="Arial" w:eastAsia="Arial" w:hAnsi="Arial"/>
          <w:sz w:val="19"/>
          <w:szCs w:val="19"/>
          <w:b w:val="1"/>
          <w:bCs w:val="1"/>
          <w:color w:val="auto"/>
        </w:rPr>
        <w:t xml:space="preserve">. </w:t>
      </w:r>
      <w:r>
        <w:rPr>
          <w:rFonts w:ascii="Arial" w:cs="Arial" w:eastAsia="Arial" w:hAnsi="Arial"/>
          <w:sz w:val="19"/>
          <w:szCs w:val="19"/>
          <w:color w:val="auto"/>
        </w:rPr>
        <w:t>This Award is subject to the terms and conditions of the Plan. Such terms and conditions of the Plan are</w:t>
      </w:r>
      <w:r>
        <w:rPr>
          <w:rFonts w:ascii="Arial" w:cs="Arial" w:eastAsia="Arial" w:hAnsi="Arial"/>
          <w:sz w:val="19"/>
          <w:szCs w:val="19"/>
          <w:b w:val="1"/>
          <w:bCs w:val="1"/>
          <w:color w:val="auto"/>
        </w:rPr>
        <w:t xml:space="preserve"> </w:t>
      </w:r>
      <w:r>
        <w:rPr>
          <w:rFonts w:ascii="Arial" w:cs="Arial" w:eastAsia="Arial" w:hAnsi="Arial"/>
          <w:sz w:val="19"/>
          <w:szCs w:val="19"/>
          <w:color w:val="auto"/>
        </w:rPr>
        <w:t>incorporated into and made a part of this Agreement by reference. In the event of any conflicts between the provisions of this Agreement and the terms of the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440" w:type="dxa"/>
            <w:vAlign w:val="bottom"/>
          </w:tcPr>
          <w:p>
            <w:pPr>
              <w:spacing w:after="0"/>
              <w:rPr>
                <w:sz w:val="20"/>
                <w:szCs w:val="20"/>
                <w:color w:val="auto"/>
              </w:rPr>
            </w:pPr>
            <w:r>
              <w:rPr>
                <w:rFonts w:ascii="Arial" w:cs="Arial" w:eastAsia="Arial" w:hAnsi="Arial"/>
                <w:sz w:val="17"/>
                <w:szCs w:val="17"/>
                <w:color w:val="auto"/>
              </w:rPr>
              <w:t>LTI Grant Agreement</w:t>
            </w:r>
          </w:p>
        </w:tc>
        <w:tc>
          <w:tcPr>
            <w:tcW w:w="1040" w:type="dxa"/>
            <w:vAlign w:val="bottom"/>
          </w:tcPr>
          <w:p>
            <w:pPr>
              <w:jc w:val="right"/>
              <w:spacing w:after="0"/>
              <w:rPr>
                <w:sz w:val="20"/>
                <w:szCs w:val="20"/>
                <w:color w:val="auto"/>
              </w:rPr>
            </w:pPr>
            <w:r>
              <w:rPr>
                <w:rFonts w:ascii="Arial" w:cs="Arial" w:eastAsia="Arial" w:hAnsi="Arial"/>
                <w:sz w:val="21"/>
                <w:szCs w:val="21"/>
                <w:color w:val="auto"/>
              </w:rPr>
              <w:t>1</w:t>
            </w:r>
          </w:p>
        </w:tc>
      </w:tr>
    </w:tbl>
    <w:p>
      <w:pPr>
        <w:sectPr>
          <w:pgSz w:w="11900" w:h="16838" w:orient="portrait"/>
          <w:cols w:equalWidth="0" w:num="1">
            <w:col w:w="11260"/>
          </w:cols>
          <w:pgMar w:left="320" w:top="1440" w:right="319" w:bottom="1440" w:gutter="0" w:footer="0" w:header="0"/>
        </w:sectPr>
      </w:pPr>
    </w:p>
    <w:bookmarkStart w:id="92" w:name="page93"/>
    <w:bookmarkEnd w:id="92"/>
    <w:p>
      <w:pPr>
        <w:jc w:val="both"/>
        <w:ind w:right="20"/>
        <w:spacing w:after="0" w:line="239" w:lineRule="auto"/>
        <w:rPr>
          <w:sz w:val="20"/>
          <w:szCs w:val="20"/>
          <w:color w:val="auto"/>
        </w:rPr>
      </w:pPr>
      <w:r>
        <w:rPr>
          <w:rFonts w:ascii="Arial" w:cs="Arial" w:eastAsia="Arial" w:hAnsi="Arial"/>
          <w:sz w:val="19"/>
          <w:szCs w:val="19"/>
          <w:color w:val="auto"/>
        </w:rPr>
        <w:t>Plan, the terms of the Plan will control. The Compensation and Organization Committee of the Board of Directors (the “Committee”) shall have the right to resolve all questions which may arise in connection with the Award or this Agreement, including whether a Grantee is no longer actively employed and any interpretation, determination, or other action made or taken by the Committee regarding the Plan or this Agreement shall be final, binding, and conclusive. Capitalized terms used but not defined in this Agreement shall have the meanings set forth in the Plan unless the context clearly requires an alternative meaning.</w:t>
      </w:r>
    </w:p>
    <w:p>
      <w:pPr>
        <w:spacing w:after="0" w:line="194" w:lineRule="exact"/>
        <w:rPr>
          <w:sz w:val="20"/>
          <w:szCs w:val="20"/>
          <w:color w:val="auto"/>
        </w:rPr>
      </w:pPr>
    </w:p>
    <w:p>
      <w:pPr>
        <w:jc w:val="both"/>
        <w:ind w:right="20" w:firstLine="621"/>
        <w:spacing w:after="0" w:line="269" w:lineRule="auto"/>
        <w:tabs>
          <w:tab w:leader="none" w:pos="807"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Early Termination of Restricted Stock Unit; Termination of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Section 12.3 of the Plan, the 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Units shall terminate and become null and void if and when Grantee ceases for any reason to be an employee of the Company or its subsidiaries, including but not limited to termination for Cause, voluntary resignation, or Retirement, except as provided in below:</w:t>
      </w:r>
    </w:p>
    <w:p>
      <w:pPr>
        <w:spacing w:after="0" w:line="172" w:lineRule="exact"/>
        <w:rPr>
          <w:rFonts w:ascii="Arial" w:cs="Arial" w:eastAsia="Arial" w:hAnsi="Arial"/>
          <w:sz w:val="18"/>
          <w:szCs w:val="18"/>
          <w:b w:val="1"/>
          <w:bCs w:val="1"/>
          <w:color w:val="auto"/>
        </w:rPr>
      </w:pPr>
    </w:p>
    <w:p>
      <w:pPr>
        <w:jc w:val="both"/>
        <w:ind w:right="20" w:firstLine="1394"/>
        <w:spacing w:after="0" w:line="245" w:lineRule="auto"/>
        <w:tabs>
          <w:tab w:leader="none" w:pos="1845" w:val="left"/>
        </w:tabs>
        <w:numPr>
          <w:ilvl w:val="1"/>
          <w:numId w:val="76"/>
        </w:numPr>
        <w:rPr>
          <w:rFonts w:ascii="Arial" w:cs="Arial" w:eastAsia="Arial" w:hAnsi="Arial"/>
          <w:sz w:val="19"/>
          <w:szCs w:val="19"/>
          <w:color w:val="auto"/>
        </w:rPr>
      </w:pPr>
      <w:r>
        <w:rPr>
          <w:rFonts w:ascii="Arial" w:cs="Arial" w:eastAsia="Arial" w:hAnsi="Arial"/>
          <w:sz w:val="19"/>
          <w:szCs w:val="19"/>
          <w:u w:val="single" w:color="auto"/>
          <w:color w:val="auto"/>
        </w:rPr>
        <w:t>Retirement</w:t>
      </w:r>
      <w:r>
        <w:rPr>
          <w:rFonts w:ascii="Arial" w:cs="Arial" w:eastAsia="Arial" w:hAnsi="Arial"/>
          <w:sz w:val="19"/>
          <w:szCs w:val="19"/>
          <w:color w:val="auto"/>
        </w:rPr>
        <w:t>. If Grantee’s employment is terminated at least six (6) months following the Grant Date as a result of Retirement, the Restricted Stock Units shall continue to vest through the Vesting Dates, and the Company will deliver to Grantee, or his or her legal representative, one Share for each Restricted Stock Unit vested on that date in accordance with paragraph 2.</w:t>
      </w:r>
    </w:p>
    <w:p>
      <w:pPr>
        <w:spacing w:after="0" w:line="206" w:lineRule="exact"/>
        <w:rPr>
          <w:rFonts w:ascii="Arial" w:cs="Arial" w:eastAsia="Arial" w:hAnsi="Arial"/>
          <w:sz w:val="19"/>
          <w:szCs w:val="19"/>
          <w:color w:val="auto"/>
        </w:rPr>
      </w:pPr>
    </w:p>
    <w:p>
      <w:pPr>
        <w:jc w:val="both"/>
        <w:ind w:right="20" w:firstLine="1394"/>
        <w:spacing w:after="0" w:line="256" w:lineRule="auto"/>
        <w:tabs>
          <w:tab w:leader="none" w:pos="1842"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Retirement Eligible upon Total Disability or Death</w:t>
      </w:r>
      <w:r>
        <w:rPr>
          <w:rFonts w:ascii="Arial" w:cs="Arial" w:eastAsia="Arial" w:hAnsi="Arial"/>
          <w:sz w:val="18"/>
          <w:szCs w:val="18"/>
          <w:color w:val="auto"/>
        </w:rPr>
        <w:t>. If Grantee’s employment is terminated at least six (6) months following the Grant Date as a result of Total Disability or death (provided Grantee is Retirement Eligible at the time of any such termination), the Restricted Stock Units will continue to vest through the Vesting Dates, and the Company will deliver to Grantee, or his or her legal representative, one share of the Company’s Capital Stock for each Restricted Stock Unit vested on that date in accordance with paragraph 2.</w:t>
      </w:r>
    </w:p>
    <w:p>
      <w:pPr>
        <w:spacing w:after="0" w:line="185" w:lineRule="exact"/>
        <w:rPr>
          <w:rFonts w:ascii="Arial" w:cs="Arial" w:eastAsia="Arial" w:hAnsi="Arial"/>
          <w:sz w:val="18"/>
          <w:szCs w:val="18"/>
          <w:color w:val="auto"/>
        </w:rPr>
      </w:pPr>
    </w:p>
    <w:p>
      <w:pPr>
        <w:jc w:val="both"/>
        <w:ind w:right="20" w:firstLine="1394"/>
        <w:spacing w:after="0" w:line="261" w:lineRule="auto"/>
        <w:tabs>
          <w:tab w:leader="none" w:pos="1845"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Not Retirement Eligible upon Total Disability or Death; Involuntary Termination</w:t>
      </w:r>
      <w:r>
        <w:rPr>
          <w:rFonts w:ascii="Arial" w:cs="Arial" w:eastAsia="Arial" w:hAnsi="Arial"/>
          <w:sz w:val="18"/>
          <w:szCs w:val="18"/>
          <w:color w:val="auto"/>
        </w:rPr>
        <w:t>. If Grantee’s employment is terminated at least six (6) months following the Grant Date: (i) as the result of Grantee’s Total Disability or death and Grantee is not Retirement Eligible; or (ii) by the Company for reasons other than Cause and Grantee is not Retirement Eligible, Grantee shall vest on the applicable Vesting Date in a prorated portion of his or her Restricted Stock Units under this Agreement according to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7146925" cy="10629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6">
                      <a:extLst>
                        <a:ext uri="{28A0092B-C50C-407E-A947-70E740481C1C}"/>
                      </a:extLst>
                    </a:blip>
                    <a:srcRect/>
                    <a:stretch>
                      <a:fillRect/>
                    </a:stretch>
                  </pic:blipFill>
                  <pic:spPr bwMode="auto">
                    <a:xfrm>
                      <a:off x="0" y="0"/>
                      <a:ext cx="7146925" cy="1062990"/>
                    </a:xfrm>
                    <a:prstGeom prst="rect">
                      <a:avLst/>
                    </a:prstGeom>
                    <a:noFill/>
                  </pic:spPr>
                </pic:pic>
              </a:graphicData>
            </a:graphic>
          </wp:anchor>
        </w:drawing>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Restriction Period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780" w:type="dxa"/>
            <w:vAlign w:val="bottom"/>
            <w:tcBorders>
              <w:top w:val="single" w:sz="8" w:color="auto"/>
              <w:bottom w:val="single" w:sz="8" w:color="auto"/>
              <w:right w:val="single" w:sz="8" w:color="auto"/>
            </w:tcBorders>
          </w:tcPr>
          <w:p>
            <w:pPr>
              <w:ind w:left="1840"/>
              <w:spacing w:after="0"/>
              <w:rPr>
                <w:sz w:val="20"/>
                <w:szCs w:val="20"/>
                <w:color w:val="auto"/>
              </w:rPr>
            </w:pPr>
            <w:r>
              <w:rPr>
                <w:rFonts w:ascii="Arial" w:cs="Arial" w:eastAsia="Arial" w:hAnsi="Arial"/>
                <w:sz w:val="19"/>
                <w:szCs w:val="19"/>
                <w:color w:val="auto"/>
              </w:rPr>
              <w:t>1</w:t>
            </w:r>
          </w:p>
        </w:tc>
        <w:tc>
          <w:tcPr>
            <w:tcW w:w="3740" w:type="dxa"/>
            <w:vAlign w:val="bottom"/>
            <w:tcBorders>
              <w:top w:val="single" w:sz="8" w:color="auto"/>
              <w:bottom w:val="single" w:sz="8" w:color="auto"/>
              <w:right w:val="single" w:sz="8" w:color="auto"/>
            </w:tcBorders>
          </w:tcPr>
          <w:p>
            <w:pPr>
              <w:ind w:left="1800"/>
              <w:spacing w:after="0"/>
              <w:rPr>
                <w:sz w:val="20"/>
                <w:szCs w:val="20"/>
                <w:color w:val="auto"/>
              </w:rPr>
            </w:pPr>
            <w:r>
              <w:rPr>
                <w:rFonts w:ascii="Arial" w:cs="Arial" w:eastAsia="Arial" w:hAnsi="Arial"/>
                <w:sz w:val="19"/>
                <w:szCs w:val="19"/>
                <w:color w:val="auto"/>
              </w:rPr>
              <w:t>2</w:t>
            </w:r>
          </w:p>
        </w:tc>
        <w:tc>
          <w:tcPr>
            <w:tcW w:w="3740" w:type="dxa"/>
            <w:vAlign w:val="bottom"/>
            <w:tcBorders>
              <w:top w:val="single" w:sz="8" w:color="auto"/>
              <w:bottom w:val="single" w:sz="8" w:color="auto"/>
            </w:tcBorders>
          </w:tcPr>
          <w:p>
            <w:pPr>
              <w:ind w:left="1820"/>
              <w:spacing w:after="0"/>
              <w:rPr>
                <w:sz w:val="20"/>
                <w:szCs w:val="20"/>
                <w:color w:val="auto"/>
              </w:rPr>
            </w:pPr>
            <w:r>
              <w:rPr>
                <w:rFonts w:ascii="Arial" w:cs="Arial" w:eastAsia="Arial" w:hAnsi="Arial"/>
                <w:sz w:val="19"/>
                <w:szCs w:val="19"/>
                <w:color w:val="auto"/>
              </w:rPr>
              <w:t>3</w:t>
            </w:r>
          </w:p>
        </w:tc>
      </w:tr>
      <w:tr>
        <w:trPr>
          <w:trHeight w:val="212"/>
        </w:trPr>
        <w:tc>
          <w:tcPr>
            <w:tcW w:w="3780" w:type="dxa"/>
            <w:vAlign w:val="bottom"/>
            <w:tcBorders>
              <w:right w:val="single" w:sz="8" w:color="auto"/>
            </w:tcBorders>
          </w:tcPr>
          <w:p>
            <w:pPr>
              <w:ind w:left="40"/>
              <w:spacing w:after="0" w:line="212" w:lineRule="exact"/>
              <w:rPr>
                <w:sz w:val="20"/>
                <w:szCs w:val="20"/>
                <w:color w:val="auto"/>
              </w:rPr>
            </w:pPr>
            <w:r>
              <w:rPr>
                <w:rFonts w:ascii="Arial" w:cs="Arial" w:eastAsia="Arial" w:hAnsi="Arial"/>
                <w:sz w:val="19"/>
                <w:szCs w:val="19"/>
                <w:color w:val="auto"/>
                <w:w w:val="95"/>
              </w:rPr>
              <w:t>Number of months worked from Grant Date to</w:t>
            </w:r>
          </w:p>
        </w:tc>
        <w:tc>
          <w:tcPr>
            <w:tcW w:w="3740" w:type="dxa"/>
            <w:vAlign w:val="bottom"/>
            <w:tcBorders>
              <w:right w:val="single" w:sz="8" w:color="auto"/>
            </w:tcBorders>
          </w:tcPr>
          <w:p>
            <w:pPr>
              <w:spacing w:after="0" w:line="212" w:lineRule="exact"/>
              <w:rPr>
                <w:sz w:val="20"/>
                <w:szCs w:val="20"/>
                <w:color w:val="auto"/>
              </w:rPr>
            </w:pPr>
            <w:r>
              <w:rPr>
                <w:rFonts w:ascii="Arial" w:cs="Arial" w:eastAsia="Arial" w:hAnsi="Arial"/>
                <w:sz w:val="19"/>
                <w:szCs w:val="19"/>
                <w:color w:val="auto"/>
                <w:w w:val="95"/>
              </w:rPr>
              <w:t>Number of months worked from Grant Date to</w:t>
            </w:r>
          </w:p>
        </w:tc>
        <w:tc>
          <w:tcPr>
            <w:tcW w:w="3740" w:type="dxa"/>
            <w:vAlign w:val="bottom"/>
          </w:tcPr>
          <w:p>
            <w:pPr>
              <w:spacing w:after="0" w:line="212" w:lineRule="exact"/>
              <w:rPr>
                <w:sz w:val="20"/>
                <w:szCs w:val="20"/>
                <w:color w:val="auto"/>
              </w:rPr>
            </w:pPr>
            <w:r>
              <w:rPr>
                <w:rFonts w:ascii="Arial" w:cs="Arial" w:eastAsia="Arial" w:hAnsi="Arial"/>
                <w:sz w:val="19"/>
                <w:szCs w:val="19"/>
                <w:color w:val="auto"/>
                <w:w w:val="96"/>
              </w:rPr>
              <w:t>Number of months worked from Grant Date to</w:t>
            </w:r>
          </w:p>
        </w:tc>
      </w:tr>
      <w:tr>
        <w:trPr>
          <w:trHeight w:val="219"/>
        </w:trPr>
        <w:tc>
          <w:tcPr>
            <w:tcW w:w="3780" w:type="dxa"/>
            <w:vAlign w:val="bottom"/>
            <w:tcBorders>
              <w:right w:val="single" w:sz="8" w:color="auto"/>
            </w:tcBorders>
          </w:tcPr>
          <w:p>
            <w:pPr>
              <w:ind w:left="40"/>
              <w:spacing w:after="0"/>
              <w:rPr>
                <w:sz w:val="20"/>
                <w:szCs w:val="20"/>
                <w:color w:val="auto"/>
              </w:rPr>
            </w:pPr>
            <w:r>
              <w:rPr>
                <w:rFonts w:ascii="Arial" w:cs="Arial" w:eastAsia="Arial" w:hAnsi="Arial"/>
                <w:sz w:val="19"/>
                <w:szCs w:val="19"/>
                <w:color w:val="auto"/>
              </w:rPr>
              <w:t>termination date divided by 12; multiplied by</w:t>
            </w:r>
          </w:p>
        </w:tc>
        <w:tc>
          <w:tcPr>
            <w:tcW w:w="37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termination date divided by 24; multiplied by</w:t>
            </w:r>
          </w:p>
        </w:tc>
        <w:tc>
          <w:tcPr>
            <w:tcW w:w="3740" w:type="dxa"/>
            <w:vAlign w:val="bottom"/>
          </w:tcPr>
          <w:p>
            <w:pPr>
              <w:spacing w:after="0"/>
              <w:rPr>
                <w:sz w:val="20"/>
                <w:szCs w:val="20"/>
                <w:color w:val="auto"/>
              </w:rPr>
            </w:pPr>
            <w:r>
              <w:rPr>
                <w:rFonts w:ascii="Arial" w:cs="Arial" w:eastAsia="Arial" w:hAnsi="Arial"/>
                <w:sz w:val="19"/>
                <w:szCs w:val="19"/>
                <w:color w:val="auto"/>
              </w:rPr>
              <w:t>termination date divided by 36; multiplied by</w:t>
            </w:r>
          </w:p>
        </w:tc>
      </w:tr>
      <w:tr>
        <w:trPr>
          <w:trHeight w:val="206"/>
        </w:trPr>
        <w:tc>
          <w:tcPr>
            <w:tcW w:w="3780" w:type="dxa"/>
            <w:vAlign w:val="bottom"/>
            <w:tcBorders>
              <w:right w:val="single" w:sz="8" w:color="auto"/>
            </w:tcBorders>
          </w:tcPr>
          <w:p>
            <w:pPr>
              <w:ind w:left="40"/>
              <w:spacing w:after="0" w:line="206" w:lineRule="exact"/>
              <w:rPr>
                <w:sz w:val="20"/>
                <w:szCs w:val="20"/>
                <w:color w:val="auto"/>
              </w:rPr>
            </w:pPr>
            <w:r>
              <w:rPr>
                <w:rFonts w:ascii="Arial" w:cs="Arial" w:eastAsia="Arial" w:hAnsi="Arial"/>
                <w:sz w:val="19"/>
                <w:szCs w:val="19"/>
                <w:color w:val="auto"/>
              </w:rPr>
              <w:t>number of Restricted Stock Units originally</w:t>
            </w:r>
          </w:p>
        </w:tc>
        <w:tc>
          <w:tcPr>
            <w:tcW w:w="3740" w:type="dxa"/>
            <w:vAlign w:val="bottom"/>
            <w:tcBorders>
              <w:right w:val="single" w:sz="8" w:color="auto"/>
            </w:tcBorders>
          </w:tcPr>
          <w:p>
            <w:pPr>
              <w:spacing w:after="0" w:line="206" w:lineRule="exact"/>
              <w:rPr>
                <w:sz w:val="20"/>
                <w:szCs w:val="20"/>
                <w:color w:val="auto"/>
              </w:rPr>
            </w:pPr>
            <w:r>
              <w:rPr>
                <w:rFonts w:ascii="Arial" w:cs="Arial" w:eastAsia="Arial" w:hAnsi="Arial"/>
                <w:sz w:val="19"/>
                <w:szCs w:val="19"/>
                <w:color w:val="auto"/>
              </w:rPr>
              <w:t>number of Restricted Stock Units originally</w:t>
            </w:r>
          </w:p>
        </w:tc>
        <w:tc>
          <w:tcPr>
            <w:tcW w:w="3740" w:type="dxa"/>
            <w:vAlign w:val="bottom"/>
          </w:tcPr>
          <w:p>
            <w:pPr>
              <w:spacing w:after="0" w:line="206" w:lineRule="exact"/>
              <w:rPr>
                <w:sz w:val="20"/>
                <w:szCs w:val="20"/>
                <w:color w:val="auto"/>
              </w:rPr>
            </w:pPr>
            <w:r>
              <w:rPr>
                <w:rFonts w:ascii="Arial" w:cs="Arial" w:eastAsia="Arial" w:hAnsi="Arial"/>
                <w:sz w:val="19"/>
                <w:szCs w:val="19"/>
                <w:color w:val="auto"/>
              </w:rPr>
              <w:t>number of Restricted Stock Units originally</w:t>
            </w:r>
          </w:p>
        </w:tc>
      </w:tr>
      <w:tr>
        <w:trPr>
          <w:trHeight w:val="219"/>
        </w:trPr>
        <w:tc>
          <w:tcPr>
            <w:tcW w:w="3780" w:type="dxa"/>
            <w:vAlign w:val="bottom"/>
            <w:tcBorders>
              <w:right w:val="single" w:sz="8" w:color="auto"/>
            </w:tcBorders>
          </w:tcPr>
          <w:p>
            <w:pPr>
              <w:ind w:left="40"/>
              <w:spacing w:after="0"/>
              <w:rPr>
                <w:sz w:val="20"/>
                <w:szCs w:val="20"/>
                <w:color w:val="auto"/>
              </w:rPr>
            </w:pPr>
            <w:r>
              <w:rPr>
                <w:rFonts w:ascii="Arial" w:cs="Arial" w:eastAsia="Arial" w:hAnsi="Arial"/>
                <w:sz w:val="19"/>
                <w:szCs w:val="19"/>
                <w:color w:val="auto"/>
                <w:w w:val="92"/>
              </w:rPr>
              <w:t>scheduled to vest on the first Vesting Date shall</w:t>
            </w:r>
          </w:p>
        </w:tc>
        <w:tc>
          <w:tcPr>
            <w:tcW w:w="3740" w:type="dxa"/>
            <w:vAlign w:val="bottom"/>
            <w:tcBorders>
              <w:right w:val="single" w:sz="8" w:color="auto"/>
            </w:tcBorders>
          </w:tcPr>
          <w:p>
            <w:pPr>
              <w:spacing w:after="0"/>
              <w:rPr>
                <w:sz w:val="20"/>
                <w:szCs w:val="20"/>
                <w:color w:val="auto"/>
              </w:rPr>
            </w:pPr>
            <w:r>
              <w:rPr>
                <w:rFonts w:ascii="Arial" w:cs="Arial" w:eastAsia="Arial" w:hAnsi="Arial"/>
                <w:sz w:val="19"/>
                <w:szCs w:val="19"/>
                <w:color w:val="auto"/>
                <w:w w:val="95"/>
              </w:rPr>
              <w:t>scheduled to vest on the second Vesting Date</w:t>
            </w:r>
          </w:p>
        </w:tc>
        <w:tc>
          <w:tcPr>
            <w:tcW w:w="3740" w:type="dxa"/>
            <w:vAlign w:val="bottom"/>
          </w:tcPr>
          <w:p>
            <w:pPr>
              <w:spacing w:after="0"/>
              <w:rPr>
                <w:sz w:val="20"/>
                <w:szCs w:val="20"/>
                <w:color w:val="auto"/>
              </w:rPr>
            </w:pPr>
            <w:r>
              <w:rPr>
                <w:rFonts w:ascii="Arial" w:cs="Arial" w:eastAsia="Arial" w:hAnsi="Arial"/>
                <w:sz w:val="19"/>
                <w:szCs w:val="19"/>
                <w:color w:val="auto"/>
                <w:w w:val="91"/>
              </w:rPr>
              <w:t>scheduled to vest on the third Vesting Date shall</w:t>
            </w:r>
          </w:p>
        </w:tc>
      </w:tr>
      <w:tr>
        <w:trPr>
          <w:trHeight w:val="244"/>
        </w:trPr>
        <w:tc>
          <w:tcPr>
            <w:tcW w:w="3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vest on the first Vesting Date.</w:t>
            </w: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shall vest on the second Vesting Date.</w:t>
            </w:r>
          </w:p>
        </w:tc>
        <w:tc>
          <w:tcPr>
            <w:tcW w:w="37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vest on the third Vesting Date.</w:t>
            </w:r>
          </w:p>
        </w:tc>
      </w:tr>
    </w:tbl>
    <w:p>
      <w:pPr>
        <w:spacing w:after="0" w:line="305" w:lineRule="exact"/>
        <w:rPr>
          <w:sz w:val="20"/>
          <w:szCs w:val="20"/>
          <w:color w:val="auto"/>
        </w:rPr>
      </w:pPr>
    </w:p>
    <w:p>
      <w:pPr>
        <w:jc w:val="both"/>
        <w:ind w:right="20"/>
        <w:spacing w:after="0" w:line="250" w:lineRule="auto"/>
        <w:rPr>
          <w:sz w:val="20"/>
          <w:szCs w:val="20"/>
          <w:color w:val="auto"/>
        </w:rPr>
      </w:pPr>
      <w:r>
        <w:rPr>
          <w:rFonts w:ascii="Arial" w:cs="Arial" w:eastAsia="Arial" w:hAnsi="Arial"/>
          <w:sz w:val="19"/>
          <w:szCs w:val="19"/>
          <w:color w:val="auto"/>
        </w:rPr>
        <w:t>The Company will deliver to Grantee, or his or her legal representative, one Share for each Restricted Stock Unit that vests on a Vesting Date in accordance with paragraph 2.</w:t>
      </w:r>
    </w:p>
    <w:p>
      <w:pPr>
        <w:spacing w:after="0" w:line="202" w:lineRule="exact"/>
        <w:rPr>
          <w:sz w:val="20"/>
          <w:szCs w:val="20"/>
          <w:color w:val="auto"/>
        </w:rPr>
      </w:pPr>
    </w:p>
    <w:p>
      <w:pPr>
        <w:jc w:val="both"/>
        <w:ind w:right="20" w:firstLine="1394"/>
        <w:spacing w:after="0" w:line="236" w:lineRule="auto"/>
        <w:tabs>
          <w:tab w:leader="none" w:pos="1842"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Cancellation</w:t>
      </w:r>
      <w:r>
        <w:rPr>
          <w:rFonts w:ascii="Arial" w:cs="Arial" w:eastAsia="Arial" w:hAnsi="Arial"/>
          <w:sz w:val="19"/>
          <w:szCs w:val="19"/>
          <w:color w:val="auto"/>
        </w:rPr>
        <w:t xml:space="preserve">. Notwithstanding the forgoing paragraphs 5(a), (b), and (c) above, if Grantee’s employment is terminated at least six (6) months following the Grant Date as a result of (i) Retirement or applicable termination of employment when Grantee is Retirement Eligible; (ii) Total Disability or death and Grantee is not Retirement Eligible, or (iii) by the Company for reasons other than Cause and Grantee is not Retirement Eligible, and the terms of the Non-Competition and Restrictive Covenants Agreement (“RCA”) which is attached hereto as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are subsequently violated, the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440" w:type="dxa"/>
            <w:vAlign w:val="bottom"/>
          </w:tcPr>
          <w:p>
            <w:pPr>
              <w:spacing w:after="0"/>
              <w:rPr>
                <w:sz w:val="20"/>
                <w:szCs w:val="20"/>
                <w:color w:val="auto"/>
              </w:rPr>
            </w:pPr>
            <w:r>
              <w:rPr>
                <w:rFonts w:ascii="Arial" w:cs="Arial" w:eastAsia="Arial" w:hAnsi="Arial"/>
                <w:sz w:val="17"/>
                <w:szCs w:val="17"/>
                <w:color w:val="auto"/>
              </w:rPr>
              <w:t>LTI Grant Agreement</w:t>
            </w:r>
          </w:p>
        </w:tc>
        <w:tc>
          <w:tcPr>
            <w:tcW w:w="1040" w:type="dxa"/>
            <w:vAlign w:val="bottom"/>
          </w:tcPr>
          <w:p>
            <w:pPr>
              <w:jc w:val="right"/>
              <w:spacing w:after="0"/>
              <w:rPr>
                <w:sz w:val="20"/>
                <w:szCs w:val="20"/>
                <w:color w:val="auto"/>
              </w:rPr>
            </w:pPr>
            <w:r>
              <w:rPr>
                <w:rFonts w:ascii="Arial" w:cs="Arial" w:eastAsia="Arial" w:hAnsi="Arial"/>
                <w:sz w:val="21"/>
                <w:szCs w:val="21"/>
                <w:color w:val="auto"/>
              </w:rPr>
              <w:t>2</w:t>
            </w:r>
          </w:p>
        </w:tc>
      </w:tr>
    </w:tbl>
    <w:p>
      <w:pPr>
        <w:sectPr>
          <w:pgSz w:w="11900" w:h="16838" w:orient="portrait"/>
          <w:cols w:equalWidth="0" w:num="1">
            <w:col w:w="11260"/>
          </w:cols>
          <w:pgMar w:left="320" w:top="1359" w:right="319" w:bottom="1440" w:gutter="0" w:footer="0" w:header="0"/>
        </w:sectPr>
      </w:pPr>
    </w:p>
    <w:bookmarkStart w:id="93" w:name="page94"/>
    <w:bookmarkEnd w:id="93"/>
    <w:p>
      <w:pPr>
        <w:jc w:val="both"/>
        <w:spacing w:after="0" w:line="239" w:lineRule="auto"/>
        <w:rPr>
          <w:sz w:val="20"/>
          <w:szCs w:val="20"/>
          <w:color w:val="auto"/>
        </w:rPr>
      </w:pPr>
      <w:r>
        <w:rPr>
          <w:rFonts w:ascii="Arial" w:cs="Arial" w:eastAsia="Arial" w:hAnsi="Arial"/>
          <w:sz w:val="19"/>
          <w:szCs w:val="19"/>
          <w:color w:val="auto"/>
        </w:rPr>
        <w:t>Committee or its delegate, in its sole direction, may cancel the unvested portions of the Award. The Grantee represents, warrants, and agrees that any such cancellation of an Award or a part thereof shall not constitute an adequate remedy of law in connection with any efforts by the Company to enforce the terms of the RCA and shall not prevent the Company from obtaining other relief, including injunctive relief, to enforce the provisions of the RCA.</w:t>
      </w:r>
    </w:p>
    <w:p>
      <w:pPr>
        <w:spacing w:after="0" w:line="211" w:lineRule="exact"/>
        <w:rPr>
          <w:sz w:val="20"/>
          <w:szCs w:val="20"/>
          <w:color w:val="auto"/>
        </w:rPr>
      </w:pPr>
    </w:p>
    <w:p>
      <w:pPr>
        <w:jc w:val="both"/>
        <w:ind w:firstLine="1394"/>
        <w:spacing w:after="0" w:line="245" w:lineRule="auto"/>
        <w:tabs>
          <w:tab w:leader="none" w:pos="1845" w:val="left"/>
        </w:tabs>
        <w:numPr>
          <w:ilvl w:val="1"/>
          <w:numId w:val="78"/>
        </w:numPr>
        <w:rPr>
          <w:rFonts w:ascii="Arial" w:cs="Arial" w:eastAsia="Arial" w:hAnsi="Arial"/>
          <w:sz w:val="19"/>
          <w:szCs w:val="19"/>
          <w:color w:val="auto"/>
        </w:rPr>
      </w:pPr>
      <w:r>
        <w:rPr>
          <w:rFonts w:ascii="Arial" w:cs="Arial" w:eastAsia="Arial" w:hAnsi="Arial"/>
          <w:sz w:val="19"/>
          <w:szCs w:val="19"/>
          <w:u w:val="single" w:color="auto"/>
          <w:color w:val="auto"/>
        </w:rPr>
        <w:t>Any Termination Prior to Six-Month Anniversary of Grant Date</w:t>
      </w:r>
      <w:r>
        <w:rPr>
          <w:rFonts w:ascii="Arial" w:cs="Arial" w:eastAsia="Arial" w:hAnsi="Arial"/>
          <w:sz w:val="19"/>
          <w:szCs w:val="19"/>
          <w:color w:val="auto"/>
        </w:rPr>
        <w:t>. If a Grantee ceases to be an employee of the Company for any reason before six (6) months have elapsed from the Grant Date, the Award shall be cancelled by the Company and Grantee shall forfeit the entire Award.</w:t>
      </w:r>
    </w:p>
    <w:p>
      <w:pPr>
        <w:spacing w:after="0" w:line="193" w:lineRule="exact"/>
        <w:rPr>
          <w:rFonts w:ascii="Arial" w:cs="Arial" w:eastAsia="Arial" w:hAnsi="Arial"/>
          <w:sz w:val="19"/>
          <w:szCs w:val="19"/>
          <w:color w:val="auto"/>
        </w:rPr>
      </w:pPr>
    </w:p>
    <w:p>
      <w:pPr>
        <w:jc w:val="both"/>
        <w:ind w:firstLine="1394"/>
        <w:spacing w:after="0" w:line="245" w:lineRule="auto"/>
        <w:tabs>
          <w:tab w:leader="none" w:pos="1850" w:val="left"/>
        </w:tabs>
        <w:numPr>
          <w:ilvl w:val="1"/>
          <w:numId w:val="78"/>
        </w:numPr>
        <w:rPr>
          <w:rFonts w:ascii="Arial" w:cs="Arial" w:eastAsia="Arial" w:hAnsi="Arial"/>
          <w:sz w:val="19"/>
          <w:szCs w:val="19"/>
          <w:color w:val="auto"/>
        </w:rPr>
      </w:pPr>
      <w:r>
        <w:rPr>
          <w:rFonts w:ascii="Arial" w:cs="Arial" w:eastAsia="Arial" w:hAnsi="Arial"/>
          <w:sz w:val="19"/>
          <w:szCs w:val="19"/>
          <w:u w:val="single" w:color="auto"/>
          <w:color w:val="auto"/>
        </w:rPr>
        <w:t>Integration with Severance Benefits</w:t>
      </w:r>
      <w:r>
        <w:rPr>
          <w:rFonts w:ascii="Arial" w:cs="Arial" w:eastAsia="Arial" w:hAnsi="Arial"/>
          <w:sz w:val="19"/>
          <w:szCs w:val="19"/>
          <w:color w:val="auto"/>
        </w:rPr>
        <w:t>. For U.S. Grantees, notwithstanding paragraphs 5(a)-(d) above, if severance is offered, eligibility for a prorated Award is contingent upon the Company receiving your signed Severance Agreement and General Release. Without a signed release, all unvested Restricted Stock Units are forfeited.</w:t>
      </w:r>
    </w:p>
    <w:p>
      <w:pPr>
        <w:spacing w:after="0" w:line="193" w:lineRule="exact"/>
        <w:rPr>
          <w:rFonts w:ascii="Arial" w:cs="Arial" w:eastAsia="Arial" w:hAnsi="Arial"/>
          <w:sz w:val="19"/>
          <w:szCs w:val="19"/>
          <w:color w:val="auto"/>
        </w:rPr>
      </w:pPr>
    </w:p>
    <w:p>
      <w:pPr>
        <w:ind w:left="1840" w:hanging="446"/>
        <w:spacing w:after="0"/>
        <w:tabs>
          <w:tab w:leader="none" w:pos="1840" w:val="left"/>
        </w:tabs>
        <w:numPr>
          <w:ilvl w:val="1"/>
          <w:numId w:val="78"/>
        </w:numPr>
        <w:rPr>
          <w:rFonts w:ascii="Arial" w:cs="Arial" w:eastAsia="Arial" w:hAnsi="Arial"/>
          <w:sz w:val="19"/>
          <w:szCs w:val="19"/>
          <w:color w:val="auto"/>
        </w:rPr>
      </w:pPr>
      <w:r>
        <w:rPr>
          <w:rFonts w:ascii="Arial" w:cs="Arial" w:eastAsia="Arial" w:hAnsi="Arial"/>
          <w:sz w:val="19"/>
          <w:szCs w:val="19"/>
          <w:color w:val="auto"/>
        </w:rPr>
        <w:t>For purposes of this Agreement, the following terms shall have the meanings set forth below:</w:t>
      </w:r>
    </w:p>
    <w:p>
      <w:pPr>
        <w:spacing w:after="0" w:line="16" w:lineRule="exact"/>
        <w:rPr>
          <w:rFonts w:ascii="Arial" w:cs="Arial" w:eastAsia="Arial" w:hAnsi="Arial"/>
          <w:sz w:val="19"/>
          <w:szCs w:val="19"/>
          <w:color w:val="auto"/>
        </w:rPr>
      </w:pPr>
    </w:p>
    <w:p>
      <w:pPr>
        <w:ind w:firstLine="1857"/>
        <w:spacing w:after="0" w:line="288" w:lineRule="auto"/>
        <w:tabs>
          <w:tab w:leader="none" w:pos="2472" w:val="left"/>
        </w:tabs>
        <w:numPr>
          <w:ilvl w:val="2"/>
          <w:numId w:val="78"/>
        </w:numPr>
        <w:rPr>
          <w:rFonts w:ascii="Arial" w:cs="Arial" w:eastAsia="Arial" w:hAnsi="Arial"/>
          <w:sz w:val="17"/>
          <w:szCs w:val="17"/>
          <w:color w:val="auto"/>
        </w:rPr>
      </w:pPr>
      <w:r>
        <w:rPr>
          <w:rFonts w:ascii="Arial" w:cs="Arial" w:eastAsia="Arial" w:hAnsi="Arial"/>
          <w:sz w:val="17"/>
          <w:szCs w:val="17"/>
          <w:color w:val="auto"/>
        </w:rPr>
        <w:t>“Retirement” or “Retirement Eligible” means Grantee terminates, or is eligible to terminate, employment with the Company or its subsidiaries after attaining 55 years of age with at least 5 years of continuous service on or prior to the date of termination.</w:t>
      </w:r>
    </w:p>
    <w:p>
      <w:pPr>
        <w:spacing w:after="0" w:line="158" w:lineRule="exact"/>
        <w:rPr>
          <w:rFonts w:ascii="Arial" w:cs="Arial" w:eastAsia="Arial" w:hAnsi="Arial"/>
          <w:sz w:val="17"/>
          <w:szCs w:val="17"/>
          <w:color w:val="auto"/>
        </w:rPr>
      </w:pPr>
    </w:p>
    <w:p>
      <w:pPr>
        <w:jc w:val="both"/>
        <w:ind w:firstLine="1857"/>
        <w:spacing w:after="0" w:line="245" w:lineRule="auto"/>
        <w:tabs>
          <w:tab w:leader="none" w:pos="2472" w:val="left"/>
        </w:tabs>
        <w:numPr>
          <w:ilvl w:val="2"/>
          <w:numId w:val="78"/>
        </w:numPr>
        <w:rPr>
          <w:rFonts w:ascii="Arial" w:cs="Arial" w:eastAsia="Arial" w:hAnsi="Arial"/>
          <w:sz w:val="19"/>
          <w:szCs w:val="19"/>
          <w:color w:val="auto"/>
        </w:rPr>
      </w:pPr>
      <w:r>
        <w:rPr>
          <w:rFonts w:ascii="Arial" w:cs="Arial" w:eastAsia="Arial" w:hAnsi="Arial"/>
          <w:sz w:val="19"/>
          <w:szCs w:val="19"/>
          <w:color w:val="auto"/>
        </w:rPr>
        <w:t>“Total Disability” means “Total Disability” or “Totally Disabled” as that term is defined under a Company-sponsored long-term disability plan from which Grantee is receiving disability benefits and which is in effect from time to time on and after the Grant Date.</w:t>
      </w:r>
    </w:p>
    <w:p>
      <w:pPr>
        <w:spacing w:after="0" w:line="206" w:lineRule="exact"/>
        <w:rPr>
          <w:rFonts w:ascii="Arial" w:cs="Arial" w:eastAsia="Arial" w:hAnsi="Arial"/>
          <w:sz w:val="19"/>
          <w:szCs w:val="19"/>
          <w:color w:val="auto"/>
        </w:rPr>
      </w:pPr>
    </w:p>
    <w:p>
      <w:pPr>
        <w:jc w:val="both"/>
        <w:ind w:firstLine="1857"/>
        <w:spacing w:after="0" w:line="239" w:lineRule="auto"/>
        <w:tabs>
          <w:tab w:leader="none" w:pos="2472" w:val="left"/>
        </w:tabs>
        <w:numPr>
          <w:ilvl w:val="2"/>
          <w:numId w:val="78"/>
        </w:numPr>
        <w:rPr>
          <w:rFonts w:ascii="Arial" w:cs="Arial" w:eastAsia="Arial" w:hAnsi="Arial"/>
          <w:sz w:val="19"/>
          <w:szCs w:val="19"/>
          <w:color w:val="auto"/>
        </w:rPr>
      </w:pPr>
      <w:r>
        <w:rPr>
          <w:rFonts w:ascii="Arial" w:cs="Arial" w:eastAsia="Arial" w:hAnsi="Arial"/>
          <w:sz w:val="19"/>
          <w:szCs w:val="19"/>
          <w:color w:val="auto"/>
        </w:rPr>
        <w:t>“Termination of employment,” “separation from service,” and similar references mean a separation from service within the meaning of Section 409A of the Internal Revenue Code of 1986, as amended (the “Code”) with the Company and/or any of its subsidiaries or affiliates, which includes circumstances in which Grantee is reasonably anticipated not to perform further services with the Company or its affiliates or subsidiaries.</w:t>
      </w:r>
    </w:p>
    <w:p>
      <w:pPr>
        <w:spacing w:after="0" w:line="192" w:lineRule="exact"/>
        <w:rPr>
          <w:rFonts w:ascii="Arial" w:cs="Arial" w:eastAsia="Arial" w:hAnsi="Arial"/>
          <w:sz w:val="19"/>
          <w:szCs w:val="19"/>
          <w:color w:val="auto"/>
        </w:rPr>
      </w:pPr>
    </w:p>
    <w:p>
      <w:pPr>
        <w:jc w:val="both"/>
        <w:ind w:firstLine="621"/>
        <w:spacing w:after="0" w:line="276" w:lineRule="auto"/>
        <w:tabs>
          <w:tab w:leader="none" w:pos="807" w:val="left"/>
        </w:tabs>
        <w:numPr>
          <w:ilvl w:val="0"/>
          <w:numId w:val="7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Withholding of Taxes</w:t>
      </w:r>
      <w:r>
        <w:rPr>
          <w:rFonts w:ascii="Arial" w:cs="Arial" w:eastAsia="Arial" w:hAnsi="Arial"/>
          <w:sz w:val="17"/>
          <w:szCs w:val="17"/>
          <w:b w:val="1"/>
          <w:bCs w:val="1"/>
          <w:color w:val="auto"/>
        </w:rPr>
        <w:t xml:space="preserve">. </w:t>
      </w:r>
      <w:r>
        <w:rPr>
          <w:rFonts w:ascii="Arial" w:cs="Arial" w:eastAsia="Arial" w:hAnsi="Arial"/>
          <w:sz w:val="17"/>
          <w:szCs w:val="17"/>
          <w:color w:val="auto"/>
        </w:rPr>
        <w:t>As a condition of making any payments or issuing any shares upon vesting of the Restricted Stock Units, Grantee</w:t>
      </w:r>
      <w:r>
        <w:rPr>
          <w:rFonts w:ascii="Arial" w:cs="Arial" w:eastAsia="Arial" w:hAnsi="Arial"/>
          <w:sz w:val="17"/>
          <w:szCs w:val="17"/>
          <w:b w:val="1"/>
          <w:bCs w:val="1"/>
          <w:color w:val="auto"/>
        </w:rPr>
        <w:t xml:space="preserve"> </w:t>
      </w:r>
      <w:r>
        <w:rPr>
          <w:rFonts w:ascii="Arial" w:cs="Arial" w:eastAsia="Arial" w:hAnsi="Arial"/>
          <w:sz w:val="17"/>
          <w:szCs w:val="17"/>
          <w:color w:val="auto"/>
        </w:rPr>
        <w:t>or other person entitled to such Shares or other payment shall pay any sums required to be withheld by federal, state, local, or other applicable tax law with respect to such vesting or payment. In accordance with any procedures established by the Committee, Grantee may satisfy any required withholding payments in cash or Shares (including the surrender of Shares held by Grantee or those that would otherwise be issued in settlement of the Award). Any surrendered or withheld Shares will constitute satisfaction of any required tax withholding to the extent of their Fair Market Value.</w:t>
      </w:r>
    </w:p>
    <w:p>
      <w:pPr>
        <w:spacing w:after="0" w:line="176" w:lineRule="exact"/>
        <w:rPr>
          <w:rFonts w:ascii="Arial" w:cs="Arial" w:eastAsia="Arial" w:hAnsi="Arial"/>
          <w:sz w:val="17"/>
          <w:szCs w:val="17"/>
          <w:b w:val="1"/>
          <w:bCs w:val="1"/>
          <w:color w:val="auto"/>
        </w:rPr>
      </w:pPr>
    </w:p>
    <w:p>
      <w:pPr>
        <w:jc w:val="both"/>
        <w:ind w:firstLine="621"/>
        <w:spacing w:after="0" w:line="241" w:lineRule="auto"/>
        <w:tabs>
          <w:tab w:leader="none" w:pos="807" w:val="left"/>
        </w:tabs>
        <w:numPr>
          <w:ilvl w:val="0"/>
          <w:numId w:val="7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Limits on Transferability</w:t>
      </w:r>
      <w:r>
        <w:rPr>
          <w:rFonts w:ascii="Arial" w:cs="Arial" w:eastAsia="Arial" w:hAnsi="Arial"/>
          <w:sz w:val="19"/>
          <w:szCs w:val="19"/>
          <w:b w:val="1"/>
          <w:bCs w:val="1"/>
          <w:color w:val="auto"/>
        </w:rPr>
        <w:t xml:space="preserve">. </w:t>
      </w:r>
      <w:r>
        <w:rPr>
          <w:rFonts w:ascii="Arial" w:cs="Arial" w:eastAsia="Arial" w:hAnsi="Arial"/>
          <w:sz w:val="19"/>
          <w:szCs w:val="19"/>
          <w:color w:val="auto"/>
        </w:rPr>
        <w:t>Grantee’s right in the Restricted Stock Units awarded under this Agreement and any interest therein may not</w:t>
      </w:r>
      <w:r>
        <w:rPr>
          <w:rFonts w:ascii="Arial" w:cs="Arial" w:eastAsia="Arial" w:hAnsi="Arial"/>
          <w:sz w:val="19"/>
          <w:szCs w:val="19"/>
          <w:b w:val="1"/>
          <w:bCs w:val="1"/>
          <w:color w:val="auto"/>
        </w:rPr>
        <w:t xml:space="preserve"> </w:t>
      </w:r>
      <w:r>
        <w:rPr>
          <w:rFonts w:ascii="Arial" w:cs="Arial" w:eastAsia="Arial" w:hAnsi="Arial"/>
          <w:sz w:val="19"/>
          <w:szCs w:val="19"/>
          <w:color w:val="auto"/>
        </w:rPr>
        <w:t>be sold, pledged, assigned, hypothecated, transferred, or disposed of in any manner, other than by will or by the laws of descent or distribution. The Award shall not be subject to execution, attachment or other process.</w:t>
      </w:r>
    </w:p>
    <w:p>
      <w:pPr>
        <w:spacing w:after="0" w:line="204" w:lineRule="exact"/>
        <w:rPr>
          <w:rFonts w:ascii="Arial" w:cs="Arial" w:eastAsia="Arial" w:hAnsi="Arial"/>
          <w:sz w:val="19"/>
          <w:szCs w:val="19"/>
          <w:b w:val="1"/>
          <w:bCs w:val="1"/>
          <w:color w:val="auto"/>
        </w:rPr>
      </w:pPr>
    </w:p>
    <w:p>
      <w:pPr>
        <w:jc w:val="both"/>
        <w:ind w:firstLine="621"/>
        <w:spacing w:after="0" w:line="248" w:lineRule="auto"/>
        <w:tabs>
          <w:tab w:leader="none" w:pos="807" w:val="left"/>
        </w:tabs>
        <w:numPr>
          <w:ilvl w:val="0"/>
          <w:numId w:val="7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Compliance with Securities Laws</w:t>
      </w:r>
      <w:r>
        <w:rPr>
          <w:rFonts w:ascii="Arial" w:cs="Arial" w:eastAsia="Arial" w:hAnsi="Arial"/>
          <w:sz w:val="19"/>
          <w:szCs w:val="19"/>
          <w:b w:val="1"/>
          <w:bCs w:val="1"/>
          <w:color w:val="auto"/>
        </w:rPr>
        <w:t xml:space="preserve">. </w:t>
      </w:r>
      <w:r>
        <w:rPr>
          <w:rFonts w:ascii="Arial" w:cs="Arial" w:eastAsia="Arial" w:hAnsi="Arial"/>
          <w:sz w:val="19"/>
          <w:szCs w:val="19"/>
          <w:color w:val="auto"/>
        </w:rPr>
        <w:t>Shares shall not be issued with respect to this Award unless the issuance and delivery of such Shares</w:t>
      </w:r>
      <w:r>
        <w:rPr>
          <w:rFonts w:ascii="Arial" w:cs="Arial" w:eastAsia="Arial" w:hAnsi="Arial"/>
          <w:sz w:val="19"/>
          <w:szCs w:val="19"/>
          <w:b w:val="1"/>
          <w:bCs w:val="1"/>
          <w:color w:val="auto"/>
        </w:rPr>
        <w:t xml:space="preserve"> </w:t>
      </w:r>
      <w:r>
        <w:rPr>
          <w:rFonts w:ascii="Arial" w:cs="Arial" w:eastAsia="Arial" w:hAnsi="Arial"/>
          <w:sz w:val="19"/>
          <w:szCs w:val="19"/>
          <w:color w:val="auto"/>
        </w:rPr>
        <w:t>shall comply with all relevant provisions of state and federal laws, rules and regulations, and, in the discretion of the Company, shall be further subject to the approval of counsel for the Company with respect to that compliance.</w:t>
      </w:r>
    </w:p>
    <w:p>
      <w:pPr>
        <w:spacing w:after="0" w:line="185" w:lineRule="exact"/>
        <w:rPr>
          <w:rFonts w:ascii="Arial" w:cs="Arial" w:eastAsia="Arial" w:hAnsi="Arial"/>
          <w:sz w:val="19"/>
          <w:szCs w:val="19"/>
          <w:b w:val="1"/>
          <w:bCs w:val="1"/>
          <w:color w:val="auto"/>
        </w:rPr>
      </w:pPr>
    </w:p>
    <w:p>
      <w:pPr>
        <w:ind w:firstLine="621"/>
        <w:spacing w:after="0" w:line="270" w:lineRule="auto"/>
        <w:tabs>
          <w:tab w:leader="none" w:pos="807" w:val="left"/>
        </w:tabs>
        <w:numPr>
          <w:ilvl w:val="0"/>
          <w:numId w:val="7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Employment or Voting Rights</w:t>
      </w:r>
      <w:r>
        <w:rPr>
          <w:rFonts w:ascii="Arial" w:cs="Arial" w:eastAsia="Arial" w:hAnsi="Arial"/>
          <w:sz w:val="19"/>
          <w:szCs w:val="19"/>
          <w:b w:val="1"/>
          <w:bCs w:val="1"/>
          <w:color w:val="auto"/>
        </w:rPr>
        <w:t xml:space="preserve">. </w:t>
      </w:r>
      <w:r>
        <w:rPr>
          <w:rFonts w:ascii="Arial" w:cs="Arial" w:eastAsia="Arial" w:hAnsi="Arial"/>
          <w:sz w:val="19"/>
          <w:szCs w:val="19"/>
          <w:color w:val="auto"/>
        </w:rPr>
        <w:t>Nothing contained in the Plan or this Agreement shall give any employee the right to be retained in</w:t>
      </w:r>
      <w:r>
        <w:rPr>
          <w:rFonts w:ascii="Arial" w:cs="Arial" w:eastAsia="Arial" w:hAnsi="Arial"/>
          <w:sz w:val="19"/>
          <w:szCs w:val="19"/>
          <w:b w:val="1"/>
          <w:bCs w:val="1"/>
          <w:color w:val="auto"/>
        </w:rPr>
        <w:t xml:space="preserve"> </w:t>
      </w:r>
      <w:r>
        <w:rPr>
          <w:rFonts w:ascii="Arial" w:cs="Arial" w:eastAsia="Arial" w:hAnsi="Arial"/>
          <w:sz w:val="19"/>
          <w:szCs w:val="19"/>
          <w:color w:val="auto"/>
        </w:rPr>
        <w:t>the employment of the Company or its subsidiaries or</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440" w:type="dxa"/>
            <w:vAlign w:val="bottom"/>
          </w:tcPr>
          <w:p>
            <w:pPr>
              <w:spacing w:after="0"/>
              <w:rPr>
                <w:sz w:val="20"/>
                <w:szCs w:val="20"/>
                <w:color w:val="auto"/>
              </w:rPr>
            </w:pPr>
            <w:r>
              <w:rPr>
                <w:rFonts w:ascii="Arial" w:cs="Arial" w:eastAsia="Arial" w:hAnsi="Arial"/>
                <w:sz w:val="17"/>
                <w:szCs w:val="17"/>
                <w:color w:val="auto"/>
              </w:rPr>
              <w:t>LTI Grant Agreement</w:t>
            </w:r>
          </w:p>
        </w:tc>
        <w:tc>
          <w:tcPr>
            <w:tcW w:w="1040" w:type="dxa"/>
            <w:vAlign w:val="bottom"/>
          </w:tcPr>
          <w:p>
            <w:pPr>
              <w:jc w:val="right"/>
              <w:spacing w:after="0"/>
              <w:rPr>
                <w:sz w:val="20"/>
                <w:szCs w:val="20"/>
                <w:color w:val="auto"/>
              </w:rPr>
            </w:pPr>
            <w:r>
              <w:rPr>
                <w:rFonts w:ascii="Arial" w:cs="Arial" w:eastAsia="Arial" w:hAnsi="Arial"/>
                <w:sz w:val="21"/>
                <w:szCs w:val="21"/>
                <w:color w:val="auto"/>
              </w:rPr>
              <w:t>3</w:t>
            </w:r>
          </w:p>
        </w:tc>
      </w:tr>
    </w:tbl>
    <w:p>
      <w:pPr>
        <w:sectPr>
          <w:pgSz w:w="11900" w:h="16838" w:orient="portrait"/>
          <w:cols w:equalWidth="0" w:num="1">
            <w:col w:w="11240"/>
          </w:cols>
          <w:pgMar w:left="320" w:top="1359" w:right="339" w:bottom="1440" w:gutter="0" w:footer="0" w:header="0"/>
        </w:sectPr>
      </w:pPr>
    </w:p>
    <w:bookmarkStart w:id="94" w:name="page95"/>
    <w:bookmarkEnd w:id="94"/>
    <w:p>
      <w:pPr>
        <w:spacing w:after="0" w:line="277" w:lineRule="auto"/>
        <w:rPr>
          <w:sz w:val="20"/>
          <w:szCs w:val="20"/>
          <w:color w:val="auto"/>
        </w:rPr>
      </w:pPr>
      <w:r>
        <w:rPr>
          <w:rFonts w:ascii="Arial" w:cs="Arial" w:eastAsia="Arial" w:hAnsi="Arial"/>
          <w:sz w:val="18"/>
          <w:szCs w:val="18"/>
          <w:color w:val="auto"/>
        </w:rPr>
        <w:t>affiliates, or their successors or assigns, whether existing now or in the future (collectively “Campbell Companies”), or affect the right of any of the Campbell Companies to terminate any employee. Grantee shall have no voting rights with respect to the Restricted Stock Units.</w:t>
      </w:r>
    </w:p>
    <w:p>
      <w:pPr>
        <w:spacing w:after="0" w:line="173" w:lineRule="exact"/>
        <w:rPr>
          <w:sz w:val="20"/>
          <w:szCs w:val="20"/>
          <w:color w:val="auto"/>
        </w:rPr>
      </w:pPr>
    </w:p>
    <w:p>
      <w:pPr>
        <w:jc w:val="both"/>
        <w:ind w:firstLine="621"/>
        <w:spacing w:after="0" w:line="241" w:lineRule="auto"/>
        <w:tabs>
          <w:tab w:leader="none" w:pos="901" w:val="left"/>
        </w:tabs>
        <w:numPr>
          <w:ilvl w:val="0"/>
          <w:numId w:val="8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Internal Revenue Code Section 409A</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interpreted, operated, and administered in a manner so as not to subject</w:t>
      </w:r>
      <w:r>
        <w:rPr>
          <w:rFonts w:ascii="Arial" w:cs="Arial" w:eastAsia="Arial" w:hAnsi="Arial"/>
          <w:sz w:val="19"/>
          <w:szCs w:val="19"/>
          <w:b w:val="1"/>
          <w:bCs w:val="1"/>
          <w:color w:val="auto"/>
        </w:rPr>
        <w:t xml:space="preserve"> </w:t>
      </w:r>
      <w:r>
        <w:rPr>
          <w:rFonts w:ascii="Arial" w:cs="Arial" w:eastAsia="Arial" w:hAnsi="Arial"/>
          <w:sz w:val="19"/>
          <w:szCs w:val="19"/>
          <w:color w:val="auto"/>
        </w:rPr>
        <w:t>Grantee to the assessment of additional taxes or interest under Code Section 409A to the extent such Grantee or any payment under this Agreement is subject to U.S. tax laws, and this Agreement shall be amended as the Company, in its sole discretion, determines is necessary and appropriate to avoid the application of any such taxes or interest.</w:t>
      </w:r>
    </w:p>
    <w:p>
      <w:pPr>
        <w:spacing w:after="0" w:line="204" w:lineRule="exact"/>
        <w:rPr>
          <w:rFonts w:ascii="Arial" w:cs="Arial" w:eastAsia="Arial" w:hAnsi="Arial"/>
          <w:sz w:val="19"/>
          <w:szCs w:val="19"/>
          <w:b w:val="1"/>
          <w:bCs w:val="1"/>
          <w:color w:val="auto"/>
        </w:rPr>
      </w:pPr>
    </w:p>
    <w:p>
      <w:pPr>
        <w:jc w:val="both"/>
        <w:ind w:firstLine="621"/>
        <w:spacing w:after="0" w:line="259" w:lineRule="auto"/>
        <w:tabs>
          <w:tab w:leader="none" w:pos="904"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Electronic Delivery and Acceptance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in its sole discretion, decide to deliver any documents related to current or</w:t>
      </w:r>
      <w:r>
        <w:rPr>
          <w:rFonts w:ascii="Arial" w:cs="Arial" w:eastAsia="Arial" w:hAnsi="Arial"/>
          <w:sz w:val="18"/>
          <w:szCs w:val="18"/>
          <w:b w:val="1"/>
          <w:bCs w:val="1"/>
          <w:color w:val="auto"/>
        </w:rPr>
        <w:t xml:space="preserve"> </w:t>
      </w:r>
      <w:r>
        <w:rPr>
          <w:rFonts w:ascii="Arial" w:cs="Arial" w:eastAsia="Arial" w:hAnsi="Arial"/>
          <w:sz w:val="18"/>
          <w:szCs w:val="18"/>
          <w:color w:val="auto"/>
        </w:rPr>
        <w:t>future participation in the Plan by electronic means or to request Grantee’s consent to participate in the Plan by electronic means. Grantee hereby consents to receive such documents by electronic delivery and, if requested, agrees to participate in the Plan through an on-line or electronic system established and maintained by the Company or a third party designated by the Company.</w:t>
      </w:r>
    </w:p>
    <w:p>
      <w:pPr>
        <w:spacing w:after="0" w:line="175" w:lineRule="exact"/>
        <w:rPr>
          <w:rFonts w:ascii="Arial" w:cs="Arial" w:eastAsia="Arial" w:hAnsi="Arial"/>
          <w:sz w:val="18"/>
          <w:szCs w:val="18"/>
          <w:b w:val="1"/>
          <w:bCs w:val="1"/>
          <w:color w:val="auto"/>
        </w:rPr>
      </w:pPr>
    </w:p>
    <w:p>
      <w:pPr>
        <w:jc w:val="both"/>
        <w:ind w:firstLine="621"/>
        <w:spacing w:after="0" w:line="248" w:lineRule="auto"/>
        <w:tabs>
          <w:tab w:leader="none" w:pos="927" w:val="left"/>
        </w:tabs>
        <w:numPr>
          <w:ilvl w:val="0"/>
          <w:numId w:val="8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Entire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terms of the Plan and this Agreement when accepted by Grantee will constitute the entire agreement with</w:t>
      </w:r>
      <w:r>
        <w:rPr>
          <w:rFonts w:ascii="Arial" w:cs="Arial" w:eastAsia="Arial" w:hAnsi="Arial"/>
          <w:sz w:val="19"/>
          <w:szCs w:val="19"/>
          <w:b w:val="1"/>
          <w:bCs w:val="1"/>
          <w:color w:val="auto"/>
        </w:rPr>
        <w:t xml:space="preserve"> </w:t>
      </w:r>
      <w:r>
        <w:rPr>
          <w:rFonts w:ascii="Arial" w:cs="Arial" w:eastAsia="Arial" w:hAnsi="Arial"/>
          <w:sz w:val="19"/>
          <w:szCs w:val="19"/>
          <w:color w:val="auto"/>
        </w:rPr>
        <w:t>respect to the subject matter hereof. This Agreement supersedes any prior agreements, representations or promises of the parties relating to the subject matter hereof.</w:t>
      </w:r>
    </w:p>
    <w:p>
      <w:pPr>
        <w:spacing w:after="0" w:line="185" w:lineRule="exact"/>
        <w:rPr>
          <w:rFonts w:ascii="Arial" w:cs="Arial" w:eastAsia="Arial" w:hAnsi="Arial"/>
          <w:sz w:val="19"/>
          <w:szCs w:val="19"/>
          <w:b w:val="1"/>
          <w:bCs w:val="1"/>
          <w:color w:val="auto"/>
        </w:rPr>
      </w:pPr>
    </w:p>
    <w:p>
      <w:pPr>
        <w:ind w:firstLine="621"/>
        <w:spacing w:after="0" w:line="270" w:lineRule="auto"/>
        <w:tabs>
          <w:tab w:leader="none" w:pos="901" w:val="left"/>
        </w:tabs>
        <w:numPr>
          <w:ilvl w:val="0"/>
          <w:numId w:val="8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Non-Competition and Restrictive Covenants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As a condition of receiving the Award, Grantee must agree to the terms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RCA which is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165" w:lineRule="exact"/>
        <w:rPr>
          <w:rFonts w:ascii="Arial" w:cs="Arial" w:eastAsia="Arial" w:hAnsi="Arial"/>
          <w:sz w:val="19"/>
          <w:szCs w:val="19"/>
          <w:b w:val="1"/>
          <w:bCs w:val="1"/>
          <w:color w:val="auto"/>
        </w:rPr>
      </w:pPr>
    </w:p>
    <w:p>
      <w:pPr>
        <w:jc w:val="both"/>
        <w:ind w:firstLine="621"/>
        <w:spacing w:after="0" w:line="245" w:lineRule="auto"/>
        <w:tabs>
          <w:tab w:leader="none" w:pos="914" w:val="left"/>
        </w:tabs>
        <w:numPr>
          <w:ilvl w:val="0"/>
          <w:numId w:val="8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Clawback.</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and any Shares issued pursuant to this Agreement will be subject to reduction, cancellation, repayment,</w:t>
      </w:r>
      <w:r>
        <w:rPr>
          <w:rFonts w:ascii="Arial" w:cs="Arial" w:eastAsia="Arial" w:hAnsi="Arial"/>
          <w:sz w:val="19"/>
          <w:szCs w:val="19"/>
          <w:b w:val="1"/>
          <w:bCs w:val="1"/>
          <w:color w:val="auto"/>
        </w:rPr>
        <w:t xml:space="preserve"> </w:t>
      </w:r>
      <w:r>
        <w:rPr>
          <w:rFonts w:ascii="Arial" w:cs="Arial" w:eastAsia="Arial" w:hAnsi="Arial"/>
          <w:sz w:val="19"/>
          <w:szCs w:val="19"/>
          <w:color w:val="auto"/>
        </w:rPr>
        <w:t>forfeiture or recoupment in accordance with any clawback policy adopted by the Company. By accepting this Award, the Grantee is agreeing to be bound by any such clawback policy, as in effect or as may be adopted and/or modified from time to time by the Company in its discretion, and any or clawback requirements imposed under applicable laws, rules and regulations.</w:t>
      </w:r>
    </w:p>
    <w:p>
      <w:pPr>
        <w:spacing w:after="0" w:line="189" w:lineRule="exact"/>
        <w:rPr>
          <w:rFonts w:ascii="Arial" w:cs="Arial" w:eastAsia="Arial" w:hAnsi="Arial"/>
          <w:sz w:val="19"/>
          <w:szCs w:val="19"/>
          <w:b w:val="1"/>
          <w:bCs w:val="1"/>
          <w:color w:val="auto"/>
        </w:rPr>
      </w:pPr>
    </w:p>
    <w:p>
      <w:pPr>
        <w:jc w:val="both"/>
        <w:ind w:firstLine="621"/>
        <w:spacing w:after="0" w:line="241" w:lineRule="auto"/>
        <w:tabs>
          <w:tab w:leader="none" w:pos="927" w:val="left"/>
        </w:tabs>
        <w:numPr>
          <w:ilvl w:val="0"/>
          <w:numId w:val="8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b w:val="1"/>
          <w:bCs w:val="1"/>
          <w:color w:val="auto"/>
        </w:rPr>
        <w:t xml:space="preserve">. </w:t>
      </w:r>
      <w:r>
        <w:rPr>
          <w:rFonts w:ascii="Arial" w:cs="Arial" w:eastAsia="Arial" w:hAnsi="Arial"/>
          <w:sz w:val="19"/>
          <w:szCs w:val="19"/>
          <w:color w:val="auto"/>
        </w:rPr>
        <w:t>If one or more of the provisions of this Agreement shall be held invalid, illegal or unenforceable in any respect, the</w:t>
      </w:r>
      <w:r>
        <w:rPr>
          <w:rFonts w:ascii="Arial" w:cs="Arial" w:eastAsia="Arial" w:hAnsi="Arial"/>
          <w:sz w:val="19"/>
          <w:szCs w:val="19"/>
          <w:b w:val="1"/>
          <w:bCs w:val="1"/>
          <w:color w:val="auto"/>
        </w:rPr>
        <w:t xml:space="preserve"> </w:t>
      </w:r>
      <w:r>
        <w:rPr>
          <w:rFonts w:ascii="Arial" w:cs="Arial" w:eastAsia="Arial" w:hAnsi="Arial"/>
          <w:sz w:val="19"/>
          <w:szCs w:val="19"/>
          <w:color w:val="auto"/>
        </w:rPr>
        <w:t>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Agreement to be construed so as to foster the intent of this Agreement and the Plan.</w:t>
      </w:r>
    </w:p>
    <w:p>
      <w:pPr>
        <w:spacing w:after="0" w:line="190" w:lineRule="exact"/>
        <w:rPr>
          <w:rFonts w:ascii="Arial" w:cs="Arial" w:eastAsia="Arial" w:hAnsi="Arial"/>
          <w:sz w:val="19"/>
          <w:szCs w:val="19"/>
          <w:b w:val="1"/>
          <w:bCs w:val="1"/>
          <w:color w:val="auto"/>
        </w:rPr>
      </w:pPr>
    </w:p>
    <w:p>
      <w:pPr>
        <w:ind w:firstLine="621"/>
        <w:spacing w:after="0" w:line="270" w:lineRule="auto"/>
        <w:tabs>
          <w:tab w:leader="none" w:pos="914" w:val="left"/>
        </w:tabs>
        <w:numPr>
          <w:ilvl w:val="0"/>
          <w:numId w:val="8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Successors</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binding upon and inure to the benefit of any successor or successors of the Company and any</w:t>
      </w:r>
      <w:r>
        <w:rPr>
          <w:rFonts w:ascii="Arial" w:cs="Arial" w:eastAsia="Arial" w:hAnsi="Arial"/>
          <w:sz w:val="19"/>
          <w:szCs w:val="19"/>
          <w:b w:val="1"/>
          <w:bCs w:val="1"/>
          <w:color w:val="auto"/>
        </w:rPr>
        <w:t xml:space="preserve"> </w:t>
      </w:r>
      <w:r>
        <w:rPr>
          <w:rFonts w:ascii="Arial" w:cs="Arial" w:eastAsia="Arial" w:hAnsi="Arial"/>
          <w:sz w:val="19"/>
          <w:szCs w:val="19"/>
          <w:color w:val="auto"/>
        </w:rPr>
        <w:t>person or persons who shall acquire any rights hereunder in accordance with this Agreement or the Plan.</w:t>
      </w:r>
    </w:p>
    <w:p>
      <w:pPr>
        <w:spacing w:after="0" w:line="165" w:lineRule="exact"/>
        <w:rPr>
          <w:rFonts w:ascii="Arial" w:cs="Arial" w:eastAsia="Arial" w:hAnsi="Arial"/>
          <w:sz w:val="19"/>
          <w:szCs w:val="19"/>
          <w:b w:val="1"/>
          <w:bCs w:val="1"/>
          <w:color w:val="auto"/>
        </w:rPr>
      </w:pPr>
    </w:p>
    <w:p>
      <w:pPr>
        <w:jc w:val="both"/>
        <w:ind w:firstLine="621"/>
        <w:spacing w:after="0" w:line="259" w:lineRule="auto"/>
        <w:tabs>
          <w:tab w:leader="none" w:pos="9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construed in accordance with, and its interpretation shall otherwise be</w:t>
      </w:r>
      <w:r>
        <w:rPr>
          <w:rFonts w:ascii="Arial" w:cs="Arial" w:eastAsia="Arial" w:hAnsi="Arial"/>
          <w:sz w:val="18"/>
          <w:szCs w:val="18"/>
          <w:b w:val="1"/>
          <w:bCs w:val="1"/>
          <w:color w:val="auto"/>
        </w:rPr>
        <w:t xml:space="preserve"> </w:t>
      </w:r>
      <w:r>
        <w:rPr>
          <w:rFonts w:ascii="Arial" w:cs="Arial" w:eastAsia="Arial" w:hAnsi="Arial"/>
          <w:sz w:val="18"/>
          <w:szCs w:val="18"/>
          <w:color w:val="auto"/>
        </w:rPr>
        <w:t>governed by, New Jersey law. Each party irrevocably agrees that any legal proceeding arising out of, or relating to the subject matter of, this Agreement shall be brought in the Superior Court of New Jersey in Camden County or the United States District Court for the District of New Jersey located in Camden, New Jersey. Each party irrevocably consents to such jurisdiction and 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440" w:type="dxa"/>
            <w:vAlign w:val="bottom"/>
          </w:tcPr>
          <w:p>
            <w:pPr>
              <w:spacing w:after="0"/>
              <w:rPr>
                <w:sz w:val="20"/>
                <w:szCs w:val="20"/>
                <w:color w:val="auto"/>
              </w:rPr>
            </w:pPr>
            <w:r>
              <w:rPr>
                <w:rFonts w:ascii="Arial" w:cs="Arial" w:eastAsia="Arial" w:hAnsi="Arial"/>
                <w:sz w:val="17"/>
                <w:szCs w:val="17"/>
                <w:color w:val="auto"/>
              </w:rPr>
              <w:t>LTI Grant Agreement</w:t>
            </w:r>
          </w:p>
        </w:tc>
        <w:tc>
          <w:tcPr>
            <w:tcW w:w="1040" w:type="dxa"/>
            <w:vAlign w:val="bottom"/>
          </w:tcPr>
          <w:p>
            <w:pPr>
              <w:jc w:val="right"/>
              <w:spacing w:after="0"/>
              <w:rPr>
                <w:sz w:val="20"/>
                <w:szCs w:val="20"/>
                <w:color w:val="auto"/>
              </w:rPr>
            </w:pPr>
            <w:r>
              <w:rPr>
                <w:rFonts w:ascii="Arial" w:cs="Arial" w:eastAsia="Arial" w:hAnsi="Arial"/>
                <w:sz w:val="21"/>
                <w:szCs w:val="21"/>
                <w:color w:val="auto"/>
              </w:rPr>
              <w:t>4</w:t>
            </w:r>
          </w:p>
        </w:tc>
      </w:tr>
    </w:tbl>
    <w:p>
      <w:pPr>
        <w:sectPr>
          <w:pgSz w:w="11900" w:h="16838" w:orient="portrait"/>
          <w:cols w:equalWidth="0" w:num="1">
            <w:col w:w="11240"/>
          </w:cols>
          <w:pgMar w:left="320" w:top="1359" w:right="339" w:bottom="1440" w:gutter="0" w:footer="0" w:header="0"/>
        </w:sectPr>
      </w:pPr>
    </w:p>
    <w:bookmarkStart w:id="95" w:name="page96"/>
    <w:bookmarkEnd w:id="95"/>
    <w:p>
      <w:pPr>
        <w:ind w:firstLine="618"/>
        <w:spacing w:after="0" w:line="250" w:lineRule="auto"/>
        <w:rPr>
          <w:sz w:val="20"/>
          <w:szCs w:val="20"/>
          <w:color w:val="auto"/>
        </w:rPr>
      </w:pPr>
      <w:r>
        <w:rPr>
          <w:rFonts w:ascii="Arial" w:cs="Arial" w:eastAsia="Arial" w:hAnsi="Arial"/>
          <w:sz w:val="19"/>
          <w:szCs w:val="19"/>
          <w:color w:val="auto"/>
        </w:rPr>
        <w:t>IN WITNESS WHEREOF, the Company has caused this Agreement to be executed by a duly authorized executive all as of the day and year first above written.</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CAMPBELL SOUP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9"/>
          <w:szCs w:val="19"/>
          <w:color w:val="auto"/>
        </w:rPr>
        <w:t>By:</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Diane Johnson May</w:t>
      </w:r>
    </w:p>
    <w:p>
      <w:pPr>
        <w:spacing w:after="0"/>
        <w:rPr>
          <w:sz w:val="20"/>
          <w:szCs w:val="20"/>
          <w:color w:val="auto"/>
        </w:rPr>
      </w:pPr>
      <w:r>
        <w:rPr>
          <w:rFonts w:ascii="Arial" w:cs="Arial" w:eastAsia="Arial" w:hAnsi="Arial"/>
          <w:sz w:val="19"/>
          <w:szCs w:val="19"/>
          <w:color w:val="auto"/>
        </w:rPr>
        <w:t>Executive Vice President &amp; Chief Human</w:t>
      </w:r>
    </w:p>
    <w:p>
      <w:pPr>
        <w:spacing w:after="0"/>
        <w:rPr>
          <w:sz w:val="20"/>
          <w:szCs w:val="20"/>
          <w:color w:val="auto"/>
        </w:rPr>
      </w:pPr>
      <w:r>
        <w:rPr>
          <w:rFonts w:ascii="Arial" w:cs="Arial" w:eastAsia="Arial" w:hAnsi="Arial"/>
          <w:sz w:val="19"/>
          <w:szCs w:val="19"/>
          <w:color w:val="auto"/>
        </w:rPr>
        <w:t>Resources Officer</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440" w:type="dxa"/>
            <w:vAlign w:val="bottom"/>
          </w:tcPr>
          <w:p>
            <w:pPr>
              <w:spacing w:after="0"/>
              <w:rPr>
                <w:sz w:val="20"/>
                <w:szCs w:val="20"/>
                <w:color w:val="auto"/>
              </w:rPr>
            </w:pPr>
            <w:r>
              <w:rPr>
                <w:rFonts w:ascii="Arial" w:cs="Arial" w:eastAsia="Arial" w:hAnsi="Arial"/>
                <w:sz w:val="17"/>
                <w:szCs w:val="17"/>
                <w:color w:val="auto"/>
              </w:rPr>
              <w:t>LTI Grant Agreement</w:t>
            </w:r>
          </w:p>
        </w:tc>
        <w:tc>
          <w:tcPr>
            <w:tcW w:w="1040" w:type="dxa"/>
            <w:vAlign w:val="bottom"/>
          </w:tcPr>
          <w:p>
            <w:pPr>
              <w:jc w:val="right"/>
              <w:spacing w:after="0"/>
              <w:rPr>
                <w:sz w:val="20"/>
                <w:szCs w:val="20"/>
                <w:color w:val="auto"/>
              </w:rPr>
            </w:pPr>
            <w:r>
              <w:rPr>
                <w:rFonts w:ascii="Arial" w:cs="Arial" w:eastAsia="Arial" w:hAnsi="Arial"/>
                <w:sz w:val="21"/>
                <w:szCs w:val="21"/>
                <w:color w:val="auto"/>
              </w:rPr>
              <w:t>5</w:t>
            </w:r>
          </w:p>
        </w:tc>
      </w:tr>
    </w:tbl>
    <w:p>
      <w:pPr>
        <w:sectPr>
          <w:pgSz w:w="11900" w:h="16838" w:orient="portrait"/>
          <w:cols w:equalWidth="0" w:num="1">
            <w:col w:w="11240"/>
          </w:cols>
          <w:pgMar w:left="320" w:top="1359" w:right="339" w:bottom="1440" w:gutter="0" w:footer="0" w:header="0"/>
        </w:sectPr>
      </w:pPr>
    </w:p>
    <w:bookmarkStart w:id="96" w:name="page97"/>
    <w:bookmarkEnd w:id="96"/>
    <w:p>
      <w:pPr>
        <w:spacing w:after="0" w:line="145"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EXHIBIT A</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NON-COMPETITION AND RESTRICTIVE COVENANTS AGREEMENT</w:t>
      </w:r>
    </w:p>
    <w:p>
      <w:pPr>
        <w:jc w:val="center"/>
        <w:spacing w:after="0"/>
        <w:rPr>
          <w:sz w:val="20"/>
          <w:szCs w:val="20"/>
          <w:color w:val="auto"/>
        </w:rPr>
      </w:pPr>
      <w:r>
        <w:rPr>
          <w:rFonts w:ascii="Arial" w:cs="Arial" w:eastAsia="Arial" w:hAnsi="Arial"/>
          <w:sz w:val="19"/>
          <w:szCs w:val="19"/>
          <w:b w:val="1"/>
          <w:bCs w:val="1"/>
          <w:color w:val="auto"/>
        </w:rPr>
        <w:t>(LONG-TERM INCENTIVE PROGRAM)</w:t>
      </w:r>
    </w:p>
    <w:p>
      <w:pPr>
        <w:spacing w:after="0" w:line="203" w:lineRule="exact"/>
        <w:rPr>
          <w:sz w:val="20"/>
          <w:szCs w:val="20"/>
          <w:color w:val="auto"/>
        </w:rPr>
      </w:pPr>
    </w:p>
    <w:p>
      <w:pPr>
        <w:jc w:val="both"/>
        <w:ind w:firstLine="618"/>
        <w:spacing w:after="0" w:line="264" w:lineRule="auto"/>
        <w:rPr>
          <w:sz w:val="20"/>
          <w:szCs w:val="20"/>
          <w:color w:val="auto"/>
        </w:rPr>
      </w:pPr>
      <w:r>
        <w:rPr>
          <w:rFonts w:ascii="Arial" w:cs="Arial" w:eastAsia="Arial" w:hAnsi="Arial"/>
          <w:sz w:val="19"/>
          <w:szCs w:val="19"/>
          <w:color w:val="auto"/>
        </w:rPr>
        <w:t>This Non-Competition and Restrictive Covenants Agreement (“RCA”) is made by and between Campbell Soup Company (“Campbell”) and [Employee Full Legal Name] (“Employee”).</w:t>
      </w:r>
    </w:p>
    <w:p>
      <w:pPr>
        <w:spacing w:after="0" w:line="176" w:lineRule="exact"/>
        <w:rPr>
          <w:sz w:val="20"/>
          <w:szCs w:val="20"/>
          <w:color w:val="auto"/>
        </w:rPr>
      </w:pPr>
    </w:p>
    <w:p>
      <w:pPr>
        <w:jc w:val="both"/>
        <w:ind w:firstLine="618"/>
        <w:spacing w:after="0" w:line="255" w:lineRule="auto"/>
        <w:rPr>
          <w:sz w:val="20"/>
          <w:szCs w:val="20"/>
          <w:color w:val="auto"/>
        </w:rPr>
      </w:pPr>
      <w:r>
        <w:rPr>
          <w:rFonts w:ascii="Arial" w:cs="Arial" w:eastAsia="Arial" w:hAnsi="Arial"/>
          <w:sz w:val="18"/>
          <w:szCs w:val="18"/>
          <w:color w:val="auto"/>
        </w:rPr>
        <w:t>Employee has been selected to receive a Long-Term Incentive (“LTI”) award under the Campbell Soup Company 2022 Long-Term Incentive Plan (“Plan”). Employee understands and agrees that in consideration of the LTI award and as a precondition of accepting the LTI award, Employee must read and accept the terms and conditions of this RCA. Employee understands and agrees that if Employee does not accept and refuses to agree to this RCA within 90 days of being notified of the LTI award, the Compensation and Organization Committee of Campbell’s Board of Directors (“Committee”) shall, in its sole discretion, cancel the grant.</w:t>
      </w:r>
    </w:p>
    <w:p>
      <w:pPr>
        <w:spacing w:after="0" w:line="188" w:lineRule="exact"/>
        <w:rPr>
          <w:sz w:val="20"/>
          <w:szCs w:val="20"/>
          <w:color w:val="auto"/>
        </w:rPr>
      </w:pPr>
    </w:p>
    <w:p>
      <w:pPr>
        <w:jc w:val="both"/>
        <w:ind w:firstLine="618"/>
        <w:spacing w:after="0" w:line="264" w:lineRule="auto"/>
        <w:rPr>
          <w:sz w:val="20"/>
          <w:szCs w:val="20"/>
          <w:color w:val="auto"/>
        </w:rPr>
      </w:pPr>
      <w:r>
        <w:rPr>
          <w:rFonts w:ascii="Arial" w:cs="Arial" w:eastAsia="Arial" w:hAnsi="Arial"/>
          <w:sz w:val="19"/>
          <w:szCs w:val="19"/>
          <w:color w:val="auto"/>
        </w:rPr>
        <w:t>In consideration of the respective agreements of the parties contained in this RCA, intending to be legally bound and subject to the terms and conditions stated in this RCA, it is agreed as follows:</w:t>
      </w:r>
    </w:p>
    <w:p>
      <w:pPr>
        <w:spacing w:after="0" w:line="166" w:lineRule="exact"/>
        <w:rPr>
          <w:sz w:val="20"/>
          <w:szCs w:val="20"/>
          <w:color w:val="auto"/>
        </w:rPr>
      </w:pPr>
    </w:p>
    <w:p>
      <w:pPr>
        <w:ind w:left="820" w:hanging="199"/>
        <w:spacing w:after="0"/>
        <w:tabs>
          <w:tab w:leader="none" w:pos="820" w:val="left"/>
        </w:tabs>
        <w:numPr>
          <w:ilvl w:val="0"/>
          <w:numId w:val="81"/>
        </w:numPr>
        <w:rPr>
          <w:rFonts w:ascii="Arial" w:cs="Arial" w:eastAsia="Arial" w:hAnsi="Arial"/>
          <w:sz w:val="19"/>
          <w:szCs w:val="19"/>
          <w:b w:val="1"/>
          <w:bCs w:val="1"/>
          <w:color w:val="auto"/>
        </w:rPr>
      </w:pPr>
      <w:r>
        <w:rPr>
          <w:rFonts w:ascii="Arial" w:cs="Arial" w:eastAsia="Arial" w:hAnsi="Arial"/>
          <w:sz w:val="21"/>
          <w:szCs w:val="21"/>
          <w:b w:val="1"/>
          <w:bCs w:val="1"/>
          <w:u w:val="single" w:color="auto"/>
          <w:color w:val="auto"/>
        </w:rPr>
        <w:t>Confidential Information</w:t>
      </w:r>
      <w:r>
        <w:rPr>
          <w:rFonts w:ascii="Arial" w:cs="Arial" w:eastAsia="Arial" w:hAnsi="Arial"/>
          <w:sz w:val="18"/>
          <w:szCs w:val="18"/>
          <w:color w:val="auto"/>
        </w:rPr>
        <w:t>.</w:t>
      </w:r>
    </w:p>
    <w:p>
      <w:pPr>
        <w:spacing w:after="0" w:line="28" w:lineRule="exact"/>
        <w:rPr>
          <w:rFonts w:ascii="Arial" w:cs="Arial" w:eastAsia="Arial" w:hAnsi="Arial"/>
          <w:sz w:val="19"/>
          <w:szCs w:val="19"/>
          <w:b w:val="1"/>
          <w:bCs w:val="1"/>
          <w:color w:val="auto"/>
        </w:rPr>
      </w:pPr>
    </w:p>
    <w:p>
      <w:pPr>
        <w:jc w:val="both"/>
        <w:ind w:firstLine="1239"/>
        <w:spacing w:after="0" w:line="252" w:lineRule="auto"/>
        <w:tabs>
          <w:tab w:leader="none" w:pos="155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During Employee’s employment with Campbell or its subsidiaries or affiliates, or their successors or assigns, whether existing now or in the future (collectively “Campbell Companies”), Employee will receive and have access to confidential proprietary information about Campbell Companies (“Information”) and its business, including but not limited to information about costs, profits, sales, marketing or business plans, existing or prospective customers, suppliers, possible acquisitions or divestitures, potential new products or markets, personnel, know-how, formulae, recipes, processes, equipment, discoveries, inventions, research, technical or scientific information, and other data not available to the public, none of which is part of the general knowledge of the industry.</w:t>
      </w:r>
    </w:p>
    <w:p>
      <w:pPr>
        <w:spacing w:after="0" w:line="201" w:lineRule="exact"/>
        <w:rPr>
          <w:rFonts w:ascii="Arial" w:cs="Arial" w:eastAsia="Arial" w:hAnsi="Arial"/>
          <w:sz w:val="18"/>
          <w:szCs w:val="18"/>
          <w:color w:val="auto"/>
        </w:rPr>
      </w:pPr>
    </w:p>
    <w:p>
      <w:pPr>
        <w:jc w:val="both"/>
        <w:ind w:firstLine="1239"/>
        <w:spacing w:after="0" w:line="243" w:lineRule="auto"/>
        <w:tabs>
          <w:tab w:leader="none" w:pos="1539" w:val="left"/>
        </w:tabs>
        <w:numPr>
          <w:ilvl w:val="1"/>
          <w:numId w:val="81"/>
        </w:numPr>
        <w:rPr>
          <w:rFonts w:ascii="Arial" w:cs="Arial" w:eastAsia="Arial" w:hAnsi="Arial"/>
          <w:sz w:val="19"/>
          <w:szCs w:val="19"/>
          <w:color w:val="auto"/>
        </w:rPr>
      </w:pPr>
      <w:r>
        <w:rPr>
          <w:rFonts w:ascii="Arial" w:cs="Arial" w:eastAsia="Arial" w:hAnsi="Arial"/>
          <w:sz w:val="19"/>
          <w:szCs w:val="19"/>
          <w:color w:val="auto"/>
        </w:rPr>
        <w:t>During and after Employee’s employment with Campbell Companies (“Employee’s employment”), Employee will not disclose, use, or appropriate Information for his/her own use or for the use of others, directly or indirectly, except as required in the performance of Employee’s duties to Campbell Companies. Employee recognizes that any unauthorized disclosure, use, or appropriation of Information would be highly prejudicial to Campbell Companies.</w:t>
      </w:r>
    </w:p>
    <w:p>
      <w:pPr>
        <w:spacing w:after="0" w:line="209" w:lineRule="exact"/>
        <w:rPr>
          <w:rFonts w:ascii="Arial" w:cs="Arial" w:eastAsia="Arial" w:hAnsi="Arial"/>
          <w:sz w:val="19"/>
          <w:szCs w:val="19"/>
          <w:color w:val="auto"/>
        </w:rPr>
      </w:pPr>
    </w:p>
    <w:p>
      <w:pPr>
        <w:jc w:val="both"/>
        <w:ind w:firstLine="1239"/>
        <w:spacing w:after="0" w:line="261" w:lineRule="auto"/>
        <w:tabs>
          <w:tab w:leader="none" w:pos="1552" w:val="left"/>
        </w:tabs>
        <w:numPr>
          <w:ilvl w:val="1"/>
          <w:numId w:val="81"/>
        </w:numPr>
        <w:rPr>
          <w:rFonts w:ascii="Arial" w:cs="Arial" w:eastAsia="Arial" w:hAnsi="Arial"/>
          <w:sz w:val="18"/>
          <w:szCs w:val="18"/>
          <w:color w:val="auto"/>
        </w:rPr>
      </w:pPr>
      <w:r>
        <w:rPr>
          <w:rFonts w:ascii="Arial" w:cs="Arial" w:eastAsia="Arial" w:hAnsi="Arial"/>
          <w:sz w:val="18"/>
          <w:szCs w:val="18"/>
          <w:color w:val="auto"/>
        </w:rPr>
        <w:t>In the event that Employee’s employment terminates for any reason, Employee shall deliver to Campbell Companies, upon request or before Employee’s last day of employment, all originals and copies of files, writings, reports, memoranda, diaries, notebooks, notes of meetings or presentations, data, electronic files and data, drawings, charts, photographs, slides, patents, or any other form of record which contains Information created or produced for, at the direction of or by Campbell Companies, or its employees or agents.</w:t>
      </w:r>
    </w:p>
    <w:p>
      <w:pPr>
        <w:spacing w:after="0" w:line="176" w:lineRule="exact"/>
        <w:rPr>
          <w:rFonts w:ascii="Arial" w:cs="Arial" w:eastAsia="Arial" w:hAnsi="Arial"/>
          <w:sz w:val="18"/>
          <w:szCs w:val="18"/>
          <w:color w:val="auto"/>
        </w:rPr>
      </w:pPr>
    </w:p>
    <w:p>
      <w:pPr>
        <w:jc w:val="both"/>
        <w:ind w:firstLine="1239"/>
        <w:spacing w:after="0" w:line="266" w:lineRule="auto"/>
        <w:tabs>
          <w:tab w:leader="none" w:pos="1575" w:val="left"/>
        </w:tabs>
        <w:numPr>
          <w:ilvl w:val="1"/>
          <w:numId w:val="81"/>
        </w:numPr>
        <w:rPr>
          <w:rFonts w:ascii="Arial" w:cs="Arial" w:eastAsia="Arial" w:hAnsi="Arial"/>
          <w:sz w:val="17"/>
          <w:szCs w:val="17"/>
          <w:color w:val="auto"/>
        </w:rPr>
      </w:pPr>
      <w:r>
        <w:rPr>
          <w:rFonts w:ascii="Arial" w:cs="Arial" w:eastAsia="Arial" w:hAnsi="Arial"/>
          <w:sz w:val="19"/>
          <w:szCs w:val="19"/>
          <w:color w:val="auto"/>
        </w:rPr>
        <w:t>Nothing in this RCA prohibits Employee from reporting possible violations of federal law or regulation to any governmental agency or entity, including but not limited to the Department of Justice, the Securities and Exchange Commission, the Congress, and any agency Inspector General, or making other disclosures that are protected under the whistleblower provisions of state or federal law or regulation. Employees does not need the prior authorization of Campbell to make any such reports or disclosures and employee is am not required to notify Campbell that Employee has made such reports or disclosures.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00" w:type="dxa"/>
            <w:vAlign w:val="bottom"/>
          </w:tcPr>
          <w:p>
            <w:pPr>
              <w:spacing w:after="0"/>
              <w:rPr>
                <w:sz w:val="20"/>
                <w:szCs w:val="20"/>
                <w:color w:val="auto"/>
              </w:rPr>
            </w:pPr>
            <w:r>
              <w:rPr>
                <w:rFonts w:ascii="Arial" w:cs="Arial" w:eastAsia="Arial" w:hAnsi="Arial"/>
                <w:sz w:val="17"/>
                <w:szCs w:val="17"/>
                <w:color w:val="auto"/>
              </w:rPr>
              <w:t>Exhibit A</w:t>
            </w:r>
          </w:p>
        </w:tc>
        <w:tc>
          <w:tcPr>
            <w:tcW w:w="640" w:type="dxa"/>
            <w:vAlign w:val="bottom"/>
            <w:vMerge w:val="restart"/>
          </w:tcPr>
          <w:p>
            <w:pPr>
              <w:jc w:val="right"/>
              <w:spacing w:after="0"/>
              <w:rPr>
                <w:sz w:val="20"/>
                <w:szCs w:val="20"/>
                <w:color w:val="auto"/>
              </w:rPr>
            </w:pPr>
            <w:r>
              <w:rPr>
                <w:rFonts w:ascii="Arial" w:cs="Arial" w:eastAsia="Arial" w:hAnsi="Arial"/>
                <w:sz w:val="21"/>
                <w:szCs w:val="21"/>
                <w:color w:val="auto"/>
              </w:rPr>
              <w:t>1</w:t>
            </w:r>
          </w:p>
        </w:tc>
        <w:tc>
          <w:tcPr>
            <w:tcW w:w="0" w:type="dxa"/>
            <w:vAlign w:val="bottom"/>
          </w:tcPr>
          <w:p>
            <w:pPr>
              <w:spacing w:after="0"/>
              <w:rPr>
                <w:sz w:val="1"/>
                <w:szCs w:val="1"/>
                <w:color w:val="auto"/>
              </w:rPr>
            </w:pPr>
          </w:p>
        </w:tc>
      </w:tr>
      <w:tr>
        <w:trPr>
          <w:trHeight w:val="244"/>
        </w:trPr>
        <w:tc>
          <w:tcPr>
            <w:tcW w:w="4400" w:type="dxa"/>
            <w:vAlign w:val="bottom"/>
          </w:tcPr>
          <w:p>
            <w:pPr>
              <w:spacing w:after="0"/>
              <w:rPr>
                <w:sz w:val="20"/>
                <w:szCs w:val="20"/>
                <w:color w:val="auto"/>
              </w:rPr>
            </w:pPr>
            <w:r>
              <w:rPr>
                <w:rFonts w:ascii="Arial" w:cs="Arial" w:eastAsia="Arial" w:hAnsi="Arial"/>
                <w:sz w:val="17"/>
                <w:szCs w:val="17"/>
                <w:color w:val="auto"/>
              </w:rPr>
              <w:t>Non-Competition and Restrictive Covenants Agreement</w:t>
            </w:r>
          </w:p>
        </w:tc>
        <w:tc>
          <w:tcPr>
            <w:tcW w:w="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97" w:name="page98"/>
    <w:bookmarkEnd w:id="97"/>
    <w:p>
      <w:pPr>
        <w:jc w:val="both"/>
        <w:ind w:firstLine="621"/>
        <w:spacing w:after="0" w:line="242" w:lineRule="auto"/>
        <w:tabs>
          <w:tab w:leader="none" w:pos="837" w:val="left"/>
        </w:tabs>
        <w:numPr>
          <w:ilvl w:val="0"/>
          <w:numId w:val="82"/>
        </w:numPr>
        <w:rPr>
          <w:rFonts w:ascii="Arial" w:cs="Arial" w:eastAsia="Arial" w:hAnsi="Arial"/>
          <w:sz w:val="19"/>
          <w:szCs w:val="19"/>
          <w:b w:val="1"/>
          <w:bCs w:val="1"/>
          <w:color w:val="auto"/>
        </w:rPr>
      </w:pPr>
      <w:r>
        <w:rPr>
          <w:rFonts w:ascii="Arial" w:cs="Arial" w:eastAsia="Arial" w:hAnsi="Arial"/>
          <w:sz w:val="21"/>
          <w:szCs w:val="21"/>
          <w:b w:val="1"/>
          <w:bCs w:val="1"/>
          <w:u w:val="single" w:color="auto"/>
          <w:color w:val="auto"/>
        </w:rPr>
        <w:t>No Business Diversion</w:t>
      </w:r>
      <w:r>
        <w:rPr>
          <w:rFonts w:ascii="Arial" w:cs="Arial" w:eastAsia="Arial" w:hAnsi="Arial"/>
          <w:sz w:val="18"/>
          <w:szCs w:val="18"/>
          <w:color w:val="auto"/>
        </w:rPr>
        <w:t>. During Employee’s employment, and for a period of 12 months thereafter following the termination of</w:t>
      </w:r>
      <w:r>
        <w:rPr>
          <w:rFonts w:ascii="Arial" w:cs="Arial" w:eastAsia="Arial" w:hAnsi="Arial"/>
          <w:sz w:val="21"/>
          <w:szCs w:val="21"/>
          <w:b w:val="1"/>
          <w:bCs w:val="1"/>
          <w:color w:val="auto"/>
        </w:rPr>
        <w:t xml:space="preserve"> </w:t>
      </w:r>
      <w:r>
        <w:rPr>
          <w:rFonts w:ascii="Arial" w:cs="Arial" w:eastAsia="Arial" w:hAnsi="Arial"/>
          <w:sz w:val="18"/>
          <w:szCs w:val="18"/>
          <w:color w:val="auto"/>
        </w:rPr>
        <w:t>Employee’s employment (for any reason), Employee will not, without the written consent of Campbell’s General Counsel, directly or indirectly, solicit, divert or take away, or attempt to solicit, divert or take away, any customers, business or suppliers of Campbell Companies whom Employee serviced, called upon, or solicited during Employee’s employment, or with whom Employee became acquainted as a result of Employee’s employment.</w:t>
      </w:r>
    </w:p>
    <w:p>
      <w:pPr>
        <w:spacing w:after="0" w:line="200" w:lineRule="exact"/>
        <w:rPr>
          <w:rFonts w:ascii="Arial" w:cs="Arial" w:eastAsia="Arial" w:hAnsi="Arial"/>
          <w:sz w:val="19"/>
          <w:szCs w:val="19"/>
          <w:b w:val="1"/>
          <w:bCs w:val="1"/>
          <w:color w:val="auto"/>
        </w:rPr>
      </w:pPr>
    </w:p>
    <w:p>
      <w:pPr>
        <w:jc w:val="both"/>
        <w:ind w:firstLine="621"/>
        <w:spacing w:after="0" w:line="258" w:lineRule="auto"/>
        <w:tabs>
          <w:tab w:leader="none" w:pos="824" w:val="left"/>
        </w:tabs>
        <w:numPr>
          <w:ilvl w:val="0"/>
          <w:numId w:val="82"/>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No Employee Solicitation</w:t>
      </w:r>
      <w:r>
        <w:rPr>
          <w:rFonts w:ascii="Arial" w:cs="Arial" w:eastAsia="Arial" w:hAnsi="Arial"/>
          <w:sz w:val="17"/>
          <w:szCs w:val="17"/>
          <w:color w:val="auto"/>
        </w:rPr>
        <w:t>. During Employee’s employment, and for a period of 12 months thereafter following the termination of</w:t>
      </w:r>
      <w:r>
        <w:rPr>
          <w:rFonts w:ascii="Arial" w:cs="Arial" w:eastAsia="Arial" w:hAnsi="Arial"/>
          <w:sz w:val="20"/>
          <w:szCs w:val="20"/>
          <w:b w:val="1"/>
          <w:bCs w:val="1"/>
          <w:color w:val="auto"/>
        </w:rPr>
        <w:t xml:space="preserve"> </w:t>
      </w:r>
      <w:r>
        <w:rPr>
          <w:rFonts w:ascii="Arial" w:cs="Arial" w:eastAsia="Arial" w:hAnsi="Arial"/>
          <w:sz w:val="17"/>
          <w:szCs w:val="17"/>
          <w:color w:val="auto"/>
        </w:rPr>
        <w:t>Employee’s employment (for any reason), Employee will not, without the written consent of Campbell’s General Counsel, directly or indirectly, solicit, hire, interfere with, attempt to entice away from Campbell Companies, or recommend for employment outside Campbell Companies, any individual who is employed by Campbell Companies at the time of such solicitation, hiring, interference, or enticement or who voluntarily terminated his/her employment by Campbell Companies within six months of such solicitation, hiring, interference, or enticement.</w:t>
      </w:r>
    </w:p>
    <w:p>
      <w:pPr>
        <w:spacing w:after="0" w:line="175" w:lineRule="exact"/>
        <w:rPr>
          <w:rFonts w:ascii="Arial" w:cs="Arial" w:eastAsia="Arial" w:hAnsi="Arial"/>
          <w:sz w:val="18"/>
          <w:szCs w:val="18"/>
          <w:b w:val="1"/>
          <w:bCs w:val="1"/>
          <w:color w:val="auto"/>
        </w:rPr>
      </w:pPr>
    </w:p>
    <w:p>
      <w:pPr>
        <w:ind w:left="820" w:hanging="199"/>
        <w:spacing w:after="0"/>
        <w:tabs>
          <w:tab w:leader="none" w:pos="820" w:val="left"/>
        </w:tabs>
        <w:numPr>
          <w:ilvl w:val="0"/>
          <w:numId w:val="82"/>
        </w:numPr>
        <w:rPr>
          <w:rFonts w:ascii="Arial" w:cs="Arial" w:eastAsia="Arial" w:hAnsi="Arial"/>
          <w:sz w:val="19"/>
          <w:szCs w:val="19"/>
          <w:b w:val="1"/>
          <w:bCs w:val="1"/>
          <w:color w:val="auto"/>
        </w:rPr>
      </w:pPr>
      <w:r>
        <w:rPr>
          <w:rFonts w:ascii="Arial" w:cs="Arial" w:eastAsia="Arial" w:hAnsi="Arial"/>
          <w:sz w:val="21"/>
          <w:szCs w:val="21"/>
          <w:b w:val="1"/>
          <w:bCs w:val="1"/>
          <w:u w:val="single" w:color="auto"/>
          <w:color w:val="auto"/>
        </w:rPr>
        <w:t>Non-Competition</w:t>
      </w:r>
      <w:r>
        <w:rPr>
          <w:rFonts w:ascii="Arial" w:cs="Arial" w:eastAsia="Arial" w:hAnsi="Arial"/>
          <w:sz w:val="18"/>
          <w:szCs w:val="18"/>
          <w:color w:val="auto"/>
        </w:rPr>
        <w:t>.</w:t>
      </w:r>
      <w:r>
        <w:rPr>
          <w:rFonts w:ascii="Arial" w:cs="Arial" w:eastAsia="Arial" w:hAnsi="Arial"/>
          <w:sz w:val="18"/>
          <w:szCs w:val="18"/>
          <w:color w:val="0000FF"/>
        </w:rPr>
        <w:t>*</w:t>
      </w:r>
    </w:p>
    <w:p>
      <w:pPr>
        <w:spacing w:after="0" w:line="232" w:lineRule="exact"/>
        <w:rPr>
          <w:rFonts w:ascii="Arial" w:cs="Arial" w:eastAsia="Arial" w:hAnsi="Arial"/>
          <w:sz w:val="19"/>
          <w:szCs w:val="19"/>
          <w:b w:val="1"/>
          <w:bCs w:val="1"/>
          <w:color w:val="auto"/>
        </w:rPr>
      </w:pPr>
    </w:p>
    <w:p>
      <w:pPr>
        <w:jc w:val="both"/>
        <w:ind w:firstLine="1239"/>
        <w:spacing w:after="0" w:line="237" w:lineRule="auto"/>
        <w:tabs>
          <w:tab w:leader="none" w:pos="1545" w:val="left"/>
        </w:tabs>
        <w:numPr>
          <w:ilvl w:val="1"/>
          <w:numId w:val="82"/>
        </w:numPr>
        <w:rPr>
          <w:rFonts w:ascii="Arial" w:cs="Arial" w:eastAsia="Arial" w:hAnsi="Arial"/>
          <w:sz w:val="19"/>
          <w:szCs w:val="19"/>
          <w:color w:val="auto"/>
        </w:rPr>
      </w:pPr>
      <w:r>
        <w:rPr>
          <w:rFonts w:ascii="Arial" w:cs="Arial" w:eastAsia="Arial" w:hAnsi="Arial"/>
          <w:sz w:val="19"/>
          <w:szCs w:val="19"/>
          <w:color w:val="auto"/>
        </w:rPr>
        <w:t>During Employee’s employment, and for a period of 12 months thereafter following the termination of Employee’s employment (for any reason), Employee will not, without the written consent of Campbell’s General Counsel, directly or indirectly, own, advise, manage, operate, join, control, receive compensation or benefits from, or participate in the ownership, management, operation, or control of, or be employed or be otherwise connected in any manner with, any business which directly or indirectly competes (as defined in sub-paragraph 4(b)) with, in any part of the world, the business of Campbell Companies, as conducted or planned by Campbell Companies during Employee’s employment (the “Non-Compete Period”).</w:t>
      </w:r>
    </w:p>
    <w:p>
      <w:pPr>
        <w:spacing w:after="0" w:line="212" w:lineRule="exact"/>
        <w:rPr>
          <w:rFonts w:ascii="Arial" w:cs="Arial" w:eastAsia="Arial" w:hAnsi="Arial"/>
          <w:sz w:val="19"/>
          <w:szCs w:val="19"/>
          <w:color w:val="auto"/>
        </w:rPr>
      </w:pPr>
    </w:p>
    <w:p>
      <w:pPr>
        <w:jc w:val="both"/>
        <w:ind w:firstLine="1239"/>
        <w:spacing w:after="0" w:line="239" w:lineRule="auto"/>
        <w:tabs>
          <w:tab w:leader="none" w:pos="1573" w:val="left"/>
        </w:tabs>
        <w:numPr>
          <w:ilvl w:val="1"/>
          <w:numId w:val="82"/>
        </w:numPr>
        <w:rPr>
          <w:rFonts w:ascii="Arial" w:cs="Arial" w:eastAsia="Arial" w:hAnsi="Arial"/>
          <w:sz w:val="19"/>
          <w:szCs w:val="19"/>
          <w:color w:val="auto"/>
        </w:rPr>
      </w:pPr>
      <w:r>
        <w:rPr>
          <w:rFonts w:ascii="Arial" w:cs="Arial" w:eastAsia="Arial" w:hAnsi="Arial"/>
          <w:sz w:val="19"/>
          <w:szCs w:val="19"/>
          <w:color w:val="auto"/>
        </w:rPr>
        <w:t>“Competes” as used in this RCA means engages in, or plans to engage in, the development, production, manufacture, marketing, or selling of any product or service of any person, business or organization, other than Campbell Companies, which resemble or compete with a product or service of Campbell Companies (or a product or service which, to Employee’s knowledge, was under development by Campbell Companies) during Employee’s employment.</w:t>
      </w:r>
    </w:p>
    <w:p>
      <w:pPr>
        <w:spacing w:after="0" w:line="198" w:lineRule="exact"/>
        <w:rPr>
          <w:rFonts w:ascii="Arial" w:cs="Arial" w:eastAsia="Arial" w:hAnsi="Arial"/>
          <w:sz w:val="19"/>
          <w:szCs w:val="19"/>
          <w:color w:val="auto"/>
        </w:rPr>
      </w:pPr>
    </w:p>
    <w:p>
      <w:pPr>
        <w:jc w:val="both"/>
        <w:ind w:firstLine="1239"/>
        <w:spacing w:after="0" w:line="270" w:lineRule="auto"/>
        <w:tabs>
          <w:tab w:leader="none" w:pos="1573" w:val="left"/>
        </w:tabs>
        <w:numPr>
          <w:ilvl w:val="1"/>
          <w:numId w:val="82"/>
        </w:numPr>
        <w:rPr>
          <w:rFonts w:ascii="Arial" w:cs="Arial" w:eastAsia="Arial" w:hAnsi="Arial"/>
          <w:sz w:val="17"/>
          <w:szCs w:val="17"/>
          <w:color w:val="auto"/>
        </w:rPr>
      </w:pPr>
      <w:r>
        <w:rPr>
          <w:rFonts w:ascii="Arial" w:cs="Arial" w:eastAsia="Arial" w:hAnsi="Arial"/>
          <w:sz w:val="17"/>
          <w:szCs w:val="17"/>
          <w:color w:val="auto"/>
        </w:rPr>
        <w:t>Except as prohibited in paragraph 4(A), this RCA will not preclude Employee from ownership of less than 1% of the outstanding shares of any class of shares of any corporations listed on the New York Stock Exchange or the American Stock Exchange or quoted on</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NASDAQ.</w:t>
      </w:r>
    </w:p>
    <w:p>
      <w:pPr>
        <w:spacing w:after="0" w:line="216" w:lineRule="exact"/>
        <w:rPr>
          <w:rFonts w:ascii="Arial" w:cs="Arial" w:eastAsia="Arial" w:hAnsi="Arial"/>
          <w:sz w:val="17"/>
          <w:szCs w:val="17"/>
          <w:color w:val="auto"/>
        </w:rPr>
      </w:pPr>
    </w:p>
    <w:p>
      <w:pPr>
        <w:ind w:firstLine="1239"/>
        <w:spacing w:after="0" w:line="248" w:lineRule="auto"/>
        <w:tabs>
          <w:tab w:leader="none" w:pos="1545" w:val="left"/>
        </w:tabs>
        <w:numPr>
          <w:ilvl w:val="1"/>
          <w:numId w:val="82"/>
        </w:numPr>
        <w:rPr>
          <w:rFonts w:ascii="Arial" w:cs="Arial" w:eastAsia="Arial" w:hAnsi="Arial"/>
          <w:sz w:val="18"/>
          <w:szCs w:val="18"/>
          <w:color w:val="auto"/>
        </w:rPr>
      </w:pPr>
      <w:r>
        <w:rPr>
          <w:rFonts w:ascii="Arial" w:cs="Arial" w:eastAsia="Arial" w:hAnsi="Arial"/>
          <w:sz w:val="18"/>
          <w:szCs w:val="18"/>
          <w:color w:val="auto"/>
        </w:rPr>
        <w:t>Employee acknowledges that any employment or relationship in violation of this RCA would necessarily require Employee to use or rely on Information to which Employee became privy during the course of Employee’s employment with Campbell Companies.</w:t>
      </w:r>
    </w:p>
    <w:p>
      <w:pPr>
        <w:jc w:val="both"/>
        <w:ind w:firstLine="1239"/>
        <w:spacing w:after="0" w:line="269" w:lineRule="auto"/>
        <w:tabs>
          <w:tab w:leader="none" w:pos="1550" w:val="left"/>
        </w:tabs>
        <w:numPr>
          <w:ilvl w:val="1"/>
          <w:numId w:val="82"/>
        </w:numPr>
        <w:rPr>
          <w:rFonts w:ascii="Arial" w:cs="Arial" w:eastAsia="Arial" w:hAnsi="Arial"/>
          <w:sz w:val="17"/>
          <w:szCs w:val="17"/>
          <w:color w:val="auto"/>
        </w:rPr>
      </w:pPr>
      <w:r>
        <w:rPr>
          <w:rFonts w:ascii="Arial" w:cs="Arial" w:eastAsia="Arial" w:hAnsi="Arial"/>
          <w:sz w:val="17"/>
          <w:szCs w:val="17"/>
          <w:color w:val="auto"/>
        </w:rPr>
        <w:t>Except where Employee’s employment is terminated by Campbell Companies “for cause” as defined in the Plan, or where Employee voluntarily terminates Employee’s employment by Campbell Companies, when Employee, despite his/her best efforts, is unable within ninety (90) days after the termination of Employee’s employment to secure other employment not violative of Employee’s obligations under this RCA, Employee will notify Campbell’s General Counsel by registered mail. Unless Campbell Companies notifies Employee in writing that it elects not to enforce paragraph 4 of this RCA, beginning ninety (90) days after termination of Employee’s employment, Campbell Companies shall provide to Employee payments during the Non-Compete Period equal to 100% of Employee’s base salary (exclusive of commissions, bonuses, benefits, allowances, and any other form of compensation) which Employee had been receiving at the termination of Employee’s employment (the “Non-Compete Payments”). The Non-Compete Payments shall continue for as long as Campbell Companies elects to</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00" w:type="dxa"/>
            <w:vAlign w:val="bottom"/>
          </w:tcPr>
          <w:p>
            <w:pPr>
              <w:spacing w:after="0"/>
              <w:rPr>
                <w:sz w:val="20"/>
                <w:szCs w:val="20"/>
                <w:color w:val="auto"/>
              </w:rPr>
            </w:pPr>
            <w:r>
              <w:rPr>
                <w:rFonts w:ascii="Arial" w:cs="Arial" w:eastAsia="Arial" w:hAnsi="Arial"/>
                <w:sz w:val="17"/>
                <w:szCs w:val="17"/>
                <w:color w:val="auto"/>
              </w:rPr>
              <w:t>Exhibit A</w:t>
            </w:r>
          </w:p>
        </w:tc>
        <w:tc>
          <w:tcPr>
            <w:tcW w:w="640" w:type="dxa"/>
            <w:vAlign w:val="bottom"/>
            <w:vMerge w:val="restart"/>
          </w:tcPr>
          <w:p>
            <w:pPr>
              <w:jc w:val="right"/>
              <w:spacing w:after="0"/>
              <w:rPr>
                <w:sz w:val="20"/>
                <w:szCs w:val="20"/>
                <w:color w:val="auto"/>
              </w:rPr>
            </w:pPr>
            <w:r>
              <w:rPr>
                <w:rFonts w:ascii="Arial" w:cs="Arial" w:eastAsia="Arial" w:hAnsi="Arial"/>
                <w:sz w:val="21"/>
                <w:szCs w:val="21"/>
                <w:color w:val="auto"/>
              </w:rPr>
              <w:t>2</w:t>
            </w:r>
          </w:p>
        </w:tc>
        <w:tc>
          <w:tcPr>
            <w:tcW w:w="0" w:type="dxa"/>
            <w:vAlign w:val="bottom"/>
          </w:tcPr>
          <w:p>
            <w:pPr>
              <w:spacing w:after="0"/>
              <w:rPr>
                <w:sz w:val="1"/>
                <w:szCs w:val="1"/>
                <w:color w:val="auto"/>
              </w:rPr>
            </w:pPr>
          </w:p>
        </w:tc>
      </w:tr>
      <w:tr>
        <w:trPr>
          <w:trHeight w:val="244"/>
        </w:trPr>
        <w:tc>
          <w:tcPr>
            <w:tcW w:w="4400" w:type="dxa"/>
            <w:vAlign w:val="bottom"/>
          </w:tcPr>
          <w:p>
            <w:pPr>
              <w:spacing w:after="0"/>
              <w:rPr>
                <w:sz w:val="20"/>
                <w:szCs w:val="20"/>
                <w:color w:val="auto"/>
              </w:rPr>
            </w:pPr>
            <w:r>
              <w:rPr>
                <w:rFonts w:ascii="Arial" w:cs="Arial" w:eastAsia="Arial" w:hAnsi="Arial"/>
                <w:sz w:val="17"/>
                <w:szCs w:val="17"/>
                <w:color w:val="auto"/>
              </w:rPr>
              <w:t>Non-Competition and Restrictive Covenants Agreement</w:t>
            </w:r>
          </w:p>
        </w:tc>
        <w:tc>
          <w:tcPr>
            <w:tcW w:w="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49" w:right="339" w:bottom="1440" w:gutter="0" w:footer="0" w:header="0"/>
        </w:sectPr>
      </w:pPr>
    </w:p>
    <w:bookmarkStart w:id="98" w:name="page99"/>
    <w:bookmarkEnd w:id="98"/>
    <w:p>
      <w:pPr>
        <w:spacing w:after="0"/>
        <w:rPr>
          <w:sz w:val="20"/>
          <w:szCs w:val="20"/>
          <w:color w:val="auto"/>
        </w:rPr>
      </w:pPr>
      <w:r>
        <w:rPr>
          <w:rFonts w:ascii="Arial" w:cs="Arial" w:eastAsia="Arial" w:hAnsi="Arial"/>
          <w:sz w:val="19"/>
          <w:szCs w:val="19"/>
          <w:color w:val="auto"/>
        </w:rPr>
        <w:t>continue to enforce paragraph 4 of this RCA or until such time as Employee finds employment consistent with this RCA.</w:t>
      </w:r>
    </w:p>
    <w:p>
      <w:pPr>
        <w:spacing w:after="0" w:line="16" w:lineRule="exact"/>
        <w:rPr>
          <w:sz w:val="20"/>
          <w:szCs w:val="20"/>
          <w:color w:val="auto"/>
        </w:rPr>
      </w:pPr>
    </w:p>
    <w:p>
      <w:pPr>
        <w:jc w:val="both"/>
        <w:ind w:firstLine="1239"/>
        <w:spacing w:after="0" w:line="238" w:lineRule="auto"/>
        <w:tabs>
          <w:tab w:leader="none" w:pos="1544" w:val="left"/>
        </w:tabs>
        <w:numPr>
          <w:ilvl w:val="1"/>
          <w:numId w:val="83"/>
        </w:numPr>
        <w:rPr>
          <w:rFonts w:ascii="Arial" w:cs="Arial" w:eastAsia="Arial" w:hAnsi="Arial"/>
          <w:sz w:val="19"/>
          <w:szCs w:val="19"/>
          <w:color w:val="auto"/>
        </w:rPr>
      </w:pPr>
      <w:r>
        <w:rPr>
          <w:rFonts w:ascii="Arial" w:cs="Arial" w:eastAsia="Arial" w:hAnsi="Arial"/>
          <w:sz w:val="19"/>
          <w:szCs w:val="19"/>
          <w:color w:val="auto"/>
        </w:rPr>
        <w:t>As a condition of receiving the Non-Compete Payments, Employee will conscientiously seek employment and will inform Campbell Companies on a monthly basis, in a detailed written account, of all such efforts. Employee understands and agrees that Campbell Companies, in its sole discretion, may elect not to pay Employee for any month for which Employee does not provide an appropriate written account of efforts to secure employment. Additionally, upon obtaining employment consistent with this RCA, Employee will immediately notify Campbell Companies by registered mail, and the Non-Compete Payments shall cease.</w:t>
      </w:r>
    </w:p>
    <w:p>
      <w:pPr>
        <w:spacing w:after="0" w:line="201" w:lineRule="exact"/>
        <w:rPr>
          <w:rFonts w:ascii="Arial" w:cs="Arial" w:eastAsia="Arial" w:hAnsi="Arial"/>
          <w:sz w:val="19"/>
          <w:szCs w:val="19"/>
          <w:color w:val="auto"/>
        </w:rPr>
      </w:pPr>
    </w:p>
    <w:p>
      <w:pPr>
        <w:jc w:val="both"/>
        <w:ind w:firstLine="1239"/>
        <w:spacing w:after="0" w:line="256" w:lineRule="auto"/>
        <w:tabs>
          <w:tab w:leader="none" w:pos="1558" w:val="left"/>
        </w:tabs>
        <w:numPr>
          <w:ilvl w:val="1"/>
          <w:numId w:val="83"/>
        </w:numPr>
        <w:rPr>
          <w:rFonts w:ascii="Arial" w:cs="Arial" w:eastAsia="Arial" w:hAnsi="Arial"/>
          <w:sz w:val="18"/>
          <w:szCs w:val="18"/>
          <w:color w:val="auto"/>
        </w:rPr>
      </w:pPr>
      <w:r>
        <w:rPr>
          <w:rFonts w:ascii="Arial" w:cs="Arial" w:eastAsia="Arial" w:hAnsi="Arial"/>
          <w:sz w:val="18"/>
          <w:szCs w:val="18"/>
          <w:color w:val="auto"/>
        </w:rPr>
        <w:t>Notwithstanding the forgoing provisions, Campbell Companies, in its sole and absolute discretion, may discontinue the Non-Compete Payments at any time during the Non-Compete Period by releasing Employee of his/her obligations to Campbell Companies under this paragraph 4. The discontinuance by Campbell Companies of Non-Compete Payments shall have no impact on Employee’s other contractual obligations set forth in this RCA including, but not limited to, the post-employment obligations set forth in paragraphs 1-3.</w:t>
      </w:r>
    </w:p>
    <w:p>
      <w:pPr>
        <w:spacing w:after="0" w:line="198" w:lineRule="exact"/>
        <w:rPr>
          <w:rFonts w:ascii="Arial" w:cs="Arial" w:eastAsia="Arial" w:hAnsi="Arial"/>
          <w:sz w:val="18"/>
          <w:szCs w:val="18"/>
          <w:color w:val="auto"/>
        </w:rPr>
      </w:pPr>
    </w:p>
    <w:p>
      <w:pPr>
        <w:ind w:firstLine="1239"/>
        <w:spacing w:after="0" w:line="307" w:lineRule="auto"/>
        <w:tabs>
          <w:tab w:leader="none" w:pos="1545" w:val="left"/>
        </w:tabs>
        <w:numPr>
          <w:ilvl w:val="1"/>
          <w:numId w:val="83"/>
        </w:numPr>
        <w:rPr>
          <w:rFonts w:ascii="Arial" w:cs="Arial" w:eastAsia="Arial" w:hAnsi="Arial"/>
          <w:sz w:val="17"/>
          <w:szCs w:val="17"/>
          <w:color w:val="auto"/>
        </w:rPr>
      </w:pPr>
      <w:r>
        <w:rPr>
          <w:rFonts w:ascii="Arial" w:cs="Arial" w:eastAsia="Arial" w:hAnsi="Arial"/>
          <w:sz w:val="17"/>
          <w:szCs w:val="17"/>
          <w:color w:val="auto"/>
        </w:rPr>
        <w:t>In the event that Employee’s employment is voluntarily terminated or terminated “for cause” as defined in the Plan, Employee shall be required to abide by all of the terms of this RCA including, but not limited to paragraphs 1- 4, without receiving Non-Compete Payments.</w:t>
      </w:r>
    </w:p>
    <w:p>
      <w:pPr>
        <w:spacing w:after="0" w:line="146" w:lineRule="exact"/>
        <w:rPr>
          <w:rFonts w:ascii="Arial" w:cs="Arial" w:eastAsia="Arial" w:hAnsi="Arial"/>
          <w:sz w:val="17"/>
          <w:szCs w:val="17"/>
          <w:color w:val="auto"/>
        </w:rPr>
      </w:pPr>
    </w:p>
    <w:p>
      <w:pPr>
        <w:jc w:val="both"/>
        <w:ind w:firstLine="621"/>
        <w:spacing w:after="0" w:line="247" w:lineRule="auto"/>
        <w:tabs>
          <w:tab w:leader="none" w:pos="837" w:val="left"/>
        </w:tabs>
        <w:numPr>
          <w:ilvl w:val="0"/>
          <w:numId w:val="84"/>
        </w:numPr>
        <w:rPr>
          <w:rFonts w:ascii="Arial" w:cs="Arial" w:eastAsia="Arial" w:hAnsi="Arial"/>
          <w:sz w:val="19"/>
          <w:szCs w:val="19"/>
          <w:b w:val="1"/>
          <w:bCs w:val="1"/>
          <w:color w:val="auto"/>
        </w:rPr>
      </w:pPr>
      <w:r>
        <w:rPr>
          <w:rFonts w:ascii="Arial" w:cs="Arial" w:eastAsia="Arial" w:hAnsi="Arial"/>
          <w:sz w:val="21"/>
          <w:szCs w:val="21"/>
          <w:b w:val="1"/>
          <w:bCs w:val="1"/>
          <w:u w:val="single" w:color="auto"/>
          <w:color w:val="auto"/>
        </w:rPr>
        <w:t>Integration of Severance Pay</w:t>
      </w:r>
      <w:r>
        <w:rPr>
          <w:rFonts w:ascii="Arial" w:cs="Arial" w:eastAsia="Arial" w:hAnsi="Arial"/>
          <w:sz w:val="18"/>
          <w:szCs w:val="18"/>
          <w:color w:val="auto"/>
        </w:rPr>
        <w:t>. If Employee receives severance pay from Campbell Companies at the time of the termination of</w:t>
      </w:r>
      <w:r>
        <w:rPr>
          <w:rFonts w:ascii="Arial" w:cs="Arial" w:eastAsia="Arial" w:hAnsi="Arial"/>
          <w:sz w:val="21"/>
          <w:szCs w:val="21"/>
          <w:b w:val="1"/>
          <w:bCs w:val="1"/>
          <w:color w:val="auto"/>
        </w:rPr>
        <w:t xml:space="preserve"> </w:t>
      </w:r>
      <w:r>
        <w:rPr>
          <w:rFonts w:ascii="Arial" w:cs="Arial" w:eastAsia="Arial" w:hAnsi="Arial"/>
          <w:sz w:val="18"/>
          <w:szCs w:val="18"/>
          <w:color w:val="auto"/>
        </w:rPr>
        <w:t>Employee’s employment or at any time during the Non-Compete Period, whether under the terms of a severance pay policy or otherwise, the Non-Compete Payments, if any, otherwise payable to Employee under paragraph 4 of this RCA will be integrated with and offset by the severance pay. For the time during which Employee receives any amount of severance pay from Campbell Companies, the Non-Compete Payments, if any, otherwise payable under paragraph 4 of this RCA will be reduced, on a dollar-for-dollar basis (to an amount not less than zero), by the amount of severance pay paid to Employee during that time.</w:t>
      </w:r>
    </w:p>
    <w:p>
      <w:pPr>
        <w:spacing w:after="0" w:line="183" w:lineRule="exact"/>
        <w:rPr>
          <w:rFonts w:ascii="Arial" w:cs="Arial" w:eastAsia="Arial" w:hAnsi="Arial"/>
          <w:sz w:val="19"/>
          <w:szCs w:val="19"/>
          <w:b w:val="1"/>
          <w:bCs w:val="1"/>
          <w:color w:val="auto"/>
        </w:rPr>
      </w:pPr>
    </w:p>
    <w:p>
      <w:pPr>
        <w:ind w:left="820" w:hanging="199"/>
        <w:spacing w:after="0"/>
        <w:tabs>
          <w:tab w:leader="none" w:pos="820" w:val="left"/>
        </w:tabs>
        <w:numPr>
          <w:ilvl w:val="0"/>
          <w:numId w:val="84"/>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Notice of Immunity Under the Defend Trade Secrets Act of 2016 (“DTSA”)</w:t>
      </w:r>
      <w:r>
        <w:rPr>
          <w:rFonts w:ascii="Arial" w:cs="Arial" w:eastAsia="Arial" w:hAnsi="Arial"/>
          <w:sz w:val="17"/>
          <w:szCs w:val="17"/>
          <w:b w:val="1"/>
          <w:bCs w:val="1"/>
          <w:color w:val="auto"/>
        </w:rPr>
        <w:t>.</w:t>
      </w:r>
      <w:r>
        <w:rPr>
          <w:rFonts w:ascii="Arial" w:cs="Arial" w:eastAsia="Arial" w:hAnsi="Arial"/>
          <w:sz w:val="20"/>
          <w:szCs w:val="20"/>
          <w:b w:val="1"/>
          <w:bCs w:val="1"/>
          <w:color w:val="auto"/>
        </w:rPr>
        <w:t xml:space="preserve"> </w:t>
      </w:r>
      <w:r>
        <w:rPr>
          <w:rFonts w:ascii="Arial" w:cs="Arial" w:eastAsia="Arial" w:hAnsi="Arial"/>
          <w:sz w:val="17"/>
          <w:szCs w:val="17"/>
          <w:color w:val="auto"/>
        </w:rPr>
        <w:t>Notwithstanding any other provision of this</w:t>
      </w:r>
    </w:p>
    <w:p>
      <w:pPr>
        <w:spacing w:after="0" w:line="2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9"/>
          <w:szCs w:val="19"/>
          <w:color w:val="auto"/>
        </w:rPr>
        <w:t>RCA:</w:t>
      </w:r>
    </w:p>
    <w:p>
      <w:pPr>
        <w:spacing w:after="0" w:line="216" w:lineRule="exact"/>
        <w:rPr>
          <w:rFonts w:ascii="Arial" w:cs="Arial" w:eastAsia="Arial" w:hAnsi="Arial"/>
          <w:sz w:val="18"/>
          <w:szCs w:val="18"/>
          <w:b w:val="1"/>
          <w:bCs w:val="1"/>
          <w:color w:val="auto"/>
        </w:rPr>
      </w:pPr>
    </w:p>
    <w:p>
      <w:pPr>
        <w:jc w:val="both"/>
        <w:ind w:firstLine="1239"/>
        <w:spacing w:after="0" w:line="243" w:lineRule="auto"/>
        <w:tabs>
          <w:tab w:leader="none" w:pos="1563" w:val="left"/>
        </w:tabs>
        <w:numPr>
          <w:ilvl w:val="1"/>
          <w:numId w:val="84"/>
        </w:numPr>
        <w:rPr>
          <w:rFonts w:ascii="Arial" w:cs="Arial" w:eastAsia="Arial" w:hAnsi="Arial"/>
          <w:sz w:val="19"/>
          <w:szCs w:val="19"/>
          <w:color w:val="auto"/>
        </w:rPr>
      </w:pPr>
      <w:r>
        <w:rPr>
          <w:rFonts w:ascii="Arial" w:cs="Arial" w:eastAsia="Arial" w:hAnsi="Arial"/>
          <w:sz w:val="19"/>
          <w:szCs w:val="19"/>
          <w:color w:val="auto"/>
        </w:rPr>
        <w:t>Employee will not be held criminally or civilly liable under any federal or state trade secret law for any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that is filed under seal in a lawsuit or other proceeding.</w:t>
      </w:r>
    </w:p>
    <w:p>
      <w:pPr>
        <w:spacing w:after="0" w:line="222" w:lineRule="exact"/>
        <w:rPr>
          <w:rFonts w:ascii="Arial" w:cs="Arial" w:eastAsia="Arial" w:hAnsi="Arial"/>
          <w:sz w:val="19"/>
          <w:szCs w:val="19"/>
          <w:color w:val="auto"/>
        </w:rPr>
      </w:pPr>
    </w:p>
    <w:p>
      <w:pPr>
        <w:jc w:val="both"/>
        <w:ind w:firstLine="1239"/>
        <w:spacing w:after="0" w:line="263" w:lineRule="auto"/>
        <w:tabs>
          <w:tab w:leader="none" w:pos="1552" w:val="left"/>
        </w:tabs>
        <w:numPr>
          <w:ilvl w:val="1"/>
          <w:numId w:val="84"/>
        </w:numPr>
        <w:rPr>
          <w:rFonts w:ascii="Arial" w:cs="Arial" w:eastAsia="Arial" w:hAnsi="Arial"/>
          <w:sz w:val="17"/>
          <w:szCs w:val="17"/>
          <w:color w:val="auto"/>
        </w:rPr>
      </w:pPr>
      <w:r>
        <w:rPr>
          <w:rFonts w:ascii="Arial" w:cs="Arial" w:eastAsia="Arial" w:hAnsi="Arial"/>
          <w:sz w:val="17"/>
          <w:szCs w:val="17"/>
          <w:color w:val="auto"/>
        </w:rPr>
        <w:t>If Employee files a lawsuit for retaliation by Campbell Companies for reporting a suspected violation of law, Employee may disclose Campbell Companies’ trade secrets to Employee’s attorney and use the trade secret information in the court proceeding if Employee: (i) files any document containing the trade secret under seal; and (ii) does not disclose the trade secret, except pursuant to court order.</w:t>
      </w:r>
    </w:p>
    <w:p>
      <w:pPr>
        <w:spacing w:after="0" w:line="1" w:lineRule="exact"/>
        <w:rPr>
          <w:rFonts w:ascii="Arial" w:cs="Arial" w:eastAsia="Arial" w:hAnsi="Arial"/>
          <w:sz w:val="17"/>
          <w:szCs w:val="17"/>
          <w:color w:val="auto"/>
        </w:rPr>
      </w:pPr>
    </w:p>
    <w:p>
      <w:pPr>
        <w:ind w:left="820" w:hanging="199"/>
        <w:spacing w:after="0"/>
        <w:tabs>
          <w:tab w:leader="none" w:pos="820" w:val="left"/>
        </w:tabs>
        <w:numPr>
          <w:ilvl w:val="0"/>
          <w:numId w:val="84"/>
        </w:numPr>
        <w:rPr>
          <w:rFonts w:ascii="Arial" w:cs="Arial" w:eastAsia="Arial" w:hAnsi="Arial"/>
          <w:sz w:val="19"/>
          <w:szCs w:val="19"/>
          <w:b w:val="1"/>
          <w:bCs w:val="1"/>
          <w:color w:val="auto"/>
        </w:rPr>
      </w:pPr>
      <w:r>
        <w:rPr>
          <w:rFonts w:ascii="Arial" w:cs="Arial" w:eastAsia="Arial" w:hAnsi="Arial"/>
          <w:sz w:val="21"/>
          <w:szCs w:val="21"/>
          <w:b w:val="1"/>
          <w:bCs w:val="1"/>
          <w:u w:val="single" w:color="auto"/>
          <w:color w:val="auto"/>
        </w:rPr>
        <w:t>Enforcement of RCA</w:t>
      </w:r>
      <w:r>
        <w:rPr>
          <w:rFonts w:ascii="Arial" w:cs="Arial" w:eastAsia="Arial" w:hAnsi="Arial"/>
          <w:sz w:val="18"/>
          <w:szCs w:val="18"/>
          <w:b w:val="1"/>
          <w:bCs w:val="1"/>
          <w:color w:val="auto"/>
        </w:rPr>
        <w:t>.</w:t>
      </w:r>
    </w:p>
    <w:p>
      <w:pPr>
        <w:spacing w:after="0" w:line="4" w:lineRule="exact"/>
        <w:rPr>
          <w:rFonts w:ascii="Arial" w:cs="Arial" w:eastAsia="Arial" w:hAnsi="Arial"/>
          <w:sz w:val="19"/>
          <w:szCs w:val="19"/>
          <w:b w:val="1"/>
          <w:bCs w:val="1"/>
          <w:color w:val="auto"/>
        </w:rPr>
      </w:pPr>
    </w:p>
    <w:p>
      <w:pPr>
        <w:jc w:val="both"/>
        <w:ind w:firstLine="1239"/>
        <w:spacing w:after="0" w:line="236" w:lineRule="auto"/>
        <w:tabs>
          <w:tab w:leader="none" w:pos="1550" w:val="left"/>
        </w:tabs>
        <w:numPr>
          <w:ilvl w:val="1"/>
          <w:numId w:val="84"/>
        </w:numPr>
        <w:rPr>
          <w:rFonts w:ascii="Arial" w:cs="Arial" w:eastAsia="Arial" w:hAnsi="Arial"/>
          <w:sz w:val="19"/>
          <w:szCs w:val="19"/>
          <w:color w:val="auto"/>
        </w:rPr>
      </w:pPr>
      <w:r>
        <w:rPr>
          <w:rFonts w:ascii="Arial" w:cs="Arial" w:eastAsia="Arial" w:hAnsi="Arial"/>
          <w:sz w:val="19"/>
          <w:szCs w:val="19"/>
          <w:color w:val="auto"/>
        </w:rPr>
        <w:t>Employee agrees that the restrictions in this RCA are necessary to protect the legitimate interests of Campbell Companies, and impose no undue hardship on Employee. Employee further agrees that the breach or threatened breach of any provision of this RCA will result in irreparable injury to Campbell Companies, for which there is no adequate remedy at law. Employee consents to the issuance of any restraining or preliminary restraining order or injunction which arises from, directly or indirectly, any use, disclosure, or conduct by Employee in violation of this RCA without the need for the</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00" w:type="dxa"/>
            <w:vAlign w:val="bottom"/>
          </w:tcPr>
          <w:p>
            <w:pPr>
              <w:spacing w:after="0"/>
              <w:rPr>
                <w:sz w:val="20"/>
                <w:szCs w:val="20"/>
                <w:color w:val="auto"/>
              </w:rPr>
            </w:pPr>
            <w:r>
              <w:rPr>
                <w:rFonts w:ascii="Arial" w:cs="Arial" w:eastAsia="Arial" w:hAnsi="Arial"/>
                <w:sz w:val="17"/>
                <w:szCs w:val="17"/>
                <w:color w:val="auto"/>
              </w:rPr>
              <w:t>Exhibit A</w:t>
            </w:r>
          </w:p>
        </w:tc>
        <w:tc>
          <w:tcPr>
            <w:tcW w:w="640" w:type="dxa"/>
            <w:vAlign w:val="bottom"/>
            <w:vMerge w:val="restart"/>
          </w:tcPr>
          <w:p>
            <w:pPr>
              <w:jc w:val="right"/>
              <w:spacing w:after="0"/>
              <w:rPr>
                <w:sz w:val="20"/>
                <w:szCs w:val="20"/>
                <w:color w:val="auto"/>
              </w:rPr>
            </w:pPr>
            <w:r>
              <w:rPr>
                <w:rFonts w:ascii="Arial" w:cs="Arial" w:eastAsia="Arial" w:hAnsi="Arial"/>
                <w:sz w:val="21"/>
                <w:szCs w:val="21"/>
                <w:color w:val="auto"/>
              </w:rPr>
              <w:t>3</w:t>
            </w:r>
          </w:p>
        </w:tc>
        <w:tc>
          <w:tcPr>
            <w:tcW w:w="0" w:type="dxa"/>
            <w:vAlign w:val="bottom"/>
          </w:tcPr>
          <w:p>
            <w:pPr>
              <w:spacing w:after="0"/>
              <w:rPr>
                <w:sz w:val="1"/>
                <w:szCs w:val="1"/>
                <w:color w:val="auto"/>
              </w:rPr>
            </w:pPr>
          </w:p>
        </w:tc>
      </w:tr>
      <w:tr>
        <w:trPr>
          <w:trHeight w:val="244"/>
        </w:trPr>
        <w:tc>
          <w:tcPr>
            <w:tcW w:w="4400" w:type="dxa"/>
            <w:vAlign w:val="bottom"/>
          </w:tcPr>
          <w:p>
            <w:pPr>
              <w:spacing w:after="0"/>
              <w:rPr>
                <w:sz w:val="20"/>
                <w:szCs w:val="20"/>
                <w:color w:val="auto"/>
              </w:rPr>
            </w:pPr>
            <w:r>
              <w:rPr>
                <w:rFonts w:ascii="Arial" w:cs="Arial" w:eastAsia="Arial" w:hAnsi="Arial"/>
                <w:sz w:val="17"/>
                <w:szCs w:val="17"/>
                <w:color w:val="auto"/>
              </w:rPr>
              <w:t>Non-Competition and Restrictive Covenants Agreement</w:t>
            </w:r>
          </w:p>
        </w:tc>
        <w:tc>
          <w:tcPr>
            <w:tcW w:w="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59" w:right="339" w:bottom="1440" w:gutter="0" w:footer="0" w:header="0"/>
        </w:sectPr>
      </w:pPr>
    </w:p>
    <w:bookmarkStart w:id="99" w:name="page100"/>
    <w:bookmarkEnd w:id="99"/>
    <w:p>
      <w:pPr>
        <w:jc w:val="both"/>
        <w:spacing w:after="0" w:line="265" w:lineRule="auto"/>
        <w:rPr>
          <w:sz w:val="20"/>
          <w:szCs w:val="20"/>
          <w:color w:val="auto"/>
        </w:rPr>
      </w:pPr>
      <w:r>
        <w:rPr>
          <w:rFonts w:ascii="Arial" w:cs="Arial" w:eastAsia="Arial" w:hAnsi="Arial"/>
          <w:sz w:val="18"/>
          <w:szCs w:val="18"/>
          <w:color w:val="auto"/>
        </w:rPr>
        <w:t>posting of a bond. Employee agrees that, if Campbell Companies prevail in any suit or proceeding under this RCA, Employee will pay Campbell Companies all of Campbell Companies’ attorney fees, costs, and expenses incurred in connection with such suit or proceeding or the enforcement of Campbell Companies’ rights under this RCA, regardless of whether the scope of the no-compete is reformed by the court.</w:t>
      </w:r>
    </w:p>
    <w:p>
      <w:pPr>
        <w:spacing w:after="0" w:line="190" w:lineRule="exact"/>
        <w:rPr>
          <w:sz w:val="20"/>
          <w:szCs w:val="20"/>
          <w:color w:val="auto"/>
        </w:rPr>
      </w:pPr>
    </w:p>
    <w:p>
      <w:pPr>
        <w:jc w:val="both"/>
        <w:ind w:firstLine="1239"/>
        <w:spacing w:after="0" w:line="267" w:lineRule="auto"/>
        <w:tabs>
          <w:tab w:leader="none" w:pos="1539" w:val="left"/>
        </w:tabs>
        <w:numPr>
          <w:ilvl w:val="1"/>
          <w:numId w:val="85"/>
        </w:numPr>
        <w:rPr>
          <w:rFonts w:ascii="Arial" w:cs="Arial" w:eastAsia="Arial" w:hAnsi="Arial"/>
          <w:sz w:val="18"/>
          <w:szCs w:val="18"/>
          <w:color w:val="auto"/>
        </w:rPr>
      </w:pPr>
      <w:r>
        <w:rPr>
          <w:rFonts w:ascii="Arial" w:cs="Arial" w:eastAsia="Arial" w:hAnsi="Arial"/>
          <w:sz w:val="18"/>
          <w:szCs w:val="18"/>
          <w:color w:val="auto"/>
        </w:rPr>
        <w:t xml:space="preserve">This RCA and all terms of Employee’s employment shall be governed by, construed and enforced in accordance with the laws of the State of </w:t>
      </w:r>
      <w:r>
        <w:rPr>
          <w:rFonts w:ascii="Arial" w:cs="Arial" w:eastAsia="Arial" w:hAnsi="Arial"/>
          <w:sz w:val="19"/>
          <w:szCs w:val="19"/>
          <w:color w:val="auto"/>
        </w:rPr>
        <w:t>New Jersey</w:t>
      </w:r>
      <w:r>
        <w:rPr>
          <w:rFonts w:ascii="Arial" w:cs="Arial" w:eastAsia="Arial" w:hAnsi="Arial"/>
          <w:sz w:val="18"/>
          <w:szCs w:val="18"/>
          <w:color w:val="auto"/>
        </w:rPr>
        <w:t xml:space="preserve">, without giving effect to conflict of law principles. Each party irrevocably agrees that any legal proceeding arising out of, or relating to the subject matter of, this RCA shall be brought in the Superior Court of New Jersey in </w:t>
      </w:r>
      <w:r>
        <w:rPr>
          <w:rFonts w:ascii="Arial" w:cs="Arial" w:eastAsia="Arial" w:hAnsi="Arial"/>
          <w:sz w:val="19"/>
          <w:szCs w:val="19"/>
          <w:color w:val="auto"/>
        </w:rPr>
        <w:t>Camden County</w:t>
      </w:r>
      <w:r>
        <w:rPr>
          <w:rFonts w:ascii="Arial" w:cs="Arial" w:eastAsia="Arial" w:hAnsi="Arial"/>
          <w:sz w:val="18"/>
          <w:szCs w:val="18"/>
          <w:color w:val="auto"/>
        </w:rPr>
        <w:t xml:space="preserve"> or the United States District Court of New Jersey, Camden Vicinage. Each party irrevocably consents to such jurisdiction and venue.</w:t>
      </w:r>
    </w:p>
    <w:p>
      <w:pPr>
        <w:spacing w:after="0" w:line="163" w:lineRule="exact"/>
        <w:rPr>
          <w:rFonts w:ascii="Arial" w:cs="Arial" w:eastAsia="Arial" w:hAnsi="Arial"/>
          <w:sz w:val="18"/>
          <w:szCs w:val="18"/>
          <w:color w:val="auto"/>
        </w:rPr>
      </w:pPr>
    </w:p>
    <w:p>
      <w:pPr>
        <w:ind w:left="820" w:hanging="199"/>
        <w:spacing w:after="0"/>
        <w:tabs>
          <w:tab w:leader="none" w:pos="820" w:val="left"/>
        </w:tabs>
        <w:numPr>
          <w:ilvl w:val="0"/>
          <w:numId w:val="86"/>
        </w:numPr>
        <w:rPr>
          <w:rFonts w:ascii="Arial" w:cs="Arial" w:eastAsia="Arial" w:hAnsi="Arial"/>
          <w:sz w:val="19"/>
          <w:szCs w:val="19"/>
          <w:b w:val="1"/>
          <w:bCs w:val="1"/>
          <w:color w:val="auto"/>
        </w:rPr>
      </w:pPr>
      <w:r>
        <w:rPr>
          <w:rFonts w:ascii="Arial" w:cs="Arial" w:eastAsia="Arial" w:hAnsi="Arial"/>
          <w:sz w:val="21"/>
          <w:szCs w:val="21"/>
          <w:b w:val="1"/>
          <w:bCs w:val="1"/>
          <w:u w:val="single" w:color="auto"/>
          <w:color w:val="auto"/>
        </w:rPr>
        <w:t>Survival</w:t>
      </w:r>
      <w:r>
        <w:rPr>
          <w:rFonts w:ascii="Arial" w:cs="Arial" w:eastAsia="Arial" w:hAnsi="Arial"/>
          <w:sz w:val="18"/>
          <w:szCs w:val="18"/>
          <w:b w:val="1"/>
          <w:bCs w:val="1"/>
          <w:color w:val="auto"/>
        </w:rPr>
        <w:t>.</w:t>
      </w:r>
      <w:r>
        <w:rPr>
          <w:rFonts w:ascii="Arial" w:cs="Arial" w:eastAsia="Arial" w:hAnsi="Arial"/>
          <w:sz w:val="21"/>
          <w:szCs w:val="21"/>
          <w:b w:val="1"/>
          <w:bCs w:val="1"/>
          <w:color w:val="auto"/>
        </w:rPr>
        <w:t xml:space="preserve"> </w:t>
      </w:r>
      <w:r>
        <w:rPr>
          <w:rFonts w:ascii="Arial" w:cs="Arial" w:eastAsia="Arial" w:hAnsi="Arial"/>
          <w:sz w:val="18"/>
          <w:szCs w:val="18"/>
          <w:color w:val="auto"/>
        </w:rPr>
        <w:t>This RCA shall survive the termination of Employee’s employment for any reason.</w:t>
      </w:r>
    </w:p>
    <w:p>
      <w:pPr>
        <w:spacing w:after="0" w:line="222" w:lineRule="exact"/>
        <w:rPr>
          <w:rFonts w:ascii="Arial" w:cs="Arial" w:eastAsia="Arial" w:hAnsi="Arial"/>
          <w:sz w:val="19"/>
          <w:szCs w:val="19"/>
          <w:b w:val="1"/>
          <w:bCs w:val="1"/>
          <w:color w:val="auto"/>
        </w:rPr>
      </w:pPr>
    </w:p>
    <w:p>
      <w:pPr>
        <w:ind w:firstLine="621"/>
        <w:spacing w:after="0" w:line="239" w:lineRule="auto"/>
        <w:tabs>
          <w:tab w:leader="none" w:pos="811" w:val="left"/>
        </w:tabs>
        <w:numPr>
          <w:ilvl w:val="0"/>
          <w:numId w:val="86"/>
        </w:numPr>
        <w:rPr>
          <w:rFonts w:ascii="Arial" w:cs="Arial" w:eastAsia="Arial" w:hAnsi="Arial"/>
          <w:sz w:val="19"/>
          <w:szCs w:val="19"/>
          <w:b w:val="1"/>
          <w:bCs w:val="1"/>
          <w:color w:val="auto"/>
        </w:rPr>
      </w:pPr>
      <w:r>
        <w:rPr>
          <w:rFonts w:ascii="Arial" w:cs="Arial" w:eastAsia="Arial" w:hAnsi="Arial"/>
          <w:sz w:val="21"/>
          <w:szCs w:val="21"/>
          <w:b w:val="1"/>
          <w:bCs w:val="1"/>
          <w:u w:val="single" w:color="auto"/>
          <w:color w:val="auto"/>
        </w:rPr>
        <w:t>No Contract of Employment</w:t>
      </w:r>
      <w:r>
        <w:rPr>
          <w:rFonts w:ascii="Arial" w:cs="Arial" w:eastAsia="Arial" w:hAnsi="Arial"/>
          <w:sz w:val="18"/>
          <w:szCs w:val="18"/>
          <w:b w:val="1"/>
          <w:bCs w:val="1"/>
          <w:color w:val="auto"/>
        </w:rPr>
        <w:t>.</w:t>
      </w:r>
      <w:r>
        <w:rPr>
          <w:rFonts w:ascii="Arial" w:cs="Arial" w:eastAsia="Arial" w:hAnsi="Arial"/>
          <w:sz w:val="21"/>
          <w:szCs w:val="21"/>
          <w:b w:val="1"/>
          <w:bCs w:val="1"/>
          <w:color w:val="auto"/>
        </w:rPr>
        <w:t xml:space="preserve"> </w:t>
      </w:r>
      <w:r>
        <w:rPr>
          <w:rFonts w:ascii="Arial" w:cs="Arial" w:eastAsia="Arial" w:hAnsi="Arial"/>
          <w:sz w:val="18"/>
          <w:szCs w:val="18"/>
          <w:color w:val="auto"/>
        </w:rPr>
        <w:t>This RCA is not a contract of employment, nor does it impose on Campbell Companies any obligation</w:t>
      </w:r>
      <w:r>
        <w:rPr>
          <w:rFonts w:ascii="Arial" w:cs="Arial" w:eastAsia="Arial" w:hAnsi="Arial"/>
          <w:sz w:val="21"/>
          <w:szCs w:val="21"/>
          <w:b w:val="1"/>
          <w:bCs w:val="1"/>
          <w:color w:val="auto"/>
        </w:rPr>
        <w:t xml:space="preserve"> </w:t>
      </w:r>
      <w:r>
        <w:rPr>
          <w:rFonts w:ascii="Arial" w:cs="Arial" w:eastAsia="Arial" w:hAnsi="Arial"/>
          <w:sz w:val="18"/>
          <w:szCs w:val="18"/>
          <w:color w:val="auto"/>
        </w:rPr>
        <w:t>to retain Employee in its employ. To the contrary, Employee is an employee-at-will.</w:t>
      </w:r>
    </w:p>
    <w:p>
      <w:pPr>
        <w:spacing w:after="0" w:line="201" w:lineRule="exact"/>
        <w:rPr>
          <w:rFonts w:ascii="Arial" w:cs="Arial" w:eastAsia="Arial" w:hAnsi="Arial"/>
          <w:sz w:val="19"/>
          <w:szCs w:val="19"/>
          <w:b w:val="1"/>
          <w:bCs w:val="1"/>
          <w:color w:val="auto"/>
        </w:rPr>
      </w:pPr>
    </w:p>
    <w:p>
      <w:pPr>
        <w:jc w:val="both"/>
        <w:ind w:firstLine="621"/>
        <w:spacing w:after="0" w:line="239" w:lineRule="auto"/>
        <w:tabs>
          <w:tab w:leader="none" w:pos="905" w:val="left"/>
        </w:tabs>
        <w:numPr>
          <w:ilvl w:val="0"/>
          <w:numId w:val="86"/>
        </w:numPr>
        <w:rPr>
          <w:rFonts w:ascii="Arial" w:cs="Arial" w:eastAsia="Arial" w:hAnsi="Arial"/>
          <w:sz w:val="19"/>
          <w:szCs w:val="19"/>
          <w:b w:val="1"/>
          <w:bCs w:val="1"/>
          <w:color w:val="auto"/>
        </w:rPr>
      </w:pPr>
      <w:r>
        <w:rPr>
          <w:rFonts w:ascii="Arial" w:cs="Arial" w:eastAsia="Arial" w:hAnsi="Arial"/>
          <w:sz w:val="21"/>
          <w:szCs w:val="21"/>
          <w:b w:val="1"/>
          <w:bCs w:val="1"/>
          <w:u w:val="single" w:color="auto"/>
          <w:color w:val="auto"/>
        </w:rPr>
        <w:t>Reform of RCA</w:t>
      </w:r>
      <w:r>
        <w:rPr>
          <w:rFonts w:ascii="Arial" w:cs="Arial" w:eastAsia="Arial" w:hAnsi="Arial"/>
          <w:sz w:val="18"/>
          <w:szCs w:val="18"/>
          <w:b w:val="1"/>
          <w:bCs w:val="1"/>
          <w:color w:val="auto"/>
        </w:rPr>
        <w:t>.</w:t>
      </w:r>
      <w:r>
        <w:rPr>
          <w:rFonts w:ascii="Arial" w:cs="Arial" w:eastAsia="Arial" w:hAnsi="Arial"/>
          <w:sz w:val="21"/>
          <w:szCs w:val="21"/>
          <w:b w:val="1"/>
          <w:bCs w:val="1"/>
          <w:color w:val="auto"/>
        </w:rPr>
        <w:t xml:space="preserve"> </w:t>
      </w:r>
      <w:r>
        <w:rPr>
          <w:rFonts w:ascii="Arial" w:cs="Arial" w:eastAsia="Arial" w:hAnsi="Arial"/>
          <w:sz w:val="18"/>
          <w:szCs w:val="18"/>
          <w:color w:val="auto"/>
        </w:rPr>
        <w:t>No provision of this RCA may be amended or waived unless agreed to in writing and signed by the General Counsel</w:t>
      </w:r>
      <w:r>
        <w:rPr>
          <w:rFonts w:ascii="Arial" w:cs="Arial" w:eastAsia="Arial" w:hAnsi="Arial"/>
          <w:sz w:val="21"/>
          <w:szCs w:val="21"/>
          <w:b w:val="1"/>
          <w:bCs w:val="1"/>
          <w:color w:val="auto"/>
        </w:rPr>
        <w:t xml:space="preserve"> </w:t>
      </w:r>
      <w:r>
        <w:rPr>
          <w:rFonts w:ascii="Arial" w:cs="Arial" w:eastAsia="Arial" w:hAnsi="Arial"/>
          <w:sz w:val="18"/>
          <w:szCs w:val="18"/>
          <w:color w:val="auto"/>
        </w:rPr>
        <w:t>of Campbell. The failure to exercise, or delay in exercising, any right, power, or remedy under this RCA shall not waive any right, power, or remedy which Campbell has under this RCA.</w:t>
      </w:r>
    </w:p>
    <w:p>
      <w:pPr>
        <w:spacing w:after="0" w:line="188" w:lineRule="exact"/>
        <w:rPr>
          <w:rFonts w:ascii="Arial" w:cs="Arial" w:eastAsia="Arial" w:hAnsi="Arial"/>
          <w:sz w:val="19"/>
          <w:szCs w:val="19"/>
          <w:b w:val="1"/>
          <w:bCs w:val="1"/>
          <w:color w:val="auto"/>
        </w:rPr>
      </w:pPr>
    </w:p>
    <w:p>
      <w:pPr>
        <w:jc w:val="both"/>
        <w:ind w:firstLine="621"/>
        <w:spacing w:after="0" w:line="243" w:lineRule="auto"/>
        <w:tabs>
          <w:tab w:leader="none" w:pos="895" w:val="left"/>
        </w:tabs>
        <w:numPr>
          <w:ilvl w:val="0"/>
          <w:numId w:val="86"/>
        </w:numPr>
        <w:rPr>
          <w:rFonts w:ascii="Arial" w:cs="Arial" w:eastAsia="Arial" w:hAnsi="Arial"/>
          <w:sz w:val="19"/>
          <w:szCs w:val="19"/>
          <w:b w:val="1"/>
          <w:bCs w:val="1"/>
          <w:color w:val="auto"/>
        </w:rPr>
      </w:pPr>
      <w:r>
        <w:rPr>
          <w:rFonts w:ascii="Arial" w:cs="Arial" w:eastAsia="Arial" w:hAnsi="Arial"/>
          <w:sz w:val="21"/>
          <w:szCs w:val="21"/>
          <w:b w:val="1"/>
          <w:bCs w:val="1"/>
          <w:u w:val="single" w:color="auto"/>
          <w:color w:val="auto"/>
        </w:rPr>
        <w:t>Severability or Reform by Court</w:t>
      </w:r>
      <w:r>
        <w:rPr>
          <w:rFonts w:ascii="Arial" w:cs="Arial" w:eastAsia="Arial" w:hAnsi="Arial"/>
          <w:sz w:val="18"/>
          <w:szCs w:val="18"/>
          <w:b w:val="1"/>
          <w:bCs w:val="1"/>
          <w:color w:val="auto"/>
        </w:rPr>
        <w:t>.</w:t>
      </w:r>
      <w:r>
        <w:rPr>
          <w:rFonts w:ascii="Arial" w:cs="Arial" w:eastAsia="Arial" w:hAnsi="Arial"/>
          <w:sz w:val="21"/>
          <w:szCs w:val="21"/>
          <w:b w:val="1"/>
          <w:bCs w:val="1"/>
          <w:color w:val="auto"/>
        </w:rPr>
        <w:t xml:space="preserve"> </w:t>
      </w:r>
      <w:r>
        <w:rPr>
          <w:rFonts w:ascii="Arial" w:cs="Arial" w:eastAsia="Arial" w:hAnsi="Arial"/>
          <w:sz w:val="18"/>
          <w:szCs w:val="18"/>
          <w:color w:val="auto"/>
        </w:rPr>
        <w:t>In the event that any provision of this RCA is deemed by a court to be broader than permitted by</w:t>
      </w:r>
      <w:r>
        <w:rPr>
          <w:rFonts w:ascii="Arial" w:cs="Arial" w:eastAsia="Arial" w:hAnsi="Arial"/>
          <w:sz w:val="21"/>
          <w:szCs w:val="21"/>
          <w:b w:val="1"/>
          <w:bCs w:val="1"/>
          <w:color w:val="auto"/>
        </w:rPr>
        <w:t xml:space="preserve"> </w:t>
      </w:r>
      <w:r>
        <w:rPr>
          <w:rFonts w:ascii="Arial" w:cs="Arial" w:eastAsia="Arial" w:hAnsi="Arial"/>
          <w:sz w:val="18"/>
          <w:szCs w:val="18"/>
          <w:color w:val="auto"/>
        </w:rPr>
        <w:t>applicable law, then such provision shall be reformed so that it is enforceable to the fullest extent permitted by applicable law. If any provision of this RCA shall be declared by a court to be invalid or unenforceable to any extent, the validity or enforceability of the remaining provisions of this RCA shall not be affected.</w:t>
      </w:r>
    </w:p>
    <w:p>
      <w:pPr>
        <w:spacing w:after="0" w:line="199" w:lineRule="exact"/>
        <w:rPr>
          <w:rFonts w:ascii="Arial" w:cs="Arial" w:eastAsia="Arial" w:hAnsi="Arial"/>
          <w:sz w:val="19"/>
          <w:szCs w:val="19"/>
          <w:b w:val="1"/>
          <w:bCs w:val="1"/>
          <w:color w:val="auto"/>
        </w:rPr>
      </w:pPr>
    </w:p>
    <w:p>
      <w:pPr>
        <w:jc w:val="both"/>
        <w:ind w:firstLine="621"/>
        <w:spacing w:after="0" w:line="239" w:lineRule="auto"/>
        <w:tabs>
          <w:tab w:leader="none" w:pos="931" w:val="left"/>
        </w:tabs>
        <w:numPr>
          <w:ilvl w:val="0"/>
          <w:numId w:val="86"/>
        </w:numPr>
        <w:rPr>
          <w:rFonts w:ascii="Arial" w:cs="Arial" w:eastAsia="Arial" w:hAnsi="Arial"/>
          <w:sz w:val="19"/>
          <w:szCs w:val="19"/>
          <w:b w:val="1"/>
          <w:bCs w:val="1"/>
          <w:color w:val="auto"/>
        </w:rPr>
      </w:pPr>
      <w:r>
        <w:rPr>
          <w:rFonts w:ascii="Arial" w:cs="Arial" w:eastAsia="Arial" w:hAnsi="Arial"/>
          <w:sz w:val="21"/>
          <w:szCs w:val="21"/>
          <w:b w:val="1"/>
          <w:bCs w:val="1"/>
          <w:u w:val="single" w:color="auto"/>
          <w:color w:val="auto"/>
        </w:rPr>
        <w:t>Entire Agreement</w:t>
      </w:r>
      <w:r>
        <w:rPr>
          <w:rFonts w:ascii="Arial" w:cs="Arial" w:eastAsia="Arial" w:hAnsi="Arial"/>
          <w:sz w:val="18"/>
          <w:szCs w:val="18"/>
          <w:b w:val="1"/>
          <w:bCs w:val="1"/>
          <w:color w:val="auto"/>
        </w:rPr>
        <w:t>.</w:t>
      </w:r>
      <w:r>
        <w:rPr>
          <w:rFonts w:ascii="Arial" w:cs="Arial" w:eastAsia="Arial" w:hAnsi="Arial"/>
          <w:sz w:val="21"/>
          <w:szCs w:val="21"/>
          <w:b w:val="1"/>
          <w:bCs w:val="1"/>
          <w:color w:val="auto"/>
        </w:rPr>
        <w:t xml:space="preserve"> </w:t>
      </w:r>
      <w:r>
        <w:rPr>
          <w:rFonts w:ascii="Arial" w:cs="Arial" w:eastAsia="Arial" w:hAnsi="Arial"/>
          <w:sz w:val="18"/>
          <w:szCs w:val="18"/>
          <w:color w:val="auto"/>
        </w:rPr>
        <w:t>This RCA constitutes the entire understanding between the parties to this RCA with respect to Employee’s</w:t>
      </w:r>
      <w:r>
        <w:rPr>
          <w:rFonts w:ascii="Arial" w:cs="Arial" w:eastAsia="Arial" w:hAnsi="Arial"/>
          <w:sz w:val="21"/>
          <w:szCs w:val="21"/>
          <w:b w:val="1"/>
          <w:bCs w:val="1"/>
          <w:color w:val="auto"/>
        </w:rPr>
        <w:t xml:space="preserve"> </w:t>
      </w:r>
      <w:r>
        <w:rPr>
          <w:rFonts w:ascii="Arial" w:cs="Arial" w:eastAsia="Arial" w:hAnsi="Arial"/>
          <w:sz w:val="18"/>
          <w:szCs w:val="18"/>
          <w:color w:val="auto"/>
        </w:rPr>
        <w:t>obligations in connection with the receipt and acceptance of the LTI award. Unless specified, this RCA does not supersede any prior agreements, understandings and arrangements, oral or written, between the parties.</w:t>
      </w:r>
    </w:p>
    <w:p>
      <w:pPr>
        <w:spacing w:after="0" w:line="193" w:lineRule="exact"/>
        <w:rPr>
          <w:sz w:val="20"/>
          <w:szCs w:val="20"/>
          <w:color w:val="auto"/>
        </w:rPr>
      </w:pPr>
    </w:p>
    <w:p>
      <w:pPr>
        <w:ind w:right="400"/>
        <w:spacing w:after="0" w:line="270" w:lineRule="auto"/>
        <w:rPr>
          <w:sz w:val="20"/>
          <w:szCs w:val="20"/>
          <w:color w:val="auto"/>
        </w:rPr>
      </w:pPr>
      <w:r>
        <w:rPr>
          <w:rFonts w:ascii="Arial" w:cs="Arial" w:eastAsia="Arial" w:hAnsi="Arial"/>
          <w:sz w:val="19"/>
          <w:szCs w:val="19"/>
          <w:b w:val="1"/>
          <w:bCs w:val="1"/>
          <w:color w:val="auto"/>
        </w:rPr>
        <w:t>EMPLOYEE ACKNOWLEDGES THAT HE/SHE HAS READ THE ABOVE RCA AND HAS BEEN GIVEN ADEQUATE TIME TO CONSULT WITH AN ATTORNEY OR OTHER ADVISOR OF HIS/HER CHOICE.</w:t>
      </w:r>
    </w:p>
    <w:p>
      <w:pPr>
        <w:spacing w:after="0" w:line="399" w:lineRule="exact"/>
        <w:rPr>
          <w:sz w:val="20"/>
          <w:szCs w:val="20"/>
          <w:color w:val="auto"/>
        </w:rPr>
      </w:pPr>
    </w:p>
    <w:p>
      <w:pPr>
        <w:ind w:left="100" w:hanging="97"/>
        <w:spacing w:after="0"/>
        <w:tabs>
          <w:tab w:leader="none" w:pos="100" w:val="left"/>
        </w:tabs>
        <w:numPr>
          <w:ilvl w:val="0"/>
          <w:numId w:val="87"/>
        </w:numPr>
        <w:rPr>
          <w:rFonts w:ascii="Arial" w:cs="Arial" w:eastAsia="Arial" w:hAnsi="Arial"/>
          <w:sz w:val="15"/>
          <w:szCs w:val="15"/>
          <w:color w:val="0000FF"/>
        </w:rPr>
      </w:pPr>
      <w:r>
        <w:rPr>
          <w:rFonts w:ascii="Arial" w:cs="Arial" w:eastAsia="Arial" w:hAnsi="Arial"/>
          <w:sz w:val="15"/>
          <w:szCs w:val="15"/>
          <w:color w:val="auto"/>
        </w:rPr>
        <w:t>In accordance with New Jersey law, this paragraph 4 shall not apply to employees of the Company who are employed in the capacity of attorneys.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00" w:type="dxa"/>
            <w:vAlign w:val="bottom"/>
          </w:tcPr>
          <w:p>
            <w:pPr>
              <w:spacing w:after="0"/>
              <w:rPr>
                <w:sz w:val="20"/>
                <w:szCs w:val="20"/>
                <w:color w:val="auto"/>
              </w:rPr>
            </w:pPr>
            <w:r>
              <w:rPr>
                <w:rFonts w:ascii="Arial" w:cs="Arial" w:eastAsia="Arial" w:hAnsi="Arial"/>
                <w:sz w:val="17"/>
                <w:szCs w:val="17"/>
                <w:color w:val="auto"/>
              </w:rPr>
              <w:t>Exhibit A</w:t>
            </w:r>
          </w:p>
        </w:tc>
        <w:tc>
          <w:tcPr>
            <w:tcW w:w="640" w:type="dxa"/>
            <w:vAlign w:val="bottom"/>
            <w:vMerge w:val="restart"/>
          </w:tcPr>
          <w:p>
            <w:pPr>
              <w:jc w:val="right"/>
              <w:spacing w:after="0"/>
              <w:rPr>
                <w:sz w:val="20"/>
                <w:szCs w:val="20"/>
                <w:color w:val="auto"/>
              </w:rPr>
            </w:pPr>
            <w:r>
              <w:rPr>
                <w:rFonts w:ascii="Arial" w:cs="Arial" w:eastAsia="Arial" w:hAnsi="Arial"/>
                <w:sz w:val="21"/>
                <w:szCs w:val="21"/>
                <w:color w:val="auto"/>
              </w:rPr>
              <w:t>4</w:t>
            </w:r>
          </w:p>
        </w:tc>
        <w:tc>
          <w:tcPr>
            <w:tcW w:w="0" w:type="dxa"/>
            <w:vAlign w:val="bottom"/>
          </w:tcPr>
          <w:p>
            <w:pPr>
              <w:spacing w:after="0"/>
              <w:rPr>
                <w:sz w:val="1"/>
                <w:szCs w:val="1"/>
                <w:color w:val="auto"/>
              </w:rPr>
            </w:pPr>
          </w:p>
        </w:tc>
      </w:tr>
      <w:tr>
        <w:trPr>
          <w:trHeight w:val="244"/>
        </w:trPr>
        <w:tc>
          <w:tcPr>
            <w:tcW w:w="4400" w:type="dxa"/>
            <w:vAlign w:val="bottom"/>
          </w:tcPr>
          <w:p>
            <w:pPr>
              <w:spacing w:after="0"/>
              <w:rPr>
                <w:sz w:val="20"/>
                <w:szCs w:val="20"/>
                <w:color w:val="auto"/>
              </w:rPr>
            </w:pPr>
            <w:r>
              <w:rPr>
                <w:rFonts w:ascii="Arial" w:cs="Arial" w:eastAsia="Arial" w:hAnsi="Arial"/>
                <w:sz w:val="17"/>
                <w:szCs w:val="17"/>
                <w:color w:val="auto"/>
              </w:rPr>
              <w:t>Non-Competition and Restrictive Covenants Agreement</w:t>
            </w:r>
          </w:p>
        </w:tc>
        <w:tc>
          <w:tcPr>
            <w:tcW w:w="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59"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9"/>
          <w:szCs w:val="19"/>
          <w:b w:val="1"/>
          <w:bCs w:val="1"/>
          <w:color w:val="auto"/>
        </w:rPr>
        <w:t>CAMPBELL SOUP COMPANY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2022 LONG-TERM INCENTIVE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PERFORMANCE RESTRICTED STOCK UNIT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(Fiscal Year [ ]-[ ] – Adjusted Earnings Per Share)</w:t>
      </w:r>
    </w:p>
    <w:p>
      <w:pPr>
        <w:spacing w:after="0" w:line="232" w:lineRule="exact"/>
        <w:rPr>
          <w:sz w:val="20"/>
          <w:szCs w:val="20"/>
          <w:color w:val="auto"/>
        </w:rPr>
      </w:pPr>
    </w:p>
    <w:p>
      <w:pPr>
        <w:jc w:val="both"/>
        <w:ind w:firstLine="618"/>
        <w:spacing w:after="0" w:line="248"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PERFORMANCE RESTRICTED STOCK UNIT AGREEMENT</w:t>
      </w:r>
      <w:r>
        <w:rPr>
          <w:rFonts w:ascii="Arial" w:cs="Arial" w:eastAsia="Arial" w:hAnsi="Arial"/>
          <w:sz w:val="19"/>
          <w:szCs w:val="19"/>
          <w:color w:val="auto"/>
        </w:rPr>
        <w:t xml:space="preserve"> (“Agreement”) between the Campbell Soup Company (the “Company”) and [Employee Full Legal Name] (“Grantee”), an employee of the Company or one of its participating subsidiaries on [Grant Date] (the “Grant Date”).</w:t>
      </w:r>
    </w:p>
    <w:p>
      <w:pPr>
        <w:spacing w:after="0" w:line="185" w:lineRule="exact"/>
        <w:rPr>
          <w:sz w:val="20"/>
          <w:szCs w:val="20"/>
          <w:color w:val="auto"/>
        </w:rPr>
      </w:pPr>
    </w:p>
    <w:p>
      <w:pPr>
        <w:jc w:val="both"/>
        <w:ind w:firstLine="618"/>
        <w:spacing w:after="0" w:line="248"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Company desires to award Grantee performance Restricted Stock Units (the “Award), which each represent a right to</w:t>
      </w:r>
      <w:r>
        <w:rPr>
          <w:rFonts w:ascii="Arial" w:cs="Arial" w:eastAsia="Arial" w:hAnsi="Arial"/>
          <w:sz w:val="19"/>
          <w:szCs w:val="19"/>
          <w:b w:val="1"/>
          <w:bCs w:val="1"/>
          <w:color w:val="auto"/>
        </w:rPr>
        <w:t xml:space="preserve"> </w:t>
      </w:r>
      <w:r>
        <w:rPr>
          <w:rFonts w:ascii="Arial" w:cs="Arial" w:eastAsia="Arial" w:hAnsi="Arial"/>
          <w:sz w:val="19"/>
          <w:szCs w:val="19"/>
          <w:color w:val="auto"/>
        </w:rPr>
        <w:t>receive one share of capital stock, $.0375 par value of the Company (a “Share” or “Shares”) as hereinafter provided (the “Performance Stock Units”), under the Company’s 2022 Long-Term Incentive Plan (the “Plan”) and this Agreement.</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by accepting this Award, the Grantee agrees to the terms of this Agreement.</w:t>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valuable consideration the legal sufficiency of which is hereby acknowledged, the Company and</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Grantee, each intending to be legally bound hereby, agree as follows:</w:t>
      </w:r>
    </w:p>
    <w:p>
      <w:pPr>
        <w:spacing w:after="0" w:line="197" w:lineRule="exact"/>
        <w:rPr>
          <w:sz w:val="20"/>
          <w:szCs w:val="20"/>
          <w:color w:val="auto"/>
        </w:rPr>
      </w:pPr>
    </w:p>
    <w:p>
      <w:pPr>
        <w:jc w:val="both"/>
        <w:ind w:firstLine="621"/>
        <w:spacing w:after="0" w:line="245" w:lineRule="auto"/>
        <w:tabs>
          <w:tab w:leader="none" w:pos="820" w:val="left"/>
        </w:tabs>
        <w:numPr>
          <w:ilvl w:val="0"/>
          <w:numId w:val="8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Form of Award</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hereby grants to Grantee on the Grant Date [#Granted - EPS] Adjusted Earnings Per Share (“EPS”)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Performance Stock Units. The Performance Stock Units are in all respects limited and conditioned as hereinafter provided, and are subject in all respects to the Plan’s terms and conditions, as amended. During the </w:t>
      </w:r>
      <w:r>
        <w:rPr>
          <w:rFonts w:ascii="Arial" w:cs="Arial" w:eastAsia="Arial" w:hAnsi="Arial"/>
          <w:sz w:val="19"/>
          <w:szCs w:val="19"/>
          <w:b w:val="1"/>
          <w:bCs w:val="1"/>
          <w:color w:val="auto"/>
        </w:rPr>
        <w:t>performance cycle</w:t>
      </w:r>
      <w:r>
        <w:rPr>
          <w:rFonts w:ascii="Arial" w:cs="Arial" w:eastAsia="Arial" w:hAnsi="Arial"/>
          <w:sz w:val="19"/>
          <w:szCs w:val="19"/>
          <w:color w:val="auto"/>
        </w:rPr>
        <w:t>, the Award shall consist of stock units but any portion of the Award that ultimately vests will be delivered in Shares.</w:t>
      </w:r>
    </w:p>
    <w:p>
      <w:pPr>
        <w:spacing w:after="0" w:line="196" w:lineRule="exact"/>
        <w:rPr>
          <w:sz w:val="20"/>
          <w:szCs w:val="20"/>
          <w:color w:val="auto"/>
        </w:rPr>
      </w:pPr>
    </w:p>
    <w:p>
      <w:pPr>
        <w:jc w:val="both"/>
        <w:ind w:firstLine="618"/>
        <w:spacing w:after="0" w:line="239" w:lineRule="auto"/>
        <w:rPr>
          <w:sz w:val="20"/>
          <w:szCs w:val="20"/>
          <w:color w:val="auto"/>
        </w:rPr>
      </w:pPr>
      <w:r>
        <w:rPr>
          <w:rFonts w:ascii="Arial" w:cs="Arial" w:eastAsia="Arial" w:hAnsi="Arial"/>
          <w:sz w:val="19"/>
          <w:szCs w:val="19"/>
          <w:color w:val="auto"/>
        </w:rPr>
        <w:t xml:space="preserve">The number of Shares that will vest and be delivered, if any, may range from 0-200% of the [#Granted - EPS] Performance Stock Units granted. Any accumulated dividend equivalents will be paid in cash pursuant to paragraph 3 below. Shares will vest and be delivered only after approval by the Compensation and Organization Committee of the Company’s Board of Directors (the “Committee”) of the achievement of Company performance criteria previously established and approved by the Committee for the </w:t>
      </w:r>
      <w:r>
        <w:rPr>
          <w:rFonts w:ascii="Arial" w:cs="Arial" w:eastAsia="Arial" w:hAnsi="Arial"/>
          <w:sz w:val="19"/>
          <w:szCs w:val="19"/>
          <w:b w:val="1"/>
          <w:bCs w:val="1"/>
          <w:color w:val="auto"/>
        </w:rPr>
        <w:t>performance cycle</w:t>
      </w:r>
      <w:r>
        <w:rPr>
          <w:rFonts w:ascii="Arial" w:cs="Arial" w:eastAsia="Arial" w:hAnsi="Arial"/>
          <w:sz w:val="19"/>
          <w:szCs w:val="19"/>
          <w:color w:val="auto"/>
        </w:rPr>
        <w:t xml:space="preserve"> (each a “Vesting Date” and as defined in the applicable LTI Brochure).</w:t>
      </w:r>
    </w:p>
    <w:p>
      <w:pPr>
        <w:spacing w:after="0" w:line="200" w:lineRule="exact"/>
        <w:rPr>
          <w:sz w:val="20"/>
          <w:szCs w:val="20"/>
          <w:color w:val="auto"/>
        </w:rPr>
      </w:pPr>
    </w:p>
    <w:p>
      <w:pPr>
        <w:jc w:val="both"/>
        <w:ind w:firstLine="618"/>
        <w:spacing w:after="0" w:line="288" w:lineRule="auto"/>
        <w:rPr>
          <w:sz w:val="20"/>
          <w:szCs w:val="20"/>
          <w:color w:val="auto"/>
        </w:rPr>
      </w:pPr>
      <w:r>
        <w:rPr>
          <w:rFonts w:ascii="Arial" w:cs="Arial" w:eastAsia="Arial" w:hAnsi="Arial"/>
          <w:sz w:val="17"/>
          <w:szCs w:val="17"/>
          <w:color w:val="auto"/>
        </w:rPr>
        <w:t>In the event an adjustment pursuant to Section 11.2 of the Plan is required, the number of Shares that may ultimately vest under the Award, if any, shall be adjusted in accordance with Section 11.2 of the Plan. All Shares that may ultimately vest under the Award, if any, after such adjustment shall be subject to the same restrictions applicable to any Shares that may have vested under this Agreement before the adjustment.</w:t>
      </w:r>
    </w:p>
    <w:p>
      <w:pPr>
        <w:spacing w:after="0" w:line="166" w:lineRule="exact"/>
        <w:rPr>
          <w:sz w:val="20"/>
          <w:szCs w:val="20"/>
          <w:color w:val="auto"/>
        </w:rPr>
      </w:pPr>
    </w:p>
    <w:p>
      <w:pPr>
        <w:jc w:val="both"/>
        <w:ind w:firstLine="621"/>
        <w:spacing w:after="0" w:line="241" w:lineRule="auto"/>
        <w:tabs>
          <w:tab w:leader="none" w:pos="820" w:val="left"/>
        </w:tabs>
        <w:numPr>
          <w:ilvl w:val="0"/>
          <w:numId w:val="8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Full or Pro-Rata Awards upon Certain Events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Section 12.3 of the Plan, the Award shall terminate and become null and</w:t>
      </w:r>
      <w:r>
        <w:rPr>
          <w:rFonts w:ascii="Arial" w:cs="Arial" w:eastAsia="Arial" w:hAnsi="Arial"/>
          <w:sz w:val="19"/>
          <w:szCs w:val="19"/>
          <w:b w:val="1"/>
          <w:bCs w:val="1"/>
          <w:color w:val="auto"/>
        </w:rPr>
        <w:t xml:space="preserve"> </w:t>
      </w:r>
      <w:r>
        <w:rPr>
          <w:rFonts w:ascii="Arial" w:cs="Arial" w:eastAsia="Arial" w:hAnsi="Arial"/>
          <w:sz w:val="19"/>
          <w:szCs w:val="19"/>
          <w:color w:val="auto"/>
        </w:rPr>
        <w:t>void if and when the Grantee ceases to be an employee of the Company or its subsidiaries prior to the Vesting Date due to termination for Cause, voluntary resignation or Retirement, except as provided below:</w:t>
      </w:r>
    </w:p>
    <w:p>
      <w:pPr>
        <w:spacing w:after="0" w:line="210" w:lineRule="exact"/>
        <w:rPr>
          <w:rFonts w:ascii="Arial" w:cs="Arial" w:eastAsia="Arial" w:hAnsi="Arial"/>
          <w:sz w:val="19"/>
          <w:szCs w:val="19"/>
          <w:b w:val="1"/>
          <w:bCs w:val="1"/>
          <w:color w:val="auto"/>
        </w:rPr>
      </w:pPr>
    </w:p>
    <w:p>
      <w:pPr>
        <w:jc w:val="both"/>
        <w:ind w:firstLine="1239"/>
        <w:spacing w:after="0" w:line="222" w:lineRule="exact"/>
        <w:tabs>
          <w:tab w:leader="none" w:pos="1845" w:val="left"/>
        </w:tabs>
        <w:numPr>
          <w:ilvl w:val="1"/>
          <w:numId w:val="89"/>
        </w:numPr>
        <w:rPr>
          <w:rFonts w:ascii="Arial" w:cs="Arial" w:eastAsia="Arial" w:hAnsi="Arial"/>
          <w:sz w:val="19"/>
          <w:szCs w:val="19"/>
          <w:color w:val="auto"/>
        </w:rPr>
      </w:pPr>
      <w:r>
        <w:rPr>
          <w:rFonts w:ascii="Arial" w:cs="Arial" w:eastAsia="Arial" w:hAnsi="Arial"/>
          <w:sz w:val="19"/>
          <w:szCs w:val="19"/>
          <w:color w:val="auto"/>
        </w:rPr>
        <w:t>If the Grantee’s employment is terminated at least six (6) months following the Grant Date by the Company other than for Cause or as a result of Retirement, Total Disability, or death, the Grantee (or his or her legal representative, as applicable) shall be eligible to receive a Pro</w:t>
      </w:r>
      <w:r>
        <w:rPr>
          <w:rFonts w:ascii="MS PGothic" w:cs="MS PGothic" w:eastAsia="MS PGothic" w:hAnsi="MS PGothic"/>
          <w:sz w:val="19"/>
          <w:szCs w:val="19"/>
          <w:color w:val="auto"/>
        </w:rPr>
        <w:t>‑</w:t>
      </w:r>
      <w:r>
        <w:rPr>
          <w:rFonts w:ascii="Arial" w:cs="Arial" w:eastAsia="Arial" w:hAnsi="Arial"/>
          <w:sz w:val="19"/>
          <w:szCs w:val="19"/>
          <w:color w:val="auto"/>
        </w:rPr>
        <w:t>Rata Vesting of the Award determined as of the date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820" w:type="dxa"/>
            <w:vAlign w:val="bottom"/>
          </w:tcPr>
          <w:p>
            <w:pPr>
              <w:spacing w:after="0"/>
              <w:rPr>
                <w:sz w:val="20"/>
                <w:szCs w:val="20"/>
                <w:color w:val="auto"/>
              </w:rPr>
            </w:pPr>
            <w:r>
              <w:rPr>
                <w:rFonts w:ascii="Arial" w:cs="Arial" w:eastAsia="Arial" w:hAnsi="Arial"/>
                <w:sz w:val="21"/>
                <w:szCs w:val="21"/>
                <w:color w:val="auto"/>
              </w:rPr>
              <w:t>LTI Grant Agreement</w:t>
            </w:r>
          </w:p>
        </w:tc>
        <w:tc>
          <w:tcPr>
            <w:tcW w:w="1140" w:type="dxa"/>
            <w:vAlign w:val="bottom"/>
          </w:tcPr>
          <w:p>
            <w:pPr>
              <w:jc w:val="right"/>
              <w:spacing w:after="0"/>
              <w:rPr>
                <w:sz w:val="20"/>
                <w:szCs w:val="20"/>
                <w:color w:val="auto"/>
              </w:rPr>
            </w:pPr>
            <w:r>
              <w:rPr>
                <w:rFonts w:ascii="Arial" w:cs="Arial" w:eastAsia="Arial" w:hAnsi="Arial"/>
                <w:sz w:val="21"/>
                <w:szCs w:val="21"/>
                <w:color w:val="auto"/>
              </w:rPr>
              <w:t>1</w:t>
            </w:r>
          </w:p>
        </w:tc>
      </w:tr>
    </w:tbl>
    <w:p>
      <w:pPr>
        <w:sectPr>
          <w:pgSz w:w="11900" w:h="16838" w:orient="portrait"/>
          <w:cols w:equalWidth="0" w:num="1">
            <w:col w:w="11240"/>
          </w:cols>
          <w:pgMar w:left="320" w:top="1353" w:right="339" w:bottom="1440" w:gutter="0" w:footer="0" w:header="0"/>
        </w:sectPr>
      </w:pPr>
    </w:p>
    <w:bookmarkStart w:id="101" w:name="page102"/>
    <w:bookmarkEnd w:id="101"/>
    <w:p>
      <w:pPr>
        <w:jc w:val="both"/>
        <w:ind w:firstLine="1239"/>
        <w:spacing w:after="0" w:line="245" w:lineRule="auto"/>
        <w:tabs>
          <w:tab w:leader="none" w:pos="1842"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Any Termination Prior to Six-Month Anniversary of Grant Date</w:t>
      </w:r>
      <w:r>
        <w:rPr>
          <w:rFonts w:ascii="Arial" w:cs="Arial" w:eastAsia="Arial" w:hAnsi="Arial"/>
          <w:sz w:val="19"/>
          <w:szCs w:val="19"/>
          <w:color w:val="auto"/>
        </w:rPr>
        <w:t>. If Grantee ceases to be an employee of the Company for any reason before six (6) months have elapsed from the Grant Date, the Award shall be cancelled by the Company and Grantee shall forfeit the entire Award.</w:t>
      </w:r>
    </w:p>
    <w:p>
      <w:pPr>
        <w:spacing w:after="0" w:line="193" w:lineRule="exact"/>
        <w:rPr>
          <w:rFonts w:ascii="Arial" w:cs="Arial" w:eastAsia="Arial" w:hAnsi="Arial"/>
          <w:sz w:val="19"/>
          <w:szCs w:val="19"/>
          <w:color w:val="auto"/>
        </w:rPr>
      </w:pPr>
    </w:p>
    <w:p>
      <w:pPr>
        <w:jc w:val="both"/>
        <w:ind w:firstLine="1239"/>
        <w:spacing w:after="0" w:line="242" w:lineRule="auto"/>
        <w:tabs>
          <w:tab w:leader="none" w:pos="1845"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Cancellation</w:t>
      </w:r>
      <w:r>
        <w:rPr>
          <w:rFonts w:ascii="Arial" w:cs="Arial" w:eastAsia="Arial" w:hAnsi="Arial"/>
          <w:sz w:val="19"/>
          <w:szCs w:val="19"/>
          <w:color w:val="auto"/>
        </w:rPr>
        <w:t xml:space="preserve">. Notwithstanding the forgoing paragraph 2(a) above, if Grantee’s employment is terminated at least six (6) months following the Grant Date by the Company other than for Cause or as a result of Retirement, Total Disability, or death, and the terms of the Non-Competition and Restrictive Covenants Agreement (“RCA”) which is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are subsequently violated, the Committee or its delegate, in its sole direction, may cancel the unvested portions of the Award, including any Pro-Rata Vesting of the Award. The Grantee represents, warrants, and agrees that any such cancellation of an Award or a part thereof shall not constitute an adequate remedy of law in connection with any efforts by the Company to enforce the terms of the RCA and shall not prevent the Company from obtaining other relief, including injunctive relief, to enforce the provisions of the RCA.</w:t>
      </w:r>
    </w:p>
    <w:p>
      <w:pPr>
        <w:spacing w:after="0" w:line="196" w:lineRule="exact"/>
        <w:rPr>
          <w:rFonts w:ascii="Arial" w:cs="Arial" w:eastAsia="Arial" w:hAnsi="Arial"/>
          <w:sz w:val="19"/>
          <w:szCs w:val="19"/>
          <w:color w:val="auto"/>
        </w:rPr>
      </w:pPr>
    </w:p>
    <w:p>
      <w:pPr>
        <w:jc w:val="both"/>
        <w:ind w:firstLine="1239"/>
        <w:spacing w:after="0" w:line="245" w:lineRule="auto"/>
        <w:tabs>
          <w:tab w:leader="none" w:pos="1842"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Integration with Severance Benefits</w:t>
      </w:r>
      <w:r>
        <w:rPr>
          <w:rFonts w:ascii="Arial" w:cs="Arial" w:eastAsia="Arial" w:hAnsi="Arial"/>
          <w:sz w:val="19"/>
          <w:szCs w:val="19"/>
          <w:color w:val="auto"/>
        </w:rPr>
        <w:t>. For U.S. participants, notwithstanding paragraphs 2(a)-(c) above, if severance is offered, eligibility for a prorated Award is contingent upon the Company receiving your signed Severance Agreement &amp; General Release. Without a signed release, all unvested Performance Stock Units are forfeited.</w:t>
      </w:r>
    </w:p>
    <w:p>
      <w:pPr>
        <w:spacing w:after="0" w:line="193" w:lineRule="exact"/>
        <w:rPr>
          <w:rFonts w:ascii="Arial" w:cs="Arial" w:eastAsia="Arial" w:hAnsi="Arial"/>
          <w:sz w:val="19"/>
          <w:szCs w:val="19"/>
          <w:color w:val="auto"/>
        </w:rPr>
      </w:pPr>
    </w:p>
    <w:p>
      <w:pPr>
        <w:ind w:left="1840" w:hanging="601"/>
        <w:spacing w:after="0"/>
        <w:tabs>
          <w:tab w:leader="none" w:pos="1840" w:val="left"/>
        </w:tabs>
        <w:numPr>
          <w:ilvl w:val="0"/>
          <w:numId w:val="90"/>
        </w:numPr>
        <w:rPr>
          <w:rFonts w:ascii="Arial" w:cs="Arial" w:eastAsia="Arial" w:hAnsi="Arial"/>
          <w:sz w:val="19"/>
          <w:szCs w:val="19"/>
          <w:color w:val="auto"/>
        </w:rPr>
      </w:pPr>
      <w:r>
        <w:rPr>
          <w:rFonts w:ascii="Arial" w:cs="Arial" w:eastAsia="Arial" w:hAnsi="Arial"/>
          <w:sz w:val="19"/>
          <w:szCs w:val="19"/>
          <w:color w:val="auto"/>
        </w:rPr>
        <w:t>For purposes of this Agreement, the following terms shall have the meanings set forth below:</w:t>
      </w:r>
    </w:p>
    <w:p>
      <w:pPr>
        <w:spacing w:after="0" w:line="232" w:lineRule="exact"/>
        <w:rPr>
          <w:rFonts w:ascii="Arial" w:cs="Arial" w:eastAsia="Arial" w:hAnsi="Arial"/>
          <w:sz w:val="19"/>
          <w:szCs w:val="19"/>
          <w:color w:val="auto"/>
        </w:rPr>
      </w:pPr>
    </w:p>
    <w:p>
      <w:pPr>
        <w:ind w:firstLine="1857"/>
        <w:spacing w:after="0" w:line="307" w:lineRule="auto"/>
        <w:tabs>
          <w:tab w:leader="none" w:pos="2472" w:val="left"/>
        </w:tabs>
        <w:numPr>
          <w:ilvl w:val="1"/>
          <w:numId w:val="90"/>
        </w:numPr>
        <w:rPr>
          <w:rFonts w:ascii="Arial" w:cs="Arial" w:eastAsia="Arial" w:hAnsi="Arial"/>
          <w:sz w:val="17"/>
          <w:szCs w:val="17"/>
          <w:color w:val="auto"/>
        </w:rPr>
      </w:pPr>
      <w:r>
        <w:rPr>
          <w:rFonts w:ascii="Arial" w:cs="Arial" w:eastAsia="Arial" w:hAnsi="Arial"/>
          <w:sz w:val="17"/>
          <w:szCs w:val="17"/>
          <w:color w:val="auto"/>
        </w:rPr>
        <w:t>“Retirement” or “Retirement Eligible” means Grantee terminates, or is eligible to terminate, employment with the Company or its subsidiaries after attaining 55 years of age with at least 5 years of continuous service on or prior to the date of termination.</w:t>
      </w:r>
    </w:p>
    <w:p>
      <w:pPr>
        <w:spacing w:after="0" w:line="156" w:lineRule="exact"/>
        <w:rPr>
          <w:rFonts w:ascii="Arial" w:cs="Arial" w:eastAsia="Arial" w:hAnsi="Arial"/>
          <w:sz w:val="17"/>
          <w:szCs w:val="17"/>
          <w:color w:val="auto"/>
        </w:rPr>
      </w:pPr>
    </w:p>
    <w:p>
      <w:pPr>
        <w:jc w:val="both"/>
        <w:ind w:firstLine="1857"/>
        <w:spacing w:after="0" w:line="245" w:lineRule="auto"/>
        <w:tabs>
          <w:tab w:leader="none" w:pos="2472" w:val="left"/>
        </w:tabs>
        <w:numPr>
          <w:ilvl w:val="1"/>
          <w:numId w:val="90"/>
        </w:numPr>
        <w:rPr>
          <w:rFonts w:ascii="Arial" w:cs="Arial" w:eastAsia="Arial" w:hAnsi="Arial"/>
          <w:sz w:val="19"/>
          <w:szCs w:val="19"/>
          <w:color w:val="auto"/>
        </w:rPr>
      </w:pPr>
      <w:r>
        <w:rPr>
          <w:rFonts w:ascii="Arial" w:cs="Arial" w:eastAsia="Arial" w:hAnsi="Arial"/>
          <w:sz w:val="19"/>
          <w:szCs w:val="19"/>
          <w:color w:val="auto"/>
        </w:rPr>
        <w:t>“Total Disability” means “Total Disability” or “Totally Disabled” as that term is defined under a Company-sponsored long-term disability plan from which Grantee is receiving disability benefits and which is in effect from time to time on and after the Grant Date.</w:t>
      </w:r>
    </w:p>
    <w:p>
      <w:pPr>
        <w:spacing w:after="0" w:line="193" w:lineRule="exact"/>
        <w:rPr>
          <w:rFonts w:ascii="Arial" w:cs="Arial" w:eastAsia="Arial" w:hAnsi="Arial"/>
          <w:sz w:val="19"/>
          <w:szCs w:val="19"/>
          <w:color w:val="auto"/>
        </w:rPr>
      </w:pPr>
    </w:p>
    <w:p>
      <w:pPr>
        <w:jc w:val="both"/>
        <w:ind w:firstLine="1857"/>
        <w:spacing w:after="0" w:line="239" w:lineRule="auto"/>
        <w:tabs>
          <w:tab w:leader="none" w:pos="2472" w:val="left"/>
        </w:tabs>
        <w:numPr>
          <w:ilvl w:val="1"/>
          <w:numId w:val="90"/>
        </w:numPr>
        <w:rPr>
          <w:rFonts w:ascii="Arial" w:cs="Arial" w:eastAsia="Arial" w:hAnsi="Arial"/>
          <w:sz w:val="19"/>
          <w:szCs w:val="19"/>
          <w:color w:val="auto"/>
        </w:rPr>
      </w:pPr>
      <w:r>
        <w:rPr>
          <w:rFonts w:ascii="Arial" w:cs="Arial" w:eastAsia="Arial" w:hAnsi="Arial"/>
          <w:sz w:val="19"/>
          <w:szCs w:val="19"/>
          <w:color w:val="auto"/>
        </w:rPr>
        <w:t xml:space="preserve">“Pro-Rata Vesting” means a number of Shares deliverable upon a pro-rata vesting event. This shall be calculated by multiplying this Award by the number of months worked from Grant Date to termination date divided by 36, which will then be multiplied by a factor based on the Company’s attainment of performance criteria during the </w:t>
      </w:r>
      <w:r>
        <w:rPr>
          <w:rFonts w:ascii="Arial" w:cs="Arial" w:eastAsia="Arial" w:hAnsi="Arial"/>
          <w:sz w:val="19"/>
          <w:szCs w:val="19"/>
          <w:b w:val="1"/>
          <w:bCs w:val="1"/>
          <w:color w:val="auto"/>
        </w:rPr>
        <w:t>performance cycle</w:t>
      </w:r>
      <w:r>
        <w:rPr>
          <w:rFonts w:ascii="Arial" w:cs="Arial" w:eastAsia="Arial" w:hAnsi="Arial"/>
          <w:sz w:val="19"/>
          <w:szCs w:val="19"/>
          <w:color w:val="auto"/>
        </w:rPr>
        <w:t xml:space="preserve"> as set forth in paragraph 1 above. Thereafter, the number of Shares deliverable shall be rounded down to the nearest whole Share.</w:t>
      </w:r>
    </w:p>
    <w:p>
      <w:pPr>
        <w:spacing w:after="0" w:line="211" w:lineRule="exact"/>
        <w:rPr>
          <w:rFonts w:ascii="Arial" w:cs="Arial" w:eastAsia="Arial" w:hAnsi="Arial"/>
          <w:sz w:val="19"/>
          <w:szCs w:val="19"/>
          <w:color w:val="auto"/>
        </w:rPr>
      </w:pPr>
    </w:p>
    <w:p>
      <w:pPr>
        <w:jc w:val="both"/>
        <w:ind w:firstLine="1857"/>
        <w:spacing w:after="0" w:line="239" w:lineRule="auto"/>
        <w:tabs>
          <w:tab w:leader="none" w:pos="2472" w:val="left"/>
        </w:tabs>
        <w:numPr>
          <w:ilvl w:val="1"/>
          <w:numId w:val="90"/>
        </w:numPr>
        <w:rPr>
          <w:rFonts w:ascii="Arial" w:cs="Arial" w:eastAsia="Arial" w:hAnsi="Arial"/>
          <w:sz w:val="19"/>
          <w:szCs w:val="19"/>
          <w:color w:val="auto"/>
        </w:rPr>
      </w:pPr>
      <w:r>
        <w:rPr>
          <w:rFonts w:ascii="Arial" w:cs="Arial" w:eastAsia="Arial" w:hAnsi="Arial"/>
          <w:sz w:val="19"/>
          <w:szCs w:val="19"/>
          <w:color w:val="auto"/>
        </w:rPr>
        <w:t>“Termination of employment,” “separation from service,” and similar references mean a separation from service within the meaning of Section 409A of the Internal Revenue Code of 1986, as amended (the “Code”) with the Company and/or any of its subsidiaries or affiliates, which includes circumstances in which Grantee is reasonably anticipated not to perform further services with the Company or its affiliates or subsidiaries.</w:t>
      </w:r>
    </w:p>
    <w:p>
      <w:pPr>
        <w:spacing w:after="0" w:line="199" w:lineRule="exact"/>
        <w:rPr>
          <w:sz w:val="20"/>
          <w:szCs w:val="20"/>
          <w:color w:val="auto"/>
        </w:rPr>
      </w:pPr>
    </w:p>
    <w:p>
      <w:pPr>
        <w:jc w:val="both"/>
        <w:ind w:firstLine="618"/>
        <w:spacing w:after="0" w:line="264" w:lineRule="auto"/>
        <w:rPr>
          <w:sz w:val="20"/>
          <w:szCs w:val="20"/>
          <w:color w:val="auto"/>
        </w:rPr>
      </w:pPr>
      <w:r>
        <w:rPr>
          <w:rFonts w:ascii="Arial" w:cs="Arial" w:eastAsia="Arial" w:hAnsi="Arial"/>
          <w:sz w:val="19"/>
          <w:szCs w:val="19"/>
          <w:color w:val="auto"/>
        </w:rPr>
        <w:t xml:space="preserve">Any Shares deliverable under this Paragraph 2 shall be delivered at the same time long-term incentive awards are normally paid and/or delivered after the end of the </w:t>
      </w:r>
      <w:r>
        <w:rPr>
          <w:rFonts w:ascii="Arial" w:cs="Arial" w:eastAsia="Arial" w:hAnsi="Arial"/>
          <w:sz w:val="19"/>
          <w:szCs w:val="19"/>
          <w:b w:val="1"/>
          <w:bCs w:val="1"/>
          <w:color w:val="auto"/>
        </w:rPr>
        <w:t>performance cycle</w:t>
      </w:r>
      <w:r>
        <w:rPr>
          <w:rFonts w:ascii="Arial" w:cs="Arial" w:eastAsia="Arial" w:hAnsi="Arial"/>
          <w:sz w:val="19"/>
          <w:szCs w:val="19"/>
          <w:color w:val="auto"/>
        </w:rPr>
        <w:t>.</w:t>
      </w:r>
    </w:p>
    <w:p>
      <w:pPr>
        <w:spacing w:after="0" w:line="176" w:lineRule="exact"/>
        <w:rPr>
          <w:sz w:val="20"/>
          <w:szCs w:val="20"/>
          <w:color w:val="auto"/>
        </w:rPr>
      </w:pPr>
    </w:p>
    <w:p>
      <w:pPr>
        <w:jc w:val="both"/>
        <w:ind w:firstLine="618"/>
        <w:spacing w:after="0" w:line="274" w:lineRule="auto"/>
        <w:rPr>
          <w:sz w:val="20"/>
          <w:szCs w:val="20"/>
          <w:color w:val="auto"/>
        </w:rPr>
      </w:pPr>
      <w:r>
        <w:rPr>
          <w:rFonts w:ascii="Arial" w:cs="Arial" w:eastAsia="Arial" w:hAnsi="Arial"/>
          <w:sz w:val="17"/>
          <w:szCs w:val="17"/>
          <w:color w:val="auto"/>
        </w:rPr>
        <w:t>Notwithstanding anything in this paragraph 2 to the contrary, in the case of a Key Employee (defined below), a distribution upon the Key Employee’s termination of employment shall be made on the first day of the month following six (6) months after the date on which the Key Employee separates from service or, if earlier, the date of death. A “Key Employee” means an employee who, as of his termination of employment from the Company or its affiliates or subsidiaries, is treated as a “specified employee” under Code Section 409A(a)(2)(B)(i) (i.e., a key employee as defined in Code Section 416(i) without regard to paragraph (5) thereof). Key Employees shall be determined in accordance with Code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820" w:type="dxa"/>
            <w:vAlign w:val="bottom"/>
          </w:tcPr>
          <w:p>
            <w:pPr>
              <w:spacing w:after="0"/>
              <w:rPr>
                <w:sz w:val="20"/>
                <w:szCs w:val="20"/>
                <w:color w:val="auto"/>
              </w:rPr>
            </w:pPr>
            <w:r>
              <w:rPr>
                <w:rFonts w:ascii="Arial" w:cs="Arial" w:eastAsia="Arial" w:hAnsi="Arial"/>
                <w:sz w:val="21"/>
                <w:szCs w:val="21"/>
                <w:color w:val="auto"/>
              </w:rPr>
              <w:t>LTI Grant Agreement</w:t>
            </w:r>
          </w:p>
        </w:tc>
        <w:tc>
          <w:tcPr>
            <w:tcW w:w="1140" w:type="dxa"/>
            <w:vAlign w:val="bottom"/>
          </w:tcPr>
          <w:p>
            <w:pPr>
              <w:jc w:val="right"/>
              <w:spacing w:after="0"/>
              <w:rPr>
                <w:sz w:val="20"/>
                <w:szCs w:val="20"/>
                <w:color w:val="auto"/>
              </w:rPr>
            </w:pPr>
            <w:r>
              <w:rPr>
                <w:rFonts w:ascii="Arial" w:cs="Arial" w:eastAsia="Arial" w:hAnsi="Arial"/>
                <w:sz w:val="21"/>
                <w:szCs w:val="21"/>
                <w:color w:val="auto"/>
              </w:rPr>
              <w:t>2</w:t>
            </w:r>
          </w:p>
        </w:tc>
      </w:tr>
    </w:tbl>
    <w:p>
      <w:pPr>
        <w:sectPr>
          <w:pgSz w:w="11900" w:h="16838" w:orient="portrait"/>
          <w:cols w:equalWidth="0" w:num="1">
            <w:col w:w="11240"/>
          </w:cols>
          <w:pgMar w:left="320" w:top="1359" w:right="339" w:bottom="1440" w:gutter="0" w:footer="0" w:header="0"/>
        </w:sectPr>
      </w:pPr>
    </w:p>
    <w:bookmarkStart w:id="102" w:name="page103"/>
    <w:bookmarkEnd w:id="102"/>
    <w:p>
      <w:pPr>
        <w:spacing w:after="0"/>
        <w:rPr>
          <w:sz w:val="20"/>
          <w:szCs w:val="20"/>
          <w:color w:val="auto"/>
        </w:rPr>
      </w:pPr>
      <w:r>
        <w:rPr>
          <w:rFonts w:ascii="Arial" w:cs="Arial" w:eastAsia="Arial" w:hAnsi="Arial"/>
          <w:sz w:val="19"/>
          <w:szCs w:val="19"/>
          <w:color w:val="auto"/>
        </w:rPr>
        <w:t>409A. Currently, the Company classifies all employees in Salary Grade Levels A and B as Key Employees.</w:t>
      </w:r>
    </w:p>
    <w:p>
      <w:pPr>
        <w:spacing w:after="0" w:line="213" w:lineRule="exact"/>
        <w:rPr>
          <w:sz w:val="20"/>
          <w:szCs w:val="20"/>
          <w:color w:val="auto"/>
        </w:rPr>
      </w:pPr>
    </w:p>
    <w:p>
      <w:pPr>
        <w:jc w:val="both"/>
        <w:ind w:firstLine="621"/>
        <w:spacing w:after="0" w:line="241" w:lineRule="auto"/>
        <w:tabs>
          <w:tab w:leader="none" w:pos="807" w:val="left"/>
        </w:tabs>
        <w:numPr>
          <w:ilvl w:val="0"/>
          <w:numId w:val="9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Dividend Equivalent Payment</w:t>
      </w:r>
      <w:r>
        <w:rPr>
          <w:rFonts w:ascii="Arial" w:cs="Arial" w:eastAsia="Arial" w:hAnsi="Arial"/>
          <w:sz w:val="19"/>
          <w:szCs w:val="19"/>
          <w:b w:val="1"/>
          <w:bCs w:val="1"/>
          <w:color w:val="auto"/>
        </w:rPr>
        <w:t xml:space="preserve">. </w:t>
      </w:r>
      <w:r>
        <w:rPr>
          <w:rFonts w:ascii="Arial" w:cs="Arial" w:eastAsia="Arial" w:hAnsi="Arial"/>
          <w:sz w:val="19"/>
          <w:szCs w:val="19"/>
          <w:color w:val="auto"/>
        </w:rPr>
        <w:t>After a Vesting Date, Grantee shall be paid in cash the accumulated amount equivalent to the dividends</w:t>
      </w:r>
      <w:r>
        <w:rPr>
          <w:rFonts w:ascii="Arial" w:cs="Arial" w:eastAsia="Arial" w:hAnsi="Arial"/>
          <w:sz w:val="19"/>
          <w:szCs w:val="19"/>
          <w:b w:val="1"/>
          <w:bCs w:val="1"/>
          <w:color w:val="auto"/>
        </w:rPr>
        <w:t xml:space="preserve"> </w:t>
      </w:r>
      <w:r>
        <w:rPr>
          <w:rFonts w:ascii="Arial" w:cs="Arial" w:eastAsia="Arial" w:hAnsi="Arial"/>
          <w:sz w:val="19"/>
          <w:szCs w:val="19"/>
          <w:color w:val="auto"/>
        </w:rPr>
        <w:t>which would have been paid on such Shares underlying the Performance Stock Units to the extent the Company’s Board of Directors had approved and declared a dividend on its capital stock. Such dividend equivalent amount shall be paid during that month following that Vesting Date. Subject to paragraph 2 above, the dividend equivalent payment shall be forfeited for any Performance Stock Units that do not vest or are terminated in accordance with paragraph 2.</w:t>
      </w:r>
    </w:p>
    <w:p>
      <w:pPr>
        <w:spacing w:after="0" w:line="203" w:lineRule="exact"/>
        <w:rPr>
          <w:rFonts w:ascii="Arial" w:cs="Arial" w:eastAsia="Arial" w:hAnsi="Arial"/>
          <w:sz w:val="19"/>
          <w:szCs w:val="19"/>
          <w:b w:val="1"/>
          <w:bCs w:val="1"/>
          <w:color w:val="auto"/>
        </w:rPr>
      </w:pPr>
    </w:p>
    <w:p>
      <w:pPr>
        <w:jc w:val="both"/>
        <w:ind w:firstLine="621"/>
        <w:spacing w:after="0" w:line="271" w:lineRule="auto"/>
        <w:tabs>
          <w:tab w:leader="none" w:pos="807" w:val="left"/>
        </w:tabs>
        <w:numPr>
          <w:ilvl w:val="0"/>
          <w:numId w:val="9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Incorporation of Plan Terms</w:t>
      </w:r>
      <w:r>
        <w:rPr>
          <w:rFonts w:ascii="Arial" w:cs="Arial" w:eastAsia="Arial" w:hAnsi="Arial"/>
          <w:sz w:val="17"/>
          <w:szCs w:val="17"/>
          <w:b w:val="1"/>
          <w:bCs w:val="1"/>
          <w:color w:val="auto"/>
        </w:rPr>
        <w:t xml:space="preserve">. </w:t>
      </w:r>
      <w:r>
        <w:rPr>
          <w:rFonts w:ascii="Arial" w:cs="Arial" w:eastAsia="Arial" w:hAnsi="Arial"/>
          <w:sz w:val="17"/>
          <w:szCs w:val="17"/>
          <w:color w:val="auto"/>
        </w:rPr>
        <w:t>This Award is subject to the terms and conditions of the Plan. Such terms and conditions of the Plan are</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incorporated into and made a part of this Agreement by reference. In the event of any conflicts between the provisions of this Agreement and the terms of the Plan, the terms of the Plan will control. The Committee shall have the right to resolve all questions which may arise in connection with the Award or this Agreement, including whether a Grantee is no longer actively employed and any interpretation, determination or other action made or taken by the Committee regarding the Plan or this Agreement shall be final, binding and conclusive. Capitalized terms used but not defined in this Agreement shall have the meanings set forth in the Plan unless the context clearly requires an alternative meaning.</w:t>
      </w:r>
    </w:p>
    <w:p>
      <w:pPr>
        <w:spacing w:after="0" w:line="169" w:lineRule="exact"/>
        <w:rPr>
          <w:rFonts w:ascii="Arial" w:cs="Arial" w:eastAsia="Arial" w:hAnsi="Arial"/>
          <w:sz w:val="17"/>
          <w:szCs w:val="17"/>
          <w:b w:val="1"/>
          <w:bCs w:val="1"/>
          <w:color w:val="auto"/>
        </w:rPr>
      </w:pPr>
    </w:p>
    <w:p>
      <w:pPr>
        <w:ind w:left="800" w:hanging="179"/>
        <w:spacing w:after="0"/>
        <w:tabs>
          <w:tab w:leader="none" w:pos="800" w:val="left"/>
        </w:tabs>
        <w:numPr>
          <w:ilvl w:val="0"/>
          <w:numId w:val="9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Cancellation</w:t>
      </w:r>
      <w:r>
        <w:rPr>
          <w:rFonts w:ascii="Arial" w:cs="Arial" w:eastAsia="Arial" w:hAnsi="Arial"/>
          <w:sz w:val="19"/>
          <w:szCs w:val="19"/>
          <w:u w:val="single" w:color="auto"/>
          <w:color w:val="auto"/>
        </w:rPr>
        <w:t>/</w:t>
      </w:r>
      <w:r>
        <w:rPr>
          <w:rFonts w:ascii="Arial" w:cs="Arial" w:eastAsia="Arial" w:hAnsi="Arial"/>
          <w:sz w:val="19"/>
          <w:szCs w:val="19"/>
          <w:b w:val="1"/>
          <w:bCs w:val="1"/>
          <w:u w:val="single" w:color="auto"/>
          <w:color w:val="auto"/>
        </w:rPr>
        <w:t>Rescission of Award after Vesting or Distribution</w:t>
      </w:r>
      <w:r>
        <w:rPr>
          <w:rFonts w:ascii="Arial" w:cs="Arial" w:eastAsia="Arial" w:hAnsi="Arial"/>
          <w:sz w:val="19"/>
          <w:szCs w:val="19"/>
          <w:b w:val="1"/>
          <w:bCs w:val="1"/>
          <w:color w:val="auto"/>
        </w:rPr>
        <w:t>.</w:t>
      </w:r>
    </w:p>
    <w:p>
      <w:pPr>
        <w:spacing w:after="0" w:line="225" w:lineRule="exact"/>
        <w:rPr>
          <w:rFonts w:ascii="Arial" w:cs="Arial" w:eastAsia="Arial" w:hAnsi="Arial"/>
          <w:sz w:val="19"/>
          <w:szCs w:val="19"/>
          <w:b w:val="1"/>
          <w:bCs w:val="1"/>
          <w:color w:val="auto"/>
        </w:rPr>
      </w:pPr>
    </w:p>
    <w:p>
      <w:pPr>
        <w:jc w:val="both"/>
        <w:ind w:firstLine="1239"/>
        <w:spacing w:after="0" w:line="245" w:lineRule="auto"/>
        <w:tabs>
          <w:tab w:leader="none" w:pos="1845" w:val="left"/>
        </w:tabs>
        <w:numPr>
          <w:ilvl w:val="1"/>
          <w:numId w:val="91"/>
        </w:numPr>
        <w:rPr>
          <w:rFonts w:ascii="Arial" w:cs="Arial" w:eastAsia="Arial" w:hAnsi="Arial"/>
          <w:sz w:val="19"/>
          <w:szCs w:val="19"/>
          <w:color w:val="auto"/>
        </w:rPr>
      </w:pPr>
      <w:r>
        <w:rPr>
          <w:rFonts w:ascii="Arial" w:cs="Arial" w:eastAsia="Arial" w:hAnsi="Arial"/>
          <w:sz w:val="19"/>
          <w:szCs w:val="19"/>
          <w:color w:val="auto"/>
        </w:rPr>
        <w:t>If while Grantee is an employee of the Company (or one of its subsidiaries) or after Grantee ceases to be such an employee, the Committee or its delegate determines that Grantee breached his or her duty of loyalty to the Company, any Shares distributed in settlement of this Award during the three (3) year period prior to such deemed breach shall be rescinded.</w:t>
      </w:r>
    </w:p>
    <w:p>
      <w:pPr>
        <w:spacing w:after="0" w:line="206" w:lineRule="exact"/>
        <w:rPr>
          <w:rFonts w:ascii="Arial" w:cs="Arial" w:eastAsia="Arial" w:hAnsi="Arial"/>
          <w:sz w:val="19"/>
          <w:szCs w:val="19"/>
          <w:color w:val="auto"/>
        </w:rPr>
      </w:pPr>
    </w:p>
    <w:p>
      <w:pPr>
        <w:ind w:firstLine="1857"/>
        <w:spacing w:after="0" w:line="277" w:lineRule="auto"/>
        <w:tabs>
          <w:tab w:leader="none" w:pos="2472" w:val="left"/>
        </w:tabs>
        <w:numPr>
          <w:ilvl w:val="2"/>
          <w:numId w:val="91"/>
        </w:numPr>
        <w:rPr>
          <w:rFonts w:ascii="Arial" w:cs="Arial" w:eastAsia="Arial" w:hAnsi="Arial"/>
          <w:sz w:val="18"/>
          <w:szCs w:val="18"/>
          <w:color w:val="auto"/>
        </w:rPr>
      </w:pPr>
      <w:r>
        <w:rPr>
          <w:rFonts w:ascii="Arial" w:cs="Arial" w:eastAsia="Arial" w:hAnsi="Arial"/>
          <w:sz w:val="18"/>
          <w:szCs w:val="18"/>
          <w:color w:val="auto"/>
        </w:rPr>
        <w:t>The Company shall notify Grantee in writing of any such rescission not later than one-hundred and eighty (180) days after the Company obtains knowledge of Grantee’s breach of his or her duty of loyalty as described in Subparagraph 5(a) above.</w:t>
      </w:r>
    </w:p>
    <w:p>
      <w:pPr>
        <w:spacing w:after="0" w:line="178" w:lineRule="exact"/>
        <w:rPr>
          <w:rFonts w:ascii="Arial" w:cs="Arial" w:eastAsia="Arial" w:hAnsi="Arial"/>
          <w:sz w:val="18"/>
          <w:szCs w:val="18"/>
          <w:color w:val="auto"/>
        </w:rPr>
      </w:pPr>
    </w:p>
    <w:p>
      <w:pPr>
        <w:jc w:val="both"/>
        <w:ind w:firstLine="1857"/>
        <w:spacing w:after="0" w:line="233" w:lineRule="auto"/>
        <w:tabs>
          <w:tab w:leader="none" w:pos="2472" w:val="left"/>
        </w:tabs>
        <w:numPr>
          <w:ilvl w:val="2"/>
          <w:numId w:val="91"/>
        </w:numPr>
        <w:rPr>
          <w:rFonts w:ascii="Arial" w:cs="Arial" w:eastAsia="Arial" w:hAnsi="Arial"/>
          <w:sz w:val="19"/>
          <w:szCs w:val="19"/>
          <w:color w:val="auto"/>
        </w:rPr>
      </w:pPr>
      <w:r>
        <w:rPr>
          <w:rFonts w:ascii="Arial" w:cs="Arial" w:eastAsia="Arial" w:hAnsi="Arial"/>
          <w:sz w:val="19"/>
          <w:szCs w:val="19"/>
          <w:color w:val="auto"/>
        </w:rPr>
        <w:t>Within ten (10) days after receiving a such notice from the Company: (i) Grantee must surrender to the Company the Shares acquired upon settlement of this Award; or (ii) if such Shares have been sold or transferred, (x) Grantee must make a payment to the Company of the proceeds from such sale or transfer, or (y) if there are no proceeds from such transfer, Grantee must make a payment to the Company equal to the Fair Market Value (as defined in the Plan) of such Shares on the date of such transfer. In all cases, Grantee shall pay to the Company the gross amount of any gain realized or payment received (not net of any withholding or other taxes paid by Grantee) as a result of the Shares.</w:t>
      </w:r>
    </w:p>
    <w:p>
      <w:pPr>
        <w:spacing w:after="0" w:line="5" w:lineRule="exact"/>
        <w:rPr>
          <w:rFonts w:ascii="Arial" w:cs="Arial" w:eastAsia="Arial" w:hAnsi="Arial"/>
          <w:sz w:val="19"/>
          <w:szCs w:val="19"/>
          <w:color w:val="auto"/>
        </w:rPr>
      </w:pPr>
    </w:p>
    <w:p>
      <w:pPr>
        <w:jc w:val="both"/>
        <w:ind w:firstLine="1239"/>
        <w:spacing w:after="0" w:line="270" w:lineRule="auto"/>
        <w:tabs>
          <w:tab w:leader="none" w:pos="1842" w:val="left"/>
        </w:tabs>
        <w:numPr>
          <w:ilvl w:val="1"/>
          <w:numId w:val="91"/>
        </w:numPr>
        <w:rPr>
          <w:rFonts w:ascii="Arial" w:cs="Arial" w:eastAsia="Arial" w:hAnsi="Arial"/>
          <w:sz w:val="17"/>
          <w:szCs w:val="17"/>
          <w:color w:val="auto"/>
        </w:rPr>
      </w:pPr>
      <w:r>
        <w:rPr>
          <w:rFonts w:ascii="Arial" w:cs="Arial" w:eastAsia="Arial" w:hAnsi="Arial"/>
          <w:sz w:val="17"/>
          <w:szCs w:val="17"/>
          <w:color w:val="auto"/>
        </w:rPr>
        <w:t xml:space="preserve">If while Grantee is an employee of the Company (or one of its subsidiaries) or after Grantee ceases to be such an employee, the Committee or its delegate determines that Grantee breached his or her duty of loyalty to the Company before any Performance Stock Units vest pursuant to the achievement of Company performance criteria previously established and approved by the Committee for the </w:t>
      </w:r>
      <w:r>
        <w:rPr>
          <w:rFonts w:ascii="Arial" w:cs="Arial" w:eastAsia="Arial" w:hAnsi="Arial"/>
          <w:sz w:val="17"/>
          <w:szCs w:val="17"/>
          <w:b w:val="1"/>
          <w:bCs w:val="1"/>
          <w:color w:val="auto"/>
        </w:rPr>
        <w:t>performance cycle</w:t>
      </w:r>
      <w:r>
        <w:rPr>
          <w:rFonts w:ascii="Arial" w:cs="Arial" w:eastAsia="Arial" w:hAnsi="Arial"/>
          <w:sz w:val="17"/>
          <w:szCs w:val="17"/>
          <w:color w:val="auto"/>
        </w:rPr>
        <w:t xml:space="preserve"> (as defined in the applicable LTI Brochure), this Award shall be cancelled without further action by the Committee or its delegate.</w:t>
      </w:r>
    </w:p>
    <w:p>
      <w:pPr>
        <w:spacing w:after="0" w:line="186" w:lineRule="exact"/>
        <w:rPr>
          <w:sz w:val="20"/>
          <w:szCs w:val="20"/>
          <w:color w:val="auto"/>
        </w:rPr>
      </w:pPr>
    </w:p>
    <w:p>
      <w:pPr>
        <w:jc w:val="both"/>
        <w:ind w:firstLine="618"/>
        <w:spacing w:after="0" w:line="245" w:lineRule="auto"/>
        <w:rPr>
          <w:sz w:val="20"/>
          <w:szCs w:val="20"/>
          <w:color w:val="auto"/>
        </w:rPr>
      </w:pPr>
      <w:r>
        <w:rPr>
          <w:rFonts w:ascii="Arial" w:cs="Arial" w:eastAsia="Arial" w:hAnsi="Arial"/>
          <w:sz w:val="19"/>
          <w:szCs w:val="19"/>
          <w:color w:val="auto"/>
        </w:rPr>
        <w:t>For purposes of this Agreement and avoidance of doubt, “duty of loyalty” to the Company means that Grantee cannot act contrary to the Company’s interest, such as competing with the Company while employed or using the Company’s proprietary and confidential information to compete with the Company, or as otherwise as determined by a court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820" w:type="dxa"/>
            <w:vAlign w:val="bottom"/>
          </w:tcPr>
          <w:p>
            <w:pPr>
              <w:spacing w:after="0"/>
              <w:rPr>
                <w:sz w:val="20"/>
                <w:szCs w:val="20"/>
                <w:color w:val="auto"/>
              </w:rPr>
            </w:pPr>
            <w:r>
              <w:rPr>
                <w:rFonts w:ascii="Arial" w:cs="Arial" w:eastAsia="Arial" w:hAnsi="Arial"/>
                <w:sz w:val="21"/>
                <w:szCs w:val="21"/>
                <w:color w:val="auto"/>
              </w:rPr>
              <w:t>LTI Grant Agreement</w:t>
            </w:r>
          </w:p>
        </w:tc>
        <w:tc>
          <w:tcPr>
            <w:tcW w:w="1140" w:type="dxa"/>
            <w:vAlign w:val="bottom"/>
          </w:tcPr>
          <w:p>
            <w:pPr>
              <w:jc w:val="right"/>
              <w:spacing w:after="0"/>
              <w:rPr>
                <w:sz w:val="20"/>
                <w:szCs w:val="20"/>
                <w:color w:val="auto"/>
              </w:rPr>
            </w:pPr>
            <w:r>
              <w:rPr>
                <w:rFonts w:ascii="Arial" w:cs="Arial" w:eastAsia="Arial" w:hAnsi="Arial"/>
                <w:sz w:val="21"/>
                <w:szCs w:val="21"/>
                <w:color w:val="auto"/>
              </w:rPr>
              <w:t>3</w:t>
            </w:r>
          </w:p>
        </w:tc>
      </w:tr>
    </w:tbl>
    <w:p>
      <w:pPr>
        <w:sectPr>
          <w:pgSz w:w="11900" w:h="16838" w:orient="portrait"/>
          <w:cols w:equalWidth="0" w:num="1">
            <w:col w:w="11240"/>
          </w:cols>
          <w:pgMar w:left="320" w:top="1359" w:right="339" w:bottom="1440" w:gutter="0" w:footer="0" w:header="0"/>
        </w:sectPr>
      </w:pPr>
    </w:p>
    <w:bookmarkStart w:id="103" w:name="page104"/>
    <w:bookmarkEnd w:id="103"/>
    <w:p>
      <w:pPr>
        <w:jc w:val="both"/>
        <w:ind w:firstLine="621"/>
        <w:spacing w:after="0" w:line="257" w:lineRule="auto"/>
        <w:tabs>
          <w:tab w:leader="none" w:pos="807"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of Taxes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will require Grantee to remit an amount equal to any tax withholding required under federal, state</w:t>
      </w:r>
      <w:r>
        <w:rPr>
          <w:rFonts w:ascii="Arial" w:cs="Arial" w:eastAsia="Arial" w:hAnsi="Arial"/>
          <w:sz w:val="18"/>
          <w:szCs w:val="18"/>
          <w:b w:val="1"/>
          <w:bCs w:val="1"/>
          <w:color w:val="auto"/>
        </w:rPr>
        <w:t xml:space="preserve"> </w:t>
      </w:r>
      <w:r>
        <w:rPr>
          <w:rFonts w:ascii="Arial" w:cs="Arial" w:eastAsia="Arial" w:hAnsi="Arial"/>
          <w:sz w:val="18"/>
          <w:szCs w:val="18"/>
          <w:color w:val="auto"/>
        </w:rPr>
        <w:t>or local law on the value of the Shares deliverable under this Agreement at such time as the Company is required to withhold such amounts. In accordance with any procedures established by the Committee, Grantee may satisfy any required tax withholding payments in cash or Shares (including the surrender of Shares held by the Grantee or those that would otherwise be issued in settlement of this Award). Any surrendered or withheld Shares will constitute satisfaction of any required tax withholding to the extent of their Fair Market Value.</w:t>
      </w:r>
    </w:p>
    <w:p>
      <w:pPr>
        <w:spacing w:after="0" w:line="179" w:lineRule="exact"/>
        <w:rPr>
          <w:rFonts w:ascii="Arial" w:cs="Arial" w:eastAsia="Arial" w:hAnsi="Arial"/>
          <w:sz w:val="18"/>
          <w:szCs w:val="18"/>
          <w:b w:val="1"/>
          <w:bCs w:val="1"/>
          <w:color w:val="auto"/>
        </w:rPr>
      </w:pPr>
    </w:p>
    <w:p>
      <w:pPr>
        <w:jc w:val="both"/>
        <w:ind w:firstLine="621"/>
        <w:spacing w:after="0" w:line="248" w:lineRule="auto"/>
        <w:tabs>
          <w:tab w:leader="none" w:pos="807" w:val="left"/>
        </w:tabs>
        <w:numPr>
          <w:ilvl w:val="0"/>
          <w:numId w:val="9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Limits on Transferability</w:t>
      </w:r>
      <w:r>
        <w:rPr>
          <w:rFonts w:ascii="Arial" w:cs="Arial" w:eastAsia="Arial" w:hAnsi="Arial"/>
          <w:sz w:val="19"/>
          <w:szCs w:val="19"/>
          <w:b w:val="1"/>
          <w:bCs w:val="1"/>
          <w:color w:val="auto"/>
        </w:rPr>
        <w:t xml:space="preserve">. </w:t>
      </w:r>
      <w:r>
        <w:rPr>
          <w:rFonts w:ascii="Arial" w:cs="Arial" w:eastAsia="Arial" w:hAnsi="Arial"/>
          <w:sz w:val="19"/>
          <w:szCs w:val="19"/>
          <w:color w:val="auto"/>
        </w:rPr>
        <w:t>Grantee’s right in the Performance Stock Units awarded under this Agreement and any interest therein may</w:t>
      </w:r>
      <w:r>
        <w:rPr>
          <w:rFonts w:ascii="Arial" w:cs="Arial" w:eastAsia="Arial" w:hAnsi="Arial"/>
          <w:sz w:val="19"/>
          <w:szCs w:val="19"/>
          <w:b w:val="1"/>
          <w:bCs w:val="1"/>
          <w:color w:val="auto"/>
        </w:rPr>
        <w:t xml:space="preserve"> </w:t>
      </w:r>
      <w:r>
        <w:rPr>
          <w:rFonts w:ascii="Arial" w:cs="Arial" w:eastAsia="Arial" w:hAnsi="Arial"/>
          <w:sz w:val="19"/>
          <w:szCs w:val="19"/>
          <w:color w:val="auto"/>
        </w:rPr>
        <w:t>not be sold, pledged, assigned, hypothecated, transferred, or disposed of in any manner, other than by will or by the laws of descent or distribution. The Award shall not be subject to execution, attachment or other process.</w:t>
      </w:r>
    </w:p>
    <w:p>
      <w:pPr>
        <w:spacing w:after="0" w:line="185" w:lineRule="exact"/>
        <w:rPr>
          <w:rFonts w:ascii="Arial" w:cs="Arial" w:eastAsia="Arial" w:hAnsi="Arial"/>
          <w:sz w:val="19"/>
          <w:szCs w:val="19"/>
          <w:b w:val="1"/>
          <w:bCs w:val="1"/>
          <w:color w:val="auto"/>
        </w:rPr>
      </w:pPr>
    </w:p>
    <w:p>
      <w:pPr>
        <w:jc w:val="both"/>
        <w:ind w:firstLine="621"/>
        <w:spacing w:after="0" w:line="243" w:lineRule="auto"/>
        <w:tabs>
          <w:tab w:leader="none" w:pos="807" w:val="left"/>
        </w:tabs>
        <w:numPr>
          <w:ilvl w:val="0"/>
          <w:numId w:val="9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Compliance with Securities Laws</w:t>
      </w:r>
      <w:r>
        <w:rPr>
          <w:rFonts w:ascii="Arial" w:cs="Arial" w:eastAsia="Arial" w:hAnsi="Arial"/>
          <w:sz w:val="19"/>
          <w:szCs w:val="19"/>
          <w:b w:val="1"/>
          <w:bCs w:val="1"/>
          <w:color w:val="auto"/>
        </w:rPr>
        <w:t xml:space="preserve">. </w:t>
      </w:r>
      <w:r>
        <w:rPr>
          <w:rFonts w:ascii="Arial" w:cs="Arial" w:eastAsia="Arial" w:hAnsi="Arial"/>
          <w:sz w:val="19"/>
          <w:szCs w:val="19"/>
          <w:color w:val="auto"/>
        </w:rPr>
        <w:t>Shares shall not be issued with respect to this Award unless the issuance and delivery of such Shares</w:t>
      </w:r>
      <w:r>
        <w:rPr>
          <w:rFonts w:ascii="Arial" w:cs="Arial" w:eastAsia="Arial" w:hAnsi="Arial"/>
          <w:sz w:val="19"/>
          <w:szCs w:val="19"/>
          <w:b w:val="1"/>
          <w:bCs w:val="1"/>
          <w:color w:val="auto"/>
        </w:rPr>
        <w:t xml:space="preserve"> </w:t>
      </w:r>
      <w:r>
        <w:rPr>
          <w:rFonts w:ascii="Arial" w:cs="Arial" w:eastAsia="Arial" w:hAnsi="Arial"/>
          <w:sz w:val="19"/>
          <w:szCs w:val="19"/>
          <w:color w:val="auto"/>
        </w:rPr>
        <w:t>shall comply with all relevant provisions of state and federal laws, rules and regulations, and, in the discretion of the Company, shall be further subject to the approval of counsel for the Company with respect to that compliance.</w:t>
      </w:r>
    </w:p>
    <w:p>
      <w:pPr>
        <w:spacing w:after="0" w:line="2" w:lineRule="exact"/>
        <w:rPr>
          <w:rFonts w:ascii="Arial" w:cs="Arial" w:eastAsia="Arial" w:hAnsi="Arial"/>
          <w:sz w:val="19"/>
          <w:szCs w:val="19"/>
          <w:b w:val="1"/>
          <w:bCs w:val="1"/>
          <w:color w:val="auto"/>
        </w:rPr>
      </w:pPr>
    </w:p>
    <w:p>
      <w:pPr>
        <w:jc w:val="both"/>
        <w:ind w:firstLine="621"/>
        <w:spacing w:after="0" w:line="234" w:lineRule="auto"/>
        <w:tabs>
          <w:tab w:leader="none" w:pos="807" w:val="left"/>
        </w:tabs>
        <w:numPr>
          <w:ilvl w:val="0"/>
          <w:numId w:val="9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Employment or Voting Rights</w:t>
      </w:r>
      <w:r>
        <w:rPr>
          <w:rFonts w:ascii="Arial" w:cs="Arial" w:eastAsia="Arial" w:hAnsi="Arial"/>
          <w:sz w:val="19"/>
          <w:szCs w:val="19"/>
          <w:b w:val="1"/>
          <w:bCs w:val="1"/>
          <w:color w:val="auto"/>
        </w:rPr>
        <w:t xml:space="preserve">. </w:t>
      </w:r>
      <w:r>
        <w:rPr>
          <w:rFonts w:ascii="Arial" w:cs="Arial" w:eastAsia="Arial" w:hAnsi="Arial"/>
          <w:sz w:val="19"/>
          <w:szCs w:val="19"/>
          <w:color w:val="auto"/>
        </w:rPr>
        <w:t>Nothing contained in the Plan or this Agreement shall give any employee the right to be retained in</w:t>
      </w:r>
      <w:r>
        <w:rPr>
          <w:rFonts w:ascii="Arial" w:cs="Arial" w:eastAsia="Arial" w:hAnsi="Arial"/>
          <w:sz w:val="19"/>
          <w:szCs w:val="19"/>
          <w:b w:val="1"/>
          <w:bCs w:val="1"/>
          <w:color w:val="auto"/>
        </w:rPr>
        <w:t xml:space="preserve"> </w:t>
      </w:r>
      <w:r>
        <w:rPr>
          <w:rFonts w:ascii="Arial" w:cs="Arial" w:eastAsia="Arial" w:hAnsi="Arial"/>
          <w:sz w:val="19"/>
          <w:szCs w:val="19"/>
          <w:color w:val="auto"/>
        </w:rPr>
        <w:t>the employment of the Company or its subsidiaries or affiliates, or their successors or assigns, whether existing now or in the future (collectively “Campbell Companies”), or affect the right of any of the Campbell Companies to terminate any employee. Grantee shall have no voting rights with respect to the Performance Stock Units.</w:t>
      </w:r>
    </w:p>
    <w:p>
      <w:pPr>
        <w:spacing w:after="0" w:line="194" w:lineRule="exact"/>
        <w:rPr>
          <w:rFonts w:ascii="Arial" w:cs="Arial" w:eastAsia="Arial" w:hAnsi="Arial"/>
          <w:sz w:val="19"/>
          <w:szCs w:val="19"/>
          <w:b w:val="1"/>
          <w:bCs w:val="1"/>
          <w:color w:val="auto"/>
        </w:rPr>
      </w:pPr>
    </w:p>
    <w:p>
      <w:pPr>
        <w:jc w:val="both"/>
        <w:ind w:firstLine="621"/>
        <w:spacing w:after="0" w:line="245" w:lineRule="auto"/>
        <w:tabs>
          <w:tab w:leader="none" w:pos="901" w:val="left"/>
        </w:tabs>
        <w:numPr>
          <w:ilvl w:val="0"/>
          <w:numId w:val="9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Internal Revenue Code Section 409A</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interpreted, operated, and administered in a manner so as not to subject</w:t>
      </w:r>
      <w:r>
        <w:rPr>
          <w:rFonts w:ascii="Arial" w:cs="Arial" w:eastAsia="Arial" w:hAnsi="Arial"/>
          <w:sz w:val="19"/>
          <w:szCs w:val="19"/>
          <w:b w:val="1"/>
          <w:bCs w:val="1"/>
          <w:color w:val="auto"/>
        </w:rPr>
        <w:t xml:space="preserve"> </w:t>
      </w:r>
      <w:r>
        <w:rPr>
          <w:rFonts w:ascii="Arial" w:cs="Arial" w:eastAsia="Arial" w:hAnsi="Arial"/>
          <w:sz w:val="19"/>
          <w:szCs w:val="19"/>
          <w:color w:val="auto"/>
        </w:rPr>
        <w:t>Grantee to the assessment of additional taxes or interest under Code section 409A to the extent such Grantee or any payment under this Agreement is subject to U.S. tax laws, and this Agreement shall be amended as the Company, in its sole discretion, determines is necessary and appropriate to avoid the application of any such taxes or interest.</w:t>
      </w:r>
    </w:p>
    <w:p>
      <w:pPr>
        <w:spacing w:after="0" w:line="189" w:lineRule="exact"/>
        <w:rPr>
          <w:rFonts w:ascii="Arial" w:cs="Arial" w:eastAsia="Arial" w:hAnsi="Arial"/>
          <w:sz w:val="19"/>
          <w:szCs w:val="19"/>
          <w:b w:val="1"/>
          <w:bCs w:val="1"/>
          <w:color w:val="auto"/>
        </w:rPr>
      </w:pPr>
    </w:p>
    <w:p>
      <w:pPr>
        <w:jc w:val="both"/>
        <w:ind w:firstLine="621"/>
        <w:spacing w:after="0" w:line="259" w:lineRule="auto"/>
        <w:tabs>
          <w:tab w:leader="none" w:pos="904"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Electronic Delivery and Acceptance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in its sole discretion, decide to deliver any documents related to current or</w:t>
      </w:r>
      <w:r>
        <w:rPr>
          <w:rFonts w:ascii="Arial" w:cs="Arial" w:eastAsia="Arial" w:hAnsi="Arial"/>
          <w:sz w:val="18"/>
          <w:szCs w:val="18"/>
          <w:b w:val="1"/>
          <w:bCs w:val="1"/>
          <w:color w:val="auto"/>
        </w:rPr>
        <w:t xml:space="preserve"> </w:t>
      </w:r>
      <w:r>
        <w:rPr>
          <w:rFonts w:ascii="Arial" w:cs="Arial" w:eastAsia="Arial" w:hAnsi="Arial"/>
          <w:sz w:val="18"/>
          <w:szCs w:val="18"/>
          <w:color w:val="auto"/>
        </w:rPr>
        <w:t>future participation in the Plan by electronic means or to request the Grantee’s consent to participate in the Plan by electronic means. The Grantee hereby consents to receive such documents by electronic delivery and, if requested, agrees to participate in the Plan through an on-line or electronic system established and maintained by the Company or a third party designated by the Company.</w:t>
      </w:r>
    </w:p>
    <w:p>
      <w:pPr>
        <w:spacing w:after="0" w:line="188" w:lineRule="exact"/>
        <w:rPr>
          <w:rFonts w:ascii="Arial" w:cs="Arial" w:eastAsia="Arial" w:hAnsi="Arial"/>
          <w:sz w:val="18"/>
          <w:szCs w:val="18"/>
          <w:b w:val="1"/>
          <w:bCs w:val="1"/>
          <w:color w:val="auto"/>
        </w:rPr>
      </w:pPr>
    </w:p>
    <w:p>
      <w:pPr>
        <w:jc w:val="both"/>
        <w:ind w:firstLine="621"/>
        <w:spacing w:after="0" w:line="239" w:lineRule="auto"/>
        <w:tabs>
          <w:tab w:leader="none" w:pos="901" w:val="left"/>
        </w:tabs>
        <w:numPr>
          <w:ilvl w:val="0"/>
          <w:numId w:val="9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Entire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terms of the Plan and this Agreement when accepted by the Grantee will constitute the entire agreement with</w:t>
      </w:r>
      <w:r>
        <w:rPr>
          <w:rFonts w:ascii="Arial" w:cs="Arial" w:eastAsia="Arial" w:hAnsi="Arial"/>
          <w:sz w:val="19"/>
          <w:szCs w:val="19"/>
          <w:b w:val="1"/>
          <w:bCs w:val="1"/>
          <w:color w:val="auto"/>
        </w:rPr>
        <w:t xml:space="preserve"> </w:t>
      </w:r>
      <w:r>
        <w:rPr>
          <w:rFonts w:ascii="Arial" w:cs="Arial" w:eastAsia="Arial" w:hAnsi="Arial"/>
          <w:sz w:val="19"/>
          <w:szCs w:val="19"/>
          <w:color w:val="auto"/>
        </w:rPr>
        <w:t>respect to the subject matter hereof. This Agreement supersedes any prior agreements, representations or promises of the parties relating to the subject matter hereof.</w:t>
      </w:r>
    </w:p>
    <w:p>
      <w:pPr>
        <w:ind w:firstLine="621"/>
        <w:spacing w:after="0" w:line="236" w:lineRule="auto"/>
        <w:tabs>
          <w:tab w:leader="none" w:pos="901" w:val="left"/>
        </w:tabs>
        <w:numPr>
          <w:ilvl w:val="0"/>
          <w:numId w:val="9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Non-Competition and Restrictive Covenants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As a condition of receiving the Award, Grantee must agree to the terms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RCA which is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205" w:lineRule="exact"/>
        <w:rPr>
          <w:rFonts w:ascii="Arial" w:cs="Arial" w:eastAsia="Arial" w:hAnsi="Arial"/>
          <w:sz w:val="19"/>
          <w:szCs w:val="19"/>
          <w:b w:val="1"/>
          <w:bCs w:val="1"/>
          <w:color w:val="auto"/>
        </w:rPr>
      </w:pPr>
    </w:p>
    <w:p>
      <w:pPr>
        <w:jc w:val="both"/>
        <w:ind w:firstLine="621"/>
        <w:spacing w:after="0" w:line="241" w:lineRule="auto"/>
        <w:tabs>
          <w:tab w:leader="none" w:pos="914" w:val="left"/>
        </w:tabs>
        <w:numPr>
          <w:ilvl w:val="0"/>
          <w:numId w:val="9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Clawback.</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and any Shares issued pursuant to this Agreement will be subject to reduction, cancellation, repayment,</w:t>
      </w:r>
      <w:r>
        <w:rPr>
          <w:rFonts w:ascii="Arial" w:cs="Arial" w:eastAsia="Arial" w:hAnsi="Arial"/>
          <w:sz w:val="19"/>
          <w:szCs w:val="19"/>
          <w:b w:val="1"/>
          <w:bCs w:val="1"/>
          <w:color w:val="auto"/>
        </w:rPr>
        <w:t xml:space="preserve"> </w:t>
      </w:r>
      <w:r>
        <w:rPr>
          <w:rFonts w:ascii="Arial" w:cs="Arial" w:eastAsia="Arial" w:hAnsi="Arial"/>
          <w:sz w:val="19"/>
          <w:szCs w:val="19"/>
          <w:color w:val="auto"/>
        </w:rPr>
        <w:t>forfeiture or recoupment in accordance with any clawback policy adopted by the Company. By accepting this Award, the Grantee is agreeing to be bound by any such clawback policy, as in effect or as may be adopted and/or modified from time to time by the Company in its discretion, and any or clawback requirements imposed under applicable laws, rules and regulations.</w:t>
      </w:r>
    </w:p>
    <w:p>
      <w:pPr>
        <w:spacing w:after="0" w:line="204" w:lineRule="exact"/>
        <w:rPr>
          <w:rFonts w:ascii="Arial" w:cs="Arial" w:eastAsia="Arial" w:hAnsi="Arial"/>
          <w:sz w:val="19"/>
          <w:szCs w:val="19"/>
          <w:b w:val="1"/>
          <w:bCs w:val="1"/>
          <w:color w:val="auto"/>
        </w:rPr>
      </w:pPr>
    </w:p>
    <w:p>
      <w:pPr>
        <w:ind w:firstLine="621"/>
        <w:spacing w:after="0" w:line="256" w:lineRule="auto"/>
        <w:tabs>
          <w:tab w:leader="none" w:pos="927" w:val="left"/>
        </w:tabs>
        <w:numPr>
          <w:ilvl w:val="0"/>
          <w:numId w:val="9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b w:val="1"/>
          <w:bCs w:val="1"/>
          <w:color w:val="auto"/>
        </w:rPr>
        <w:t xml:space="preserve">. </w:t>
      </w:r>
      <w:r>
        <w:rPr>
          <w:rFonts w:ascii="Arial" w:cs="Arial" w:eastAsia="Arial" w:hAnsi="Arial"/>
          <w:sz w:val="19"/>
          <w:szCs w:val="19"/>
          <w:color w:val="auto"/>
        </w:rPr>
        <w:t>If one or more of the provisions of this Agreement shall be held invalid, illegal or unenforceable in any respect, the</w:t>
      </w:r>
      <w:r>
        <w:rPr>
          <w:rFonts w:ascii="Arial" w:cs="Arial" w:eastAsia="Arial" w:hAnsi="Arial"/>
          <w:sz w:val="19"/>
          <w:szCs w:val="19"/>
          <w:b w:val="1"/>
          <w:bCs w:val="1"/>
          <w:color w:val="auto"/>
        </w:rPr>
        <w:t xml:space="preserve"> </w:t>
      </w:r>
      <w:r>
        <w:rPr>
          <w:rFonts w:ascii="Arial" w:cs="Arial" w:eastAsia="Arial" w:hAnsi="Arial"/>
          <w:sz w:val="19"/>
          <w:szCs w:val="19"/>
          <w:color w:val="auto"/>
        </w:rPr>
        <w:t>validity, legality and enforceability of the remaining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820" w:type="dxa"/>
            <w:vAlign w:val="bottom"/>
          </w:tcPr>
          <w:p>
            <w:pPr>
              <w:spacing w:after="0"/>
              <w:rPr>
                <w:sz w:val="20"/>
                <w:szCs w:val="20"/>
                <w:color w:val="auto"/>
              </w:rPr>
            </w:pPr>
            <w:r>
              <w:rPr>
                <w:rFonts w:ascii="Arial" w:cs="Arial" w:eastAsia="Arial" w:hAnsi="Arial"/>
                <w:sz w:val="21"/>
                <w:szCs w:val="21"/>
                <w:color w:val="auto"/>
              </w:rPr>
              <w:t>LTI Grant Agreement</w:t>
            </w:r>
          </w:p>
        </w:tc>
        <w:tc>
          <w:tcPr>
            <w:tcW w:w="1140" w:type="dxa"/>
            <w:vAlign w:val="bottom"/>
          </w:tcPr>
          <w:p>
            <w:pPr>
              <w:jc w:val="right"/>
              <w:spacing w:after="0"/>
              <w:rPr>
                <w:sz w:val="20"/>
                <w:szCs w:val="20"/>
                <w:color w:val="auto"/>
              </w:rPr>
            </w:pPr>
            <w:r>
              <w:rPr>
                <w:rFonts w:ascii="Arial" w:cs="Arial" w:eastAsia="Arial" w:hAnsi="Arial"/>
                <w:sz w:val="21"/>
                <w:szCs w:val="21"/>
                <w:color w:val="auto"/>
              </w:rPr>
              <w:t>4</w:t>
            </w:r>
          </w:p>
        </w:tc>
      </w:tr>
    </w:tbl>
    <w:p>
      <w:pPr>
        <w:sectPr>
          <w:pgSz w:w="11900" w:h="16838" w:orient="portrait"/>
          <w:cols w:equalWidth="0" w:num="1">
            <w:col w:w="11240"/>
          </w:cols>
          <w:pgMar w:left="320" w:top="1353" w:right="339" w:bottom="1440" w:gutter="0" w:footer="0" w:header="0"/>
        </w:sectPr>
      </w:pPr>
    </w:p>
    <w:bookmarkStart w:id="104" w:name="page105"/>
    <w:bookmarkEnd w:id="104"/>
    <w:p>
      <w:pPr>
        <w:jc w:val="both"/>
        <w:spacing w:after="0" w:line="245" w:lineRule="auto"/>
        <w:rPr>
          <w:sz w:val="20"/>
          <w:szCs w:val="20"/>
          <w:color w:val="auto"/>
        </w:rPr>
      </w:pPr>
      <w:r>
        <w:rPr>
          <w:rFonts w:ascii="Arial" w:cs="Arial" w:eastAsia="Arial" w:hAnsi="Arial"/>
          <w:sz w:val="19"/>
          <w:szCs w:val="19"/>
          <w:color w:val="auto"/>
        </w:rPr>
        <w:t>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Agreement to be construed so as to foster the intent of this Agreement and the Plan.</w:t>
      </w:r>
    </w:p>
    <w:p>
      <w:pPr>
        <w:spacing w:after="0" w:line="188" w:lineRule="exact"/>
        <w:rPr>
          <w:sz w:val="20"/>
          <w:szCs w:val="20"/>
          <w:color w:val="auto"/>
        </w:rPr>
      </w:pPr>
    </w:p>
    <w:p>
      <w:pPr>
        <w:ind w:firstLine="621"/>
        <w:spacing w:after="0" w:line="270" w:lineRule="auto"/>
        <w:tabs>
          <w:tab w:leader="none" w:pos="914" w:val="left"/>
        </w:tabs>
        <w:numPr>
          <w:ilvl w:val="0"/>
          <w:numId w:val="9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Successors</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binding upon and inure to the benefit of any successor or successors of the Company and any</w:t>
      </w:r>
      <w:r>
        <w:rPr>
          <w:rFonts w:ascii="Arial" w:cs="Arial" w:eastAsia="Arial" w:hAnsi="Arial"/>
          <w:sz w:val="19"/>
          <w:szCs w:val="19"/>
          <w:b w:val="1"/>
          <w:bCs w:val="1"/>
          <w:color w:val="auto"/>
        </w:rPr>
        <w:t xml:space="preserve"> </w:t>
      </w:r>
      <w:r>
        <w:rPr>
          <w:rFonts w:ascii="Arial" w:cs="Arial" w:eastAsia="Arial" w:hAnsi="Arial"/>
          <w:sz w:val="19"/>
          <w:szCs w:val="19"/>
          <w:color w:val="auto"/>
        </w:rPr>
        <w:t>person or persons who shall acquire any rights hereunder in accordance with this Agreement or the Plan.</w:t>
      </w:r>
    </w:p>
    <w:p>
      <w:pPr>
        <w:spacing w:after="0" w:line="165" w:lineRule="exact"/>
        <w:rPr>
          <w:rFonts w:ascii="Arial" w:cs="Arial" w:eastAsia="Arial" w:hAnsi="Arial"/>
          <w:sz w:val="19"/>
          <w:szCs w:val="19"/>
          <w:b w:val="1"/>
          <w:bCs w:val="1"/>
          <w:color w:val="auto"/>
        </w:rPr>
      </w:pPr>
    </w:p>
    <w:p>
      <w:pPr>
        <w:jc w:val="both"/>
        <w:ind w:firstLine="621"/>
        <w:spacing w:after="0" w:line="259" w:lineRule="auto"/>
        <w:tabs>
          <w:tab w:leader="none" w:pos="94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construed in accordance with, and its interpretation shall otherwise be</w:t>
      </w:r>
      <w:r>
        <w:rPr>
          <w:rFonts w:ascii="Arial" w:cs="Arial" w:eastAsia="Arial" w:hAnsi="Arial"/>
          <w:sz w:val="18"/>
          <w:szCs w:val="18"/>
          <w:b w:val="1"/>
          <w:bCs w:val="1"/>
          <w:color w:val="auto"/>
        </w:rPr>
        <w:t xml:space="preserve"> </w:t>
      </w:r>
      <w:r>
        <w:rPr>
          <w:rFonts w:ascii="Arial" w:cs="Arial" w:eastAsia="Arial" w:hAnsi="Arial"/>
          <w:sz w:val="18"/>
          <w:szCs w:val="18"/>
          <w:color w:val="auto"/>
        </w:rPr>
        <w:t>governed by, New Jersey law. Each party irrevocably agrees that any legal proceeding arising out of, or relating to the subject matter of, this Agreement shall be brought in the Superior Court of New Jersey in Camden County or the United States District Court for the District of New Jersey located in Camden, New Jersey. Each party irrevocably consents to such jurisdiction and venue.</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WITNESS WHEREOF, the Company has caused this Agreement to be executed by a duly authorized executive all as of the Grant Date.</w:t>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CAMPBELL SOUP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9"/>
          <w:szCs w:val="19"/>
          <w:color w:val="auto"/>
        </w:rPr>
        <w:t>By:</w:t>
      </w:r>
    </w:p>
    <w:p>
      <w:pPr>
        <w:spacing w:after="0" w:line="230" w:lineRule="auto"/>
        <w:rPr>
          <w:sz w:val="20"/>
          <w:szCs w:val="20"/>
          <w:color w:val="auto"/>
        </w:rPr>
      </w:pPr>
      <w:r>
        <w:rPr>
          <w:rFonts w:ascii="Arial" w:cs="Arial" w:eastAsia="Arial" w:hAnsi="Arial"/>
          <w:sz w:val="19"/>
          <w:szCs w:val="19"/>
          <w:color w:val="auto"/>
        </w:rPr>
        <w:t>Diane Johnson May</w:t>
      </w:r>
    </w:p>
    <w:p>
      <w:pPr>
        <w:spacing w:after="0"/>
        <w:rPr>
          <w:sz w:val="20"/>
          <w:szCs w:val="20"/>
          <w:color w:val="auto"/>
        </w:rPr>
      </w:pPr>
      <w:r>
        <w:rPr>
          <w:rFonts w:ascii="Arial" w:cs="Arial" w:eastAsia="Arial" w:hAnsi="Arial"/>
          <w:sz w:val="19"/>
          <w:szCs w:val="19"/>
          <w:color w:val="auto"/>
        </w:rPr>
        <w:t>Executive Vice President and Chief Human</w:t>
      </w:r>
    </w:p>
    <w:p>
      <w:pPr>
        <w:ind w:left="3720"/>
        <w:spacing w:after="0"/>
        <w:rPr>
          <w:sz w:val="20"/>
          <w:szCs w:val="20"/>
          <w:color w:val="auto"/>
        </w:rPr>
      </w:pPr>
      <w:r>
        <w:rPr>
          <w:rFonts w:ascii="Arial" w:cs="Arial" w:eastAsia="Arial" w:hAnsi="Arial"/>
          <w:sz w:val="19"/>
          <w:szCs w:val="19"/>
          <w:color w:val="auto"/>
        </w:rPr>
        <w:t>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820" w:type="dxa"/>
            <w:vAlign w:val="bottom"/>
          </w:tcPr>
          <w:p>
            <w:pPr>
              <w:spacing w:after="0"/>
              <w:rPr>
                <w:sz w:val="20"/>
                <w:szCs w:val="20"/>
                <w:color w:val="auto"/>
              </w:rPr>
            </w:pPr>
            <w:r>
              <w:rPr>
                <w:rFonts w:ascii="Arial" w:cs="Arial" w:eastAsia="Arial" w:hAnsi="Arial"/>
                <w:sz w:val="21"/>
                <w:szCs w:val="21"/>
                <w:color w:val="auto"/>
              </w:rPr>
              <w:t>LTI Grant Agreement</w:t>
            </w:r>
          </w:p>
        </w:tc>
        <w:tc>
          <w:tcPr>
            <w:tcW w:w="1140" w:type="dxa"/>
            <w:vAlign w:val="bottom"/>
          </w:tcPr>
          <w:p>
            <w:pPr>
              <w:jc w:val="right"/>
              <w:spacing w:after="0"/>
              <w:rPr>
                <w:sz w:val="20"/>
                <w:szCs w:val="20"/>
                <w:color w:val="auto"/>
              </w:rPr>
            </w:pPr>
            <w:r>
              <w:rPr>
                <w:rFonts w:ascii="Arial" w:cs="Arial" w:eastAsia="Arial" w:hAnsi="Arial"/>
                <w:sz w:val="21"/>
                <w:szCs w:val="21"/>
                <w:color w:val="auto"/>
              </w:rPr>
              <w:t>5</w:t>
            </w:r>
          </w:p>
        </w:tc>
      </w:tr>
    </w:tbl>
    <w:p>
      <w:pPr>
        <w:sectPr>
          <w:pgSz w:w="11900" w:h="16838" w:orient="portrait"/>
          <w:cols w:equalWidth="0" w:num="1">
            <w:col w:w="11240"/>
          </w:cols>
          <w:pgMar w:left="320" w:top="1359" w:right="339" w:bottom="1440" w:gutter="0" w:footer="0" w:header="0"/>
        </w:sectPr>
      </w:pPr>
    </w:p>
    <w:bookmarkStart w:id="105" w:name="page106"/>
    <w:bookmarkEnd w:id="105"/>
    <w:p>
      <w:pPr>
        <w:spacing w:after="0" w:line="141"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EXHIBIT 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NON-COMPETITION AND RESTRICTIVE COVENANTS AGREEMENT</w:t>
      </w:r>
    </w:p>
    <w:p>
      <w:pPr>
        <w:jc w:val="center"/>
        <w:spacing w:after="0"/>
        <w:rPr>
          <w:sz w:val="20"/>
          <w:szCs w:val="20"/>
          <w:color w:val="auto"/>
        </w:rPr>
      </w:pPr>
      <w:r>
        <w:rPr>
          <w:rFonts w:ascii="Arial" w:cs="Arial" w:eastAsia="Arial" w:hAnsi="Arial"/>
          <w:sz w:val="21"/>
          <w:szCs w:val="21"/>
          <w:b w:val="1"/>
          <w:bCs w:val="1"/>
          <w:color w:val="auto"/>
        </w:rPr>
        <w:t>(LONG-TERM INCENTIVE PROGRAM)</w:t>
      </w:r>
    </w:p>
    <w:p>
      <w:pPr>
        <w:spacing w:after="0" w:line="204" w:lineRule="exact"/>
        <w:rPr>
          <w:sz w:val="20"/>
          <w:szCs w:val="20"/>
          <w:color w:val="auto"/>
        </w:rPr>
      </w:pPr>
    </w:p>
    <w:p>
      <w:pPr>
        <w:jc w:val="both"/>
        <w:ind w:firstLine="618"/>
        <w:spacing w:after="0" w:line="239" w:lineRule="auto"/>
        <w:rPr>
          <w:sz w:val="20"/>
          <w:szCs w:val="20"/>
          <w:color w:val="auto"/>
        </w:rPr>
      </w:pPr>
      <w:r>
        <w:rPr>
          <w:rFonts w:ascii="Arial" w:cs="Arial" w:eastAsia="Arial" w:hAnsi="Arial"/>
          <w:sz w:val="21"/>
          <w:szCs w:val="21"/>
          <w:color w:val="auto"/>
        </w:rPr>
        <w:t>This Non-Competition and Restrictive Covenants Agreement (“RCA”) is made by and between Campbell Soup Company (“Campbell”) and [Employee Full Legal Name] (“Employee”).</w:t>
      </w:r>
    </w:p>
    <w:p>
      <w:pPr>
        <w:spacing w:after="0" w:line="1"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18"/>
          <w:szCs w:val="18"/>
          <w:color w:val="auto"/>
        </w:rPr>
        <w:t>Employee has been selected to receive a Long-Term Incentive (“LTI”) award under the Campbell Soup Company 2022 Long-Term Incentive Plan (“Plan”). Employee understands and agrees that in consideration of the LTI award and as a precondition of accepting the LTI award, Employee must read and accept the terms and conditions of this RCA. Employee understands and agrees that if Employee does not accept and refuses to agree to this RCA within 90 days of being notified of the LTI award, the Compensation and Organization Committee of Campbell’s Board of Directors (“Committee”) shall, in its sole discretion, cancel the grant.</w:t>
      </w:r>
    </w:p>
    <w:p>
      <w:pPr>
        <w:spacing w:after="0" w:line="3" w:lineRule="exact"/>
        <w:rPr>
          <w:sz w:val="20"/>
          <w:szCs w:val="20"/>
          <w:color w:val="auto"/>
        </w:rPr>
      </w:pPr>
    </w:p>
    <w:p>
      <w:pPr>
        <w:jc w:val="both"/>
        <w:ind w:firstLine="618"/>
        <w:spacing w:after="0" w:line="230" w:lineRule="auto"/>
        <w:rPr>
          <w:sz w:val="20"/>
          <w:szCs w:val="20"/>
          <w:color w:val="auto"/>
        </w:rPr>
      </w:pPr>
      <w:r>
        <w:rPr>
          <w:rFonts w:ascii="Arial" w:cs="Arial" w:eastAsia="Arial" w:hAnsi="Arial"/>
          <w:sz w:val="21"/>
          <w:szCs w:val="21"/>
          <w:color w:val="auto"/>
        </w:rPr>
        <w:t>In consideration of the respective agreements of the parties contained in this RCA, intending to be legally bound and subject to the terms and conditions stated in this RCA, it is agreed as follows:</w:t>
      </w:r>
    </w:p>
    <w:p>
      <w:pPr>
        <w:ind w:left="820" w:hanging="199"/>
        <w:spacing w:after="0" w:line="231" w:lineRule="auto"/>
        <w:tabs>
          <w:tab w:leader="none" w:pos="820" w:val="left"/>
        </w:tabs>
        <w:numPr>
          <w:ilvl w:val="0"/>
          <w:numId w:val="9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Confidential Information</w:t>
      </w:r>
      <w:r>
        <w:rPr>
          <w:rFonts w:ascii="Arial" w:cs="Arial" w:eastAsia="Arial" w:hAnsi="Arial"/>
          <w:sz w:val="21"/>
          <w:szCs w:val="21"/>
          <w:color w:val="auto"/>
        </w:rPr>
        <w:t>.</w:t>
      </w:r>
    </w:p>
    <w:p>
      <w:pPr>
        <w:jc w:val="both"/>
        <w:ind w:firstLine="1239"/>
        <w:spacing w:after="0" w:line="228" w:lineRule="auto"/>
        <w:tabs>
          <w:tab w:leader="none" w:pos="1612" w:val="left"/>
        </w:tabs>
        <w:numPr>
          <w:ilvl w:val="1"/>
          <w:numId w:val="94"/>
        </w:numPr>
        <w:rPr>
          <w:rFonts w:ascii="Arial" w:cs="Arial" w:eastAsia="Arial" w:hAnsi="Arial"/>
          <w:sz w:val="21"/>
          <w:szCs w:val="21"/>
          <w:color w:val="auto"/>
        </w:rPr>
      </w:pPr>
      <w:r>
        <w:rPr>
          <w:rFonts w:ascii="Arial" w:cs="Arial" w:eastAsia="Arial" w:hAnsi="Arial"/>
          <w:sz w:val="21"/>
          <w:szCs w:val="21"/>
          <w:color w:val="auto"/>
        </w:rPr>
        <w:t>During Employee’s employment with Campbell or its subsidiaries or affiliates, or their successors or assigns, whether existing now or in the future (collectively “Campbell Companies”), Employee will receive and have access to confidential proprietary information about Campbell Companies (“Information”) and its business, including but not limited to information about costs, profits, sales, marketing or business plans, existing or prospective customers, suppliers, possible acquisitions or divestitures, potential new products or markets, personnel, know-how, formulae, recipes, processes, equipment, discoveries, inventions, research, technical or scientific information, and other data not available to the public, none of which is part of the general knowledge of the industry.</w:t>
      </w:r>
    </w:p>
    <w:p>
      <w:pPr>
        <w:spacing w:after="0" w:line="3" w:lineRule="exact"/>
        <w:rPr>
          <w:rFonts w:ascii="Arial" w:cs="Arial" w:eastAsia="Arial" w:hAnsi="Arial"/>
          <w:sz w:val="21"/>
          <w:szCs w:val="21"/>
          <w:color w:val="auto"/>
        </w:rPr>
      </w:pPr>
    </w:p>
    <w:p>
      <w:pPr>
        <w:jc w:val="both"/>
        <w:ind w:firstLine="1239"/>
        <w:spacing w:after="0" w:line="241" w:lineRule="auto"/>
        <w:tabs>
          <w:tab w:leader="none" w:pos="1575" w:val="left"/>
        </w:tabs>
        <w:numPr>
          <w:ilvl w:val="1"/>
          <w:numId w:val="94"/>
        </w:numPr>
        <w:rPr>
          <w:rFonts w:ascii="Arial" w:cs="Arial" w:eastAsia="Arial" w:hAnsi="Arial"/>
          <w:sz w:val="20"/>
          <w:szCs w:val="20"/>
          <w:color w:val="auto"/>
        </w:rPr>
      </w:pPr>
      <w:r>
        <w:rPr>
          <w:rFonts w:ascii="Arial" w:cs="Arial" w:eastAsia="Arial" w:hAnsi="Arial"/>
          <w:sz w:val="20"/>
          <w:szCs w:val="20"/>
          <w:color w:val="auto"/>
        </w:rPr>
        <w:t>During and after Employee’s employment with Campbell Companies (“Employee’s employment”), Employee will not disclose, use, or appropriate Information for his/her own use or for the use of others, directly or indirectly, except as required in the performance of Employee’s duties to Campbell Companies. Employee recognizes that any unauthorized disclosure, use, or appropriation of Information would be highly prejudicial to Campbell Companies.</w:t>
      </w:r>
    </w:p>
    <w:p>
      <w:pPr>
        <w:spacing w:after="0" w:line="3" w:lineRule="exact"/>
        <w:rPr>
          <w:rFonts w:ascii="Arial" w:cs="Arial" w:eastAsia="Arial" w:hAnsi="Arial"/>
          <w:sz w:val="20"/>
          <w:szCs w:val="20"/>
          <w:color w:val="auto"/>
        </w:rPr>
      </w:pPr>
    </w:p>
    <w:p>
      <w:pPr>
        <w:jc w:val="both"/>
        <w:ind w:firstLine="1239"/>
        <w:spacing w:after="0" w:line="227" w:lineRule="auto"/>
        <w:tabs>
          <w:tab w:leader="none" w:pos="1562" w:val="left"/>
        </w:tabs>
        <w:numPr>
          <w:ilvl w:val="1"/>
          <w:numId w:val="94"/>
        </w:numPr>
        <w:rPr>
          <w:rFonts w:ascii="Arial" w:cs="Arial" w:eastAsia="Arial" w:hAnsi="Arial"/>
          <w:sz w:val="21"/>
          <w:szCs w:val="21"/>
          <w:color w:val="auto"/>
        </w:rPr>
      </w:pPr>
      <w:r>
        <w:rPr>
          <w:rFonts w:ascii="Arial" w:cs="Arial" w:eastAsia="Arial" w:hAnsi="Arial"/>
          <w:sz w:val="21"/>
          <w:szCs w:val="21"/>
          <w:color w:val="auto"/>
        </w:rPr>
        <w:t>In the event that Employee’s employment terminates for any reason, Employee shall deliver to Campbell Companies, upon request or before Employee’s last day of employment, all originals and copies of files, writings, reports, memoranda, diaries, notebooks, notes of meetings or presentations, data, electronic files and data, drawings, charts, photographs, slides, patents, or any other form of record which contains Information created or produced for, at the direction of or by Campbell Companies, or its employees or agents.</w:t>
      </w:r>
    </w:p>
    <w:p>
      <w:pPr>
        <w:spacing w:after="0" w:line="4" w:lineRule="exact"/>
        <w:rPr>
          <w:rFonts w:ascii="Arial" w:cs="Arial" w:eastAsia="Arial" w:hAnsi="Arial"/>
          <w:sz w:val="21"/>
          <w:szCs w:val="21"/>
          <w:color w:val="auto"/>
        </w:rPr>
      </w:pPr>
    </w:p>
    <w:p>
      <w:pPr>
        <w:jc w:val="both"/>
        <w:ind w:firstLine="1239"/>
        <w:spacing w:after="0" w:line="262" w:lineRule="auto"/>
        <w:tabs>
          <w:tab w:leader="none" w:pos="1599" w:val="left"/>
        </w:tabs>
        <w:numPr>
          <w:ilvl w:val="1"/>
          <w:numId w:val="94"/>
        </w:numPr>
        <w:rPr>
          <w:rFonts w:ascii="Arial" w:cs="Arial" w:eastAsia="Arial" w:hAnsi="Arial"/>
          <w:sz w:val="19"/>
          <w:szCs w:val="19"/>
          <w:color w:val="auto"/>
        </w:rPr>
      </w:pPr>
      <w:r>
        <w:rPr>
          <w:rFonts w:ascii="Arial" w:cs="Arial" w:eastAsia="Arial" w:hAnsi="Arial"/>
          <w:sz w:val="19"/>
          <w:szCs w:val="19"/>
          <w:color w:val="auto"/>
        </w:rPr>
        <w:t>Nothing in this RCA prohibits Employee from reporting possible violations of federal law or regulation to any governmental agency or entity, including but not limited to the Department of Justice, the Securities and Exchange Commission, the Congress, and any agency Inspector General, or making other disclosures that are protected under the whistleblower provisions of state or federal law or regulation. Employees does not need the prior authorization of Campbell to make any such reports or disclosures and employee is am not required to notify Campbell that Employee has made such reports or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820" w:type="dxa"/>
            <w:vAlign w:val="bottom"/>
          </w:tcPr>
          <w:p>
            <w:pPr>
              <w:spacing w:after="0"/>
              <w:rPr>
                <w:sz w:val="20"/>
                <w:szCs w:val="20"/>
                <w:color w:val="auto"/>
              </w:rPr>
            </w:pPr>
            <w:r>
              <w:rPr>
                <w:rFonts w:ascii="Arial" w:cs="Arial" w:eastAsia="Arial" w:hAnsi="Arial"/>
                <w:sz w:val="21"/>
                <w:szCs w:val="21"/>
                <w:color w:val="auto"/>
              </w:rPr>
              <w:t>LTI Grant Agreement</w:t>
            </w:r>
          </w:p>
        </w:tc>
        <w:tc>
          <w:tcPr>
            <w:tcW w:w="1140" w:type="dxa"/>
            <w:vAlign w:val="bottom"/>
          </w:tcPr>
          <w:p>
            <w:pPr>
              <w:jc w:val="right"/>
              <w:spacing w:after="0"/>
              <w:rPr>
                <w:sz w:val="20"/>
                <w:szCs w:val="20"/>
                <w:color w:val="auto"/>
              </w:rPr>
            </w:pPr>
            <w:r>
              <w:rPr>
                <w:rFonts w:ascii="Arial" w:cs="Arial" w:eastAsia="Arial" w:hAnsi="Arial"/>
                <w:sz w:val="21"/>
                <w:szCs w:val="21"/>
                <w:color w:val="auto"/>
              </w:rPr>
              <w:t>6</w:t>
            </w:r>
          </w:p>
        </w:tc>
      </w:tr>
    </w:tbl>
    <w:p>
      <w:pPr>
        <w:sectPr>
          <w:pgSz w:w="11900" w:h="16838" w:orient="portrait"/>
          <w:cols w:equalWidth="0" w:num="1">
            <w:col w:w="11240"/>
          </w:cols>
          <w:pgMar w:left="320" w:top="1440" w:right="339" w:bottom="1440" w:gutter="0" w:footer="0" w:header="0"/>
        </w:sectPr>
      </w:pPr>
    </w:p>
    <w:bookmarkStart w:id="106" w:name="page107"/>
    <w:bookmarkEnd w:id="106"/>
    <w:p>
      <w:pPr>
        <w:jc w:val="both"/>
        <w:ind w:firstLine="621"/>
        <w:spacing w:after="0" w:line="235" w:lineRule="auto"/>
        <w:tabs>
          <w:tab w:leader="none" w:pos="824" w:val="left"/>
        </w:tabs>
        <w:numPr>
          <w:ilvl w:val="0"/>
          <w:numId w:val="9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Business Diversion</w:t>
      </w:r>
      <w:r>
        <w:rPr>
          <w:rFonts w:ascii="Arial" w:cs="Arial" w:eastAsia="Arial" w:hAnsi="Arial"/>
          <w:sz w:val="21"/>
          <w:szCs w:val="21"/>
          <w:color w:val="auto"/>
        </w:rPr>
        <w:t>. During Employee’s employment, and for a period of 12 months thereafter following the termination</w:t>
      </w:r>
      <w:r>
        <w:rPr>
          <w:rFonts w:ascii="Arial" w:cs="Arial" w:eastAsia="Arial" w:hAnsi="Arial"/>
          <w:sz w:val="21"/>
          <w:szCs w:val="21"/>
          <w:b w:val="1"/>
          <w:bCs w:val="1"/>
          <w:color w:val="auto"/>
        </w:rPr>
        <w:t xml:space="preserve"> </w:t>
      </w:r>
      <w:r>
        <w:rPr>
          <w:rFonts w:ascii="Arial" w:cs="Arial" w:eastAsia="Arial" w:hAnsi="Arial"/>
          <w:sz w:val="21"/>
          <w:szCs w:val="21"/>
          <w:color w:val="auto"/>
        </w:rPr>
        <w:t>of Employee’s employment (for any reason), Employee will not, without the written consent of Campbell’s General Counsel, directly or indirectly, solicit, divert or take away, or attempt to solicit, divert or take away, any customers, business or suppliers of Campbell Companies whom Employee serviced, called upon, or solicited during Employee’s employment, or with whom Employee became acquainted as a result of Employee’s employment.</w:t>
      </w:r>
    </w:p>
    <w:p>
      <w:pPr>
        <w:jc w:val="both"/>
        <w:ind w:firstLine="621"/>
        <w:spacing w:after="0" w:line="228" w:lineRule="auto"/>
        <w:tabs>
          <w:tab w:leader="none" w:pos="876" w:val="left"/>
        </w:tabs>
        <w:numPr>
          <w:ilvl w:val="0"/>
          <w:numId w:val="9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Employee Solicitation</w:t>
      </w:r>
      <w:r>
        <w:rPr>
          <w:rFonts w:ascii="Arial" w:cs="Arial" w:eastAsia="Arial" w:hAnsi="Arial"/>
          <w:sz w:val="21"/>
          <w:szCs w:val="21"/>
          <w:color w:val="auto"/>
        </w:rPr>
        <w:t>. During Employee’s employment, and for a period of 12 months thereafter following the</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termination of Employee’s employment (for any reason), Employee will not, without the written consent of Campbell’s General Counsel, directly or indirectly, solicit, hire, interfere with, attempt to entice away from Campbell Companies, or recommend for employment outside Campbell Companies, any individual who is employed by Campbell Companies at the time of such solicitation, hiring, interference, or enticement or who voluntarily terminated his/her employment by Campbell Companies within six months of such solicitation, hiring, interference, or enticement.</w:t>
      </w:r>
    </w:p>
    <w:p>
      <w:pPr>
        <w:spacing w:after="0" w:line="1" w:lineRule="exact"/>
        <w:rPr>
          <w:rFonts w:ascii="Arial" w:cs="Arial" w:eastAsia="Arial" w:hAnsi="Arial"/>
          <w:sz w:val="21"/>
          <w:szCs w:val="21"/>
          <w:b w:val="1"/>
          <w:bCs w:val="1"/>
          <w:color w:val="auto"/>
        </w:rPr>
      </w:pPr>
    </w:p>
    <w:p>
      <w:pPr>
        <w:ind w:left="820" w:hanging="199"/>
        <w:spacing w:after="0"/>
        <w:tabs>
          <w:tab w:leader="none" w:pos="820" w:val="left"/>
        </w:tabs>
        <w:numPr>
          <w:ilvl w:val="0"/>
          <w:numId w:val="9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Non-Competition</w:t>
      </w:r>
      <w:r>
        <w:rPr>
          <w:rFonts w:ascii="Arial" w:cs="Arial" w:eastAsia="Arial" w:hAnsi="Arial"/>
          <w:sz w:val="21"/>
          <w:szCs w:val="21"/>
          <w:color w:val="auto"/>
        </w:rPr>
        <w:t>.</w:t>
      </w:r>
      <w:r>
        <w:rPr>
          <w:rFonts w:ascii="Arial" w:cs="Arial" w:eastAsia="Arial" w:hAnsi="Arial"/>
          <w:sz w:val="21"/>
          <w:szCs w:val="21"/>
          <w:color w:val="0000FF"/>
        </w:rPr>
        <w:t>*</w:t>
      </w:r>
    </w:p>
    <w:p>
      <w:pPr>
        <w:spacing w:after="0" w:line="204" w:lineRule="exact"/>
        <w:rPr>
          <w:rFonts w:ascii="Arial" w:cs="Arial" w:eastAsia="Arial" w:hAnsi="Arial"/>
          <w:sz w:val="21"/>
          <w:szCs w:val="21"/>
          <w:b w:val="1"/>
          <w:bCs w:val="1"/>
          <w:color w:val="auto"/>
        </w:rPr>
      </w:pPr>
    </w:p>
    <w:p>
      <w:pPr>
        <w:jc w:val="both"/>
        <w:ind w:firstLine="1239"/>
        <w:spacing w:after="0" w:line="242" w:lineRule="auto"/>
        <w:tabs>
          <w:tab w:leader="none" w:pos="1574" w:val="left"/>
        </w:tabs>
        <w:numPr>
          <w:ilvl w:val="1"/>
          <w:numId w:val="95"/>
        </w:numPr>
        <w:rPr>
          <w:rFonts w:ascii="Arial" w:cs="Arial" w:eastAsia="Arial" w:hAnsi="Arial"/>
          <w:sz w:val="20"/>
          <w:szCs w:val="20"/>
          <w:color w:val="auto"/>
        </w:rPr>
      </w:pPr>
      <w:r>
        <w:rPr>
          <w:rFonts w:ascii="Arial" w:cs="Arial" w:eastAsia="Arial" w:hAnsi="Arial"/>
          <w:sz w:val="20"/>
          <w:szCs w:val="20"/>
          <w:color w:val="auto"/>
        </w:rPr>
        <w:t>During Employee’s employment, and for a period of 12 months thereafter following the termination of Employee’s employment (for any reason), Employee will not, without the written consent of Campbell’s General Counsel, directly or indirectly, own, advise, manage, operate, join, control, receive compensation or benefits from, or participate in the ownership, management, operation, or control of, or be employed or be otherwise connected in any manner with, any business which directly or indirectly competes (as defined in sub-paragraph 4(b)) with, in any part of the world, the business of Campbell Companies, as conducted or planned by Campbell Companies during Employee’s employment (the “Non-Compete Period”).</w:t>
      </w:r>
    </w:p>
    <w:p>
      <w:pPr>
        <w:spacing w:after="0" w:line="4" w:lineRule="exact"/>
        <w:rPr>
          <w:rFonts w:ascii="Arial" w:cs="Arial" w:eastAsia="Arial" w:hAnsi="Arial"/>
          <w:sz w:val="20"/>
          <w:szCs w:val="20"/>
          <w:color w:val="auto"/>
        </w:rPr>
      </w:pPr>
    </w:p>
    <w:p>
      <w:pPr>
        <w:jc w:val="both"/>
        <w:ind w:firstLine="1239"/>
        <w:spacing w:after="0" w:line="241" w:lineRule="auto"/>
        <w:tabs>
          <w:tab w:leader="none" w:pos="1562" w:val="left"/>
        </w:tabs>
        <w:numPr>
          <w:ilvl w:val="1"/>
          <w:numId w:val="95"/>
        </w:numPr>
        <w:rPr>
          <w:rFonts w:ascii="Arial" w:cs="Arial" w:eastAsia="Arial" w:hAnsi="Arial"/>
          <w:sz w:val="20"/>
          <w:szCs w:val="20"/>
          <w:color w:val="auto"/>
        </w:rPr>
      </w:pPr>
      <w:r>
        <w:rPr>
          <w:rFonts w:ascii="Arial" w:cs="Arial" w:eastAsia="Arial" w:hAnsi="Arial"/>
          <w:sz w:val="20"/>
          <w:szCs w:val="20"/>
          <w:color w:val="auto"/>
        </w:rPr>
        <w:t>“Competes” as used in this RCA means engages in, or plans to engage in, the development, production, manufacture, marketing, or selling of any product or service of any person, business or organization, other than Campbell Companies, which resemble or compete with a product or service of Campbell Companies (or a product or service which, to Employee’s knowledge, was under development by Campbell Companies) during Employee’s employment.</w:t>
      </w:r>
    </w:p>
    <w:p>
      <w:pPr>
        <w:spacing w:after="0" w:line="3" w:lineRule="exact"/>
        <w:rPr>
          <w:rFonts w:ascii="Arial" w:cs="Arial" w:eastAsia="Arial" w:hAnsi="Arial"/>
          <w:sz w:val="20"/>
          <w:szCs w:val="20"/>
          <w:color w:val="auto"/>
        </w:rPr>
      </w:pPr>
    </w:p>
    <w:p>
      <w:pPr>
        <w:jc w:val="both"/>
        <w:ind w:firstLine="1239"/>
        <w:spacing w:after="0" w:line="230" w:lineRule="auto"/>
        <w:tabs>
          <w:tab w:leader="none" w:pos="1562" w:val="left"/>
        </w:tabs>
        <w:numPr>
          <w:ilvl w:val="1"/>
          <w:numId w:val="95"/>
        </w:numPr>
        <w:rPr>
          <w:rFonts w:ascii="Arial" w:cs="Arial" w:eastAsia="Arial" w:hAnsi="Arial"/>
          <w:sz w:val="21"/>
          <w:szCs w:val="21"/>
          <w:color w:val="auto"/>
        </w:rPr>
      </w:pPr>
      <w:r>
        <w:rPr>
          <w:rFonts w:ascii="Arial" w:cs="Arial" w:eastAsia="Arial" w:hAnsi="Arial"/>
          <w:sz w:val="21"/>
          <w:szCs w:val="21"/>
          <w:color w:val="auto"/>
        </w:rPr>
        <w:t>Except as prohibited in paragraph 4(A), this RCA will not preclude Employee from ownership of less than 1% of the outstanding shares of any class of shares of any corporations listed on the New York Stock Exchange or the American Stock Exchange or quoted on NASDAQ.</w:t>
      </w:r>
    </w:p>
    <w:p>
      <w:pPr>
        <w:spacing w:after="0" w:line="1" w:lineRule="exact"/>
        <w:rPr>
          <w:rFonts w:ascii="Arial" w:cs="Arial" w:eastAsia="Arial" w:hAnsi="Arial"/>
          <w:sz w:val="21"/>
          <w:szCs w:val="21"/>
          <w:color w:val="auto"/>
        </w:rPr>
      </w:pPr>
    </w:p>
    <w:p>
      <w:pPr>
        <w:jc w:val="both"/>
        <w:ind w:firstLine="1239"/>
        <w:spacing w:after="0" w:line="226" w:lineRule="auto"/>
        <w:tabs>
          <w:tab w:leader="none" w:pos="1587" w:val="left"/>
        </w:tabs>
        <w:numPr>
          <w:ilvl w:val="1"/>
          <w:numId w:val="95"/>
        </w:numPr>
        <w:rPr>
          <w:rFonts w:ascii="Arial" w:cs="Arial" w:eastAsia="Arial" w:hAnsi="Arial"/>
          <w:sz w:val="21"/>
          <w:szCs w:val="21"/>
          <w:color w:val="auto"/>
        </w:rPr>
      </w:pPr>
      <w:r>
        <w:rPr>
          <w:rFonts w:ascii="Arial" w:cs="Arial" w:eastAsia="Arial" w:hAnsi="Arial"/>
          <w:sz w:val="21"/>
          <w:szCs w:val="21"/>
          <w:color w:val="auto"/>
        </w:rPr>
        <w:t>Employee acknowledges that any employment or relationship in violation of this RCA would necessarily require Employee to use or rely on Information to which Employee became privy during the course of Employee’s employment with Campbell Companies.</w:t>
      </w:r>
    </w:p>
    <w:p>
      <w:pPr>
        <w:jc w:val="both"/>
        <w:ind w:firstLine="1239"/>
        <w:spacing w:after="0" w:line="244" w:lineRule="auto"/>
        <w:tabs>
          <w:tab w:leader="none" w:pos="1551" w:val="left"/>
        </w:tabs>
        <w:numPr>
          <w:ilvl w:val="1"/>
          <w:numId w:val="95"/>
        </w:numPr>
        <w:rPr>
          <w:rFonts w:ascii="Arial" w:cs="Arial" w:eastAsia="Arial" w:hAnsi="Arial"/>
          <w:sz w:val="20"/>
          <w:szCs w:val="20"/>
          <w:color w:val="auto"/>
        </w:rPr>
      </w:pPr>
      <w:r>
        <w:rPr>
          <w:rFonts w:ascii="Arial" w:cs="Arial" w:eastAsia="Arial" w:hAnsi="Arial"/>
          <w:sz w:val="20"/>
          <w:szCs w:val="20"/>
          <w:color w:val="auto"/>
        </w:rPr>
        <w:t>Except where Employee’s employment is terminated by Campbell Companies “for cause” as defined in the Plan, or where Employee voluntarily terminates Employee’s employment by Campbell Companies, when Employee, despite his/her best efforts, is unable within ninety (90) days after the termination of Employee’s employment to secure other employment not violative of Employee’s obligations under this RCA, Employee will notify Campbell’s General Counsel by registered mail. Unless Campbell Companies notifies Employee in writing that it elects not to enforce paragraph 4 of this RCA, beginning ninety (90) days after termination of Employee’s employment, Campbell Companies shall provide to Employee payments during the Non-Compete Period equal to 100% of Employee’s base salary (exclusive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820" w:type="dxa"/>
            <w:vAlign w:val="bottom"/>
          </w:tcPr>
          <w:p>
            <w:pPr>
              <w:spacing w:after="0"/>
              <w:rPr>
                <w:sz w:val="20"/>
                <w:szCs w:val="20"/>
                <w:color w:val="auto"/>
              </w:rPr>
            </w:pPr>
            <w:r>
              <w:rPr>
                <w:rFonts w:ascii="Arial" w:cs="Arial" w:eastAsia="Arial" w:hAnsi="Arial"/>
                <w:sz w:val="21"/>
                <w:szCs w:val="21"/>
                <w:color w:val="auto"/>
              </w:rPr>
              <w:t>LTI Grant Agreement</w:t>
            </w:r>
          </w:p>
        </w:tc>
        <w:tc>
          <w:tcPr>
            <w:tcW w:w="1140" w:type="dxa"/>
            <w:vAlign w:val="bottom"/>
          </w:tcPr>
          <w:p>
            <w:pPr>
              <w:jc w:val="right"/>
              <w:spacing w:after="0"/>
              <w:rPr>
                <w:sz w:val="20"/>
                <w:szCs w:val="20"/>
                <w:color w:val="auto"/>
              </w:rPr>
            </w:pPr>
            <w:r>
              <w:rPr>
                <w:rFonts w:ascii="Arial" w:cs="Arial" w:eastAsia="Arial" w:hAnsi="Arial"/>
                <w:sz w:val="21"/>
                <w:szCs w:val="21"/>
                <w:color w:val="auto"/>
              </w:rPr>
              <w:t>7</w:t>
            </w:r>
          </w:p>
        </w:tc>
      </w:tr>
    </w:tbl>
    <w:p>
      <w:pPr>
        <w:sectPr>
          <w:pgSz w:w="11900" w:h="16838" w:orient="portrait"/>
          <w:cols w:equalWidth="0" w:num="1">
            <w:col w:w="11240"/>
          </w:cols>
          <w:pgMar w:left="320" w:top="1349" w:right="339" w:bottom="1440" w:gutter="0" w:footer="0" w:header="0"/>
        </w:sectPr>
      </w:pPr>
    </w:p>
    <w:bookmarkStart w:id="107" w:name="page108"/>
    <w:bookmarkEnd w:id="107"/>
    <w:p>
      <w:pPr>
        <w:jc w:val="both"/>
        <w:spacing w:after="0" w:line="234" w:lineRule="auto"/>
        <w:rPr>
          <w:sz w:val="20"/>
          <w:szCs w:val="20"/>
          <w:color w:val="auto"/>
        </w:rPr>
      </w:pPr>
      <w:r>
        <w:rPr>
          <w:rFonts w:ascii="Arial" w:cs="Arial" w:eastAsia="Arial" w:hAnsi="Arial"/>
          <w:sz w:val="21"/>
          <w:szCs w:val="21"/>
          <w:color w:val="auto"/>
        </w:rPr>
        <w:t>of commissions, bonuses, benefits, allowances, and any other form of compensation) which Employee had been receiving at the termination of Employee’s employment (the “Non-Compete Payments”). The Non-Compete Payments shall continue for as long as Campbell Companies elects to continue to enforce paragraph 4 of this RCA or until such time as Employee finds employment consistent with this RCA.</w:t>
      </w:r>
    </w:p>
    <w:p>
      <w:pPr>
        <w:spacing w:after="0" w:line="3" w:lineRule="exact"/>
        <w:rPr>
          <w:sz w:val="20"/>
          <w:szCs w:val="20"/>
          <w:color w:val="auto"/>
        </w:rPr>
      </w:pPr>
    </w:p>
    <w:p>
      <w:pPr>
        <w:jc w:val="both"/>
        <w:ind w:firstLine="1239"/>
        <w:spacing w:after="0" w:line="251" w:lineRule="auto"/>
        <w:tabs>
          <w:tab w:leader="none" w:pos="1552" w:val="left"/>
        </w:tabs>
        <w:numPr>
          <w:ilvl w:val="0"/>
          <w:numId w:val="96"/>
        </w:numPr>
        <w:rPr>
          <w:rFonts w:ascii="Arial" w:cs="Arial" w:eastAsia="Arial" w:hAnsi="Arial"/>
          <w:sz w:val="19"/>
          <w:szCs w:val="19"/>
          <w:color w:val="auto"/>
        </w:rPr>
      </w:pPr>
      <w:r>
        <w:rPr>
          <w:rFonts w:ascii="Arial" w:cs="Arial" w:eastAsia="Arial" w:hAnsi="Arial"/>
          <w:sz w:val="19"/>
          <w:szCs w:val="19"/>
          <w:color w:val="auto"/>
        </w:rPr>
        <w:t>As a condition of receiving the Non-Compete Payments, Employee will conscientiously seek employment and will inform Campbell Companies on a monthly basis, in a detailed written account, of all such efforts. Employee understands and agrees that Campbell Companies, in its sole discretion, may elect not to pay Employee for any month for which Employee does not provide an appropriate written account of efforts to secure employment. Additionally, upon obtaining employment consistent with this RCA, Employee will immediately notify Campbell Companies by registered mail, and the Non-Compete Payments shall cease.</w:t>
      </w:r>
    </w:p>
    <w:p>
      <w:pPr>
        <w:spacing w:after="0" w:line="3" w:lineRule="exact"/>
        <w:rPr>
          <w:rFonts w:ascii="Arial" w:cs="Arial" w:eastAsia="Arial" w:hAnsi="Arial"/>
          <w:sz w:val="19"/>
          <w:szCs w:val="19"/>
          <w:color w:val="auto"/>
        </w:rPr>
      </w:pPr>
    </w:p>
    <w:p>
      <w:pPr>
        <w:jc w:val="both"/>
        <w:ind w:firstLine="1239"/>
        <w:spacing w:after="0" w:line="230" w:lineRule="auto"/>
        <w:tabs>
          <w:tab w:leader="none" w:pos="1574" w:val="left"/>
        </w:tabs>
        <w:numPr>
          <w:ilvl w:val="0"/>
          <w:numId w:val="96"/>
        </w:numPr>
        <w:rPr>
          <w:rFonts w:ascii="Arial" w:cs="Arial" w:eastAsia="Arial" w:hAnsi="Arial"/>
          <w:sz w:val="21"/>
          <w:szCs w:val="21"/>
          <w:color w:val="auto"/>
        </w:rPr>
      </w:pPr>
      <w:r>
        <w:rPr>
          <w:rFonts w:ascii="Arial" w:cs="Arial" w:eastAsia="Arial" w:hAnsi="Arial"/>
          <w:sz w:val="21"/>
          <w:szCs w:val="21"/>
          <w:color w:val="auto"/>
        </w:rPr>
        <w:t>Notwithstanding the forgoing provisions, Campbell Companies, in its sole and absolute discretion, may discontinue the Non-Compete Payments at any time during the Non-Compete Period by releasing Employee of his/her obligations to Campbell Companies under this paragraph 4. The discontinuance by Campbell Companies of Non-Compete Payments shall have no impact on Employee’s other contractual obligations set forth in this RCA including, but not limited to, the post-employment obligations set forth in paragraphs 1-3.</w:t>
      </w:r>
    </w:p>
    <w:p>
      <w:pPr>
        <w:spacing w:after="0" w:line="1" w:lineRule="exact"/>
        <w:rPr>
          <w:rFonts w:ascii="Arial" w:cs="Arial" w:eastAsia="Arial" w:hAnsi="Arial"/>
          <w:sz w:val="21"/>
          <w:szCs w:val="21"/>
          <w:color w:val="auto"/>
        </w:rPr>
      </w:pPr>
    </w:p>
    <w:p>
      <w:pPr>
        <w:jc w:val="both"/>
        <w:ind w:firstLine="1239"/>
        <w:spacing w:after="0" w:line="284" w:lineRule="auto"/>
        <w:tabs>
          <w:tab w:leader="none" w:pos="1574" w:val="left"/>
        </w:tabs>
        <w:numPr>
          <w:ilvl w:val="0"/>
          <w:numId w:val="96"/>
        </w:numPr>
        <w:rPr>
          <w:rFonts w:ascii="Arial" w:cs="Arial" w:eastAsia="Arial" w:hAnsi="Arial"/>
          <w:sz w:val="19"/>
          <w:szCs w:val="19"/>
          <w:color w:val="auto"/>
        </w:rPr>
      </w:pPr>
      <w:r>
        <w:rPr>
          <w:rFonts w:ascii="Arial" w:cs="Arial" w:eastAsia="Arial" w:hAnsi="Arial"/>
          <w:sz w:val="19"/>
          <w:szCs w:val="19"/>
          <w:color w:val="auto"/>
        </w:rPr>
        <w:t>In the event that Employee’s employment is voluntarily terminated or terminated “for cause” as defined in the Plan, Employee shall be required to abide by all of the terms of this RCA including, but not limited to paragraphs 1- 4, without receiving</w:t>
      </w:r>
    </w:p>
    <w:p>
      <w:pPr>
        <w:spacing w:after="0" w:line="141" w:lineRule="exact"/>
        <w:rPr>
          <w:sz w:val="20"/>
          <w:szCs w:val="20"/>
          <w:color w:val="auto"/>
        </w:rPr>
      </w:pPr>
    </w:p>
    <w:p>
      <w:pPr>
        <w:jc w:val="both"/>
        <w:ind w:firstLine="621"/>
        <w:spacing w:after="0" w:line="259" w:lineRule="auto"/>
        <w:tabs>
          <w:tab w:leader="none" w:pos="824" w:val="left"/>
        </w:tabs>
        <w:numPr>
          <w:ilvl w:val="0"/>
          <w:numId w:val="9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Integration of Severance Pay</w:t>
      </w:r>
      <w:r>
        <w:rPr>
          <w:rFonts w:ascii="Arial" w:cs="Arial" w:eastAsia="Arial" w:hAnsi="Arial"/>
          <w:sz w:val="19"/>
          <w:szCs w:val="19"/>
          <w:color w:val="auto"/>
        </w:rPr>
        <w:t>. If Employee receives severance pay from Campbell Companies at the time of the termination</w:t>
      </w:r>
      <w:r>
        <w:rPr>
          <w:rFonts w:ascii="Arial" w:cs="Arial" w:eastAsia="Arial" w:hAnsi="Arial"/>
          <w:sz w:val="19"/>
          <w:szCs w:val="19"/>
          <w:b w:val="1"/>
          <w:bCs w:val="1"/>
          <w:color w:val="auto"/>
        </w:rPr>
        <w:t xml:space="preserve"> </w:t>
      </w:r>
      <w:r>
        <w:rPr>
          <w:rFonts w:ascii="Arial" w:cs="Arial" w:eastAsia="Arial" w:hAnsi="Arial"/>
          <w:sz w:val="19"/>
          <w:szCs w:val="19"/>
          <w:color w:val="auto"/>
        </w:rPr>
        <w:t>of Employee’s employment or at any time during the Non-Compete Period, whether under the terms of a severance pay policy or otherwise, the Non-Compete Payments, if any, otherwise payable to Employee under paragraph 4 of this RCA will be integrated with and offset by the severance pay. For the time during which Employee receives any amount of severance pay from Campbell Companies, the Non-Compete Payments, if any, otherwise payable under paragraph 4 of this RCA will be reduced, on a dollar-for-dollar basis (to an amount not less than zero), by the amount of severance pay paid to Employee during that time.</w:t>
      </w:r>
    </w:p>
    <w:p>
      <w:pPr>
        <w:ind w:left="820" w:hanging="199"/>
        <w:spacing w:after="0"/>
        <w:tabs>
          <w:tab w:leader="none" w:pos="820" w:val="left"/>
        </w:tabs>
        <w:numPr>
          <w:ilvl w:val="0"/>
          <w:numId w:val="9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Notice of Immunity Under the Defend Trade Secrets Act of 2016 (“DTSA”)</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 other provision of this</w:t>
      </w:r>
    </w:p>
    <w:p>
      <w:pPr>
        <w:spacing w:after="0" w:line="13" w:lineRule="exact"/>
        <w:rPr>
          <w:rFonts w:ascii="Arial" w:cs="Arial" w:eastAsia="Arial" w:hAnsi="Arial"/>
          <w:sz w:val="19"/>
          <w:szCs w:val="19"/>
          <w:b w:val="1"/>
          <w:bCs w:val="1"/>
          <w:color w:val="auto"/>
        </w:rPr>
      </w:pPr>
    </w:p>
    <w:p>
      <w:pPr>
        <w:spacing w:after="0" w:line="230" w:lineRule="auto"/>
        <w:rPr>
          <w:rFonts w:ascii="Arial" w:cs="Arial" w:eastAsia="Arial" w:hAnsi="Arial"/>
          <w:sz w:val="19"/>
          <w:szCs w:val="19"/>
          <w:b w:val="1"/>
          <w:bCs w:val="1"/>
          <w:color w:val="auto"/>
        </w:rPr>
      </w:pPr>
      <w:r>
        <w:rPr>
          <w:rFonts w:ascii="Arial" w:cs="Arial" w:eastAsia="Arial" w:hAnsi="Arial"/>
          <w:sz w:val="21"/>
          <w:szCs w:val="21"/>
          <w:color w:val="auto"/>
        </w:rPr>
        <w:t>RCA:</w:t>
      </w:r>
    </w:p>
    <w:p>
      <w:pPr>
        <w:jc w:val="both"/>
        <w:ind w:firstLine="1239"/>
        <w:spacing w:after="0" w:line="227" w:lineRule="auto"/>
        <w:tabs>
          <w:tab w:leader="none" w:pos="1574" w:val="left"/>
        </w:tabs>
        <w:numPr>
          <w:ilvl w:val="1"/>
          <w:numId w:val="97"/>
        </w:numPr>
        <w:rPr>
          <w:rFonts w:ascii="Arial" w:cs="Arial" w:eastAsia="Arial" w:hAnsi="Arial"/>
          <w:sz w:val="21"/>
          <w:szCs w:val="21"/>
          <w:color w:val="auto"/>
        </w:rPr>
      </w:pPr>
      <w:r>
        <w:rPr>
          <w:rFonts w:ascii="Arial" w:cs="Arial" w:eastAsia="Arial" w:hAnsi="Arial"/>
          <w:sz w:val="21"/>
          <w:szCs w:val="21"/>
          <w:color w:val="auto"/>
        </w:rPr>
        <w:t>Employee will not be held criminally or civilly liable under any federal or state trade secret law for any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that is filed under seal in a lawsuit or other proceeding.</w:t>
      </w:r>
    </w:p>
    <w:p>
      <w:pPr>
        <w:jc w:val="both"/>
        <w:ind w:firstLine="1239"/>
        <w:spacing w:after="0" w:line="230" w:lineRule="auto"/>
        <w:tabs>
          <w:tab w:leader="none" w:pos="1601" w:val="left"/>
        </w:tabs>
        <w:numPr>
          <w:ilvl w:val="1"/>
          <w:numId w:val="97"/>
        </w:numPr>
        <w:rPr>
          <w:rFonts w:ascii="Arial" w:cs="Arial" w:eastAsia="Arial" w:hAnsi="Arial"/>
          <w:sz w:val="21"/>
          <w:szCs w:val="21"/>
          <w:color w:val="auto"/>
        </w:rPr>
      </w:pPr>
      <w:r>
        <w:rPr>
          <w:rFonts w:ascii="Arial" w:cs="Arial" w:eastAsia="Arial" w:hAnsi="Arial"/>
          <w:sz w:val="21"/>
          <w:szCs w:val="21"/>
          <w:color w:val="auto"/>
        </w:rPr>
        <w:t>If Employee files a lawsuit for retaliation by Campbell Companies for reporting a suspected violation of law, Employee may disclose Campbell Companies’ trade secrets to Employee’s attorney and use the trade secret information in the court proceeding if Employee: (i) files any document containing the trade secret under seal; and (ii) does not disclose the trade secret, except pursuant to court order.</w:t>
      </w:r>
    </w:p>
    <w:p>
      <w:pPr>
        <w:spacing w:after="0" w:line="1" w:lineRule="exact"/>
        <w:rPr>
          <w:rFonts w:ascii="Arial" w:cs="Arial" w:eastAsia="Arial" w:hAnsi="Arial"/>
          <w:sz w:val="21"/>
          <w:szCs w:val="21"/>
          <w:color w:val="auto"/>
        </w:rPr>
      </w:pPr>
    </w:p>
    <w:p>
      <w:pPr>
        <w:ind w:left="820" w:hanging="199"/>
        <w:spacing w:after="0" w:line="230" w:lineRule="auto"/>
        <w:tabs>
          <w:tab w:leader="none" w:pos="820" w:val="left"/>
        </w:tabs>
        <w:numPr>
          <w:ilvl w:val="0"/>
          <w:numId w:val="9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Enforcement of RCA</w:t>
      </w:r>
      <w:r>
        <w:rPr>
          <w:rFonts w:ascii="Arial" w:cs="Arial" w:eastAsia="Arial" w:hAnsi="Arial"/>
          <w:sz w:val="21"/>
          <w:szCs w:val="21"/>
          <w:b w:val="1"/>
          <w:bCs w:val="1"/>
          <w:color w:val="auto"/>
        </w:rPr>
        <w:t>.</w:t>
      </w:r>
    </w:p>
    <w:p>
      <w:pPr>
        <w:jc w:val="both"/>
        <w:ind w:firstLine="1239"/>
        <w:spacing w:after="0" w:line="269" w:lineRule="auto"/>
        <w:tabs>
          <w:tab w:leader="none" w:pos="1599" w:val="left"/>
        </w:tabs>
        <w:numPr>
          <w:ilvl w:val="1"/>
          <w:numId w:val="97"/>
        </w:numPr>
        <w:rPr>
          <w:rFonts w:ascii="Arial" w:cs="Arial" w:eastAsia="Arial" w:hAnsi="Arial"/>
          <w:sz w:val="19"/>
          <w:szCs w:val="19"/>
          <w:color w:val="auto"/>
        </w:rPr>
      </w:pPr>
      <w:r>
        <w:rPr>
          <w:rFonts w:ascii="Arial" w:cs="Arial" w:eastAsia="Arial" w:hAnsi="Arial"/>
          <w:sz w:val="19"/>
          <w:szCs w:val="19"/>
          <w:color w:val="auto"/>
        </w:rPr>
        <w:t>Employee agrees that the restrictions in this RCA are necessary to protect the legitimate interests of Campbell Companies, and impose no undue hardship on Employee. Employee further agrees that the breach or threatened breach of any provision of this RCA will result in irreparable injury to Campbell Companies, for which there is no adequate remedy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820" w:type="dxa"/>
            <w:vAlign w:val="bottom"/>
          </w:tcPr>
          <w:p>
            <w:pPr>
              <w:spacing w:after="0"/>
              <w:rPr>
                <w:sz w:val="20"/>
                <w:szCs w:val="20"/>
                <w:color w:val="auto"/>
              </w:rPr>
            </w:pPr>
            <w:r>
              <w:rPr>
                <w:rFonts w:ascii="Arial" w:cs="Arial" w:eastAsia="Arial" w:hAnsi="Arial"/>
                <w:sz w:val="21"/>
                <w:szCs w:val="21"/>
                <w:color w:val="auto"/>
              </w:rPr>
              <w:t>LTI Grant Agreement</w:t>
            </w:r>
          </w:p>
        </w:tc>
        <w:tc>
          <w:tcPr>
            <w:tcW w:w="1140" w:type="dxa"/>
            <w:vAlign w:val="bottom"/>
          </w:tcPr>
          <w:p>
            <w:pPr>
              <w:jc w:val="right"/>
              <w:spacing w:after="0"/>
              <w:rPr>
                <w:sz w:val="20"/>
                <w:szCs w:val="20"/>
                <w:color w:val="auto"/>
              </w:rPr>
            </w:pPr>
            <w:r>
              <w:rPr>
                <w:rFonts w:ascii="Arial" w:cs="Arial" w:eastAsia="Arial" w:hAnsi="Arial"/>
                <w:sz w:val="21"/>
                <w:szCs w:val="21"/>
                <w:color w:val="auto"/>
              </w:rPr>
              <w:t>8</w:t>
            </w:r>
          </w:p>
        </w:tc>
      </w:tr>
    </w:tbl>
    <w:p>
      <w:pPr>
        <w:sectPr>
          <w:pgSz w:w="11900" w:h="16838" w:orient="portrait"/>
          <w:cols w:equalWidth="0" w:num="1">
            <w:col w:w="11240"/>
          </w:cols>
          <w:pgMar w:left="320" w:top="1355" w:right="339" w:bottom="1440" w:gutter="0" w:footer="0" w:header="0"/>
        </w:sectPr>
      </w:pPr>
    </w:p>
    <w:bookmarkStart w:id="108" w:name="page109"/>
    <w:bookmarkEnd w:id="108"/>
    <w:p>
      <w:pPr>
        <w:jc w:val="both"/>
        <w:spacing w:after="0" w:line="258" w:lineRule="auto"/>
        <w:rPr>
          <w:sz w:val="20"/>
          <w:szCs w:val="20"/>
          <w:color w:val="auto"/>
        </w:rPr>
      </w:pPr>
      <w:r>
        <w:rPr>
          <w:rFonts w:ascii="Arial" w:cs="Arial" w:eastAsia="Arial" w:hAnsi="Arial"/>
          <w:sz w:val="19"/>
          <w:szCs w:val="19"/>
          <w:color w:val="auto"/>
        </w:rPr>
        <w:t>law. Employee consents to the issuance of any restraining or preliminary restraining order or injunction which arises from, directly or indirectly, any use, disclosure, or conduct by Employee in violation of this RCA without the need for the posting of a bond. Employee agrees that, if Campbell Companies prevail in any suit or proceeding under this RCA, Employee will pay Campbell Companies all of Campbell Companies’ attorney fees, costs, and expenses incurred in connection with such suit or proceeding or the enforcement of Campbell Companies’ rights under this RCA, regardless of whether the scope of the no-compete is reformed by the court.</w:t>
      </w:r>
    </w:p>
    <w:p>
      <w:pPr>
        <w:spacing w:after="0" w:line="3" w:lineRule="exact"/>
        <w:rPr>
          <w:sz w:val="20"/>
          <w:szCs w:val="20"/>
          <w:color w:val="auto"/>
        </w:rPr>
      </w:pPr>
    </w:p>
    <w:p>
      <w:pPr>
        <w:jc w:val="both"/>
        <w:ind w:firstLine="1239"/>
        <w:spacing w:after="0" w:line="227" w:lineRule="auto"/>
        <w:tabs>
          <w:tab w:leader="none" w:pos="1562" w:val="left"/>
        </w:tabs>
        <w:numPr>
          <w:ilvl w:val="2"/>
          <w:numId w:val="98"/>
        </w:numPr>
        <w:rPr>
          <w:rFonts w:ascii="Arial" w:cs="Arial" w:eastAsia="Arial" w:hAnsi="Arial"/>
          <w:sz w:val="21"/>
          <w:szCs w:val="21"/>
          <w:color w:val="auto"/>
        </w:rPr>
      </w:pPr>
      <w:r>
        <w:rPr>
          <w:rFonts w:ascii="Arial" w:cs="Arial" w:eastAsia="Arial" w:hAnsi="Arial"/>
          <w:sz w:val="21"/>
          <w:szCs w:val="21"/>
          <w:color w:val="auto"/>
        </w:rPr>
        <w:t>This RCA and all terms of Employee’s employment shall be governed by, construed and enforced in accordance with the laws of the State of New Jersey, without giving effect to conflict of law principles. Each party irrevocably agrees that any legal proceeding arising out of, or relating to the subject matter of, this RCA shall be brought in the Superior Court of New Jersey in CamdenCounty or the United States District Court of New Jersey, Camden Vicinage. Each party irrevocably consents to such jurisdiction and venue.</w:t>
      </w:r>
    </w:p>
    <w:p>
      <w:pPr>
        <w:spacing w:after="0" w:line="4" w:lineRule="exact"/>
        <w:rPr>
          <w:rFonts w:ascii="Arial" w:cs="Arial" w:eastAsia="Arial" w:hAnsi="Arial"/>
          <w:sz w:val="21"/>
          <w:szCs w:val="21"/>
          <w:color w:val="auto"/>
        </w:rPr>
      </w:pPr>
    </w:p>
    <w:p>
      <w:pPr>
        <w:ind w:left="820" w:hanging="199"/>
        <w:spacing w:after="0" w:line="230" w:lineRule="auto"/>
        <w:tabs>
          <w:tab w:leader="none" w:pos="820" w:val="left"/>
        </w:tabs>
        <w:numPr>
          <w:ilvl w:val="1"/>
          <w:numId w:val="9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Survival</w:t>
      </w:r>
      <w:r>
        <w:rPr>
          <w:rFonts w:ascii="Arial" w:cs="Arial" w:eastAsia="Arial" w:hAnsi="Arial"/>
          <w:sz w:val="21"/>
          <w:szCs w:val="21"/>
          <w:b w:val="1"/>
          <w:bCs w:val="1"/>
          <w:color w:val="auto"/>
        </w:rPr>
        <w:t xml:space="preserve">. </w:t>
      </w:r>
      <w:r>
        <w:rPr>
          <w:rFonts w:ascii="Arial" w:cs="Arial" w:eastAsia="Arial" w:hAnsi="Arial"/>
          <w:sz w:val="21"/>
          <w:szCs w:val="21"/>
          <w:color w:val="auto"/>
        </w:rPr>
        <w:t>This RCA shall survive the termination of Employee’s employment for any reason.</w:t>
      </w:r>
    </w:p>
    <w:p>
      <w:pPr>
        <w:ind w:firstLine="621"/>
        <w:spacing w:after="0" w:line="230" w:lineRule="auto"/>
        <w:tabs>
          <w:tab w:leader="none" w:pos="824" w:val="left"/>
        </w:tabs>
        <w:numPr>
          <w:ilvl w:val="1"/>
          <w:numId w:val="9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Contract of 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This RCA is not a contract of employment, nor does it impose on Campbell Companies any</w:t>
      </w:r>
      <w:r>
        <w:rPr>
          <w:rFonts w:ascii="Arial" w:cs="Arial" w:eastAsia="Arial" w:hAnsi="Arial"/>
          <w:sz w:val="21"/>
          <w:szCs w:val="21"/>
          <w:b w:val="1"/>
          <w:bCs w:val="1"/>
          <w:color w:val="auto"/>
        </w:rPr>
        <w:t xml:space="preserve"> </w:t>
      </w:r>
      <w:r>
        <w:rPr>
          <w:rFonts w:ascii="Arial" w:cs="Arial" w:eastAsia="Arial" w:hAnsi="Arial"/>
          <w:sz w:val="21"/>
          <w:szCs w:val="21"/>
          <w:color w:val="auto"/>
        </w:rPr>
        <w:t>obligation to retain Employee in its employ. To the contrary, Employee is an employee-at-will.</w:t>
      </w:r>
    </w:p>
    <w:p>
      <w:pPr>
        <w:jc w:val="both"/>
        <w:ind w:firstLine="621"/>
        <w:spacing w:after="0" w:line="230" w:lineRule="auto"/>
        <w:tabs>
          <w:tab w:leader="none" w:pos="953" w:val="left"/>
        </w:tabs>
        <w:numPr>
          <w:ilvl w:val="1"/>
          <w:numId w:val="9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Reform of RCA</w:t>
      </w:r>
      <w:r>
        <w:rPr>
          <w:rFonts w:ascii="Arial" w:cs="Arial" w:eastAsia="Arial" w:hAnsi="Arial"/>
          <w:sz w:val="21"/>
          <w:szCs w:val="21"/>
          <w:b w:val="1"/>
          <w:bCs w:val="1"/>
          <w:color w:val="auto"/>
        </w:rPr>
        <w:t xml:space="preserve">. </w:t>
      </w:r>
      <w:r>
        <w:rPr>
          <w:rFonts w:ascii="Arial" w:cs="Arial" w:eastAsia="Arial" w:hAnsi="Arial"/>
          <w:sz w:val="21"/>
          <w:szCs w:val="21"/>
          <w:color w:val="auto"/>
        </w:rPr>
        <w:t>No provision of this RCA may be amended or waived unless agreed to in writing and signed by the</w:t>
      </w:r>
      <w:r>
        <w:rPr>
          <w:rFonts w:ascii="Arial" w:cs="Arial" w:eastAsia="Arial" w:hAnsi="Arial"/>
          <w:sz w:val="21"/>
          <w:szCs w:val="21"/>
          <w:b w:val="1"/>
          <w:bCs w:val="1"/>
          <w:color w:val="auto"/>
        </w:rPr>
        <w:t xml:space="preserve"> </w:t>
      </w:r>
      <w:r>
        <w:rPr>
          <w:rFonts w:ascii="Arial" w:cs="Arial" w:eastAsia="Arial" w:hAnsi="Arial"/>
          <w:sz w:val="21"/>
          <w:szCs w:val="21"/>
          <w:color w:val="auto"/>
        </w:rPr>
        <w:t>General Counsel of Campbell. The failure to exercise, or delay in exercising, any right, power, or remedy under this RCA shall not waive any right, power, or remedy which Campbell has under this RCA.</w:t>
      </w:r>
    </w:p>
    <w:p>
      <w:pPr>
        <w:spacing w:after="0" w:line="1" w:lineRule="exact"/>
        <w:rPr>
          <w:rFonts w:ascii="Arial" w:cs="Arial" w:eastAsia="Arial" w:hAnsi="Arial"/>
          <w:sz w:val="21"/>
          <w:szCs w:val="21"/>
          <w:b w:val="1"/>
          <w:bCs w:val="1"/>
          <w:color w:val="auto"/>
        </w:rPr>
      </w:pPr>
    </w:p>
    <w:p>
      <w:pPr>
        <w:jc w:val="both"/>
        <w:ind w:firstLine="621"/>
        <w:spacing w:after="0" w:line="227" w:lineRule="auto"/>
        <w:tabs>
          <w:tab w:leader="none" w:pos="929" w:val="left"/>
        </w:tabs>
        <w:numPr>
          <w:ilvl w:val="1"/>
          <w:numId w:val="9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Severability or Reform by Court</w:t>
      </w:r>
      <w:r>
        <w:rPr>
          <w:rFonts w:ascii="Arial" w:cs="Arial" w:eastAsia="Arial" w:hAnsi="Arial"/>
          <w:sz w:val="21"/>
          <w:szCs w:val="21"/>
          <w:b w:val="1"/>
          <w:bCs w:val="1"/>
          <w:color w:val="auto"/>
        </w:rPr>
        <w:t xml:space="preserve">. </w:t>
      </w:r>
      <w:r>
        <w:rPr>
          <w:rFonts w:ascii="Arial" w:cs="Arial" w:eastAsia="Arial" w:hAnsi="Arial"/>
          <w:sz w:val="21"/>
          <w:szCs w:val="21"/>
          <w:color w:val="auto"/>
        </w:rPr>
        <w:t>In the event that any provision of this RCA is deemed by a court to be broader than</w:t>
      </w:r>
      <w:r>
        <w:rPr>
          <w:rFonts w:ascii="Arial" w:cs="Arial" w:eastAsia="Arial" w:hAnsi="Arial"/>
          <w:sz w:val="21"/>
          <w:szCs w:val="21"/>
          <w:b w:val="1"/>
          <w:bCs w:val="1"/>
          <w:color w:val="auto"/>
        </w:rPr>
        <w:t xml:space="preserve"> </w:t>
      </w:r>
      <w:r>
        <w:rPr>
          <w:rFonts w:ascii="Arial" w:cs="Arial" w:eastAsia="Arial" w:hAnsi="Arial"/>
          <w:sz w:val="21"/>
          <w:szCs w:val="21"/>
          <w:color w:val="auto"/>
        </w:rPr>
        <w:t>permitted by applicable law, then such provision shall be reformed so that it is enforceable to the fullest extent permitted by applicable law. If any provision of this RCA shall be declared by a court to be invalid or unenforceable to any extent, the validity or enforceability of the remaining provisions of this RCA shall not be affected.</w:t>
      </w:r>
    </w:p>
    <w:p>
      <w:pPr>
        <w:jc w:val="both"/>
        <w:ind w:firstLine="621"/>
        <w:spacing w:after="0" w:line="230" w:lineRule="auto"/>
        <w:tabs>
          <w:tab w:leader="none" w:pos="966" w:val="left"/>
        </w:tabs>
        <w:numPr>
          <w:ilvl w:val="1"/>
          <w:numId w:val="9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Entire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This RCA constitutes the entire understanding between the parties to this RCA with respect to</w:t>
      </w:r>
      <w:r>
        <w:rPr>
          <w:rFonts w:ascii="Arial" w:cs="Arial" w:eastAsia="Arial" w:hAnsi="Arial"/>
          <w:sz w:val="21"/>
          <w:szCs w:val="21"/>
          <w:b w:val="1"/>
          <w:bCs w:val="1"/>
          <w:color w:val="auto"/>
        </w:rPr>
        <w:t xml:space="preserve"> </w:t>
      </w:r>
      <w:r>
        <w:rPr>
          <w:rFonts w:ascii="Arial" w:cs="Arial" w:eastAsia="Arial" w:hAnsi="Arial"/>
          <w:sz w:val="21"/>
          <w:szCs w:val="21"/>
          <w:color w:val="auto"/>
        </w:rPr>
        <w:t>Employee’s obligations in connection with the receipt and acceptance of the LTI award. Unless specified, this RCA does not supersede any prior agreements, understandings and arrangements, oral or written, between the parties.</w:t>
      </w:r>
    </w:p>
    <w:p>
      <w:pPr>
        <w:spacing w:after="0" w:line="1" w:lineRule="exact"/>
        <w:rPr>
          <w:rFonts w:ascii="Arial" w:cs="Arial" w:eastAsia="Arial" w:hAnsi="Arial"/>
          <w:sz w:val="21"/>
          <w:szCs w:val="21"/>
          <w:b w:val="1"/>
          <w:bCs w:val="1"/>
          <w:color w:val="auto"/>
        </w:rPr>
      </w:pPr>
    </w:p>
    <w:p>
      <w:pPr>
        <w:ind w:right="360"/>
        <w:spacing w:after="0" w:line="237" w:lineRule="auto"/>
        <w:rPr>
          <w:rFonts w:ascii="Arial" w:cs="Arial" w:eastAsia="Arial" w:hAnsi="Arial"/>
          <w:sz w:val="21"/>
          <w:szCs w:val="21"/>
          <w:b w:val="1"/>
          <w:bCs w:val="1"/>
          <w:color w:val="auto"/>
        </w:rPr>
      </w:pPr>
      <w:r>
        <w:rPr>
          <w:rFonts w:ascii="Arial" w:cs="Arial" w:eastAsia="Arial" w:hAnsi="Arial"/>
          <w:sz w:val="21"/>
          <w:szCs w:val="21"/>
          <w:b w:val="1"/>
          <w:bCs w:val="1"/>
          <w:color w:val="auto"/>
        </w:rPr>
        <w:t>EMPLOYEE ACKNOWLEDGES THAT HE/SHE HAS READ THE ABOVE RCA AND HAS BEEN GIVEN ADEQUATE TIME TO CONSULT WITH AN ATTORNEY OR OTHER ADVISOR OF HIS/HER CHOICE.</w:t>
      </w:r>
    </w:p>
    <w:p>
      <w:pPr>
        <w:spacing w:after="0" w:line="200" w:lineRule="exact"/>
        <w:rPr>
          <w:rFonts w:ascii="Arial" w:cs="Arial" w:eastAsia="Arial" w:hAnsi="Arial"/>
          <w:sz w:val="21"/>
          <w:szCs w:val="21"/>
          <w:b w:val="1"/>
          <w:bCs w:val="1"/>
          <w:color w:val="auto"/>
        </w:rPr>
      </w:pPr>
    </w:p>
    <w:p>
      <w:pPr>
        <w:spacing w:after="0" w:line="226"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15"/>
          <w:szCs w:val="15"/>
          <w:color w:val="0000FF"/>
        </w:rPr>
        <w:t xml:space="preserve">* </w:t>
      </w:r>
      <w:r>
        <w:rPr>
          <w:rFonts w:ascii="Arial" w:cs="Arial" w:eastAsia="Arial" w:hAnsi="Arial"/>
          <w:sz w:val="15"/>
          <w:szCs w:val="15"/>
          <w:color w:val="000000"/>
        </w:rPr>
        <w:t>In accordance with New Jersey law, this paragraph 4 shall not apply to employees of the Company who are employed in the capacity of attorneys.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820" w:type="dxa"/>
            <w:vAlign w:val="bottom"/>
          </w:tcPr>
          <w:p>
            <w:pPr>
              <w:spacing w:after="0"/>
              <w:rPr>
                <w:sz w:val="20"/>
                <w:szCs w:val="20"/>
                <w:color w:val="auto"/>
              </w:rPr>
            </w:pPr>
            <w:r>
              <w:rPr>
                <w:rFonts w:ascii="Arial" w:cs="Arial" w:eastAsia="Arial" w:hAnsi="Arial"/>
                <w:sz w:val="21"/>
                <w:szCs w:val="21"/>
                <w:color w:val="auto"/>
              </w:rPr>
              <w:t>LTI Grant Agreement</w:t>
            </w:r>
          </w:p>
        </w:tc>
        <w:tc>
          <w:tcPr>
            <w:tcW w:w="1140" w:type="dxa"/>
            <w:vAlign w:val="bottom"/>
          </w:tcPr>
          <w:p>
            <w:pPr>
              <w:jc w:val="right"/>
              <w:spacing w:after="0"/>
              <w:rPr>
                <w:sz w:val="20"/>
                <w:szCs w:val="20"/>
                <w:color w:val="auto"/>
              </w:rPr>
            </w:pPr>
            <w:r>
              <w:rPr>
                <w:rFonts w:ascii="Arial" w:cs="Arial" w:eastAsia="Arial" w:hAnsi="Arial"/>
                <w:sz w:val="21"/>
                <w:szCs w:val="21"/>
                <w:color w:val="auto"/>
              </w:rPr>
              <w:t>9</w:t>
            </w:r>
          </w:p>
        </w:tc>
      </w:tr>
    </w:tbl>
    <w:p>
      <w:pPr>
        <w:sectPr>
          <w:pgSz w:w="11900" w:h="16838" w:orient="portrait"/>
          <w:cols w:equalWidth="0" w:num="1">
            <w:col w:w="11240"/>
          </w:cols>
          <w:pgMar w:left="320" w:top="1354"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21"/>
          <w:szCs w:val="21"/>
          <w:b w:val="1"/>
          <w:bCs w:val="1"/>
          <w:color w:val="auto"/>
        </w:rPr>
        <w:t>CAMPBELL SOUP COMPANY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2022 LONG-TERM INCENTIVE PLAN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PERFORMANCE RESTRICTED STOCK UNIT AGREEMENT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(Fiscal Year [ ]-[ ] – Relative Total Shareholder Return)</w:t>
      </w:r>
    </w:p>
    <w:p>
      <w:pPr>
        <w:spacing w:after="0" w:line="222" w:lineRule="exact"/>
        <w:rPr>
          <w:sz w:val="20"/>
          <w:szCs w:val="20"/>
          <w:color w:val="auto"/>
        </w:rPr>
      </w:pPr>
    </w:p>
    <w:p>
      <w:pPr>
        <w:jc w:val="both"/>
        <w:ind w:firstLine="618"/>
        <w:spacing w:after="0" w:line="238"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PERFORMANCE RESTRICTED STOCK UNIT AGREEMENT</w:t>
      </w:r>
      <w:r>
        <w:rPr>
          <w:rFonts w:ascii="Arial" w:cs="Arial" w:eastAsia="Arial" w:hAnsi="Arial"/>
          <w:sz w:val="21"/>
          <w:szCs w:val="21"/>
          <w:color w:val="auto"/>
        </w:rPr>
        <w:t xml:space="preserve"> (“Agreement”) between the Campbell Soup Company (the “Company”) and [Employee Full Legal Name] (“Grantee”), an employee of the Company or one of its participating subsidiaries on [Grant Date] (the “Grant Date”).</w:t>
      </w:r>
    </w:p>
    <w:p>
      <w:pPr>
        <w:spacing w:after="0" w:line="196" w:lineRule="exact"/>
        <w:rPr>
          <w:sz w:val="20"/>
          <w:szCs w:val="20"/>
          <w:color w:val="auto"/>
        </w:rPr>
      </w:pPr>
    </w:p>
    <w:p>
      <w:pPr>
        <w:jc w:val="both"/>
        <w:ind w:firstLine="618"/>
        <w:spacing w:after="0" w:line="263"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Company desires to award Grantee performance Restricted Stock Units (the “Award), which each represent a</w:t>
      </w:r>
      <w:r>
        <w:rPr>
          <w:rFonts w:ascii="Arial" w:cs="Arial" w:eastAsia="Arial" w:hAnsi="Arial"/>
          <w:sz w:val="19"/>
          <w:szCs w:val="19"/>
          <w:b w:val="1"/>
          <w:bCs w:val="1"/>
          <w:color w:val="auto"/>
        </w:rPr>
        <w:t xml:space="preserve"> </w:t>
      </w:r>
      <w:r>
        <w:rPr>
          <w:rFonts w:ascii="Arial" w:cs="Arial" w:eastAsia="Arial" w:hAnsi="Arial"/>
          <w:sz w:val="19"/>
          <w:szCs w:val="19"/>
          <w:color w:val="auto"/>
        </w:rPr>
        <w:t>right to receive one share of capital stock, $.0375 par value of the Company (a “Share” or “Shares”) as hereinafter provided (the “Performance Stock Units”), under the Company’s 2022 Long-Term Incentive Plan (the “Plan”) and this Agreement.</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by accepting this Award, the Grantee agrees to the terms of this Agreement.</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valuable consideration the legal sufficiency of which is hereby acknowledged, the</w:t>
      </w:r>
    </w:p>
    <w:p>
      <w:pPr>
        <w:spacing w:after="0" w:line="37" w:lineRule="exact"/>
        <w:rPr>
          <w:sz w:val="20"/>
          <w:szCs w:val="20"/>
          <w:color w:val="auto"/>
        </w:rPr>
      </w:pPr>
    </w:p>
    <w:p>
      <w:pPr>
        <w:spacing w:after="0"/>
        <w:rPr>
          <w:sz w:val="20"/>
          <w:szCs w:val="20"/>
          <w:color w:val="auto"/>
        </w:rPr>
      </w:pPr>
      <w:r>
        <w:rPr>
          <w:rFonts w:ascii="Arial" w:cs="Arial" w:eastAsia="Arial" w:hAnsi="Arial"/>
          <w:sz w:val="21"/>
          <w:szCs w:val="21"/>
          <w:color w:val="auto"/>
        </w:rPr>
        <w:t>Company and Grantee, each intending to be legally bound hereby, agree as follows:</w:t>
      </w:r>
    </w:p>
    <w:p>
      <w:pPr>
        <w:spacing w:after="0" w:line="198" w:lineRule="exact"/>
        <w:rPr>
          <w:sz w:val="20"/>
          <w:szCs w:val="20"/>
          <w:color w:val="auto"/>
        </w:rPr>
      </w:pPr>
    </w:p>
    <w:p>
      <w:pPr>
        <w:jc w:val="both"/>
        <w:ind w:firstLine="621"/>
        <w:spacing w:after="0" w:line="273" w:lineRule="auto"/>
        <w:tabs>
          <w:tab w:leader="none" w:pos="837" w:val="left"/>
        </w:tabs>
        <w:numPr>
          <w:ilvl w:val="0"/>
          <w:numId w:val="10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Form of Award</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hereby grants to Grantee on the Grant Date [#Granted - TSR] Relative Total Shareholder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Return (“TSR”) Performance Stock Units. The Performance Stock Units are in all respects limited and conditioned as hereinafter provided, and are subject in all respects to the Plan’s terms and conditions, as amended. During the </w:t>
      </w:r>
      <w:r>
        <w:rPr>
          <w:rFonts w:ascii="Arial" w:cs="Arial" w:eastAsia="Arial" w:hAnsi="Arial"/>
          <w:sz w:val="19"/>
          <w:szCs w:val="19"/>
          <w:b w:val="1"/>
          <w:bCs w:val="1"/>
          <w:color w:val="auto"/>
        </w:rPr>
        <w:t>performance cycle</w:t>
      </w:r>
      <w:r>
        <w:rPr>
          <w:rFonts w:ascii="Arial" w:cs="Arial" w:eastAsia="Arial" w:hAnsi="Arial"/>
          <w:sz w:val="19"/>
          <w:szCs w:val="19"/>
          <w:color w:val="auto"/>
        </w:rPr>
        <w:t>, the Award shall consist of stock units but any portion of the Award that ultimately vests will be delivered in Shares.</w:t>
      </w:r>
    </w:p>
    <w:p>
      <w:pPr>
        <w:spacing w:after="0" w:line="158" w:lineRule="exact"/>
        <w:rPr>
          <w:sz w:val="20"/>
          <w:szCs w:val="20"/>
          <w:color w:val="auto"/>
        </w:rPr>
      </w:pPr>
    </w:p>
    <w:p>
      <w:pPr>
        <w:jc w:val="both"/>
        <w:ind w:firstLine="618"/>
        <w:spacing w:after="0" w:line="250" w:lineRule="auto"/>
        <w:rPr>
          <w:sz w:val="20"/>
          <w:szCs w:val="20"/>
          <w:color w:val="auto"/>
        </w:rPr>
      </w:pPr>
      <w:r>
        <w:rPr>
          <w:rFonts w:ascii="Arial" w:cs="Arial" w:eastAsia="Arial" w:hAnsi="Arial"/>
          <w:sz w:val="20"/>
          <w:szCs w:val="20"/>
          <w:color w:val="auto"/>
        </w:rPr>
        <w:t xml:space="preserve">The number of Shares that will vest and be delivered, if any, may range from 0-200% of the [#Granted - TSR] Performance Stock Units granted. Any accumulated dividend equivalents will be paid in cash pursuant to paragraph 3 below. Shares will vest and be delivered only after approval by the Compensation and Organization Committee of the Company’s Board of Directors (the “Committee”) of the achievement of Company performance criteria previously established and approved by the Committee for the </w:t>
      </w:r>
      <w:r>
        <w:rPr>
          <w:rFonts w:ascii="Arial" w:cs="Arial" w:eastAsia="Arial" w:hAnsi="Arial"/>
          <w:sz w:val="20"/>
          <w:szCs w:val="20"/>
          <w:b w:val="1"/>
          <w:bCs w:val="1"/>
          <w:color w:val="auto"/>
        </w:rPr>
        <w:t xml:space="preserve">performance cycle </w:t>
      </w:r>
      <w:r>
        <w:rPr>
          <w:rFonts w:ascii="Arial" w:cs="Arial" w:eastAsia="Arial" w:hAnsi="Arial"/>
          <w:sz w:val="20"/>
          <w:szCs w:val="20"/>
          <w:color w:val="auto"/>
        </w:rPr>
        <w:t>(each a “Vesting Date” and as defined in the applicable LTI Brochure).</w:t>
      </w:r>
    </w:p>
    <w:p>
      <w:pPr>
        <w:spacing w:after="0" w:line="193" w:lineRule="exact"/>
        <w:rPr>
          <w:sz w:val="20"/>
          <w:szCs w:val="20"/>
          <w:color w:val="auto"/>
        </w:rPr>
      </w:pPr>
    </w:p>
    <w:p>
      <w:pPr>
        <w:jc w:val="both"/>
        <w:ind w:firstLine="618"/>
        <w:spacing w:after="0" w:line="238" w:lineRule="auto"/>
        <w:rPr>
          <w:sz w:val="20"/>
          <w:szCs w:val="20"/>
          <w:color w:val="auto"/>
        </w:rPr>
      </w:pPr>
      <w:r>
        <w:rPr>
          <w:rFonts w:ascii="Arial" w:cs="Arial" w:eastAsia="Arial" w:hAnsi="Arial"/>
          <w:sz w:val="21"/>
          <w:szCs w:val="21"/>
          <w:color w:val="auto"/>
        </w:rPr>
        <w:t>In the event an adjustment pursuant to Section 11.2 of the Plan is required, the number of Shares that may ultimately vest under the Award, if any, shall be adjusted in accordance with Section 11.2 of the Plan. All Shares that may ultimately vest under the Award, if any, after such adjustment shall be subject to the same restrictions applicable to any Shares that may have vested under this Agreement before the adjustment.</w:t>
      </w:r>
    </w:p>
    <w:p>
      <w:pPr>
        <w:spacing w:after="0" w:line="195" w:lineRule="exact"/>
        <w:rPr>
          <w:sz w:val="20"/>
          <w:szCs w:val="20"/>
          <w:color w:val="auto"/>
        </w:rPr>
      </w:pPr>
    </w:p>
    <w:p>
      <w:pPr>
        <w:jc w:val="both"/>
        <w:ind w:firstLine="621"/>
        <w:spacing w:after="0" w:line="238" w:lineRule="auto"/>
        <w:tabs>
          <w:tab w:leader="none" w:pos="824" w:val="left"/>
        </w:tabs>
        <w:numPr>
          <w:ilvl w:val="0"/>
          <w:numId w:val="10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Full or Pro-Rata Awards upon Certain Events</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to Section 12.3 of the Plan, the Award shall terminate and become</w:t>
      </w:r>
      <w:r>
        <w:rPr>
          <w:rFonts w:ascii="Arial" w:cs="Arial" w:eastAsia="Arial" w:hAnsi="Arial"/>
          <w:sz w:val="21"/>
          <w:szCs w:val="21"/>
          <w:b w:val="1"/>
          <w:bCs w:val="1"/>
          <w:color w:val="auto"/>
        </w:rPr>
        <w:t xml:space="preserve"> </w:t>
      </w:r>
      <w:r>
        <w:rPr>
          <w:rFonts w:ascii="Arial" w:cs="Arial" w:eastAsia="Arial" w:hAnsi="Arial"/>
          <w:sz w:val="21"/>
          <w:szCs w:val="21"/>
          <w:color w:val="auto"/>
        </w:rPr>
        <w:t>null and void if and when the Grantee ceases to be an employee of the Company or its subsidiaries prior to the Vesting Date due to termination for Cause, voluntary resignation or Retirement, except as provided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820" w:type="dxa"/>
            <w:vAlign w:val="bottom"/>
          </w:tcPr>
          <w:p>
            <w:pPr>
              <w:spacing w:after="0"/>
              <w:rPr>
                <w:sz w:val="20"/>
                <w:szCs w:val="20"/>
                <w:color w:val="auto"/>
              </w:rPr>
            </w:pPr>
            <w:r>
              <w:rPr>
                <w:rFonts w:ascii="Arial" w:cs="Arial" w:eastAsia="Arial" w:hAnsi="Arial"/>
                <w:sz w:val="21"/>
                <w:szCs w:val="21"/>
                <w:color w:val="auto"/>
              </w:rPr>
              <w:t>LTI Grant Agreement</w:t>
            </w:r>
          </w:p>
        </w:tc>
        <w:tc>
          <w:tcPr>
            <w:tcW w:w="1140" w:type="dxa"/>
            <w:vAlign w:val="bottom"/>
          </w:tcPr>
          <w:p>
            <w:pPr>
              <w:jc w:val="right"/>
              <w:spacing w:after="0"/>
              <w:rPr>
                <w:sz w:val="20"/>
                <w:szCs w:val="20"/>
                <w:color w:val="auto"/>
              </w:rPr>
            </w:pPr>
            <w:r>
              <w:rPr>
                <w:rFonts w:ascii="Arial" w:cs="Arial" w:eastAsia="Arial" w:hAnsi="Arial"/>
                <w:sz w:val="21"/>
                <w:szCs w:val="21"/>
                <w:color w:val="auto"/>
              </w:rPr>
              <w:t>1</w:t>
            </w:r>
          </w:p>
        </w:tc>
      </w:tr>
    </w:tbl>
    <w:p>
      <w:pPr>
        <w:sectPr>
          <w:pgSz w:w="11900" w:h="16838" w:orient="portrait"/>
          <w:cols w:equalWidth="0" w:num="1">
            <w:col w:w="11240"/>
          </w:cols>
          <w:pgMar w:left="320" w:top="1348" w:right="339" w:bottom="1440" w:gutter="0" w:footer="0" w:header="0"/>
        </w:sectPr>
      </w:pPr>
    </w:p>
    <w:bookmarkStart w:id="110" w:name="page111"/>
    <w:bookmarkEnd w:id="110"/>
    <w:p>
      <w:pPr>
        <w:jc w:val="both"/>
        <w:ind w:firstLine="1239"/>
        <w:spacing w:after="0" w:line="243" w:lineRule="exact"/>
        <w:tabs>
          <w:tab w:leader="none" w:pos="1845" w:val="left"/>
        </w:tabs>
        <w:numPr>
          <w:ilvl w:val="0"/>
          <w:numId w:val="102"/>
        </w:numPr>
        <w:rPr>
          <w:rFonts w:ascii="Arial" w:cs="Arial" w:eastAsia="Arial" w:hAnsi="Arial"/>
          <w:sz w:val="17"/>
          <w:szCs w:val="17"/>
          <w:color w:val="auto"/>
        </w:rPr>
      </w:pPr>
      <w:r>
        <w:rPr>
          <w:rFonts w:ascii="Arial" w:cs="Arial" w:eastAsia="Arial" w:hAnsi="Arial"/>
          <w:sz w:val="19"/>
          <w:szCs w:val="19"/>
          <w:color w:val="auto"/>
        </w:rPr>
        <w:t>If the Grantee’s employment is terminated at least six (6) months following the Grant Date by the Company other than for Cause or as a result of Retirement, Total Disability, or death, the Grantee (or his or her legal representative, as applicable) shall be eligible to receive a Pro</w:t>
      </w:r>
      <w:r>
        <w:rPr>
          <w:rFonts w:ascii="MS PGothic" w:cs="MS PGothic" w:eastAsia="MS PGothic" w:hAnsi="MS PGothic"/>
          <w:sz w:val="19"/>
          <w:szCs w:val="19"/>
          <w:color w:val="auto"/>
        </w:rPr>
        <w:t>‑</w:t>
      </w:r>
      <w:r>
        <w:rPr>
          <w:rFonts w:ascii="Arial" w:cs="Arial" w:eastAsia="Arial" w:hAnsi="Arial"/>
          <w:sz w:val="19"/>
          <w:szCs w:val="19"/>
          <w:color w:val="auto"/>
        </w:rPr>
        <w:t>Rata Vesting of the Award determined as of the date of termination.</w:t>
      </w:r>
    </w:p>
    <w:p>
      <w:pPr>
        <w:spacing w:after="0" w:line="200" w:lineRule="exact"/>
        <w:rPr>
          <w:rFonts w:ascii="Arial" w:cs="Arial" w:eastAsia="Arial" w:hAnsi="Arial"/>
          <w:sz w:val="17"/>
          <w:szCs w:val="17"/>
          <w:color w:val="auto"/>
        </w:rPr>
      </w:pPr>
    </w:p>
    <w:p>
      <w:pPr>
        <w:jc w:val="both"/>
        <w:ind w:firstLine="1239"/>
        <w:spacing w:after="0" w:line="241" w:lineRule="auto"/>
        <w:tabs>
          <w:tab w:leader="none" w:pos="1850" w:val="left"/>
        </w:tabs>
        <w:numPr>
          <w:ilvl w:val="0"/>
          <w:numId w:val="102"/>
        </w:numPr>
        <w:rPr>
          <w:rFonts w:ascii="Arial" w:cs="Arial" w:eastAsia="Arial" w:hAnsi="Arial"/>
          <w:sz w:val="21"/>
          <w:szCs w:val="21"/>
          <w:color w:val="auto"/>
        </w:rPr>
      </w:pPr>
      <w:r>
        <w:rPr>
          <w:rFonts w:ascii="Arial" w:cs="Arial" w:eastAsia="Arial" w:hAnsi="Arial"/>
          <w:sz w:val="21"/>
          <w:szCs w:val="21"/>
          <w:u w:val="single" w:color="auto"/>
          <w:color w:val="auto"/>
        </w:rPr>
        <w:t>Any Termination Prior to Six-Month Anniversary of Grant Date</w:t>
      </w:r>
      <w:r>
        <w:rPr>
          <w:rFonts w:ascii="Arial" w:cs="Arial" w:eastAsia="Arial" w:hAnsi="Arial"/>
          <w:sz w:val="21"/>
          <w:szCs w:val="21"/>
          <w:color w:val="auto"/>
        </w:rPr>
        <w:t>. If Grantee ceases to be an employee of the Company for any reason before six (6) months have elapsed from the Grant Date, the Award shall be cancelled by the Company and Grantee shall forfeit the entire Award.</w:t>
      </w:r>
    </w:p>
    <w:p>
      <w:pPr>
        <w:spacing w:after="0" w:line="186" w:lineRule="exact"/>
        <w:rPr>
          <w:rFonts w:ascii="Arial" w:cs="Arial" w:eastAsia="Arial" w:hAnsi="Arial"/>
          <w:sz w:val="21"/>
          <w:szCs w:val="21"/>
          <w:color w:val="auto"/>
        </w:rPr>
      </w:pPr>
    </w:p>
    <w:p>
      <w:pPr>
        <w:jc w:val="both"/>
        <w:ind w:firstLine="1239"/>
        <w:spacing w:after="0" w:line="262" w:lineRule="auto"/>
        <w:tabs>
          <w:tab w:leader="none" w:pos="1851"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Cancellation</w:t>
      </w:r>
      <w:r>
        <w:rPr>
          <w:rFonts w:ascii="Arial" w:cs="Arial" w:eastAsia="Arial" w:hAnsi="Arial"/>
          <w:sz w:val="19"/>
          <w:szCs w:val="19"/>
          <w:color w:val="auto"/>
        </w:rPr>
        <w:t xml:space="preserve">. Notwithstanding the forgoing paragraph 2(a) above, if Grantee’s employment is terminated at least six (6) months following the Grant Date by the Company other than for Cause or as a result of Retirement, Total Disability, or death, and the terms of the Non-Competition and Restrictive Covenants Agreement (“RCA”) which is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are subsequently violated, the Committee or its delegate, in its sole direction, may cancel the unvested portions of the Award, including any Pro-Rata Vesting of the Award. The Grantee represents, warrants, and agrees that any such cancellation of an Award or a part thereof shall not constitute an adequate remedy of law in connection with any efforts by the Company to enforce the terms of the RCA and shall not prevent the Company from obtaining other relief, including injunctive relief, to enforce the provisions of the RCA.</w:t>
      </w:r>
    </w:p>
    <w:p>
      <w:pPr>
        <w:spacing w:after="0" w:line="184" w:lineRule="exact"/>
        <w:rPr>
          <w:rFonts w:ascii="Arial" w:cs="Arial" w:eastAsia="Arial" w:hAnsi="Arial"/>
          <w:sz w:val="19"/>
          <w:szCs w:val="19"/>
          <w:color w:val="auto"/>
        </w:rPr>
      </w:pPr>
    </w:p>
    <w:p>
      <w:pPr>
        <w:jc w:val="both"/>
        <w:ind w:firstLine="1239"/>
        <w:spacing w:after="0" w:line="241" w:lineRule="auto"/>
        <w:tabs>
          <w:tab w:leader="none" w:pos="1850" w:val="left"/>
        </w:tabs>
        <w:numPr>
          <w:ilvl w:val="0"/>
          <w:numId w:val="102"/>
        </w:numPr>
        <w:rPr>
          <w:rFonts w:ascii="Arial" w:cs="Arial" w:eastAsia="Arial" w:hAnsi="Arial"/>
          <w:sz w:val="21"/>
          <w:szCs w:val="21"/>
          <w:color w:val="auto"/>
        </w:rPr>
      </w:pPr>
      <w:r>
        <w:rPr>
          <w:rFonts w:ascii="Arial" w:cs="Arial" w:eastAsia="Arial" w:hAnsi="Arial"/>
          <w:sz w:val="21"/>
          <w:szCs w:val="21"/>
          <w:u w:val="single" w:color="auto"/>
          <w:color w:val="auto"/>
        </w:rPr>
        <w:t>Integration with Severance Benefits</w:t>
      </w:r>
      <w:r>
        <w:rPr>
          <w:rFonts w:ascii="Arial" w:cs="Arial" w:eastAsia="Arial" w:hAnsi="Arial"/>
          <w:sz w:val="21"/>
          <w:szCs w:val="21"/>
          <w:color w:val="auto"/>
        </w:rPr>
        <w:t>. For U.S. participants, notwithstanding paragraphs 2(a)-(c) above, if severance is offered, eligibility for a prorated Award is contingent upon the Company receiving your signed Severance Agreement &amp; General Release. Without a signed release, all unvested Performance Stock Units are forfeited.</w:t>
      </w:r>
    </w:p>
    <w:p>
      <w:pPr>
        <w:spacing w:after="0" w:line="199" w:lineRule="exact"/>
        <w:rPr>
          <w:rFonts w:ascii="Arial" w:cs="Arial" w:eastAsia="Arial" w:hAnsi="Arial"/>
          <w:sz w:val="21"/>
          <w:szCs w:val="21"/>
          <w:color w:val="auto"/>
        </w:rPr>
      </w:pPr>
    </w:p>
    <w:p>
      <w:pPr>
        <w:ind w:left="1860" w:hanging="621"/>
        <w:spacing w:after="0"/>
        <w:tabs>
          <w:tab w:leader="none" w:pos="1860" w:val="left"/>
        </w:tabs>
        <w:numPr>
          <w:ilvl w:val="0"/>
          <w:numId w:val="102"/>
        </w:numPr>
        <w:rPr>
          <w:rFonts w:ascii="Arial" w:cs="Arial" w:eastAsia="Arial" w:hAnsi="Arial"/>
          <w:sz w:val="21"/>
          <w:szCs w:val="21"/>
          <w:color w:val="auto"/>
        </w:rPr>
      </w:pPr>
      <w:r>
        <w:rPr>
          <w:rFonts w:ascii="Arial" w:cs="Arial" w:eastAsia="Arial" w:hAnsi="Arial"/>
          <w:sz w:val="21"/>
          <w:szCs w:val="21"/>
          <w:color w:val="auto"/>
        </w:rPr>
        <w:t>For purposes of this Agreement, the following terms shall have the meanings set forth below:</w:t>
      </w:r>
    </w:p>
    <w:p>
      <w:pPr>
        <w:spacing w:after="0" w:line="209" w:lineRule="exact"/>
        <w:rPr>
          <w:rFonts w:ascii="Arial" w:cs="Arial" w:eastAsia="Arial" w:hAnsi="Arial"/>
          <w:sz w:val="21"/>
          <w:szCs w:val="21"/>
          <w:color w:val="auto"/>
        </w:rPr>
      </w:pPr>
    </w:p>
    <w:p>
      <w:pPr>
        <w:jc w:val="both"/>
        <w:ind w:firstLine="1857"/>
        <w:spacing w:after="0" w:line="241" w:lineRule="auto"/>
        <w:tabs>
          <w:tab w:leader="none" w:pos="2472" w:val="left"/>
        </w:tabs>
        <w:numPr>
          <w:ilvl w:val="1"/>
          <w:numId w:val="102"/>
        </w:numPr>
        <w:rPr>
          <w:rFonts w:ascii="Arial" w:cs="Arial" w:eastAsia="Arial" w:hAnsi="Arial"/>
          <w:sz w:val="19"/>
          <w:szCs w:val="19"/>
          <w:color w:val="auto"/>
        </w:rPr>
      </w:pPr>
      <w:r>
        <w:rPr>
          <w:rFonts w:ascii="Arial" w:cs="Arial" w:eastAsia="Arial" w:hAnsi="Arial"/>
          <w:sz w:val="21"/>
          <w:szCs w:val="21"/>
          <w:color w:val="auto"/>
        </w:rPr>
        <w:t>“Retirement” or “Retirement Eligible” means Grantee terminates, or is eligible to terminate, employment with the Company or its subsidiaries after attaining 55 years of age with at least 5 years of continuous service on or prior to the date of termination.</w:t>
      </w:r>
    </w:p>
    <w:p>
      <w:pPr>
        <w:spacing w:after="0" w:line="199" w:lineRule="exact"/>
        <w:rPr>
          <w:rFonts w:ascii="Arial" w:cs="Arial" w:eastAsia="Arial" w:hAnsi="Arial"/>
          <w:sz w:val="19"/>
          <w:szCs w:val="19"/>
          <w:color w:val="auto"/>
        </w:rPr>
      </w:pPr>
    </w:p>
    <w:p>
      <w:pPr>
        <w:jc w:val="both"/>
        <w:ind w:firstLine="1857"/>
        <w:spacing w:after="0" w:line="236" w:lineRule="auto"/>
        <w:tabs>
          <w:tab w:leader="none" w:pos="2472" w:val="left"/>
        </w:tabs>
        <w:numPr>
          <w:ilvl w:val="1"/>
          <w:numId w:val="102"/>
        </w:numPr>
        <w:rPr>
          <w:rFonts w:ascii="Arial" w:cs="Arial" w:eastAsia="Arial" w:hAnsi="Arial"/>
          <w:sz w:val="21"/>
          <w:szCs w:val="21"/>
          <w:color w:val="auto"/>
        </w:rPr>
      </w:pPr>
      <w:r>
        <w:rPr>
          <w:rFonts w:ascii="Arial" w:cs="Arial" w:eastAsia="Arial" w:hAnsi="Arial"/>
          <w:sz w:val="21"/>
          <w:szCs w:val="21"/>
          <w:color w:val="auto"/>
        </w:rPr>
        <w:t>“Total Disability” means “Total Disability” or “Totally Disabled” as that term is defined under a Company-sponsored long-term disability plan from which Grantee is receiving disability benefits and which is in effect from time to time on and after the Grant Date.</w:t>
      </w:r>
    </w:p>
    <w:p>
      <w:pPr>
        <w:spacing w:after="0" w:line="1" w:lineRule="exact"/>
        <w:rPr>
          <w:rFonts w:ascii="Arial" w:cs="Arial" w:eastAsia="Arial" w:hAnsi="Arial"/>
          <w:sz w:val="21"/>
          <w:szCs w:val="21"/>
          <w:color w:val="auto"/>
        </w:rPr>
      </w:pPr>
    </w:p>
    <w:p>
      <w:pPr>
        <w:jc w:val="both"/>
        <w:ind w:firstLine="1857"/>
        <w:spacing w:after="0" w:line="264" w:lineRule="auto"/>
        <w:tabs>
          <w:tab w:leader="none" w:pos="2472" w:val="left"/>
        </w:tabs>
        <w:numPr>
          <w:ilvl w:val="1"/>
          <w:numId w:val="102"/>
        </w:numPr>
        <w:rPr>
          <w:rFonts w:ascii="Arial" w:cs="Arial" w:eastAsia="Arial" w:hAnsi="Arial"/>
          <w:sz w:val="19"/>
          <w:szCs w:val="19"/>
          <w:color w:val="auto"/>
        </w:rPr>
      </w:pPr>
      <w:r>
        <w:rPr>
          <w:rFonts w:ascii="Arial" w:cs="Arial" w:eastAsia="Arial" w:hAnsi="Arial"/>
          <w:sz w:val="19"/>
          <w:szCs w:val="19"/>
          <w:color w:val="auto"/>
        </w:rPr>
        <w:t xml:space="preserve">“Pro-Rata Vesting” means a number of Shares deliverable upon a pro-rata vesting event. This shall be calculated by multiplying this Award by the number of months worked from Grant Date to termination date divided by 36, which will then be multiplied by a factor based on the Company’s attainment of performance criteria during the </w:t>
      </w:r>
      <w:r>
        <w:rPr>
          <w:rFonts w:ascii="Arial" w:cs="Arial" w:eastAsia="Arial" w:hAnsi="Arial"/>
          <w:sz w:val="19"/>
          <w:szCs w:val="19"/>
          <w:b w:val="1"/>
          <w:bCs w:val="1"/>
          <w:color w:val="auto"/>
        </w:rPr>
        <w:t>performance cycle</w:t>
      </w:r>
      <w:r>
        <w:rPr>
          <w:rFonts w:ascii="Arial" w:cs="Arial" w:eastAsia="Arial" w:hAnsi="Arial"/>
          <w:sz w:val="19"/>
          <w:szCs w:val="19"/>
          <w:color w:val="auto"/>
        </w:rPr>
        <w:t xml:space="preserve"> as set forth in paragraph 1 above. Thereafter, the number of Shares deliverable shall be rounded down to the nearest whole Share.</w:t>
      </w:r>
    </w:p>
    <w:p>
      <w:pPr>
        <w:spacing w:after="0" w:line="166" w:lineRule="exact"/>
        <w:rPr>
          <w:rFonts w:ascii="Arial" w:cs="Arial" w:eastAsia="Arial" w:hAnsi="Arial"/>
          <w:sz w:val="19"/>
          <w:szCs w:val="19"/>
          <w:color w:val="auto"/>
        </w:rPr>
      </w:pPr>
    </w:p>
    <w:p>
      <w:pPr>
        <w:jc w:val="both"/>
        <w:ind w:firstLine="1857"/>
        <w:spacing w:after="0" w:line="241" w:lineRule="auto"/>
        <w:tabs>
          <w:tab w:leader="none" w:pos="2472" w:val="left"/>
        </w:tabs>
        <w:numPr>
          <w:ilvl w:val="1"/>
          <w:numId w:val="102"/>
        </w:numPr>
        <w:rPr>
          <w:rFonts w:ascii="Arial" w:cs="Arial" w:eastAsia="Arial" w:hAnsi="Arial"/>
          <w:sz w:val="21"/>
          <w:szCs w:val="21"/>
          <w:color w:val="auto"/>
        </w:rPr>
      </w:pPr>
      <w:r>
        <w:rPr>
          <w:rFonts w:ascii="Arial" w:cs="Arial" w:eastAsia="Arial" w:hAnsi="Arial"/>
          <w:sz w:val="21"/>
          <w:szCs w:val="21"/>
          <w:color w:val="auto"/>
        </w:rPr>
        <w:t>“Termination of employment,” “separation from service,” and similar references mean a separation from service within the meaning of Section 409A of the Internal Revenue Code of 1986, as amended (the “Code”) with the Company and/or any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820" w:type="dxa"/>
            <w:vAlign w:val="bottom"/>
          </w:tcPr>
          <w:p>
            <w:pPr>
              <w:spacing w:after="0"/>
              <w:rPr>
                <w:sz w:val="20"/>
                <w:szCs w:val="20"/>
                <w:color w:val="auto"/>
              </w:rPr>
            </w:pPr>
            <w:r>
              <w:rPr>
                <w:rFonts w:ascii="Arial" w:cs="Arial" w:eastAsia="Arial" w:hAnsi="Arial"/>
                <w:sz w:val="21"/>
                <w:szCs w:val="21"/>
                <w:color w:val="auto"/>
              </w:rPr>
              <w:t>LTI Grant Agreement</w:t>
            </w:r>
          </w:p>
        </w:tc>
        <w:tc>
          <w:tcPr>
            <w:tcW w:w="1140" w:type="dxa"/>
            <w:vAlign w:val="bottom"/>
          </w:tcPr>
          <w:p>
            <w:pPr>
              <w:jc w:val="right"/>
              <w:spacing w:after="0"/>
              <w:rPr>
                <w:sz w:val="20"/>
                <w:szCs w:val="20"/>
                <w:color w:val="auto"/>
              </w:rPr>
            </w:pPr>
            <w:r>
              <w:rPr>
                <w:rFonts w:ascii="Arial" w:cs="Arial" w:eastAsia="Arial" w:hAnsi="Arial"/>
                <w:sz w:val="21"/>
                <w:szCs w:val="21"/>
                <w:color w:val="auto"/>
              </w:rPr>
              <w:t>2</w:t>
            </w:r>
          </w:p>
        </w:tc>
      </w:tr>
    </w:tbl>
    <w:p>
      <w:pPr>
        <w:sectPr>
          <w:pgSz w:w="11900" w:h="16838" w:orient="portrait"/>
          <w:cols w:equalWidth="0" w:num="1">
            <w:col w:w="11240"/>
          </w:cols>
          <w:pgMar w:left="320" w:top="1354" w:right="339" w:bottom="1440" w:gutter="0" w:footer="0" w:header="0"/>
        </w:sectPr>
      </w:pPr>
    </w:p>
    <w:bookmarkStart w:id="111" w:name="page112"/>
    <w:bookmarkEnd w:id="111"/>
    <w:p>
      <w:pPr>
        <w:jc w:val="both"/>
        <w:spacing w:after="0" w:line="252" w:lineRule="auto"/>
        <w:rPr>
          <w:sz w:val="20"/>
          <w:szCs w:val="20"/>
          <w:color w:val="auto"/>
        </w:rPr>
      </w:pPr>
      <w:r>
        <w:rPr>
          <w:rFonts w:ascii="Arial" w:cs="Arial" w:eastAsia="Arial" w:hAnsi="Arial"/>
          <w:sz w:val="21"/>
          <w:szCs w:val="21"/>
          <w:color w:val="auto"/>
        </w:rPr>
        <w:t>subsidiaries or affiliates, which includes circumstances in which Grantee is reasonably anticipated not to perform further services with the Company or its affiliates or subsidiaries.</w:t>
      </w:r>
    </w:p>
    <w:p>
      <w:pPr>
        <w:spacing w:after="0" w:line="188" w:lineRule="exact"/>
        <w:rPr>
          <w:sz w:val="20"/>
          <w:szCs w:val="20"/>
          <w:color w:val="auto"/>
        </w:rPr>
      </w:pPr>
    </w:p>
    <w:p>
      <w:pPr>
        <w:jc w:val="both"/>
        <w:ind w:firstLine="618"/>
        <w:spacing w:after="0" w:line="252" w:lineRule="auto"/>
        <w:rPr>
          <w:sz w:val="20"/>
          <w:szCs w:val="20"/>
          <w:color w:val="auto"/>
        </w:rPr>
      </w:pPr>
      <w:r>
        <w:rPr>
          <w:rFonts w:ascii="Arial" w:cs="Arial" w:eastAsia="Arial" w:hAnsi="Arial"/>
          <w:sz w:val="21"/>
          <w:szCs w:val="21"/>
          <w:color w:val="auto"/>
        </w:rPr>
        <w:t xml:space="preserve">Any Shares deliverable under this Paragraph 2 shall be delivered at the same time long-term incentive awards are normally paid and/or delivered after the end of the </w:t>
      </w:r>
      <w:r>
        <w:rPr>
          <w:rFonts w:ascii="Arial" w:cs="Arial" w:eastAsia="Arial" w:hAnsi="Arial"/>
          <w:sz w:val="21"/>
          <w:szCs w:val="21"/>
          <w:b w:val="1"/>
          <w:bCs w:val="1"/>
          <w:color w:val="auto"/>
        </w:rPr>
        <w:t>performance cycle</w:t>
      </w:r>
      <w:r>
        <w:rPr>
          <w:rFonts w:ascii="Arial" w:cs="Arial" w:eastAsia="Arial" w:hAnsi="Arial"/>
          <w:sz w:val="21"/>
          <w:szCs w:val="21"/>
          <w:color w:val="auto"/>
        </w:rPr>
        <w:t>.</w:t>
      </w:r>
    </w:p>
    <w:p>
      <w:pPr>
        <w:spacing w:after="0" w:line="188" w:lineRule="exact"/>
        <w:rPr>
          <w:sz w:val="20"/>
          <w:szCs w:val="20"/>
          <w:color w:val="auto"/>
        </w:rPr>
      </w:pPr>
    </w:p>
    <w:p>
      <w:pPr>
        <w:jc w:val="both"/>
        <w:ind w:firstLine="618"/>
        <w:spacing w:after="0" w:line="245" w:lineRule="auto"/>
        <w:rPr>
          <w:sz w:val="20"/>
          <w:szCs w:val="20"/>
          <w:color w:val="auto"/>
        </w:rPr>
      </w:pPr>
      <w:r>
        <w:rPr>
          <w:rFonts w:ascii="Arial" w:cs="Arial" w:eastAsia="Arial" w:hAnsi="Arial"/>
          <w:sz w:val="20"/>
          <w:szCs w:val="20"/>
          <w:color w:val="auto"/>
        </w:rPr>
        <w:t>Notwithstanding anything in this paragraph 2 to the contrary, in the case of a Key Employee (defined below), a distribution upon the Key Employee’s termination of employment shall be made on the first day of the month following six (6) months after the date on which the Key Employee separates from service or, if earlier, the date of death. A “Key Employee” means an employee who, as of his termination of employment from the Company or its affiliates or subsidiaries, is treated as a “specified employee” under Code Section 409A(a)(2)(B)(i) (i.e., a key employee as defined in Code Section 416(i) without regard to paragraph (5) thereof). Key Employees shall be determined in accordance with Code Section 409A. Currently, the Company classifies all employees in Salary Grade Levels A and B as Key Employees.</w:t>
      </w:r>
    </w:p>
    <w:p>
      <w:pPr>
        <w:spacing w:after="0" w:line="192" w:lineRule="exact"/>
        <w:rPr>
          <w:sz w:val="20"/>
          <w:szCs w:val="20"/>
          <w:color w:val="auto"/>
        </w:rPr>
      </w:pPr>
    </w:p>
    <w:p>
      <w:pPr>
        <w:jc w:val="both"/>
        <w:ind w:firstLine="621"/>
        <w:spacing w:after="0" w:line="252" w:lineRule="auto"/>
        <w:tabs>
          <w:tab w:leader="none" w:pos="824" w:val="left"/>
        </w:tabs>
        <w:numPr>
          <w:ilvl w:val="1"/>
          <w:numId w:val="10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Dividend Equivalent Payment</w:t>
      </w:r>
      <w:r>
        <w:rPr>
          <w:rFonts w:ascii="Arial" w:cs="Arial" w:eastAsia="Arial" w:hAnsi="Arial"/>
          <w:sz w:val="20"/>
          <w:szCs w:val="20"/>
          <w:b w:val="1"/>
          <w:bCs w:val="1"/>
          <w:color w:val="auto"/>
        </w:rPr>
        <w:t xml:space="preserve">. </w:t>
      </w:r>
      <w:r>
        <w:rPr>
          <w:rFonts w:ascii="Arial" w:cs="Arial" w:eastAsia="Arial" w:hAnsi="Arial"/>
          <w:sz w:val="20"/>
          <w:szCs w:val="20"/>
          <w:color w:val="auto"/>
        </w:rPr>
        <w:t>After a Vesting Date, Grantee shall be paid in cash the accumulated amount equivalent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dividends which would have been paid on such Shares underlying the Performance Stock Units to the extent the Company’s Board of Directors had approved and declared a dividend on its capital stock. Such dividend equivalent amount shall be paid during that month following that Vesting Date. Subject to paragraph 2 above, the dividend equivalent payment shall be forfeited for any Performance Stock Units that do not vest or are terminated in accordance with paragraph 2.</w:t>
      </w:r>
    </w:p>
    <w:p>
      <w:pPr>
        <w:spacing w:after="0" w:line="183" w:lineRule="exact"/>
        <w:rPr>
          <w:rFonts w:ascii="Arial" w:cs="Arial" w:eastAsia="Arial" w:hAnsi="Arial"/>
          <w:sz w:val="20"/>
          <w:szCs w:val="20"/>
          <w:b w:val="1"/>
          <w:bCs w:val="1"/>
          <w:color w:val="auto"/>
        </w:rPr>
      </w:pPr>
    </w:p>
    <w:p>
      <w:pPr>
        <w:jc w:val="both"/>
        <w:ind w:firstLine="621"/>
        <w:spacing w:after="0" w:line="246" w:lineRule="auto"/>
        <w:tabs>
          <w:tab w:leader="none" w:pos="837" w:val="left"/>
        </w:tabs>
        <w:numPr>
          <w:ilvl w:val="1"/>
          <w:numId w:val="10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Incorporation of Plan Terms</w:t>
      </w:r>
      <w:r>
        <w:rPr>
          <w:rFonts w:ascii="Arial" w:cs="Arial" w:eastAsia="Arial" w:hAnsi="Arial"/>
          <w:sz w:val="20"/>
          <w:szCs w:val="20"/>
          <w:b w:val="1"/>
          <w:bCs w:val="1"/>
          <w:color w:val="auto"/>
        </w:rPr>
        <w:t xml:space="preserve">. </w:t>
      </w:r>
      <w:r>
        <w:rPr>
          <w:rFonts w:ascii="Arial" w:cs="Arial" w:eastAsia="Arial" w:hAnsi="Arial"/>
          <w:sz w:val="20"/>
          <w:szCs w:val="20"/>
          <w:color w:val="auto"/>
        </w:rPr>
        <w:t>This Award is subject to the terms and conditions of the Plan. Such terms and conditions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are incorporated into and made a part of this Agreement by reference. In the event of any conflicts between the provisions of this Agreement and the terms of the Plan, the terms of the Plan will control. The Committee shall have the right to resolve all questions which may arise in connection with the Award or this Agreement, including whether a Grantee is no longer actively employed and any interpretation, determination or other action made or taken by the Committee regarding the Plan or this Agreement shall be final, binding and conclusive. Capitalized terms used but not defined in this Agreement shall have the meanings set forth in the Plan unless the context clearly requires an alternative meaning.</w:t>
      </w:r>
    </w:p>
    <w:p>
      <w:pPr>
        <w:spacing w:after="0" w:line="191" w:lineRule="exact"/>
        <w:rPr>
          <w:rFonts w:ascii="Arial" w:cs="Arial" w:eastAsia="Arial" w:hAnsi="Arial"/>
          <w:sz w:val="20"/>
          <w:szCs w:val="20"/>
          <w:b w:val="1"/>
          <w:bCs w:val="1"/>
          <w:color w:val="auto"/>
        </w:rPr>
      </w:pPr>
    </w:p>
    <w:p>
      <w:pPr>
        <w:ind w:left="820" w:hanging="199"/>
        <w:spacing w:after="0"/>
        <w:tabs>
          <w:tab w:leader="none" w:pos="820" w:val="left"/>
        </w:tabs>
        <w:numPr>
          <w:ilvl w:val="1"/>
          <w:numId w:val="10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Cancellation</w:t>
      </w:r>
      <w:r>
        <w:rPr>
          <w:rFonts w:ascii="Arial" w:cs="Arial" w:eastAsia="Arial" w:hAnsi="Arial"/>
          <w:sz w:val="21"/>
          <w:szCs w:val="21"/>
          <w:u w:val="single" w:color="auto"/>
          <w:color w:val="auto"/>
        </w:rPr>
        <w:t>/</w:t>
      </w:r>
      <w:r>
        <w:rPr>
          <w:rFonts w:ascii="Arial" w:cs="Arial" w:eastAsia="Arial" w:hAnsi="Arial"/>
          <w:sz w:val="21"/>
          <w:szCs w:val="21"/>
          <w:b w:val="1"/>
          <w:bCs w:val="1"/>
          <w:u w:val="single" w:color="auto"/>
          <w:color w:val="auto"/>
        </w:rPr>
        <w:t>Rescission of Award after Vesting or Distribution</w:t>
      </w:r>
      <w:r>
        <w:rPr>
          <w:rFonts w:ascii="Arial" w:cs="Arial" w:eastAsia="Arial" w:hAnsi="Arial"/>
          <w:sz w:val="21"/>
          <w:szCs w:val="21"/>
          <w:b w:val="1"/>
          <w:bCs w:val="1"/>
          <w:color w:val="auto"/>
        </w:rPr>
        <w:t>.</w:t>
      </w:r>
    </w:p>
    <w:p>
      <w:pPr>
        <w:spacing w:after="0" w:line="14" w:lineRule="exact"/>
        <w:rPr>
          <w:rFonts w:ascii="Arial" w:cs="Arial" w:eastAsia="Arial" w:hAnsi="Arial"/>
          <w:sz w:val="21"/>
          <w:szCs w:val="21"/>
          <w:b w:val="1"/>
          <w:bCs w:val="1"/>
          <w:color w:val="auto"/>
        </w:rPr>
      </w:pPr>
    </w:p>
    <w:p>
      <w:pPr>
        <w:jc w:val="both"/>
        <w:ind w:firstLine="1239"/>
        <w:spacing w:after="0" w:line="269" w:lineRule="auto"/>
        <w:tabs>
          <w:tab w:leader="none" w:pos="1845" w:val="left"/>
        </w:tabs>
        <w:numPr>
          <w:ilvl w:val="2"/>
          <w:numId w:val="103"/>
        </w:numPr>
        <w:rPr>
          <w:rFonts w:ascii="Arial" w:cs="Arial" w:eastAsia="Arial" w:hAnsi="Arial"/>
          <w:sz w:val="17"/>
          <w:szCs w:val="17"/>
          <w:color w:val="auto"/>
        </w:rPr>
      </w:pPr>
      <w:r>
        <w:rPr>
          <w:rFonts w:ascii="Arial" w:cs="Arial" w:eastAsia="Arial" w:hAnsi="Arial"/>
          <w:sz w:val="19"/>
          <w:szCs w:val="19"/>
          <w:color w:val="auto"/>
        </w:rPr>
        <w:t>If while Grantee is an employee of the Company (or one of its subsidiaries) or after Grantee ceases to be such an employee, the Committee or its delegate determines that Grantee breached his or her duty of loyalty to the Company, any Shares distributed in settlement of this Award during the three (3) year period prior to such deemed breach shall be rescinded.</w:t>
      </w:r>
    </w:p>
    <w:p>
      <w:pPr>
        <w:spacing w:after="0" w:line="161" w:lineRule="exact"/>
        <w:rPr>
          <w:rFonts w:ascii="Arial" w:cs="Arial" w:eastAsia="Arial" w:hAnsi="Arial"/>
          <w:sz w:val="17"/>
          <w:szCs w:val="17"/>
          <w:color w:val="auto"/>
        </w:rPr>
      </w:pPr>
    </w:p>
    <w:p>
      <w:pPr>
        <w:ind w:left="2480" w:hanging="623"/>
        <w:spacing w:after="0"/>
        <w:tabs>
          <w:tab w:leader="none" w:pos="2480" w:val="left"/>
        </w:tabs>
        <w:numPr>
          <w:ilvl w:val="3"/>
          <w:numId w:val="103"/>
        </w:numPr>
        <w:rPr>
          <w:rFonts w:ascii="Arial" w:cs="Arial" w:eastAsia="Arial" w:hAnsi="Arial"/>
          <w:sz w:val="16"/>
          <w:szCs w:val="16"/>
          <w:color w:val="auto"/>
        </w:rPr>
      </w:pPr>
      <w:r>
        <w:rPr>
          <w:rFonts w:ascii="Arial" w:cs="Arial" w:eastAsia="Arial" w:hAnsi="Arial"/>
          <w:sz w:val="18"/>
          <w:szCs w:val="18"/>
          <w:color w:val="auto"/>
        </w:rPr>
        <w:t>The Company shall notify Grantee in writing of any such rescission not later than one-hundred and eighty</w:t>
      </w:r>
    </w:p>
    <w:p>
      <w:pPr>
        <w:spacing w:after="0" w:line="42" w:lineRule="exact"/>
        <w:rPr>
          <w:rFonts w:ascii="Arial" w:cs="Arial" w:eastAsia="Arial" w:hAnsi="Arial"/>
          <w:sz w:val="16"/>
          <w:szCs w:val="16"/>
          <w:color w:val="auto"/>
        </w:rPr>
      </w:pPr>
    </w:p>
    <w:p>
      <w:pPr>
        <w:ind w:firstLine="3"/>
        <w:spacing w:after="0" w:line="230" w:lineRule="auto"/>
        <w:tabs>
          <w:tab w:leader="none" w:pos="514" w:val="left"/>
        </w:tabs>
        <w:numPr>
          <w:ilvl w:val="0"/>
          <w:numId w:val="104"/>
        </w:numPr>
        <w:rPr>
          <w:rFonts w:ascii="Arial" w:cs="Arial" w:eastAsia="Arial" w:hAnsi="Arial"/>
          <w:sz w:val="21"/>
          <w:szCs w:val="21"/>
          <w:color w:val="auto"/>
        </w:rPr>
      </w:pPr>
      <w:r>
        <w:rPr>
          <w:rFonts w:ascii="Arial" w:cs="Arial" w:eastAsia="Arial" w:hAnsi="Arial"/>
          <w:sz w:val="21"/>
          <w:szCs w:val="21"/>
          <w:color w:val="auto"/>
        </w:rPr>
        <w:t>days after the Company obtains knowledge of Grantee’s breach of his or her duty of loyalty as described in Subparagraph 5(a) above.</w:t>
      </w:r>
    </w:p>
    <w:p>
      <w:pPr>
        <w:ind w:firstLine="1857"/>
        <w:spacing w:after="0" w:line="237" w:lineRule="auto"/>
        <w:tabs>
          <w:tab w:leader="none" w:pos="2472" w:val="left"/>
        </w:tabs>
        <w:numPr>
          <w:ilvl w:val="3"/>
          <w:numId w:val="104"/>
        </w:numPr>
        <w:rPr>
          <w:rFonts w:ascii="Arial" w:cs="Arial" w:eastAsia="Arial" w:hAnsi="Arial"/>
          <w:sz w:val="21"/>
          <w:szCs w:val="21"/>
          <w:color w:val="auto"/>
        </w:rPr>
      </w:pPr>
      <w:r>
        <w:rPr>
          <w:rFonts w:ascii="Arial" w:cs="Arial" w:eastAsia="Arial" w:hAnsi="Arial"/>
          <w:sz w:val="21"/>
          <w:szCs w:val="21"/>
          <w:color w:val="auto"/>
        </w:rPr>
        <w:t>Within ten (10) days after receiving a such notice from the Company: (i) Grantee must surrender to the Company the Shares acquired upon settlement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820" w:type="dxa"/>
            <w:vAlign w:val="bottom"/>
          </w:tcPr>
          <w:p>
            <w:pPr>
              <w:spacing w:after="0"/>
              <w:rPr>
                <w:sz w:val="20"/>
                <w:szCs w:val="20"/>
                <w:color w:val="auto"/>
              </w:rPr>
            </w:pPr>
            <w:r>
              <w:rPr>
                <w:rFonts w:ascii="Arial" w:cs="Arial" w:eastAsia="Arial" w:hAnsi="Arial"/>
                <w:sz w:val="21"/>
                <w:szCs w:val="21"/>
                <w:color w:val="auto"/>
              </w:rPr>
              <w:t>LTI Grant Agreement</w:t>
            </w:r>
          </w:p>
        </w:tc>
        <w:tc>
          <w:tcPr>
            <w:tcW w:w="1140" w:type="dxa"/>
            <w:vAlign w:val="bottom"/>
          </w:tcPr>
          <w:p>
            <w:pPr>
              <w:jc w:val="right"/>
              <w:spacing w:after="0"/>
              <w:rPr>
                <w:sz w:val="20"/>
                <w:szCs w:val="20"/>
                <w:color w:val="auto"/>
              </w:rPr>
            </w:pPr>
            <w:r>
              <w:rPr>
                <w:rFonts w:ascii="Arial" w:cs="Arial" w:eastAsia="Arial" w:hAnsi="Arial"/>
                <w:sz w:val="21"/>
                <w:szCs w:val="21"/>
                <w:color w:val="auto"/>
              </w:rPr>
              <w:t>3</w:t>
            </w:r>
          </w:p>
        </w:tc>
      </w:tr>
    </w:tbl>
    <w:p>
      <w:pPr>
        <w:sectPr>
          <w:pgSz w:w="11900" w:h="16838" w:orient="portrait"/>
          <w:cols w:equalWidth="0" w:num="1">
            <w:col w:w="11240"/>
          </w:cols>
          <w:pgMar w:left="320" w:top="1354" w:right="339" w:bottom="1440" w:gutter="0" w:footer="0" w:header="0"/>
        </w:sectPr>
      </w:pPr>
    </w:p>
    <w:bookmarkStart w:id="112" w:name="page113"/>
    <w:bookmarkEnd w:id="112"/>
    <w:p>
      <w:pPr>
        <w:jc w:val="both"/>
        <w:spacing w:after="0" w:line="236" w:lineRule="auto"/>
        <w:rPr>
          <w:sz w:val="20"/>
          <w:szCs w:val="20"/>
          <w:color w:val="auto"/>
        </w:rPr>
      </w:pPr>
      <w:r>
        <w:rPr>
          <w:rFonts w:ascii="Arial" w:cs="Arial" w:eastAsia="Arial" w:hAnsi="Arial"/>
          <w:sz w:val="21"/>
          <w:szCs w:val="21"/>
          <w:color w:val="auto"/>
        </w:rPr>
        <w:t>this Award; or (ii) if such Shares have been sold or transferred, (x) Grantee must make a payment to the Company of the proceeds from such sale or transfer, or (y) if there are no proceeds from such transfer, Grantee must make a payment to the Company equal to the Fair Market Value (as defined in the Plan) of such Shares on the date of such transfer. In all cases, Grantee shall pay to the Company the gross amount of any gain realized or payment received (not net of any withholding or other taxes paid by Grantee) as a result of the Shares.</w:t>
      </w:r>
    </w:p>
    <w:p>
      <w:pPr>
        <w:spacing w:after="0" w:line="203" w:lineRule="exact"/>
        <w:rPr>
          <w:sz w:val="20"/>
          <w:szCs w:val="20"/>
          <w:color w:val="auto"/>
        </w:rPr>
      </w:pPr>
    </w:p>
    <w:p>
      <w:pPr>
        <w:jc w:val="both"/>
        <w:ind w:firstLine="1239"/>
        <w:spacing w:after="0" w:line="234" w:lineRule="auto"/>
        <w:tabs>
          <w:tab w:leader="none" w:pos="1842" w:val="left"/>
        </w:tabs>
        <w:numPr>
          <w:ilvl w:val="0"/>
          <w:numId w:val="105"/>
        </w:numPr>
        <w:rPr>
          <w:rFonts w:ascii="Arial" w:cs="Arial" w:eastAsia="Arial" w:hAnsi="Arial"/>
          <w:sz w:val="19"/>
          <w:szCs w:val="19"/>
          <w:color w:val="auto"/>
        </w:rPr>
      </w:pPr>
      <w:r>
        <w:rPr>
          <w:rFonts w:ascii="Arial" w:cs="Arial" w:eastAsia="Arial" w:hAnsi="Arial"/>
          <w:sz w:val="21"/>
          <w:szCs w:val="21"/>
          <w:color w:val="auto"/>
        </w:rPr>
        <w:t xml:space="preserve">If while Grantee is an employee of the Company (or one of its subsidiaries) or after Grantee ceases to be such an employee, the Committee or its delegate determines that Grantee breached his or her duty of loyalty to the Company before any Performance Stock Units vest pursuant to the achievement of Company performance criteria previously established and approved by the Committee for the </w:t>
      </w:r>
      <w:r>
        <w:rPr>
          <w:rFonts w:ascii="Arial" w:cs="Arial" w:eastAsia="Arial" w:hAnsi="Arial"/>
          <w:sz w:val="21"/>
          <w:szCs w:val="21"/>
          <w:b w:val="1"/>
          <w:bCs w:val="1"/>
          <w:color w:val="auto"/>
        </w:rPr>
        <w:t>performance cycle</w:t>
      </w:r>
      <w:r>
        <w:rPr>
          <w:rFonts w:ascii="Arial" w:cs="Arial" w:eastAsia="Arial" w:hAnsi="Arial"/>
          <w:sz w:val="21"/>
          <w:szCs w:val="21"/>
          <w:color w:val="auto"/>
        </w:rPr>
        <w:t xml:space="preserve"> (as defined in the applicable LTI Brochure), this Award shall be cancelled without further action by the Committee or its delegate.</w:t>
      </w:r>
    </w:p>
    <w:p>
      <w:pPr>
        <w:spacing w:after="0" w:line="201" w:lineRule="exact"/>
        <w:rPr>
          <w:sz w:val="20"/>
          <w:szCs w:val="20"/>
          <w:color w:val="auto"/>
        </w:rPr>
      </w:pPr>
    </w:p>
    <w:p>
      <w:pPr>
        <w:jc w:val="both"/>
        <w:ind w:firstLine="618"/>
        <w:spacing w:after="0" w:line="248" w:lineRule="auto"/>
        <w:rPr>
          <w:sz w:val="20"/>
          <w:szCs w:val="20"/>
          <w:color w:val="auto"/>
        </w:rPr>
      </w:pPr>
      <w:r>
        <w:rPr>
          <w:rFonts w:ascii="Arial" w:cs="Arial" w:eastAsia="Arial" w:hAnsi="Arial"/>
          <w:sz w:val="20"/>
          <w:szCs w:val="20"/>
          <w:color w:val="auto"/>
        </w:rPr>
        <w:t>For purposes of this Agreement and avoidance of doubt, “duty of loyalty” to the Company means that Grantee cannot act contrary to the Company’s interest, such as competing with the Company while employed or using the Company’s proprietary and confidential information to compete with the Company, or as otherwise as determined by a court of law.</w:t>
      </w:r>
    </w:p>
    <w:p>
      <w:pPr>
        <w:jc w:val="both"/>
        <w:ind w:firstLine="621"/>
        <w:spacing w:after="0" w:line="230" w:lineRule="auto"/>
        <w:tabs>
          <w:tab w:leader="none" w:pos="837" w:val="left"/>
        </w:tabs>
        <w:numPr>
          <w:ilvl w:val="0"/>
          <w:numId w:val="10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Withholding of Taxes</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will require Grantee to remit an amount equal to any tax withholding required under</w:t>
      </w:r>
      <w:r>
        <w:rPr>
          <w:rFonts w:ascii="Arial" w:cs="Arial" w:eastAsia="Arial" w:hAnsi="Arial"/>
          <w:sz w:val="21"/>
          <w:szCs w:val="21"/>
          <w:b w:val="1"/>
          <w:bCs w:val="1"/>
          <w:color w:val="auto"/>
        </w:rPr>
        <w:t xml:space="preserve"> </w:t>
      </w:r>
      <w:r>
        <w:rPr>
          <w:rFonts w:ascii="Arial" w:cs="Arial" w:eastAsia="Arial" w:hAnsi="Arial"/>
          <w:sz w:val="21"/>
          <w:szCs w:val="21"/>
          <w:color w:val="auto"/>
        </w:rPr>
        <w:t>federal, state or local law on the value of the Shares deliverable under this Agreement at such time as the Company is required to withhold such amounts. In accordance with any procedures established by the Committee, Grantee may satisfy any required tax withholding payments in cash or Shares (including the surrender of Shares held by the Grantee or those that would otherwise be issued in settlement of this Award). Any surrendered or withheld Shares will constitute satisfaction of any required tax withholding to the extent of their Fair Market Value.</w:t>
      </w:r>
    </w:p>
    <w:p>
      <w:pPr>
        <w:spacing w:after="0" w:line="197" w:lineRule="exact"/>
        <w:rPr>
          <w:rFonts w:ascii="Arial" w:cs="Arial" w:eastAsia="Arial" w:hAnsi="Arial"/>
          <w:sz w:val="21"/>
          <w:szCs w:val="21"/>
          <w:b w:val="1"/>
          <w:bCs w:val="1"/>
          <w:color w:val="auto"/>
        </w:rPr>
      </w:pPr>
    </w:p>
    <w:p>
      <w:pPr>
        <w:jc w:val="both"/>
        <w:ind w:firstLine="621"/>
        <w:spacing w:after="0" w:line="262" w:lineRule="auto"/>
        <w:tabs>
          <w:tab w:leader="none" w:pos="837" w:val="left"/>
        </w:tabs>
        <w:numPr>
          <w:ilvl w:val="0"/>
          <w:numId w:val="10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Limits on Transferability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Grantee’s right in the Performance Stock Units awarded under this Agreement and any interest</w:t>
      </w:r>
      <w:r>
        <w:rPr>
          <w:rFonts w:ascii="Arial" w:cs="Arial" w:eastAsia="Arial" w:hAnsi="Arial"/>
          <w:sz w:val="20"/>
          <w:szCs w:val="20"/>
          <w:b w:val="1"/>
          <w:bCs w:val="1"/>
          <w:color w:val="auto"/>
        </w:rPr>
        <w:t xml:space="preserve"> </w:t>
      </w:r>
      <w:r>
        <w:rPr>
          <w:rFonts w:ascii="Arial" w:cs="Arial" w:eastAsia="Arial" w:hAnsi="Arial"/>
          <w:sz w:val="20"/>
          <w:szCs w:val="20"/>
          <w:color w:val="auto"/>
        </w:rPr>
        <w:t>therein may not be sold, pledged, assigned, hypothecated, transferred, or disposed of in any manner, other than by will or by the laws of descent or distribution. The Award shall not be subject to execution, attachment or other process.</w:t>
      </w:r>
    </w:p>
    <w:p>
      <w:pPr>
        <w:spacing w:after="0" w:line="173" w:lineRule="exact"/>
        <w:rPr>
          <w:rFonts w:ascii="Arial" w:cs="Arial" w:eastAsia="Arial" w:hAnsi="Arial"/>
          <w:sz w:val="20"/>
          <w:szCs w:val="20"/>
          <w:b w:val="1"/>
          <w:bCs w:val="1"/>
          <w:color w:val="auto"/>
        </w:rPr>
      </w:pPr>
    </w:p>
    <w:p>
      <w:pPr>
        <w:jc w:val="both"/>
        <w:ind w:firstLine="621"/>
        <w:spacing w:after="0" w:line="262" w:lineRule="auto"/>
        <w:tabs>
          <w:tab w:leader="none" w:pos="824" w:val="left"/>
        </w:tabs>
        <w:numPr>
          <w:ilvl w:val="0"/>
          <w:numId w:val="10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Compliance with Securities Laws</w:t>
      </w:r>
      <w:r>
        <w:rPr>
          <w:rFonts w:ascii="Arial" w:cs="Arial" w:eastAsia="Arial" w:hAnsi="Arial"/>
          <w:sz w:val="20"/>
          <w:szCs w:val="20"/>
          <w:b w:val="1"/>
          <w:bCs w:val="1"/>
          <w:color w:val="auto"/>
        </w:rPr>
        <w:t xml:space="preserve">. </w:t>
      </w:r>
      <w:r>
        <w:rPr>
          <w:rFonts w:ascii="Arial" w:cs="Arial" w:eastAsia="Arial" w:hAnsi="Arial"/>
          <w:sz w:val="20"/>
          <w:szCs w:val="20"/>
          <w:color w:val="auto"/>
        </w:rPr>
        <w:t>Shares shall not be issued with respect to this Award unless the issuance and delivery of</w:t>
      </w:r>
      <w:r>
        <w:rPr>
          <w:rFonts w:ascii="Arial" w:cs="Arial" w:eastAsia="Arial" w:hAnsi="Arial"/>
          <w:sz w:val="20"/>
          <w:szCs w:val="20"/>
          <w:b w:val="1"/>
          <w:bCs w:val="1"/>
          <w:color w:val="auto"/>
        </w:rPr>
        <w:t xml:space="preserve"> </w:t>
      </w:r>
      <w:r>
        <w:rPr>
          <w:rFonts w:ascii="Arial" w:cs="Arial" w:eastAsia="Arial" w:hAnsi="Arial"/>
          <w:sz w:val="20"/>
          <w:szCs w:val="20"/>
          <w:color w:val="auto"/>
        </w:rPr>
        <w:t>such Shares shall comply with all relevant provisions of state and federal laws, rules and regulations, and, in the discretion of the Company, shall be further subject to the approval of counsel for the Company with respect to that compliance.</w:t>
      </w:r>
    </w:p>
    <w:p>
      <w:pPr>
        <w:spacing w:after="0" w:line="173" w:lineRule="exact"/>
        <w:rPr>
          <w:rFonts w:ascii="Arial" w:cs="Arial" w:eastAsia="Arial" w:hAnsi="Arial"/>
          <w:sz w:val="20"/>
          <w:szCs w:val="20"/>
          <w:b w:val="1"/>
          <w:bCs w:val="1"/>
          <w:color w:val="auto"/>
        </w:rPr>
      </w:pPr>
    </w:p>
    <w:p>
      <w:pPr>
        <w:jc w:val="both"/>
        <w:ind w:firstLine="621"/>
        <w:spacing w:after="0" w:line="236" w:lineRule="auto"/>
        <w:tabs>
          <w:tab w:leader="none" w:pos="824" w:val="left"/>
        </w:tabs>
        <w:numPr>
          <w:ilvl w:val="0"/>
          <w:numId w:val="10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Employment or Voting Rights</w:t>
      </w:r>
      <w:r>
        <w:rPr>
          <w:rFonts w:ascii="Arial" w:cs="Arial" w:eastAsia="Arial" w:hAnsi="Arial"/>
          <w:sz w:val="21"/>
          <w:szCs w:val="21"/>
          <w:b w:val="1"/>
          <w:bCs w:val="1"/>
          <w:color w:val="auto"/>
        </w:rPr>
        <w:t xml:space="preserve">. </w:t>
      </w:r>
      <w:r>
        <w:rPr>
          <w:rFonts w:ascii="Arial" w:cs="Arial" w:eastAsia="Arial" w:hAnsi="Arial"/>
          <w:sz w:val="21"/>
          <w:szCs w:val="21"/>
          <w:color w:val="auto"/>
        </w:rPr>
        <w:t>Nothing contained in the Plan or this Agreement shall give any employee the right to be</w:t>
      </w:r>
      <w:r>
        <w:rPr>
          <w:rFonts w:ascii="Arial" w:cs="Arial" w:eastAsia="Arial" w:hAnsi="Arial"/>
          <w:sz w:val="21"/>
          <w:szCs w:val="21"/>
          <w:b w:val="1"/>
          <w:bCs w:val="1"/>
          <w:color w:val="auto"/>
        </w:rPr>
        <w:t xml:space="preserve"> </w:t>
      </w:r>
      <w:r>
        <w:rPr>
          <w:rFonts w:ascii="Arial" w:cs="Arial" w:eastAsia="Arial" w:hAnsi="Arial"/>
          <w:sz w:val="21"/>
          <w:szCs w:val="21"/>
          <w:color w:val="auto"/>
        </w:rPr>
        <w:t>retained in the employment of the Company or its subsidiaries or affiliates, or their successors or assigns, whether existing now or in the future (collectively “Campbell Companies”), or affect the right of any of the Campbell Companies to terminate any employee. Grantee shall have no voting rights with respect to the Performance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820" w:type="dxa"/>
            <w:vAlign w:val="bottom"/>
          </w:tcPr>
          <w:p>
            <w:pPr>
              <w:spacing w:after="0"/>
              <w:rPr>
                <w:sz w:val="20"/>
                <w:szCs w:val="20"/>
                <w:color w:val="auto"/>
              </w:rPr>
            </w:pPr>
            <w:r>
              <w:rPr>
                <w:rFonts w:ascii="Arial" w:cs="Arial" w:eastAsia="Arial" w:hAnsi="Arial"/>
                <w:sz w:val="21"/>
                <w:szCs w:val="21"/>
                <w:color w:val="auto"/>
              </w:rPr>
              <w:t>LTI Grant Agreement</w:t>
            </w:r>
          </w:p>
        </w:tc>
        <w:tc>
          <w:tcPr>
            <w:tcW w:w="1140" w:type="dxa"/>
            <w:vAlign w:val="bottom"/>
          </w:tcPr>
          <w:p>
            <w:pPr>
              <w:jc w:val="right"/>
              <w:spacing w:after="0"/>
              <w:rPr>
                <w:sz w:val="20"/>
                <w:szCs w:val="20"/>
                <w:color w:val="auto"/>
              </w:rPr>
            </w:pPr>
            <w:r>
              <w:rPr>
                <w:rFonts w:ascii="Arial" w:cs="Arial" w:eastAsia="Arial" w:hAnsi="Arial"/>
                <w:sz w:val="21"/>
                <w:szCs w:val="21"/>
                <w:color w:val="auto"/>
              </w:rPr>
              <w:t>4</w:t>
            </w:r>
          </w:p>
        </w:tc>
      </w:tr>
    </w:tbl>
    <w:p>
      <w:pPr>
        <w:sectPr>
          <w:pgSz w:w="11900" w:h="16838" w:orient="portrait"/>
          <w:cols w:equalWidth="0" w:num="1">
            <w:col w:w="11240"/>
          </w:cols>
          <w:pgMar w:left="320" w:top="1355" w:right="339" w:bottom="1440" w:gutter="0" w:footer="0" w:header="0"/>
        </w:sectPr>
      </w:pPr>
    </w:p>
    <w:bookmarkStart w:id="113" w:name="page114"/>
    <w:bookmarkEnd w:id="113"/>
    <w:p>
      <w:pPr>
        <w:jc w:val="both"/>
        <w:ind w:firstLine="621"/>
        <w:spacing w:after="0" w:line="255" w:lineRule="auto"/>
        <w:tabs>
          <w:tab w:leader="none" w:pos="927" w:val="left"/>
        </w:tabs>
        <w:numPr>
          <w:ilvl w:val="0"/>
          <w:numId w:val="10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Internal Revenue Code Section 409A</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be interpreted, operated, and administered in a manner so as</w:t>
      </w:r>
      <w:r>
        <w:rPr>
          <w:rFonts w:ascii="Arial" w:cs="Arial" w:eastAsia="Arial" w:hAnsi="Arial"/>
          <w:sz w:val="20"/>
          <w:szCs w:val="20"/>
          <w:b w:val="1"/>
          <w:bCs w:val="1"/>
          <w:color w:val="auto"/>
        </w:rPr>
        <w:t xml:space="preserve"> </w:t>
      </w:r>
      <w:r>
        <w:rPr>
          <w:rFonts w:ascii="Arial" w:cs="Arial" w:eastAsia="Arial" w:hAnsi="Arial"/>
          <w:sz w:val="20"/>
          <w:szCs w:val="20"/>
          <w:color w:val="auto"/>
        </w:rPr>
        <w:t>not to subject Grantee to the assessment of additional taxes or interest under Code section 409A to the extent such Grantee or any payment under this Agreement is subject to U.S. tax laws, and this Agreement shall be amended as the Company, in its sole discretion, determines is necessary and appropriate to avoid the application of any such taxes or interest.</w:t>
      </w:r>
    </w:p>
    <w:p>
      <w:pPr>
        <w:spacing w:after="0" w:line="181" w:lineRule="exact"/>
        <w:rPr>
          <w:rFonts w:ascii="Arial" w:cs="Arial" w:eastAsia="Arial" w:hAnsi="Arial"/>
          <w:sz w:val="20"/>
          <w:szCs w:val="20"/>
          <w:b w:val="1"/>
          <w:bCs w:val="1"/>
          <w:color w:val="auto"/>
        </w:rPr>
      </w:pPr>
    </w:p>
    <w:p>
      <w:pPr>
        <w:jc w:val="both"/>
        <w:ind w:firstLine="621"/>
        <w:spacing w:after="0" w:line="287" w:lineRule="auto"/>
        <w:tabs>
          <w:tab w:leader="none" w:pos="916"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Electronic Delivery and Acceptance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in its sole discretion, decide to deliver any documents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or future participation in the Plan by electronic means or to request the Grantee’s consent to participate in the Plan by electronic means. The Grantee hereby consents to receive such documents by electronic delivery and, if requested, agrees to participate in the Plan through an on-line or electronic system established and maintained by the Company or a third party designated by the Company.</w:t>
      </w:r>
    </w:p>
    <w:p>
      <w:pPr>
        <w:spacing w:after="0" w:line="156" w:lineRule="exact"/>
        <w:rPr>
          <w:rFonts w:ascii="Arial" w:cs="Arial" w:eastAsia="Arial" w:hAnsi="Arial"/>
          <w:sz w:val="18"/>
          <w:szCs w:val="18"/>
          <w:b w:val="1"/>
          <w:bCs w:val="1"/>
          <w:color w:val="auto"/>
        </w:rPr>
      </w:pPr>
    </w:p>
    <w:p>
      <w:pPr>
        <w:jc w:val="both"/>
        <w:ind w:firstLine="621"/>
        <w:spacing w:after="0" w:line="244" w:lineRule="auto"/>
        <w:tabs>
          <w:tab w:leader="none" w:pos="953" w:val="left"/>
        </w:tabs>
        <w:numPr>
          <w:ilvl w:val="0"/>
          <w:numId w:val="10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Entire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The terms of the Plan and this Agreement when accepted by the Grantee will constitute the entire</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with respect to the subject matter hereof. This Agreement supersedes any prior agreements, representations or promises of the parties relating to the subject matter hereof.</w:t>
      </w:r>
    </w:p>
    <w:p>
      <w:pPr>
        <w:spacing w:after="0" w:line="190" w:lineRule="exact"/>
        <w:rPr>
          <w:rFonts w:ascii="Arial" w:cs="Arial" w:eastAsia="Arial" w:hAnsi="Arial"/>
          <w:sz w:val="21"/>
          <w:szCs w:val="21"/>
          <w:b w:val="1"/>
          <w:bCs w:val="1"/>
          <w:color w:val="auto"/>
        </w:rPr>
      </w:pPr>
    </w:p>
    <w:p>
      <w:pPr>
        <w:ind w:firstLine="621"/>
        <w:spacing w:after="0" w:line="258" w:lineRule="auto"/>
        <w:tabs>
          <w:tab w:leader="none" w:pos="940" w:val="left"/>
        </w:tabs>
        <w:numPr>
          <w:ilvl w:val="0"/>
          <w:numId w:val="10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Non-Competition and Restrictive Covenants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As a condition of receiving the Award, Grantee must agree to</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terms of the RCA which is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w:t>
      </w:r>
    </w:p>
    <w:p>
      <w:pPr>
        <w:spacing w:after="0" w:line="176" w:lineRule="exact"/>
        <w:rPr>
          <w:rFonts w:ascii="Arial" w:cs="Arial" w:eastAsia="Arial" w:hAnsi="Arial"/>
          <w:sz w:val="21"/>
          <w:szCs w:val="21"/>
          <w:b w:val="1"/>
          <w:bCs w:val="1"/>
          <w:color w:val="auto"/>
        </w:rPr>
      </w:pPr>
    </w:p>
    <w:p>
      <w:pPr>
        <w:jc w:val="both"/>
        <w:ind w:firstLine="621"/>
        <w:spacing w:after="0" w:line="273" w:lineRule="auto"/>
        <w:tabs>
          <w:tab w:leader="none" w:pos="940" w:val="left"/>
        </w:tabs>
        <w:numPr>
          <w:ilvl w:val="0"/>
          <w:numId w:val="10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Clawback</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and any Shares issued pursuant to this Agreement will be subject to reduction, cancellation,</w:t>
      </w:r>
      <w:r>
        <w:rPr>
          <w:rFonts w:ascii="Arial" w:cs="Arial" w:eastAsia="Arial" w:hAnsi="Arial"/>
          <w:sz w:val="19"/>
          <w:szCs w:val="19"/>
          <w:b w:val="1"/>
          <w:bCs w:val="1"/>
          <w:color w:val="auto"/>
        </w:rPr>
        <w:t xml:space="preserve"> </w:t>
      </w:r>
      <w:r>
        <w:rPr>
          <w:rFonts w:ascii="Arial" w:cs="Arial" w:eastAsia="Arial" w:hAnsi="Arial"/>
          <w:sz w:val="19"/>
          <w:szCs w:val="19"/>
          <w:color w:val="auto"/>
        </w:rPr>
        <w:t>repayment, forfeiture or recoupment in accordance with any clawback policy adopted by the Company. By accepting this Award, the Grantee is agreeing to be bound by any such clawback policy, as in effect or as may be adopted and/or modified from time to time by the Company in its discretion, and any or clawback requirements imposed under applicable laws, rules and regulations.</w:t>
      </w:r>
    </w:p>
    <w:p>
      <w:pPr>
        <w:spacing w:after="0" w:line="151" w:lineRule="exact"/>
        <w:rPr>
          <w:rFonts w:ascii="Arial" w:cs="Arial" w:eastAsia="Arial" w:hAnsi="Arial"/>
          <w:sz w:val="19"/>
          <w:szCs w:val="19"/>
          <w:b w:val="1"/>
          <w:bCs w:val="1"/>
          <w:color w:val="auto"/>
        </w:rPr>
      </w:pPr>
    </w:p>
    <w:p>
      <w:pPr>
        <w:jc w:val="both"/>
        <w:ind w:firstLine="621"/>
        <w:spacing w:after="0" w:line="237" w:lineRule="auto"/>
        <w:tabs>
          <w:tab w:leader="none" w:pos="953" w:val="left"/>
        </w:tabs>
        <w:numPr>
          <w:ilvl w:val="0"/>
          <w:numId w:val="10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Severability</w:t>
      </w:r>
      <w:r>
        <w:rPr>
          <w:rFonts w:ascii="Arial" w:cs="Arial" w:eastAsia="Arial" w:hAnsi="Arial"/>
          <w:sz w:val="21"/>
          <w:szCs w:val="21"/>
          <w:b w:val="1"/>
          <w:bCs w:val="1"/>
          <w:color w:val="auto"/>
        </w:rPr>
        <w:t xml:space="preserve">. </w:t>
      </w:r>
      <w:r>
        <w:rPr>
          <w:rFonts w:ascii="Arial" w:cs="Arial" w:eastAsia="Arial" w:hAnsi="Arial"/>
          <w:sz w:val="21"/>
          <w:szCs w:val="21"/>
          <w:color w:val="auto"/>
        </w:rPr>
        <w:t>If one or more of the provisions of this Agreement shall be held invalid, illegal or unenforceable in any</w:t>
      </w:r>
      <w:r>
        <w:rPr>
          <w:rFonts w:ascii="Arial" w:cs="Arial" w:eastAsia="Arial" w:hAnsi="Arial"/>
          <w:sz w:val="21"/>
          <w:szCs w:val="21"/>
          <w:b w:val="1"/>
          <w:bCs w:val="1"/>
          <w:color w:val="auto"/>
        </w:rPr>
        <w:t xml:space="preserve"> </w:t>
      </w:r>
      <w:r>
        <w:rPr>
          <w:rFonts w:ascii="Arial" w:cs="Arial" w:eastAsia="Arial" w:hAnsi="Arial"/>
          <w:sz w:val="21"/>
          <w:szCs w:val="21"/>
          <w:color w:val="auto"/>
        </w:rPr>
        <w:t>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Agreement to be construed so as to foster the intent of this Agreement and the Plan.</w:t>
      </w:r>
    </w:p>
    <w:p>
      <w:pPr>
        <w:spacing w:after="0" w:line="198" w:lineRule="exact"/>
        <w:rPr>
          <w:rFonts w:ascii="Arial" w:cs="Arial" w:eastAsia="Arial" w:hAnsi="Arial"/>
          <w:sz w:val="21"/>
          <w:szCs w:val="21"/>
          <w:b w:val="1"/>
          <w:bCs w:val="1"/>
          <w:color w:val="auto"/>
        </w:rPr>
      </w:pPr>
    </w:p>
    <w:p>
      <w:pPr>
        <w:ind w:firstLine="621"/>
        <w:spacing w:after="0" w:line="283" w:lineRule="auto"/>
        <w:tabs>
          <w:tab w:leader="none" w:pos="927" w:val="left"/>
        </w:tabs>
        <w:numPr>
          <w:ilvl w:val="0"/>
          <w:numId w:val="10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Successors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be binding upon and inure to the benefit of any successor or successors of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and any person or persons who shall acquire any rights hereunder in accordance with this Agreement or the Plan.</w:t>
      </w:r>
    </w:p>
    <w:p>
      <w:pPr>
        <w:spacing w:after="0" w:line="153" w:lineRule="exact"/>
        <w:rPr>
          <w:rFonts w:ascii="Arial" w:cs="Arial" w:eastAsia="Arial" w:hAnsi="Arial"/>
          <w:sz w:val="20"/>
          <w:szCs w:val="20"/>
          <w:b w:val="1"/>
          <w:bCs w:val="1"/>
          <w:color w:val="auto"/>
        </w:rPr>
      </w:pPr>
    </w:p>
    <w:p>
      <w:pPr>
        <w:jc w:val="both"/>
        <w:ind w:firstLine="621"/>
        <w:spacing w:after="0" w:line="287" w:lineRule="auto"/>
        <w:tabs>
          <w:tab w:leader="none" w:pos="927"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construed in accordance with, and its interpretation shall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be governed by, New Jersey law. Each party irrevocably agrees that any legal proceeding arising out of, or relating to the subject matter of, this Agreement shall be brought in the Superior Court of New Jersey in Camden County or the United States District Court for the District of New Jersey located in Camden, New Jersey. Each party irrevocably consents to such jurisdiction and 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820" w:type="dxa"/>
            <w:vAlign w:val="bottom"/>
          </w:tcPr>
          <w:p>
            <w:pPr>
              <w:spacing w:after="0"/>
              <w:rPr>
                <w:sz w:val="20"/>
                <w:szCs w:val="20"/>
                <w:color w:val="auto"/>
              </w:rPr>
            </w:pPr>
            <w:r>
              <w:rPr>
                <w:rFonts w:ascii="Arial" w:cs="Arial" w:eastAsia="Arial" w:hAnsi="Arial"/>
                <w:sz w:val="21"/>
                <w:szCs w:val="21"/>
                <w:color w:val="auto"/>
              </w:rPr>
              <w:t>LTI Grant Agreement</w:t>
            </w:r>
          </w:p>
        </w:tc>
        <w:tc>
          <w:tcPr>
            <w:tcW w:w="1140" w:type="dxa"/>
            <w:vAlign w:val="bottom"/>
          </w:tcPr>
          <w:p>
            <w:pPr>
              <w:jc w:val="right"/>
              <w:spacing w:after="0"/>
              <w:rPr>
                <w:sz w:val="20"/>
                <w:szCs w:val="20"/>
                <w:color w:val="auto"/>
              </w:rPr>
            </w:pPr>
            <w:r>
              <w:rPr>
                <w:rFonts w:ascii="Arial" w:cs="Arial" w:eastAsia="Arial" w:hAnsi="Arial"/>
                <w:sz w:val="21"/>
                <w:szCs w:val="21"/>
                <w:color w:val="auto"/>
              </w:rPr>
              <w:t>5</w:t>
            </w:r>
          </w:p>
        </w:tc>
      </w:tr>
    </w:tbl>
    <w:p>
      <w:pPr>
        <w:sectPr>
          <w:pgSz w:w="11900" w:h="16838" w:orient="portrait"/>
          <w:cols w:equalWidth="0" w:num="1">
            <w:col w:w="11240"/>
          </w:cols>
          <w:pgMar w:left="320" w:top="1349" w:right="339" w:bottom="1440" w:gutter="0" w:footer="0" w:header="0"/>
        </w:sectPr>
      </w:pPr>
    </w:p>
    <w:bookmarkStart w:id="114" w:name="page115"/>
    <w:bookmarkEnd w:id="114"/>
    <w:p>
      <w:pPr>
        <w:ind w:firstLine="618"/>
        <w:spacing w:after="0" w:line="252" w:lineRule="auto"/>
        <w:rPr>
          <w:sz w:val="20"/>
          <w:szCs w:val="20"/>
          <w:color w:val="auto"/>
        </w:rPr>
      </w:pPr>
      <w:r>
        <w:rPr>
          <w:rFonts w:ascii="Arial" w:cs="Arial" w:eastAsia="Arial" w:hAnsi="Arial"/>
          <w:sz w:val="21"/>
          <w:szCs w:val="21"/>
          <w:color w:val="auto"/>
        </w:rPr>
        <w:t>IN WITNESS WHEREOF, the Company has caused this Agreement to be executed by a duly authorized executive all as of the Grant Date.</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color w:val="auto"/>
        </w:rPr>
        <w:t>CAMPBELL SOUP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38" w:lineRule="auto"/>
        <w:rPr>
          <w:sz w:val="20"/>
          <w:szCs w:val="20"/>
          <w:color w:val="auto"/>
        </w:rPr>
      </w:pPr>
      <w:r>
        <w:rPr>
          <w:rFonts w:ascii="Arial" w:cs="Arial" w:eastAsia="Arial" w:hAnsi="Arial"/>
          <w:sz w:val="21"/>
          <w:szCs w:val="21"/>
          <w:color w:val="auto"/>
        </w:rPr>
        <w:t>Diane Johnson May</w:t>
      </w:r>
    </w:p>
    <w:p>
      <w:pPr>
        <w:spacing w:after="0" w:line="218" w:lineRule="auto"/>
        <w:rPr>
          <w:sz w:val="20"/>
          <w:szCs w:val="20"/>
          <w:color w:val="auto"/>
        </w:rPr>
      </w:pPr>
      <w:r>
        <w:rPr>
          <w:rFonts w:ascii="Arial" w:cs="Arial" w:eastAsia="Arial" w:hAnsi="Arial"/>
          <w:sz w:val="21"/>
          <w:szCs w:val="21"/>
          <w:color w:val="auto"/>
        </w:rPr>
        <w:t>Executive Vice President and Chief Human</w:t>
      </w:r>
    </w:p>
    <w:p>
      <w:pPr>
        <w:ind w:left="4180"/>
        <w:spacing w:after="0"/>
        <w:rPr>
          <w:sz w:val="20"/>
          <w:szCs w:val="20"/>
          <w:color w:val="auto"/>
        </w:rPr>
      </w:pPr>
      <w:r>
        <w:rPr>
          <w:rFonts w:ascii="Arial" w:cs="Arial" w:eastAsia="Arial" w:hAnsi="Arial"/>
          <w:sz w:val="21"/>
          <w:szCs w:val="21"/>
          <w:color w:val="auto"/>
        </w:rPr>
        <w:t>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820" w:type="dxa"/>
            <w:vAlign w:val="bottom"/>
          </w:tcPr>
          <w:p>
            <w:pPr>
              <w:spacing w:after="0"/>
              <w:rPr>
                <w:sz w:val="20"/>
                <w:szCs w:val="20"/>
                <w:color w:val="auto"/>
              </w:rPr>
            </w:pPr>
            <w:r>
              <w:rPr>
                <w:rFonts w:ascii="Arial" w:cs="Arial" w:eastAsia="Arial" w:hAnsi="Arial"/>
                <w:sz w:val="21"/>
                <w:szCs w:val="21"/>
                <w:color w:val="auto"/>
              </w:rPr>
              <w:t>LTI Grant Agreement</w:t>
            </w:r>
          </w:p>
        </w:tc>
        <w:tc>
          <w:tcPr>
            <w:tcW w:w="1140" w:type="dxa"/>
            <w:vAlign w:val="bottom"/>
          </w:tcPr>
          <w:p>
            <w:pPr>
              <w:jc w:val="right"/>
              <w:spacing w:after="0"/>
              <w:rPr>
                <w:sz w:val="20"/>
                <w:szCs w:val="20"/>
                <w:color w:val="auto"/>
              </w:rPr>
            </w:pPr>
            <w:r>
              <w:rPr>
                <w:rFonts w:ascii="Arial" w:cs="Arial" w:eastAsia="Arial" w:hAnsi="Arial"/>
                <w:sz w:val="21"/>
                <w:szCs w:val="21"/>
                <w:color w:val="auto"/>
              </w:rPr>
              <w:t>6</w:t>
            </w:r>
          </w:p>
        </w:tc>
      </w:tr>
    </w:tbl>
    <w:p>
      <w:pPr>
        <w:sectPr>
          <w:pgSz w:w="11900" w:h="16838" w:orient="portrait"/>
          <w:cols w:equalWidth="0" w:num="1">
            <w:col w:w="11240"/>
          </w:cols>
          <w:pgMar w:left="320" w:top="1355" w:right="339" w:bottom="1440" w:gutter="0" w:footer="0" w:header="0"/>
        </w:sectPr>
      </w:pPr>
    </w:p>
    <w:bookmarkStart w:id="115" w:name="page116"/>
    <w:bookmarkEnd w:id="115"/>
    <w:p>
      <w:pPr>
        <w:spacing w:after="0" w:line="141"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EXHIBIT 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NON-COMPETITION AND RESTRICTIVE COVENANTS AGREEMENT</w:t>
      </w:r>
    </w:p>
    <w:p>
      <w:pPr>
        <w:jc w:val="center"/>
        <w:spacing w:after="0"/>
        <w:rPr>
          <w:sz w:val="20"/>
          <w:szCs w:val="20"/>
          <w:color w:val="auto"/>
        </w:rPr>
      </w:pPr>
      <w:r>
        <w:rPr>
          <w:rFonts w:ascii="Arial" w:cs="Arial" w:eastAsia="Arial" w:hAnsi="Arial"/>
          <w:sz w:val="21"/>
          <w:szCs w:val="21"/>
          <w:b w:val="1"/>
          <w:bCs w:val="1"/>
          <w:color w:val="auto"/>
        </w:rPr>
        <w:t>(LONG-TERM INCENTIVE PROGRAM)</w:t>
      </w:r>
    </w:p>
    <w:p>
      <w:pPr>
        <w:spacing w:after="0" w:line="204" w:lineRule="exact"/>
        <w:rPr>
          <w:sz w:val="20"/>
          <w:szCs w:val="20"/>
          <w:color w:val="auto"/>
        </w:rPr>
      </w:pPr>
    </w:p>
    <w:p>
      <w:pPr>
        <w:jc w:val="both"/>
        <w:ind w:firstLine="618"/>
        <w:spacing w:after="0" w:line="252" w:lineRule="auto"/>
        <w:rPr>
          <w:sz w:val="20"/>
          <w:szCs w:val="20"/>
          <w:color w:val="auto"/>
        </w:rPr>
      </w:pPr>
      <w:r>
        <w:rPr>
          <w:rFonts w:ascii="Arial" w:cs="Arial" w:eastAsia="Arial" w:hAnsi="Arial"/>
          <w:sz w:val="21"/>
          <w:szCs w:val="21"/>
          <w:color w:val="auto"/>
        </w:rPr>
        <w:t>This Non-Competition and Restrictive Covenants Agreement (“RCA”) is made by and between Campbell Soup Company (“Campbell”) and [Employee Full Legal Name] (“Employee”).</w:t>
      </w:r>
    </w:p>
    <w:p>
      <w:pPr>
        <w:spacing w:after="0" w:line="188" w:lineRule="exact"/>
        <w:rPr>
          <w:sz w:val="20"/>
          <w:szCs w:val="20"/>
          <w:color w:val="auto"/>
        </w:rPr>
      </w:pPr>
    </w:p>
    <w:p>
      <w:pPr>
        <w:jc w:val="both"/>
        <w:ind w:firstLine="618"/>
        <w:spacing w:after="0" w:line="281" w:lineRule="auto"/>
        <w:rPr>
          <w:sz w:val="20"/>
          <w:szCs w:val="20"/>
          <w:color w:val="auto"/>
        </w:rPr>
      </w:pPr>
      <w:r>
        <w:rPr>
          <w:rFonts w:ascii="Arial" w:cs="Arial" w:eastAsia="Arial" w:hAnsi="Arial"/>
          <w:sz w:val="18"/>
          <w:szCs w:val="18"/>
          <w:color w:val="auto"/>
        </w:rPr>
        <w:t>Employee has been selected to receive a Long-Term Incentive (“LTI”) award under the Campbell Soup Company 2022 Long-Term Incentive Plan (“Plan”). Employee understands and agrees that in consideration of the LTI award and as a precondition of accepting the LTI award, Employee must read and accept the terms and conditions of this RCA. Employee understands and agrees that if Employee does not accept and refuses to agree to this RCA within 90 days of being notified of the LTI award, the Compensation and Organization Committee of Campbell’s Board of Directors (“Committee”) shall, in its sole discretion, cancel the grant.</w:t>
      </w:r>
    </w:p>
    <w:p>
      <w:pPr>
        <w:spacing w:after="0" w:line="166" w:lineRule="exact"/>
        <w:rPr>
          <w:sz w:val="20"/>
          <w:szCs w:val="20"/>
          <w:color w:val="auto"/>
        </w:rPr>
      </w:pPr>
    </w:p>
    <w:p>
      <w:pPr>
        <w:jc w:val="both"/>
        <w:ind w:firstLine="618"/>
        <w:spacing w:after="0" w:line="252" w:lineRule="auto"/>
        <w:rPr>
          <w:sz w:val="20"/>
          <w:szCs w:val="20"/>
          <w:color w:val="auto"/>
        </w:rPr>
      </w:pPr>
      <w:r>
        <w:rPr>
          <w:rFonts w:ascii="Arial" w:cs="Arial" w:eastAsia="Arial" w:hAnsi="Arial"/>
          <w:sz w:val="21"/>
          <w:szCs w:val="21"/>
          <w:color w:val="auto"/>
        </w:rPr>
        <w:t>In consideration of the respective agreements of the parties contained in this RCA, intending to be legally bound and subject to the terms and conditions stated in this RCA, it is agreed as follows:</w:t>
      </w:r>
    </w:p>
    <w:p>
      <w:pPr>
        <w:spacing w:after="0" w:line="182" w:lineRule="exact"/>
        <w:rPr>
          <w:sz w:val="20"/>
          <w:szCs w:val="20"/>
          <w:color w:val="auto"/>
        </w:rPr>
      </w:pPr>
    </w:p>
    <w:p>
      <w:pPr>
        <w:ind w:left="820" w:hanging="199"/>
        <w:spacing w:after="0"/>
        <w:tabs>
          <w:tab w:leader="none" w:pos="820" w:val="left"/>
        </w:tabs>
        <w:numPr>
          <w:ilvl w:val="0"/>
          <w:numId w:val="10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Confidential Information</w:t>
      </w:r>
      <w:r>
        <w:rPr>
          <w:rFonts w:ascii="Arial" w:cs="Arial" w:eastAsia="Arial" w:hAnsi="Arial"/>
          <w:sz w:val="21"/>
          <w:szCs w:val="21"/>
          <w:color w:val="auto"/>
        </w:rPr>
        <w:t>.</w:t>
      </w:r>
    </w:p>
    <w:p>
      <w:pPr>
        <w:spacing w:after="0" w:line="14" w:lineRule="exact"/>
        <w:rPr>
          <w:rFonts w:ascii="Arial" w:cs="Arial" w:eastAsia="Arial" w:hAnsi="Arial"/>
          <w:sz w:val="21"/>
          <w:szCs w:val="21"/>
          <w:b w:val="1"/>
          <w:bCs w:val="1"/>
          <w:color w:val="auto"/>
        </w:rPr>
      </w:pPr>
    </w:p>
    <w:p>
      <w:pPr>
        <w:jc w:val="both"/>
        <w:ind w:firstLine="1239"/>
        <w:spacing w:after="0" w:line="230" w:lineRule="auto"/>
        <w:tabs>
          <w:tab w:leader="none" w:pos="1612" w:val="left"/>
        </w:tabs>
        <w:numPr>
          <w:ilvl w:val="1"/>
          <w:numId w:val="108"/>
        </w:numPr>
        <w:rPr>
          <w:rFonts w:ascii="Arial" w:cs="Arial" w:eastAsia="Arial" w:hAnsi="Arial"/>
          <w:sz w:val="21"/>
          <w:szCs w:val="21"/>
          <w:color w:val="auto"/>
        </w:rPr>
      </w:pPr>
      <w:r>
        <w:rPr>
          <w:rFonts w:ascii="Arial" w:cs="Arial" w:eastAsia="Arial" w:hAnsi="Arial"/>
          <w:sz w:val="21"/>
          <w:szCs w:val="21"/>
          <w:color w:val="auto"/>
        </w:rPr>
        <w:t>During Employee’s employment with Campbell or its subsidiaries or affiliates, or their successors or assigns, whether existing now or in the future (collectively “Campbell Companies”), Employee will receive and have access to confidential proprietary information about Campbell Companies (“Information”) and its business, including but not limited to information about costs, profits, sales, marketing or business plans, existing or prospective customers, suppliers, possible acquisitions or divestitures, potential new products or markets, personnel, know-how, formulae, recipes, processes, equipment, discoveries, inventions, research, technical or scientific information, and other data not available to the public, none of which is part of the general knowledge of the industry.</w:t>
      </w:r>
    </w:p>
    <w:p>
      <w:pPr>
        <w:spacing w:after="0" w:line="203" w:lineRule="exact"/>
        <w:rPr>
          <w:rFonts w:ascii="Arial" w:cs="Arial" w:eastAsia="Arial" w:hAnsi="Arial"/>
          <w:sz w:val="21"/>
          <w:szCs w:val="21"/>
          <w:color w:val="auto"/>
        </w:rPr>
      </w:pPr>
    </w:p>
    <w:p>
      <w:pPr>
        <w:jc w:val="both"/>
        <w:ind w:firstLine="1239"/>
        <w:spacing w:after="0" w:line="253" w:lineRule="auto"/>
        <w:tabs>
          <w:tab w:leader="none" w:pos="1575" w:val="left"/>
        </w:tabs>
        <w:numPr>
          <w:ilvl w:val="1"/>
          <w:numId w:val="108"/>
        </w:numPr>
        <w:rPr>
          <w:rFonts w:ascii="Arial" w:cs="Arial" w:eastAsia="Arial" w:hAnsi="Arial"/>
          <w:sz w:val="20"/>
          <w:szCs w:val="20"/>
          <w:color w:val="auto"/>
        </w:rPr>
      </w:pPr>
      <w:r>
        <w:rPr>
          <w:rFonts w:ascii="Arial" w:cs="Arial" w:eastAsia="Arial" w:hAnsi="Arial"/>
          <w:sz w:val="20"/>
          <w:szCs w:val="20"/>
          <w:color w:val="auto"/>
        </w:rPr>
        <w:t>During and after Employee’s employment with Campbell Companies (“Employee’s employment”), Employee will not disclose, use, or appropriate Information for his/her own use or for the use of others, directly or indirectly, except as required in the performance of Employee’s duties to Campbell Companies. Employee recognizes that any unauthorized disclosure, use, or appropriation of Information would be highly prejudicial to Campbell Companies.</w:t>
      </w:r>
    </w:p>
    <w:p>
      <w:pPr>
        <w:spacing w:after="0" w:line="189" w:lineRule="exact"/>
        <w:rPr>
          <w:rFonts w:ascii="Arial" w:cs="Arial" w:eastAsia="Arial" w:hAnsi="Arial"/>
          <w:sz w:val="20"/>
          <w:szCs w:val="20"/>
          <w:color w:val="auto"/>
        </w:rPr>
      </w:pPr>
    </w:p>
    <w:p>
      <w:pPr>
        <w:jc w:val="both"/>
        <w:ind w:firstLine="1239"/>
        <w:spacing w:after="0" w:line="234" w:lineRule="auto"/>
        <w:tabs>
          <w:tab w:leader="none" w:pos="1562" w:val="left"/>
        </w:tabs>
        <w:numPr>
          <w:ilvl w:val="1"/>
          <w:numId w:val="108"/>
        </w:numPr>
        <w:rPr>
          <w:rFonts w:ascii="Arial" w:cs="Arial" w:eastAsia="Arial" w:hAnsi="Arial"/>
          <w:sz w:val="21"/>
          <w:szCs w:val="21"/>
          <w:color w:val="auto"/>
        </w:rPr>
      </w:pPr>
      <w:r>
        <w:rPr>
          <w:rFonts w:ascii="Arial" w:cs="Arial" w:eastAsia="Arial" w:hAnsi="Arial"/>
          <w:sz w:val="21"/>
          <w:szCs w:val="21"/>
          <w:color w:val="auto"/>
        </w:rPr>
        <w:t>In the event that Employee’s employment terminates for any reason, Employee shall deliver to Campbell Companies, upon request or before Employee’s last day of employment, all originals and copies of files, writings, reports, memoranda, diaries, notebooks, notes of meetings or presentations, data, electronic files and data, drawings, charts, photographs, slides, patents, or any other form of record which contains Information created or produced for, at the direction of or by Campbell Companies, or its employees or agents.</w:t>
      </w:r>
    </w:p>
    <w:p>
      <w:pPr>
        <w:spacing w:after="0" w:line="200" w:lineRule="exact"/>
        <w:rPr>
          <w:rFonts w:ascii="Arial" w:cs="Arial" w:eastAsia="Arial" w:hAnsi="Arial"/>
          <w:sz w:val="21"/>
          <w:szCs w:val="21"/>
          <w:color w:val="auto"/>
        </w:rPr>
      </w:pPr>
    </w:p>
    <w:p>
      <w:pPr>
        <w:ind w:firstLine="1239"/>
        <w:spacing w:after="0" w:line="252" w:lineRule="auto"/>
        <w:tabs>
          <w:tab w:leader="none" w:pos="1599" w:val="left"/>
        </w:tabs>
        <w:numPr>
          <w:ilvl w:val="1"/>
          <w:numId w:val="108"/>
        </w:numPr>
        <w:rPr>
          <w:rFonts w:ascii="Arial" w:cs="Arial" w:eastAsia="Arial" w:hAnsi="Arial"/>
          <w:sz w:val="21"/>
          <w:szCs w:val="21"/>
          <w:color w:val="auto"/>
        </w:rPr>
      </w:pPr>
      <w:r>
        <w:rPr>
          <w:rFonts w:ascii="Arial" w:cs="Arial" w:eastAsia="Arial" w:hAnsi="Arial"/>
          <w:sz w:val="21"/>
          <w:szCs w:val="21"/>
          <w:color w:val="auto"/>
        </w:rPr>
        <w:t>Nothing in this RCA prohibits Employee from reporting possible violations of federal law or regulation to any governmental agency or entity, including but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820" w:type="dxa"/>
            <w:vAlign w:val="bottom"/>
          </w:tcPr>
          <w:p>
            <w:pPr>
              <w:spacing w:after="0"/>
              <w:rPr>
                <w:sz w:val="20"/>
                <w:szCs w:val="20"/>
                <w:color w:val="auto"/>
              </w:rPr>
            </w:pPr>
            <w:r>
              <w:rPr>
                <w:rFonts w:ascii="Arial" w:cs="Arial" w:eastAsia="Arial" w:hAnsi="Arial"/>
                <w:sz w:val="21"/>
                <w:szCs w:val="21"/>
                <w:color w:val="auto"/>
              </w:rPr>
              <w:t>LTI Grant Agreement</w:t>
            </w:r>
          </w:p>
        </w:tc>
        <w:tc>
          <w:tcPr>
            <w:tcW w:w="1140" w:type="dxa"/>
            <w:vAlign w:val="bottom"/>
          </w:tcPr>
          <w:p>
            <w:pPr>
              <w:jc w:val="right"/>
              <w:spacing w:after="0"/>
              <w:rPr>
                <w:sz w:val="20"/>
                <w:szCs w:val="20"/>
                <w:color w:val="auto"/>
              </w:rPr>
            </w:pPr>
            <w:r>
              <w:rPr>
                <w:rFonts w:ascii="Arial" w:cs="Arial" w:eastAsia="Arial" w:hAnsi="Arial"/>
                <w:sz w:val="21"/>
                <w:szCs w:val="21"/>
                <w:color w:val="auto"/>
              </w:rPr>
              <w:t>7</w:t>
            </w:r>
          </w:p>
        </w:tc>
      </w:tr>
    </w:tbl>
    <w:p>
      <w:pPr>
        <w:sectPr>
          <w:pgSz w:w="11900" w:h="16838" w:orient="portrait"/>
          <w:cols w:equalWidth="0" w:num="1">
            <w:col w:w="11240"/>
          </w:cols>
          <w:pgMar w:left="320" w:top="1440" w:right="339" w:bottom="1440" w:gutter="0" w:footer="0" w:header="0"/>
        </w:sectPr>
      </w:pPr>
    </w:p>
    <w:bookmarkStart w:id="116" w:name="page117"/>
    <w:bookmarkEnd w:id="116"/>
    <w:p>
      <w:pPr>
        <w:jc w:val="both"/>
        <w:spacing w:after="0" w:line="238" w:lineRule="auto"/>
        <w:rPr>
          <w:sz w:val="20"/>
          <w:szCs w:val="20"/>
          <w:color w:val="auto"/>
        </w:rPr>
      </w:pPr>
      <w:r>
        <w:rPr>
          <w:rFonts w:ascii="Arial" w:cs="Arial" w:eastAsia="Arial" w:hAnsi="Arial"/>
          <w:sz w:val="21"/>
          <w:szCs w:val="21"/>
          <w:color w:val="auto"/>
        </w:rPr>
        <w:t>limited to the Department of Justice, the Securities and Exchange Commission, the Congress, and any agency Inspector General, or making other disclosures that are protected under the whistleblower provisions of state or federal law or regulation. Employees does not need the prior authorization of Campbell to make any such reports or disclosures and employee is am not required to notify Campbell that Employee has made such reports or disclosures.</w:t>
      </w:r>
    </w:p>
    <w:p>
      <w:pPr>
        <w:spacing w:after="0" w:line="195" w:lineRule="exact"/>
        <w:rPr>
          <w:sz w:val="20"/>
          <w:szCs w:val="20"/>
          <w:color w:val="auto"/>
        </w:rPr>
      </w:pPr>
    </w:p>
    <w:p>
      <w:pPr>
        <w:jc w:val="both"/>
        <w:ind w:firstLine="621"/>
        <w:spacing w:after="0" w:line="235" w:lineRule="auto"/>
        <w:tabs>
          <w:tab w:leader="none" w:pos="824" w:val="left"/>
        </w:tabs>
        <w:numPr>
          <w:ilvl w:val="0"/>
          <w:numId w:val="10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Business Diversion</w:t>
      </w:r>
      <w:r>
        <w:rPr>
          <w:rFonts w:ascii="Arial" w:cs="Arial" w:eastAsia="Arial" w:hAnsi="Arial"/>
          <w:sz w:val="21"/>
          <w:szCs w:val="21"/>
          <w:color w:val="auto"/>
        </w:rPr>
        <w:t>. During Employee’s employment, and for a period of 12 months thereafter following the termination</w:t>
      </w:r>
      <w:r>
        <w:rPr>
          <w:rFonts w:ascii="Arial" w:cs="Arial" w:eastAsia="Arial" w:hAnsi="Arial"/>
          <w:sz w:val="21"/>
          <w:szCs w:val="21"/>
          <w:b w:val="1"/>
          <w:bCs w:val="1"/>
          <w:color w:val="auto"/>
        </w:rPr>
        <w:t xml:space="preserve"> </w:t>
      </w:r>
      <w:r>
        <w:rPr>
          <w:rFonts w:ascii="Arial" w:cs="Arial" w:eastAsia="Arial" w:hAnsi="Arial"/>
          <w:sz w:val="21"/>
          <w:szCs w:val="21"/>
          <w:color w:val="auto"/>
        </w:rPr>
        <w:t>of Employee’s employment (for any reason), Employee will not, without the written consent of Campbell’s General Counsel, directly or indirectly, solicit, divert or take away, or attempt to solicit, divert or take away, any customers, business or suppliers of Campbell Companies whom Employee serviced, called upon, or solicited during Employee’s employment, or with whom Employee became acquainted as a result of Employee’s employment.</w:t>
      </w:r>
    </w:p>
    <w:p>
      <w:pPr>
        <w:spacing w:after="0" w:line="195" w:lineRule="exact"/>
        <w:rPr>
          <w:rFonts w:ascii="Arial" w:cs="Arial" w:eastAsia="Arial" w:hAnsi="Arial"/>
          <w:sz w:val="21"/>
          <w:szCs w:val="21"/>
          <w:b w:val="1"/>
          <w:bCs w:val="1"/>
          <w:color w:val="auto"/>
        </w:rPr>
      </w:pPr>
    </w:p>
    <w:p>
      <w:pPr>
        <w:jc w:val="both"/>
        <w:ind w:firstLine="621"/>
        <w:spacing w:after="0" w:line="236" w:lineRule="auto"/>
        <w:tabs>
          <w:tab w:leader="none" w:pos="876" w:val="left"/>
        </w:tabs>
        <w:numPr>
          <w:ilvl w:val="0"/>
          <w:numId w:val="10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Employee Solicitation</w:t>
      </w:r>
      <w:r>
        <w:rPr>
          <w:rFonts w:ascii="Arial" w:cs="Arial" w:eastAsia="Arial" w:hAnsi="Arial"/>
          <w:sz w:val="21"/>
          <w:szCs w:val="21"/>
          <w:color w:val="auto"/>
        </w:rPr>
        <w:t>. During Employee’s employment, and for a period of 12 months thereafter following the</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termination of Employee’s employment (for any reason), Employee will not, without the written consent of Campbell’s General Counsel, directly or indirectly, solicit, hire, interfere with, attempt to entice away from Campbell Companies, or recommend for employment outside Campbell Companies, any individual who is employed by Campbell Companies at the time of such solicitation, hiring, interference, or enticement or who voluntarily terminated his/her employment by Campbell Companies within six months of such solicitation, hiring, interference, or enticement.</w:t>
      </w:r>
    </w:p>
    <w:p>
      <w:pPr>
        <w:spacing w:after="0" w:line="197" w:lineRule="exact"/>
        <w:rPr>
          <w:rFonts w:ascii="Arial" w:cs="Arial" w:eastAsia="Arial" w:hAnsi="Arial"/>
          <w:sz w:val="21"/>
          <w:szCs w:val="21"/>
          <w:b w:val="1"/>
          <w:bCs w:val="1"/>
          <w:color w:val="auto"/>
        </w:rPr>
      </w:pPr>
    </w:p>
    <w:p>
      <w:pPr>
        <w:ind w:left="820" w:hanging="199"/>
        <w:spacing w:after="0"/>
        <w:tabs>
          <w:tab w:leader="none" w:pos="820" w:val="left"/>
        </w:tabs>
        <w:numPr>
          <w:ilvl w:val="0"/>
          <w:numId w:val="10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Non-Competition</w:t>
      </w:r>
      <w:r>
        <w:rPr>
          <w:rFonts w:ascii="Arial" w:cs="Arial" w:eastAsia="Arial" w:hAnsi="Arial"/>
          <w:sz w:val="21"/>
          <w:szCs w:val="21"/>
          <w:color w:val="auto"/>
        </w:rPr>
        <w:t>.</w:t>
      </w:r>
      <w:r>
        <w:rPr>
          <w:rFonts w:ascii="Arial" w:cs="Arial" w:eastAsia="Arial" w:hAnsi="Arial"/>
          <w:sz w:val="21"/>
          <w:szCs w:val="21"/>
          <w:color w:val="0000FF"/>
        </w:rPr>
        <w:t>*</w:t>
      </w:r>
    </w:p>
    <w:p>
      <w:pPr>
        <w:spacing w:after="0" w:line="14" w:lineRule="exact"/>
        <w:rPr>
          <w:rFonts w:ascii="Arial" w:cs="Arial" w:eastAsia="Arial" w:hAnsi="Arial"/>
          <w:sz w:val="21"/>
          <w:szCs w:val="21"/>
          <w:b w:val="1"/>
          <w:bCs w:val="1"/>
          <w:color w:val="auto"/>
        </w:rPr>
      </w:pPr>
    </w:p>
    <w:p>
      <w:pPr>
        <w:jc w:val="both"/>
        <w:ind w:firstLine="1239"/>
        <w:spacing w:after="0" w:line="242" w:lineRule="auto"/>
        <w:tabs>
          <w:tab w:leader="none" w:pos="1574" w:val="left"/>
        </w:tabs>
        <w:numPr>
          <w:ilvl w:val="1"/>
          <w:numId w:val="109"/>
        </w:numPr>
        <w:rPr>
          <w:rFonts w:ascii="Arial" w:cs="Arial" w:eastAsia="Arial" w:hAnsi="Arial"/>
          <w:sz w:val="20"/>
          <w:szCs w:val="20"/>
          <w:color w:val="auto"/>
        </w:rPr>
      </w:pPr>
      <w:r>
        <w:rPr>
          <w:rFonts w:ascii="Arial" w:cs="Arial" w:eastAsia="Arial" w:hAnsi="Arial"/>
          <w:sz w:val="20"/>
          <w:szCs w:val="20"/>
          <w:color w:val="auto"/>
        </w:rPr>
        <w:t>During Employee’s employment, and for a period of 12 months thereafter following the termination of Employee’s employment (for any reason), Employee will not, without the written consent of Campbell’s General Counsel, directly or indirectly, own, advise, manage, operate, join, control, receive compensation or benefits from, or participate in the ownership, management, operation, or control of, or be employed or be otherwise connected in any manner with, any business which directly or indirectly competes (as defined in sub-paragraph 4(b)) with, in any part of the world, the business of Campbell Companies, as conducted or planned by Campbell Companies during Employee’s employment (the “Non-Compete Period”).</w:t>
      </w:r>
    </w:p>
    <w:p>
      <w:pPr>
        <w:spacing w:after="0" w:line="200" w:lineRule="exact"/>
        <w:rPr>
          <w:rFonts w:ascii="Arial" w:cs="Arial" w:eastAsia="Arial" w:hAnsi="Arial"/>
          <w:sz w:val="20"/>
          <w:szCs w:val="20"/>
          <w:color w:val="auto"/>
        </w:rPr>
      </w:pPr>
    </w:p>
    <w:p>
      <w:pPr>
        <w:jc w:val="both"/>
        <w:ind w:firstLine="1239"/>
        <w:spacing w:after="0" w:line="253" w:lineRule="auto"/>
        <w:tabs>
          <w:tab w:leader="none" w:pos="1562" w:val="left"/>
        </w:tabs>
        <w:numPr>
          <w:ilvl w:val="1"/>
          <w:numId w:val="109"/>
        </w:numPr>
        <w:rPr>
          <w:rFonts w:ascii="Arial" w:cs="Arial" w:eastAsia="Arial" w:hAnsi="Arial"/>
          <w:sz w:val="20"/>
          <w:szCs w:val="20"/>
          <w:color w:val="auto"/>
        </w:rPr>
      </w:pPr>
      <w:r>
        <w:rPr>
          <w:rFonts w:ascii="Arial" w:cs="Arial" w:eastAsia="Arial" w:hAnsi="Arial"/>
          <w:sz w:val="20"/>
          <w:szCs w:val="20"/>
          <w:color w:val="auto"/>
        </w:rPr>
        <w:t>“Competes” as used in this RCA means engages in, or plans to engage in, the development, production, manufacture, marketing, or selling of any product or service of any person, business or organization, other than Campbell Companies, which resemble or compete with a product or service of Campbell Companies (or a product or service which, to Employee’s knowledge, was under development by Campbell Companies) during Employee’s employment.</w:t>
      </w:r>
    </w:p>
    <w:p>
      <w:pPr>
        <w:spacing w:after="0" w:line="189" w:lineRule="exact"/>
        <w:rPr>
          <w:rFonts w:ascii="Arial" w:cs="Arial" w:eastAsia="Arial" w:hAnsi="Arial"/>
          <w:sz w:val="20"/>
          <w:szCs w:val="20"/>
          <w:color w:val="auto"/>
        </w:rPr>
      </w:pPr>
    </w:p>
    <w:p>
      <w:pPr>
        <w:jc w:val="both"/>
        <w:ind w:firstLine="1239"/>
        <w:spacing w:after="0" w:line="236" w:lineRule="auto"/>
        <w:tabs>
          <w:tab w:leader="none" w:pos="1562" w:val="left"/>
        </w:tabs>
        <w:numPr>
          <w:ilvl w:val="1"/>
          <w:numId w:val="109"/>
        </w:numPr>
        <w:rPr>
          <w:rFonts w:ascii="Arial" w:cs="Arial" w:eastAsia="Arial" w:hAnsi="Arial"/>
          <w:sz w:val="21"/>
          <w:szCs w:val="21"/>
          <w:color w:val="auto"/>
        </w:rPr>
      </w:pPr>
      <w:r>
        <w:rPr>
          <w:rFonts w:ascii="Arial" w:cs="Arial" w:eastAsia="Arial" w:hAnsi="Arial"/>
          <w:sz w:val="21"/>
          <w:szCs w:val="21"/>
          <w:color w:val="auto"/>
        </w:rPr>
        <w:t>Except as prohibited in paragraph 4(A), this RCA will not preclude Employee from ownership of less than 1% of the outstanding shares of any class of shares of any corporations listed on the New York Stock Exchange or the American Stock Exchange or quoted on NASDAQ.</w:t>
      </w:r>
    </w:p>
    <w:p>
      <w:pPr>
        <w:spacing w:after="0" w:line="201" w:lineRule="exact"/>
        <w:rPr>
          <w:rFonts w:ascii="Arial" w:cs="Arial" w:eastAsia="Arial" w:hAnsi="Arial"/>
          <w:sz w:val="21"/>
          <w:szCs w:val="21"/>
          <w:color w:val="auto"/>
        </w:rPr>
      </w:pPr>
    </w:p>
    <w:p>
      <w:pPr>
        <w:ind w:firstLine="1239"/>
        <w:spacing w:after="0" w:line="252" w:lineRule="auto"/>
        <w:tabs>
          <w:tab w:leader="none" w:pos="1587" w:val="left"/>
        </w:tabs>
        <w:numPr>
          <w:ilvl w:val="1"/>
          <w:numId w:val="109"/>
        </w:numPr>
        <w:rPr>
          <w:rFonts w:ascii="Arial" w:cs="Arial" w:eastAsia="Arial" w:hAnsi="Arial"/>
          <w:sz w:val="21"/>
          <w:szCs w:val="21"/>
          <w:color w:val="auto"/>
        </w:rPr>
      </w:pPr>
      <w:r>
        <w:rPr>
          <w:rFonts w:ascii="Arial" w:cs="Arial" w:eastAsia="Arial" w:hAnsi="Arial"/>
          <w:sz w:val="21"/>
          <w:szCs w:val="21"/>
          <w:color w:val="auto"/>
        </w:rPr>
        <w:t>Employee acknowledges that any employment or relationship in violation of this RCA would necessarily require Employee to use or rely on Information to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820" w:type="dxa"/>
            <w:vAlign w:val="bottom"/>
          </w:tcPr>
          <w:p>
            <w:pPr>
              <w:spacing w:after="0"/>
              <w:rPr>
                <w:sz w:val="20"/>
                <w:szCs w:val="20"/>
                <w:color w:val="auto"/>
              </w:rPr>
            </w:pPr>
            <w:r>
              <w:rPr>
                <w:rFonts w:ascii="Arial" w:cs="Arial" w:eastAsia="Arial" w:hAnsi="Arial"/>
                <w:sz w:val="21"/>
                <w:szCs w:val="21"/>
                <w:color w:val="auto"/>
              </w:rPr>
              <w:t>LTI Grant Agreement</w:t>
            </w:r>
          </w:p>
        </w:tc>
        <w:tc>
          <w:tcPr>
            <w:tcW w:w="1140" w:type="dxa"/>
            <w:vAlign w:val="bottom"/>
          </w:tcPr>
          <w:p>
            <w:pPr>
              <w:jc w:val="right"/>
              <w:spacing w:after="0"/>
              <w:rPr>
                <w:sz w:val="20"/>
                <w:szCs w:val="20"/>
                <w:color w:val="auto"/>
              </w:rPr>
            </w:pPr>
            <w:r>
              <w:rPr>
                <w:rFonts w:ascii="Arial" w:cs="Arial" w:eastAsia="Arial" w:hAnsi="Arial"/>
                <w:sz w:val="21"/>
                <w:szCs w:val="21"/>
                <w:color w:val="auto"/>
              </w:rPr>
              <w:t>8</w:t>
            </w:r>
          </w:p>
        </w:tc>
      </w:tr>
    </w:tbl>
    <w:p>
      <w:pPr>
        <w:sectPr>
          <w:pgSz w:w="11900" w:h="16838" w:orient="portrait"/>
          <w:cols w:equalWidth="0" w:num="1">
            <w:col w:w="11240"/>
          </w:cols>
          <w:pgMar w:left="320" w:top="1354" w:right="339" w:bottom="1440" w:gutter="0" w:footer="0" w:header="0"/>
        </w:sectPr>
      </w:pPr>
    </w:p>
    <w:bookmarkStart w:id="117" w:name="page118"/>
    <w:bookmarkEnd w:id="117"/>
    <w:p>
      <w:pPr>
        <w:spacing w:after="0"/>
        <w:rPr>
          <w:sz w:val="20"/>
          <w:szCs w:val="20"/>
          <w:color w:val="auto"/>
        </w:rPr>
      </w:pPr>
      <w:r>
        <w:rPr>
          <w:rFonts w:ascii="Arial" w:cs="Arial" w:eastAsia="Arial" w:hAnsi="Arial"/>
          <w:sz w:val="21"/>
          <w:szCs w:val="21"/>
          <w:color w:val="auto"/>
        </w:rPr>
        <w:t>Employee became privy during the course of Employee’s employment with Campbell Companies.</w:t>
      </w:r>
    </w:p>
    <w:p>
      <w:pPr>
        <w:spacing w:after="0" w:line="222" w:lineRule="exact"/>
        <w:rPr>
          <w:sz w:val="20"/>
          <w:szCs w:val="20"/>
          <w:color w:val="auto"/>
        </w:rPr>
      </w:pPr>
    </w:p>
    <w:p>
      <w:pPr>
        <w:jc w:val="both"/>
        <w:ind w:firstLine="1239"/>
        <w:spacing w:after="0" w:line="258" w:lineRule="auto"/>
        <w:tabs>
          <w:tab w:leader="none" w:pos="1551" w:val="left"/>
        </w:tabs>
        <w:numPr>
          <w:ilvl w:val="1"/>
          <w:numId w:val="110"/>
        </w:numPr>
        <w:rPr>
          <w:rFonts w:ascii="Arial" w:cs="Arial" w:eastAsia="Arial" w:hAnsi="Arial"/>
          <w:sz w:val="19"/>
          <w:szCs w:val="19"/>
          <w:color w:val="auto"/>
        </w:rPr>
      </w:pPr>
      <w:r>
        <w:rPr>
          <w:rFonts w:ascii="Arial" w:cs="Arial" w:eastAsia="Arial" w:hAnsi="Arial"/>
          <w:sz w:val="19"/>
          <w:szCs w:val="19"/>
          <w:color w:val="auto"/>
        </w:rPr>
        <w:t>Except where Employee’s employment is terminated by Campbell Companies “for cause” as defined in the Plan, or where Employee voluntarily terminates Employee’s employment by Campbell Companies, when Employee, despite his/her best efforts, is unable within ninety (90) days after the termination of Employee’s employment to secure other employment not violative of Employee’s obligations under this RCA, Employee will notify Campbell’s General Counsel by registered mail. Unless Campbell Companies notifies Employee in writing that it elects not to enforce paragraph 4 of this RCA, beginning ninety (90) days after termination of Employee’s employment, Campbell Companies shall provide to Employee payments during the Non-Compete Period equal to 100% of Employee’s base salary (exclusive of commissions, bonuses, benefits, allowances, and any other form of compensation) which Employee had been receiving at the termination of Employee’s employment (the “Non-Compete Payments”). The Non-Compete Payments shall continue for as long as Campbell Companies elects to continue to enforce paragraph 4 of this RCA or until such time as Employee finds employment consistent with this RCA.</w:t>
      </w:r>
    </w:p>
    <w:p>
      <w:pPr>
        <w:spacing w:after="0" w:line="188" w:lineRule="exact"/>
        <w:rPr>
          <w:rFonts w:ascii="Arial" w:cs="Arial" w:eastAsia="Arial" w:hAnsi="Arial"/>
          <w:sz w:val="19"/>
          <w:szCs w:val="19"/>
          <w:color w:val="auto"/>
        </w:rPr>
      </w:pPr>
    </w:p>
    <w:p>
      <w:pPr>
        <w:jc w:val="both"/>
        <w:ind w:firstLine="1239"/>
        <w:spacing w:after="0" w:line="266" w:lineRule="auto"/>
        <w:tabs>
          <w:tab w:leader="none" w:pos="1552" w:val="left"/>
        </w:tabs>
        <w:numPr>
          <w:ilvl w:val="1"/>
          <w:numId w:val="110"/>
        </w:numPr>
        <w:rPr>
          <w:rFonts w:ascii="Arial" w:cs="Arial" w:eastAsia="Arial" w:hAnsi="Arial"/>
          <w:sz w:val="19"/>
          <w:szCs w:val="19"/>
          <w:color w:val="auto"/>
        </w:rPr>
      </w:pPr>
      <w:r>
        <w:rPr>
          <w:rFonts w:ascii="Arial" w:cs="Arial" w:eastAsia="Arial" w:hAnsi="Arial"/>
          <w:sz w:val="19"/>
          <w:szCs w:val="19"/>
          <w:color w:val="auto"/>
        </w:rPr>
        <w:t>As a condition of receiving the Non-Compete Payments, Employee will conscientiously seek employment and will inform Campbell Companies on a monthly basis, in a detailed written account, of all such efforts. Employee understands and agrees that Campbell Companies, in its sole discretion, may elect not to pay Employee for any month for which Employee does not provide an appropriate written account of efforts to secure employment. Additionally, upon obtaining employment consistent with this RCA, Employee will immediately notify Campbell Companies by registered mail, and the Non-Compete Payments shall cease.</w:t>
      </w:r>
    </w:p>
    <w:p>
      <w:pPr>
        <w:spacing w:after="0" w:line="179" w:lineRule="exact"/>
        <w:rPr>
          <w:rFonts w:ascii="Arial" w:cs="Arial" w:eastAsia="Arial" w:hAnsi="Arial"/>
          <w:sz w:val="19"/>
          <w:szCs w:val="19"/>
          <w:color w:val="auto"/>
        </w:rPr>
      </w:pPr>
    </w:p>
    <w:p>
      <w:pPr>
        <w:jc w:val="both"/>
        <w:ind w:firstLine="1239"/>
        <w:spacing w:after="0" w:line="234" w:lineRule="auto"/>
        <w:tabs>
          <w:tab w:leader="none" w:pos="1574" w:val="left"/>
        </w:tabs>
        <w:numPr>
          <w:ilvl w:val="1"/>
          <w:numId w:val="110"/>
        </w:numPr>
        <w:rPr>
          <w:rFonts w:ascii="Arial" w:cs="Arial" w:eastAsia="Arial" w:hAnsi="Arial"/>
          <w:sz w:val="21"/>
          <w:szCs w:val="21"/>
          <w:color w:val="auto"/>
        </w:rPr>
      </w:pPr>
      <w:r>
        <w:rPr>
          <w:rFonts w:ascii="Arial" w:cs="Arial" w:eastAsia="Arial" w:hAnsi="Arial"/>
          <w:sz w:val="21"/>
          <w:szCs w:val="21"/>
          <w:color w:val="auto"/>
        </w:rPr>
        <w:t>Notwithstanding the forgoing provisions, Campbell Companies, in its sole and absolute discretion, may discontinue the Non-Compete Payments at any time during the Non-Compete Period by releasing Employee of his/her obligations to Campbell Companies under this paragraph 4. The discontinuance by Campbell Companies of Non-Compete Payments shall have no impact on Employee’s other contractual obligations set forth in this RCA including, but not limited to, the post-employment obligations set forth in paragraphs 1-3.</w:t>
      </w:r>
    </w:p>
    <w:p>
      <w:pPr>
        <w:spacing w:after="0" w:line="200" w:lineRule="exact"/>
        <w:rPr>
          <w:rFonts w:ascii="Arial" w:cs="Arial" w:eastAsia="Arial" w:hAnsi="Arial"/>
          <w:sz w:val="21"/>
          <w:szCs w:val="21"/>
          <w:color w:val="auto"/>
        </w:rPr>
      </w:pPr>
    </w:p>
    <w:p>
      <w:pPr>
        <w:jc w:val="both"/>
        <w:ind w:firstLine="1239"/>
        <w:spacing w:after="0" w:line="241" w:lineRule="auto"/>
        <w:tabs>
          <w:tab w:leader="none" w:pos="1574" w:val="left"/>
        </w:tabs>
        <w:numPr>
          <w:ilvl w:val="1"/>
          <w:numId w:val="110"/>
        </w:numPr>
        <w:rPr>
          <w:rFonts w:ascii="Arial" w:cs="Arial" w:eastAsia="Arial" w:hAnsi="Arial"/>
          <w:sz w:val="21"/>
          <w:szCs w:val="21"/>
          <w:color w:val="auto"/>
        </w:rPr>
      </w:pPr>
      <w:r>
        <w:rPr>
          <w:rFonts w:ascii="Arial" w:cs="Arial" w:eastAsia="Arial" w:hAnsi="Arial"/>
          <w:sz w:val="21"/>
          <w:szCs w:val="21"/>
          <w:color w:val="auto"/>
        </w:rPr>
        <w:t>In the event that Employee’s employment is voluntarily terminated or terminated “for cause” as defined in the Plan, Employee shall be required to abide by all of the terms of this RCA including, but not limited to paragraphs 1- 4, without receiving Non-Compete Payments.</w:t>
      </w:r>
    </w:p>
    <w:p>
      <w:pPr>
        <w:spacing w:after="0" w:line="193" w:lineRule="exact"/>
        <w:rPr>
          <w:rFonts w:ascii="Arial" w:cs="Arial" w:eastAsia="Arial" w:hAnsi="Arial"/>
          <w:sz w:val="21"/>
          <w:szCs w:val="21"/>
          <w:color w:val="auto"/>
        </w:rPr>
      </w:pPr>
    </w:p>
    <w:p>
      <w:pPr>
        <w:jc w:val="both"/>
        <w:ind w:firstLine="621"/>
        <w:spacing w:after="0" w:line="263" w:lineRule="auto"/>
        <w:tabs>
          <w:tab w:leader="none" w:pos="824" w:val="left"/>
        </w:tabs>
        <w:numPr>
          <w:ilvl w:val="0"/>
          <w:numId w:val="11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Integration of Severance Pay</w:t>
      </w:r>
      <w:r>
        <w:rPr>
          <w:rFonts w:ascii="Arial" w:cs="Arial" w:eastAsia="Arial" w:hAnsi="Arial"/>
          <w:sz w:val="19"/>
          <w:szCs w:val="19"/>
          <w:color w:val="auto"/>
        </w:rPr>
        <w:t>. If Employee receives severance pay from Campbell Companies at the time of the termination</w:t>
      </w:r>
      <w:r>
        <w:rPr>
          <w:rFonts w:ascii="Arial" w:cs="Arial" w:eastAsia="Arial" w:hAnsi="Arial"/>
          <w:sz w:val="19"/>
          <w:szCs w:val="19"/>
          <w:b w:val="1"/>
          <w:bCs w:val="1"/>
          <w:color w:val="auto"/>
        </w:rPr>
        <w:t xml:space="preserve"> </w:t>
      </w:r>
      <w:r>
        <w:rPr>
          <w:rFonts w:ascii="Arial" w:cs="Arial" w:eastAsia="Arial" w:hAnsi="Arial"/>
          <w:sz w:val="19"/>
          <w:szCs w:val="19"/>
          <w:color w:val="auto"/>
        </w:rPr>
        <w:t>of Employee’s employment or at any time during the Non-Compete Period, whether under the terms of a severance pay policy or otherwise, the Non-Compete Payments, if any, otherwise payable to Employee under paragraph 4 of this RCA will be integrated with and offset by the severance pay. For the time during which Employee receives any amount of severance pay from Campbell Companies, the Non-Compete Payments, if any, otherwise payable under paragraph 4 of this RCA will be reduced, on a dollar-for-dollar basis (to an amount not less than zero), by the amount of severance pay paid to Employee during that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820" w:type="dxa"/>
            <w:vAlign w:val="bottom"/>
          </w:tcPr>
          <w:p>
            <w:pPr>
              <w:spacing w:after="0"/>
              <w:rPr>
                <w:sz w:val="20"/>
                <w:szCs w:val="20"/>
                <w:color w:val="auto"/>
              </w:rPr>
            </w:pPr>
            <w:r>
              <w:rPr>
                <w:rFonts w:ascii="Arial" w:cs="Arial" w:eastAsia="Arial" w:hAnsi="Arial"/>
                <w:sz w:val="21"/>
                <w:szCs w:val="21"/>
                <w:color w:val="auto"/>
              </w:rPr>
              <w:t>LTI Grant Agreement</w:t>
            </w:r>
          </w:p>
        </w:tc>
        <w:tc>
          <w:tcPr>
            <w:tcW w:w="1140" w:type="dxa"/>
            <w:vAlign w:val="bottom"/>
          </w:tcPr>
          <w:p>
            <w:pPr>
              <w:jc w:val="right"/>
              <w:spacing w:after="0"/>
              <w:rPr>
                <w:sz w:val="20"/>
                <w:szCs w:val="20"/>
                <w:color w:val="auto"/>
              </w:rPr>
            </w:pPr>
            <w:r>
              <w:rPr>
                <w:rFonts w:ascii="Arial" w:cs="Arial" w:eastAsia="Arial" w:hAnsi="Arial"/>
                <w:sz w:val="21"/>
                <w:szCs w:val="21"/>
                <w:color w:val="auto"/>
              </w:rPr>
              <w:t>9</w:t>
            </w:r>
          </w:p>
        </w:tc>
      </w:tr>
    </w:tbl>
    <w:p>
      <w:pPr>
        <w:sectPr>
          <w:pgSz w:w="11900" w:h="16838" w:orient="portrait"/>
          <w:cols w:equalWidth="0" w:num="1">
            <w:col w:w="11240"/>
          </w:cols>
          <w:pgMar w:left="320" w:top="1354" w:right="339" w:bottom="1440" w:gutter="0" w:footer="0" w:header="0"/>
        </w:sectPr>
      </w:pPr>
    </w:p>
    <w:bookmarkStart w:id="118" w:name="page119"/>
    <w:bookmarkEnd w:id="118"/>
    <w:p>
      <w:pPr>
        <w:ind w:left="820" w:hanging="199"/>
        <w:spacing w:after="0"/>
        <w:tabs>
          <w:tab w:leader="none" w:pos="820" w:val="left"/>
        </w:tabs>
        <w:numPr>
          <w:ilvl w:val="0"/>
          <w:numId w:val="11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Notice of Immunity Under the Defend Trade Secrets Act of 2016 (“DTSA”)</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 other provision of this</w:t>
      </w:r>
    </w:p>
    <w:p>
      <w:pPr>
        <w:spacing w:after="0" w:line="37" w:lineRule="exact"/>
        <w:rPr>
          <w:sz w:val="20"/>
          <w:szCs w:val="20"/>
          <w:color w:val="auto"/>
        </w:rPr>
      </w:pPr>
    </w:p>
    <w:p>
      <w:pPr>
        <w:spacing w:after="0"/>
        <w:rPr>
          <w:sz w:val="20"/>
          <w:szCs w:val="20"/>
          <w:color w:val="auto"/>
        </w:rPr>
      </w:pPr>
      <w:r>
        <w:rPr>
          <w:rFonts w:ascii="Arial" w:cs="Arial" w:eastAsia="Arial" w:hAnsi="Arial"/>
          <w:sz w:val="21"/>
          <w:szCs w:val="21"/>
          <w:color w:val="auto"/>
        </w:rPr>
        <w:t>RCA:</w:t>
      </w:r>
    </w:p>
    <w:p>
      <w:pPr>
        <w:spacing w:after="0" w:line="204" w:lineRule="exact"/>
        <w:rPr>
          <w:sz w:val="20"/>
          <w:szCs w:val="20"/>
          <w:color w:val="auto"/>
        </w:rPr>
      </w:pPr>
    </w:p>
    <w:p>
      <w:pPr>
        <w:jc w:val="both"/>
        <w:ind w:firstLine="1239"/>
        <w:spacing w:after="0" w:line="238" w:lineRule="auto"/>
        <w:tabs>
          <w:tab w:leader="none" w:pos="1574" w:val="left"/>
        </w:tabs>
        <w:numPr>
          <w:ilvl w:val="1"/>
          <w:numId w:val="113"/>
        </w:numPr>
        <w:rPr>
          <w:rFonts w:ascii="Arial" w:cs="Arial" w:eastAsia="Arial" w:hAnsi="Arial"/>
          <w:sz w:val="21"/>
          <w:szCs w:val="21"/>
          <w:color w:val="auto"/>
        </w:rPr>
      </w:pPr>
      <w:r>
        <w:rPr>
          <w:rFonts w:ascii="Arial" w:cs="Arial" w:eastAsia="Arial" w:hAnsi="Arial"/>
          <w:sz w:val="21"/>
          <w:szCs w:val="21"/>
          <w:color w:val="auto"/>
        </w:rPr>
        <w:t>Employee will not be held criminally or civilly liable under any federal or state trade secret law for any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that is filed under seal in a lawsuit or other proceeding.</w:t>
      </w:r>
    </w:p>
    <w:p>
      <w:pPr>
        <w:spacing w:after="0" w:line="188" w:lineRule="exact"/>
        <w:rPr>
          <w:rFonts w:ascii="Arial" w:cs="Arial" w:eastAsia="Arial" w:hAnsi="Arial"/>
          <w:sz w:val="21"/>
          <w:szCs w:val="21"/>
          <w:color w:val="auto"/>
        </w:rPr>
      </w:pPr>
    </w:p>
    <w:p>
      <w:pPr>
        <w:jc w:val="both"/>
        <w:ind w:firstLine="1239"/>
        <w:spacing w:after="0" w:line="238" w:lineRule="auto"/>
        <w:tabs>
          <w:tab w:leader="none" w:pos="1601" w:val="left"/>
        </w:tabs>
        <w:numPr>
          <w:ilvl w:val="1"/>
          <w:numId w:val="113"/>
        </w:numPr>
        <w:rPr>
          <w:rFonts w:ascii="Arial" w:cs="Arial" w:eastAsia="Arial" w:hAnsi="Arial"/>
          <w:sz w:val="21"/>
          <w:szCs w:val="21"/>
          <w:color w:val="auto"/>
        </w:rPr>
      </w:pPr>
      <w:r>
        <w:rPr>
          <w:rFonts w:ascii="Arial" w:cs="Arial" w:eastAsia="Arial" w:hAnsi="Arial"/>
          <w:sz w:val="21"/>
          <w:szCs w:val="21"/>
          <w:color w:val="auto"/>
        </w:rPr>
        <w:t>If Employee files a lawsuit for retaliation by Campbell Companies for reporting a suspected violation of law, Employee may disclose Campbell Companies’ trade secrets to Employee’s attorney and use the trade secret information in the court proceeding if Employee: (i) files any document containing the trade secret under seal; and (ii) does not disclose the trade secret, except pursuant to court order.</w:t>
      </w:r>
    </w:p>
    <w:p>
      <w:pPr>
        <w:spacing w:after="0" w:line="195" w:lineRule="exact"/>
        <w:rPr>
          <w:rFonts w:ascii="Arial" w:cs="Arial" w:eastAsia="Arial" w:hAnsi="Arial"/>
          <w:sz w:val="21"/>
          <w:szCs w:val="21"/>
          <w:color w:val="auto"/>
        </w:rPr>
      </w:pPr>
    </w:p>
    <w:p>
      <w:pPr>
        <w:ind w:left="820" w:hanging="199"/>
        <w:spacing w:after="0"/>
        <w:tabs>
          <w:tab w:leader="none" w:pos="820" w:val="left"/>
        </w:tabs>
        <w:numPr>
          <w:ilvl w:val="0"/>
          <w:numId w:val="11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Enforcement of RCA</w:t>
      </w:r>
      <w:r>
        <w:rPr>
          <w:rFonts w:ascii="Arial" w:cs="Arial" w:eastAsia="Arial" w:hAnsi="Arial"/>
          <w:sz w:val="21"/>
          <w:szCs w:val="21"/>
          <w:b w:val="1"/>
          <w:bCs w:val="1"/>
          <w:color w:val="auto"/>
        </w:rPr>
        <w:t>.</w:t>
      </w:r>
    </w:p>
    <w:p>
      <w:pPr>
        <w:spacing w:after="0" w:line="14" w:lineRule="exact"/>
        <w:rPr>
          <w:rFonts w:ascii="Arial" w:cs="Arial" w:eastAsia="Arial" w:hAnsi="Arial"/>
          <w:sz w:val="21"/>
          <w:szCs w:val="21"/>
          <w:b w:val="1"/>
          <w:bCs w:val="1"/>
          <w:color w:val="auto"/>
        </w:rPr>
      </w:pPr>
    </w:p>
    <w:p>
      <w:pPr>
        <w:jc w:val="both"/>
        <w:ind w:firstLine="1239"/>
        <w:spacing w:after="0" w:line="256" w:lineRule="auto"/>
        <w:tabs>
          <w:tab w:leader="none" w:pos="1599" w:val="left"/>
        </w:tabs>
        <w:numPr>
          <w:ilvl w:val="1"/>
          <w:numId w:val="114"/>
        </w:numPr>
        <w:rPr>
          <w:rFonts w:ascii="Arial" w:cs="Arial" w:eastAsia="Arial" w:hAnsi="Arial"/>
          <w:sz w:val="19"/>
          <w:szCs w:val="19"/>
          <w:color w:val="auto"/>
        </w:rPr>
      </w:pPr>
      <w:r>
        <w:rPr>
          <w:rFonts w:ascii="Arial" w:cs="Arial" w:eastAsia="Arial" w:hAnsi="Arial"/>
          <w:sz w:val="19"/>
          <w:szCs w:val="19"/>
          <w:color w:val="auto"/>
        </w:rPr>
        <w:t>Employee agrees that the restrictions in this RCA are necessary to protect the legitimate interests of Campbell Companies, and impose no undue hardship on Employee. Employee further agrees that the breach or threatened breach of any provision of this RCA will result in irreparable injury to Campbell Companies, for which there is no adequate remedy at law. Employee consents to the issuance of any restraining or preliminary restraining order or injunction which arises from, directly or indirectly, any use, disclosure, or conduct by Employee in violation of this RCA without the need for the posting of a bond. Employee agrees that, if Campbell Companies prevail in any suit or proceeding under this RCA, Employee will pay Campbell Companies all of Campbell Companies’ attorney fees, costs, and expenses incurred in connection with such suit or proceeding or the enforcement of Campbell Companies’ rights under this RCA, regardless of whether the scope of the no-compete is reformed by the court.</w:t>
      </w:r>
    </w:p>
    <w:p>
      <w:pPr>
        <w:spacing w:after="0" w:line="190" w:lineRule="exact"/>
        <w:rPr>
          <w:rFonts w:ascii="Arial" w:cs="Arial" w:eastAsia="Arial" w:hAnsi="Arial"/>
          <w:sz w:val="19"/>
          <w:szCs w:val="19"/>
          <w:color w:val="auto"/>
        </w:rPr>
      </w:pPr>
    </w:p>
    <w:p>
      <w:pPr>
        <w:jc w:val="both"/>
        <w:ind w:firstLine="1239"/>
        <w:spacing w:after="0" w:line="236" w:lineRule="auto"/>
        <w:tabs>
          <w:tab w:leader="none" w:pos="1562" w:val="left"/>
        </w:tabs>
        <w:numPr>
          <w:ilvl w:val="1"/>
          <w:numId w:val="114"/>
        </w:numPr>
        <w:rPr>
          <w:rFonts w:ascii="Arial" w:cs="Arial" w:eastAsia="Arial" w:hAnsi="Arial"/>
          <w:sz w:val="21"/>
          <w:szCs w:val="21"/>
          <w:color w:val="auto"/>
        </w:rPr>
      </w:pPr>
      <w:r>
        <w:rPr>
          <w:rFonts w:ascii="Arial" w:cs="Arial" w:eastAsia="Arial" w:hAnsi="Arial"/>
          <w:sz w:val="21"/>
          <w:szCs w:val="21"/>
          <w:color w:val="auto"/>
        </w:rPr>
        <w:t>This RCA and all terms of Employee’s employment shall be governed by, construed and enforced in accordance with the laws of the State of New Jersey, without giving effect to conflict of law principles. Each party irrevocably agrees that any legal proceeding arising out of, or relating to the subject matter of, this RCA shall be brought in the Superior Court of New Jersey in Camden County or the United States District Court of New Jersey, Camden Vicinage. Each party irrevocably consents to such jurisdiction and venue.</w:t>
      </w:r>
    </w:p>
    <w:p>
      <w:pPr>
        <w:spacing w:after="0" w:line="197" w:lineRule="exact"/>
        <w:rPr>
          <w:rFonts w:ascii="Arial" w:cs="Arial" w:eastAsia="Arial" w:hAnsi="Arial"/>
          <w:sz w:val="21"/>
          <w:szCs w:val="21"/>
          <w:color w:val="auto"/>
        </w:rPr>
      </w:pPr>
    </w:p>
    <w:p>
      <w:pPr>
        <w:ind w:left="820" w:hanging="199"/>
        <w:spacing w:after="0"/>
        <w:tabs>
          <w:tab w:leader="none" w:pos="820" w:val="left"/>
        </w:tabs>
        <w:numPr>
          <w:ilvl w:val="0"/>
          <w:numId w:val="11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Survival</w:t>
      </w:r>
      <w:r>
        <w:rPr>
          <w:rFonts w:ascii="Arial" w:cs="Arial" w:eastAsia="Arial" w:hAnsi="Arial"/>
          <w:sz w:val="21"/>
          <w:szCs w:val="21"/>
          <w:b w:val="1"/>
          <w:bCs w:val="1"/>
          <w:color w:val="auto"/>
        </w:rPr>
        <w:t xml:space="preserve">. </w:t>
      </w:r>
      <w:r>
        <w:rPr>
          <w:rFonts w:ascii="Arial" w:cs="Arial" w:eastAsia="Arial" w:hAnsi="Arial"/>
          <w:sz w:val="21"/>
          <w:szCs w:val="21"/>
          <w:color w:val="auto"/>
        </w:rPr>
        <w:t>This RCA shall survive the termination of Employee’s employment for any reason.</w:t>
      </w:r>
    </w:p>
    <w:p>
      <w:pPr>
        <w:spacing w:after="0" w:line="222" w:lineRule="exact"/>
        <w:rPr>
          <w:rFonts w:ascii="Arial" w:cs="Arial" w:eastAsia="Arial" w:hAnsi="Arial"/>
          <w:sz w:val="21"/>
          <w:szCs w:val="21"/>
          <w:b w:val="1"/>
          <w:bCs w:val="1"/>
          <w:color w:val="auto"/>
        </w:rPr>
      </w:pPr>
    </w:p>
    <w:p>
      <w:pPr>
        <w:ind w:firstLine="621"/>
        <w:spacing w:after="0" w:line="258" w:lineRule="auto"/>
        <w:tabs>
          <w:tab w:leader="none" w:pos="824" w:val="left"/>
        </w:tabs>
        <w:numPr>
          <w:ilvl w:val="0"/>
          <w:numId w:val="11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Contract of 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This RCA is not a contract of employment, nor does it impose on Campbell Companies any</w:t>
      </w:r>
      <w:r>
        <w:rPr>
          <w:rFonts w:ascii="Arial" w:cs="Arial" w:eastAsia="Arial" w:hAnsi="Arial"/>
          <w:sz w:val="21"/>
          <w:szCs w:val="21"/>
          <w:b w:val="1"/>
          <w:bCs w:val="1"/>
          <w:color w:val="auto"/>
        </w:rPr>
        <w:t xml:space="preserve"> </w:t>
      </w:r>
      <w:r>
        <w:rPr>
          <w:rFonts w:ascii="Arial" w:cs="Arial" w:eastAsia="Arial" w:hAnsi="Arial"/>
          <w:sz w:val="21"/>
          <w:szCs w:val="21"/>
          <w:color w:val="auto"/>
        </w:rPr>
        <w:t>obligation to retain Employee in its employ. To the contrary, Employee is an employee-at-will.</w:t>
      </w:r>
    </w:p>
    <w:p>
      <w:pPr>
        <w:spacing w:after="0" w:line="163" w:lineRule="exact"/>
        <w:rPr>
          <w:rFonts w:ascii="Arial" w:cs="Arial" w:eastAsia="Arial" w:hAnsi="Arial"/>
          <w:sz w:val="21"/>
          <w:szCs w:val="21"/>
          <w:b w:val="1"/>
          <w:bCs w:val="1"/>
          <w:color w:val="auto"/>
        </w:rPr>
      </w:pPr>
    </w:p>
    <w:p>
      <w:pPr>
        <w:jc w:val="both"/>
        <w:ind w:firstLine="621"/>
        <w:spacing w:after="0" w:line="244" w:lineRule="auto"/>
        <w:tabs>
          <w:tab w:leader="none" w:pos="953" w:val="left"/>
        </w:tabs>
        <w:numPr>
          <w:ilvl w:val="0"/>
          <w:numId w:val="11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Reform of RCA</w:t>
      </w:r>
      <w:r>
        <w:rPr>
          <w:rFonts w:ascii="Arial" w:cs="Arial" w:eastAsia="Arial" w:hAnsi="Arial"/>
          <w:sz w:val="21"/>
          <w:szCs w:val="21"/>
          <w:b w:val="1"/>
          <w:bCs w:val="1"/>
          <w:color w:val="auto"/>
        </w:rPr>
        <w:t xml:space="preserve">. </w:t>
      </w:r>
      <w:r>
        <w:rPr>
          <w:rFonts w:ascii="Arial" w:cs="Arial" w:eastAsia="Arial" w:hAnsi="Arial"/>
          <w:sz w:val="21"/>
          <w:szCs w:val="21"/>
          <w:color w:val="auto"/>
        </w:rPr>
        <w:t>No provision of this RCA may be amended or waived unless agreed to in writing and signed by the</w:t>
      </w:r>
      <w:r>
        <w:rPr>
          <w:rFonts w:ascii="Arial" w:cs="Arial" w:eastAsia="Arial" w:hAnsi="Arial"/>
          <w:sz w:val="21"/>
          <w:szCs w:val="21"/>
          <w:b w:val="1"/>
          <w:bCs w:val="1"/>
          <w:color w:val="auto"/>
        </w:rPr>
        <w:t xml:space="preserve"> </w:t>
      </w:r>
      <w:r>
        <w:rPr>
          <w:rFonts w:ascii="Arial" w:cs="Arial" w:eastAsia="Arial" w:hAnsi="Arial"/>
          <w:sz w:val="21"/>
          <w:szCs w:val="21"/>
          <w:color w:val="auto"/>
        </w:rPr>
        <w:t>General Counsel of Campbell. The failure to exercise, or delay in exercising, any right, power, or remedy under this RCA shall not waive any right, power, or remedy which Campbell has under this RCA.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820" w:type="dxa"/>
            <w:vAlign w:val="bottom"/>
          </w:tcPr>
          <w:p>
            <w:pPr>
              <w:spacing w:after="0"/>
              <w:rPr>
                <w:sz w:val="20"/>
                <w:szCs w:val="20"/>
                <w:color w:val="auto"/>
              </w:rPr>
            </w:pPr>
            <w:r>
              <w:rPr>
                <w:rFonts w:ascii="Arial" w:cs="Arial" w:eastAsia="Arial" w:hAnsi="Arial"/>
                <w:sz w:val="21"/>
                <w:szCs w:val="21"/>
                <w:color w:val="auto"/>
              </w:rPr>
              <w:t>LTI Grant Agreement</w:t>
            </w:r>
          </w:p>
        </w:tc>
        <w:tc>
          <w:tcPr>
            <w:tcW w:w="1240" w:type="dxa"/>
            <w:vAlign w:val="bottom"/>
          </w:tcPr>
          <w:p>
            <w:pPr>
              <w:jc w:val="right"/>
              <w:spacing w:after="0"/>
              <w:rPr>
                <w:sz w:val="20"/>
                <w:szCs w:val="20"/>
                <w:color w:val="auto"/>
              </w:rPr>
            </w:pPr>
            <w:r>
              <w:rPr>
                <w:rFonts w:ascii="Arial" w:cs="Arial" w:eastAsia="Arial" w:hAnsi="Arial"/>
                <w:sz w:val="21"/>
                <w:szCs w:val="21"/>
                <w:color w:val="auto"/>
              </w:rPr>
              <w:t>10</w:t>
            </w:r>
          </w:p>
        </w:tc>
      </w:tr>
    </w:tbl>
    <w:p>
      <w:pPr>
        <w:sectPr>
          <w:pgSz w:w="11900" w:h="16838" w:orient="portrait"/>
          <w:cols w:equalWidth="0" w:num="1">
            <w:col w:w="11240"/>
          </w:cols>
          <w:pgMar w:left="320" w:top="1348" w:right="339" w:bottom="1440" w:gutter="0" w:footer="0" w:header="0"/>
        </w:sectPr>
      </w:pPr>
    </w:p>
    <w:bookmarkStart w:id="119" w:name="page120"/>
    <w:bookmarkEnd w:id="119"/>
    <w:p>
      <w:pPr>
        <w:jc w:val="both"/>
        <w:ind w:firstLine="621"/>
        <w:spacing w:after="0" w:line="239" w:lineRule="auto"/>
        <w:tabs>
          <w:tab w:leader="none" w:pos="929" w:val="left"/>
        </w:tabs>
        <w:numPr>
          <w:ilvl w:val="0"/>
          <w:numId w:val="11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Severability or Reform by Court</w:t>
      </w:r>
      <w:r>
        <w:rPr>
          <w:rFonts w:ascii="Arial" w:cs="Arial" w:eastAsia="Arial" w:hAnsi="Arial"/>
          <w:sz w:val="21"/>
          <w:szCs w:val="21"/>
          <w:b w:val="1"/>
          <w:bCs w:val="1"/>
          <w:color w:val="auto"/>
        </w:rPr>
        <w:t xml:space="preserve">. </w:t>
      </w:r>
      <w:r>
        <w:rPr>
          <w:rFonts w:ascii="Arial" w:cs="Arial" w:eastAsia="Arial" w:hAnsi="Arial"/>
          <w:sz w:val="21"/>
          <w:szCs w:val="21"/>
          <w:color w:val="auto"/>
        </w:rPr>
        <w:t>In the event that any provision of this RCA is deemed by a court to be broader than</w:t>
      </w:r>
      <w:r>
        <w:rPr>
          <w:rFonts w:ascii="Arial" w:cs="Arial" w:eastAsia="Arial" w:hAnsi="Arial"/>
          <w:sz w:val="21"/>
          <w:szCs w:val="21"/>
          <w:b w:val="1"/>
          <w:bCs w:val="1"/>
          <w:color w:val="auto"/>
        </w:rPr>
        <w:t xml:space="preserve"> </w:t>
      </w:r>
      <w:r>
        <w:rPr>
          <w:rFonts w:ascii="Arial" w:cs="Arial" w:eastAsia="Arial" w:hAnsi="Arial"/>
          <w:sz w:val="21"/>
          <w:szCs w:val="21"/>
          <w:color w:val="auto"/>
        </w:rPr>
        <w:t>permitted by applicable law, then such provision shall be reformed so that it is enforceable to the fullest extent permitted by applicable law. If any provision of this RCA shall be declared by a court to be invalid or unenforceable to any extent, the validity or enforceability of the remaining provisions of this RCA shall not be affected.</w:t>
      </w:r>
    </w:p>
    <w:p>
      <w:pPr>
        <w:spacing w:after="0" w:line="197" w:lineRule="exact"/>
        <w:rPr>
          <w:rFonts w:ascii="Arial" w:cs="Arial" w:eastAsia="Arial" w:hAnsi="Arial"/>
          <w:sz w:val="21"/>
          <w:szCs w:val="21"/>
          <w:b w:val="1"/>
          <w:bCs w:val="1"/>
          <w:color w:val="auto"/>
        </w:rPr>
      </w:pPr>
    </w:p>
    <w:p>
      <w:pPr>
        <w:jc w:val="both"/>
        <w:ind w:firstLine="621"/>
        <w:spacing w:after="0" w:line="238" w:lineRule="auto"/>
        <w:tabs>
          <w:tab w:leader="none" w:pos="966" w:val="left"/>
        </w:tabs>
        <w:numPr>
          <w:ilvl w:val="0"/>
          <w:numId w:val="11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Entire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This RCA constitutes the entire understanding between the parties to this RCA with respect to</w:t>
      </w:r>
      <w:r>
        <w:rPr>
          <w:rFonts w:ascii="Arial" w:cs="Arial" w:eastAsia="Arial" w:hAnsi="Arial"/>
          <w:sz w:val="21"/>
          <w:szCs w:val="21"/>
          <w:b w:val="1"/>
          <w:bCs w:val="1"/>
          <w:color w:val="auto"/>
        </w:rPr>
        <w:t xml:space="preserve"> </w:t>
      </w:r>
      <w:r>
        <w:rPr>
          <w:rFonts w:ascii="Arial" w:cs="Arial" w:eastAsia="Arial" w:hAnsi="Arial"/>
          <w:sz w:val="21"/>
          <w:szCs w:val="21"/>
          <w:color w:val="auto"/>
        </w:rPr>
        <w:t>Employee’s obligations in connection with the receipt and acceptance of the LTI award. Unless specified, this RCA does not supersede any prior agreements, understandings and arrangements, oral or written, between the parties.</w:t>
      </w:r>
    </w:p>
    <w:p>
      <w:pPr>
        <w:spacing w:after="0" w:line="196" w:lineRule="exact"/>
        <w:rPr>
          <w:sz w:val="20"/>
          <w:szCs w:val="20"/>
          <w:color w:val="auto"/>
        </w:rPr>
      </w:pPr>
    </w:p>
    <w:p>
      <w:pPr>
        <w:ind w:right="360"/>
        <w:spacing w:after="0" w:line="258" w:lineRule="auto"/>
        <w:rPr>
          <w:sz w:val="20"/>
          <w:szCs w:val="20"/>
          <w:color w:val="auto"/>
        </w:rPr>
      </w:pPr>
      <w:r>
        <w:rPr>
          <w:rFonts w:ascii="Arial" w:cs="Arial" w:eastAsia="Arial" w:hAnsi="Arial"/>
          <w:sz w:val="21"/>
          <w:szCs w:val="21"/>
          <w:b w:val="1"/>
          <w:bCs w:val="1"/>
          <w:color w:val="auto"/>
        </w:rPr>
        <w:t>EMPLOYEE ACKNOWLEDGES THAT HE/SHE HAS READ THE ABOVE RCA AND HAS BEEN GIVEN ADEQUATE TIME TO CONSULT WITH AN ATTORNEY OR OTHER ADVISOR OF HIS/HER CHOICE.</w:t>
      </w:r>
    </w:p>
    <w:p>
      <w:pPr>
        <w:spacing w:after="0" w:line="200" w:lineRule="exact"/>
        <w:rPr>
          <w:sz w:val="20"/>
          <w:szCs w:val="20"/>
          <w:color w:val="auto"/>
        </w:rPr>
      </w:pPr>
    </w:p>
    <w:p>
      <w:pPr>
        <w:spacing w:after="0" w:line="214" w:lineRule="exact"/>
        <w:rPr>
          <w:sz w:val="20"/>
          <w:szCs w:val="20"/>
          <w:color w:val="auto"/>
        </w:rPr>
      </w:pPr>
    </w:p>
    <w:p>
      <w:pPr>
        <w:ind w:left="120" w:hanging="117"/>
        <w:spacing w:after="0"/>
        <w:tabs>
          <w:tab w:leader="none" w:pos="120" w:val="left"/>
        </w:tabs>
        <w:numPr>
          <w:ilvl w:val="0"/>
          <w:numId w:val="116"/>
        </w:numPr>
        <w:rPr>
          <w:rFonts w:ascii="Arial" w:cs="Arial" w:eastAsia="Arial" w:hAnsi="Arial"/>
          <w:sz w:val="15"/>
          <w:szCs w:val="15"/>
          <w:color w:val="0000FF"/>
        </w:rPr>
      </w:pPr>
      <w:r>
        <w:rPr>
          <w:rFonts w:ascii="Arial" w:cs="Arial" w:eastAsia="Arial" w:hAnsi="Arial"/>
          <w:sz w:val="15"/>
          <w:szCs w:val="15"/>
          <w:color w:val="auto"/>
        </w:rPr>
        <w:t>In accordance with New Jersey law, this paragraph 4 shall not apply to employees of the Company who are employed in the capacity of attorneys.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820" w:type="dxa"/>
            <w:vAlign w:val="bottom"/>
          </w:tcPr>
          <w:p>
            <w:pPr>
              <w:spacing w:after="0"/>
              <w:rPr>
                <w:sz w:val="20"/>
                <w:szCs w:val="20"/>
                <w:color w:val="auto"/>
              </w:rPr>
            </w:pPr>
            <w:r>
              <w:rPr>
                <w:rFonts w:ascii="Arial" w:cs="Arial" w:eastAsia="Arial" w:hAnsi="Arial"/>
                <w:sz w:val="21"/>
                <w:szCs w:val="21"/>
                <w:color w:val="auto"/>
              </w:rPr>
              <w:t>LTI Grant Agreement</w:t>
            </w:r>
          </w:p>
        </w:tc>
        <w:tc>
          <w:tcPr>
            <w:tcW w:w="1240" w:type="dxa"/>
            <w:vAlign w:val="bottom"/>
          </w:tcPr>
          <w:p>
            <w:pPr>
              <w:jc w:val="right"/>
              <w:spacing w:after="0"/>
              <w:rPr>
                <w:sz w:val="20"/>
                <w:szCs w:val="20"/>
                <w:color w:val="auto"/>
              </w:rPr>
            </w:pPr>
            <w:r>
              <w:rPr>
                <w:rFonts w:ascii="Arial" w:cs="Arial" w:eastAsia="Arial" w:hAnsi="Arial"/>
                <w:sz w:val="21"/>
                <w:szCs w:val="21"/>
                <w:color w:val="auto"/>
              </w:rPr>
              <w:t>11</w:t>
            </w:r>
          </w:p>
        </w:tc>
      </w:tr>
    </w:tbl>
    <w:p>
      <w:pPr>
        <w:sectPr>
          <w:pgSz w:w="11900" w:h="16838" w:orient="portrait"/>
          <w:cols w:equalWidth="0" w:num="1">
            <w:col w:w="11240"/>
          </w:cols>
          <w:pgMar w:left="320" w:top="1348"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7"/>
          <w:szCs w:val="17"/>
          <w:b w:val="1"/>
          <w:bCs w:val="1"/>
          <w:color w:val="auto"/>
        </w:rPr>
        <w:t>EXHIBIT 21</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4380" w:type="dxa"/>
            <w:vAlign w:val="bottom"/>
          </w:tcPr>
          <w:p>
            <w:pPr>
              <w:spacing w:after="0"/>
              <w:rPr>
                <w:sz w:val="19"/>
                <w:szCs w:val="19"/>
                <w:color w:val="auto"/>
              </w:rPr>
            </w:pPr>
          </w:p>
        </w:tc>
        <w:tc>
          <w:tcPr>
            <w:tcW w:w="6780" w:type="dxa"/>
            <w:vAlign w:val="bottom"/>
            <w:gridSpan w:val="2"/>
          </w:tcPr>
          <w:p>
            <w:pPr>
              <w:ind w:left="460"/>
              <w:spacing w:after="0"/>
              <w:rPr>
                <w:sz w:val="20"/>
                <w:szCs w:val="20"/>
                <w:color w:val="auto"/>
              </w:rPr>
            </w:pPr>
            <w:r>
              <w:rPr>
                <w:rFonts w:ascii="Arial" w:cs="Arial" w:eastAsia="Arial" w:hAnsi="Arial"/>
                <w:sz w:val="17"/>
                <w:szCs w:val="17"/>
                <w:b w:val="1"/>
                <w:bCs w:val="1"/>
                <w:color w:val="auto"/>
              </w:rPr>
              <w:t>SUBSIDIARY LIST</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5"/>
        </w:trPr>
        <w:tc>
          <w:tcPr>
            <w:tcW w:w="4380" w:type="dxa"/>
            <w:vAlign w:val="bottom"/>
            <w:shd w:val="clear" w:color="auto" w:fill="E6E6E6"/>
          </w:tcPr>
          <w:p>
            <w:pPr>
              <w:ind w:left="1660"/>
              <w:spacing w:after="0"/>
              <w:rPr>
                <w:sz w:val="20"/>
                <w:szCs w:val="20"/>
                <w:color w:val="auto"/>
              </w:rPr>
            </w:pPr>
            <w:r>
              <w:rPr>
                <w:rFonts w:ascii="Arial" w:cs="Arial" w:eastAsia="Arial" w:hAnsi="Arial"/>
                <w:sz w:val="17"/>
                <w:szCs w:val="17"/>
                <w:b w:val="1"/>
                <w:bCs w:val="1"/>
                <w:color w:val="auto"/>
              </w:rPr>
              <w:t>Name of Subsidiary and Name</w:t>
            </w:r>
          </w:p>
        </w:tc>
        <w:tc>
          <w:tcPr>
            <w:tcW w:w="1240" w:type="dxa"/>
            <w:vAlign w:val="bottom"/>
            <w:tcBorders>
              <w:right w:val="single" w:sz="8" w:color="00000A"/>
            </w:tcBorders>
            <w:shd w:val="clear" w:color="auto" w:fill="E6E6E6"/>
          </w:tcPr>
          <w:p>
            <w:pPr>
              <w:spacing w:after="0"/>
              <w:rPr>
                <w:sz w:val="24"/>
                <w:szCs w:val="24"/>
                <w:color w:val="auto"/>
              </w:rPr>
            </w:pPr>
          </w:p>
        </w:tc>
        <w:tc>
          <w:tcPr>
            <w:tcW w:w="5540" w:type="dxa"/>
            <w:vAlign w:val="bottom"/>
            <w:vMerge w:val="restart"/>
            <w:shd w:val="clear" w:color="auto" w:fill="E6E6E6"/>
          </w:tcPr>
          <w:p>
            <w:pPr>
              <w:ind w:left="1700"/>
              <w:spacing w:after="0"/>
              <w:rPr>
                <w:sz w:val="20"/>
                <w:szCs w:val="20"/>
                <w:color w:val="auto"/>
              </w:rPr>
            </w:pPr>
            <w:r>
              <w:rPr>
                <w:rFonts w:ascii="Arial" w:cs="Arial" w:eastAsia="Arial" w:hAnsi="Arial"/>
                <w:sz w:val="17"/>
                <w:szCs w:val="17"/>
                <w:b w:val="1"/>
                <w:bCs w:val="1"/>
                <w:color w:val="auto"/>
              </w:rPr>
              <w:t>Jurisdiction of Incorporation</w:t>
            </w:r>
          </w:p>
        </w:tc>
        <w:tc>
          <w:tcPr>
            <w:tcW w:w="0" w:type="dxa"/>
            <w:vAlign w:val="bottom"/>
          </w:tcPr>
          <w:p>
            <w:pPr>
              <w:spacing w:after="0"/>
              <w:rPr>
                <w:sz w:val="1"/>
                <w:szCs w:val="1"/>
                <w:color w:val="auto"/>
              </w:rPr>
            </w:pPr>
          </w:p>
        </w:tc>
      </w:tr>
      <w:tr>
        <w:trPr>
          <w:trHeight w:val="227"/>
        </w:trPr>
        <w:tc>
          <w:tcPr>
            <w:tcW w:w="4380" w:type="dxa"/>
            <w:vAlign w:val="bottom"/>
            <w:tcBorders>
              <w:bottom w:val="single" w:sz="8" w:color="00000A"/>
            </w:tcBorders>
            <w:shd w:val="clear" w:color="auto" w:fill="E6E6E6"/>
          </w:tcPr>
          <w:p>
            <w:pPr>
              <w:ind w:left="1680"/>
              <w:spacing w:after="0"/>
              <w:rPr>
                <w:sz w:val="20"/>
                <w:szCs w:val="20"/>
                <w:color w:val="auto"/>
              </w:rPr>
            </w:pPr>
            <w:r>
              <w:rPr>
                <w:rFonts w:ascii="Arial" w:cs="Arial" w:eastAsia="Arial" w:hAnsi="Arial"/>
                <w:sz w:val="17"/>
                <w:szCs w:val="17"/>
                <w:b w:val="1"/>
                <w:bCs w:val="1"/>
                <w:color w:val="auto"/>
              </w:rPr>
              <w:t>Under Which It Does Business</w:t>
            </w:r>
          </w:p>
        </w:tc>
        <w:tc>
          <w:tcPr>
            <w:tcW w:w="1240" w:type="dxa"/>
            <w:vAlign w:val="bottom"/>
            <w:tcBorders>
              <w:bottom w:val="single" w:sz="8" w:color="00000A"/>
              <w:right w:val="single" w:sz="8" w:color="00000A"/>
            </w:tcBorders>
            <w:shd w:val="clear" w:color="auto" w:fill="E6E6E6"/>
          </w:tcPr>
          <w:p>
            <w:pPr>
              <w:spacing w:after="0"/>
              <w:rPr>
                <w:sz w:val="19"/>
                <w:szCs w:val="19"/>
                <w:color w:val="auto"/>
              </w:rPr>
            </w:pPr>
          </w:p>
        </w:tc>
        <w:tc>
          <w:tcPr>
            <w:tcW w:w="5540" w:type="dxa"/>
            <w:vAlign w:val="bottom"/>
            <w:tcBorders>
              <w:bottom w:val="single" w:sz="8" w:color="00000A"/>
            </w:tcBorders>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80" w:type="dxa"/>
            <w:vAlign w:val="bottom"/>
            <w:tcBorders>
              <w:bottom w:val="single" w:sz="8" w:color="00000A"/>
            </w:tcBorders>
            <w:shd w:val="clear" w:color="auto" w:fill="CCEEFF"/>
          </w:tcPr>
          <w:p>
            <w:pPr>
              <w:ind w:left="20"/>
              <w:spacing w:after="0"/>
              <w:rPr>
                <w:sz w:val="20"/>
                <w:szCs w:val="20"/>
                <w:color w:val="auto"/>
              </w:rPr>
            </w:pPr>
            <w:r>
              <w:rPr>
                <w:rFonts w:ascii="Arial" w:cs="Arial" w:eastAsia="Arial" w:hAnsi="Arial"/>
                <w:sz w:val="17"/>
                <w:szCs w:val="17"/>
                <w:color w:val="auto"/>
              </w:rPr>
              <w:t>1035 Line Company</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Arial" w:cs="Arial" w:eastAsia="Arial" w:hAnsi="Arial"/>
                <w:sz w:val="17"/>
                <w:szCs w:val="17"/>
                <w:color w:val="auto"/>
              </w:rPr>
              <w:t>3330472 Nova Scotia Company</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Arial" w:cs="Arial" w:eastAsia="Arial" w:hAnsi="Arial"/>
                <w:sz w:val="17"/>
                <w:szCs w:val="17"/>
                <w:color w:val="auto"/>
              </w:rPr>
              <w:t>Canada</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Arial" w:cs="Arial" w:eastAsia="Arial" w:hAnsi="Arial"/>
                <w:sz w:val="17"/>
                <w:szCs w:val="17"/>
                <w:color w:val="auto"/>
              </w:rPr>
              <w:t>CAH Corporation</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Arial" w:cs="Arial" w:eastAsia="Arial" w:hAnsi="Arial"/>
                <w:sz w:val="17"/>
                <w:szCs w:val="17"/>
                <w:color w:val="auto"/>
              </w:rPr>
              <w:t>Campbell Argentina S.A.</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Arial" w:cs="Arial" w:eastAsia="Arial" w:hAnsi="Arial"/>
                <w:sz w:val="17"/>
                <w:szCs w:val="17"/>
                <w:color w:val="auto"/>
              </w:rPr>
              <w:t>Argentina</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Arial" w:cs="Arial" w:eastAsia="Arial" w:hAnsi="Arial"/>
                <w:sz w:val="17"/>
                <w:szCs w:val="17"/>
                <w:color w:val="auto"/>
              </w:rPr>
              <w:t>Campbell Company of Canada</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Arial" w:cs="Arial" w:eastAsia="Arial" w:hAnsi="Arial"/>
                <w:sz w:val="17"/>
                <w:szCs w:val="17"/>
                <w:color w:val="auto"/>
              </w:rPr>
              <w:t>Canada</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Arial" w:cs="Arial" w:eastAsia="Arial" w:hAnsi="Arial"/>
                <w:sz w:val="17"/>
                <w:szCs w:val="17"/>
                <w:color w:val="auto"/>
              </w:rPr>
              <w:t>Campbell EU Investment Company</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Arial" w:cs="Arial" w:eastAsia="Arial" w:hAnsi="Arial"/>
                <w:sz w:val="17"/>
                <w:szCs w:val="17"/>
                <w:color w:val="auto"/>
              </w:rPr>
              <w:t>Campbell Finance 2 Corporation</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Arial" w:cs="Arial" w:eastAsia="Arial" w:hAnsi="Arial"/>
                <w:sz w:val="17"/>
                <w:szCs w:val="17"/>
                <w:color w:val="auto"/>
              </w:rPr>
              <w:t>Campbell Foodservice Company</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Arial" w:cs="Arial" w:eastAsia="Arial" w:hAnsi="Arial"/>
                <w:sz w:val="17"/>
                <w:szCs w:val="17"/>
                <w:color w:val="auto"/>
              </w:rPr>
              <w:t>Pennsylvania</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Arial" w:cs="Arial" w:eastAsia="Arial" w:hAnsi="Arial"/>
                <w:sz w:val="17"/>
                <w:szCs w:val="17"/>
                <w:color w:val="auto"/>
              </w:rPr>
              <w:t>Campbell Hong Kong Limited</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Arial" w:cs="Arial" w:eastAsia="Arial" w:hAnsi="Arial"/>
                <w:sz w:val="17"/>
                <w:szCs w:val="17"/>
                <w:color w:val="auto"/>
              </w:rPr>
              <w:t>Hong Kong</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Arial" w:cs="Arial" w:eastAsia="Arial" w:hAnsi="Arial"/>
                <w:sz w:val="17"/>
                <w:szCs w:val="17"/>
                <w:color w:val="auto"/>
              </w:rPr>
              <w:t>Campbell International Holdings Inc.</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Arial" w:cs="Arial" w:eastAsia="Arial" w:hAnsi="Arial"/>
                <w:sz w:val="17"/>
                <w:szCs w:val="17"/>
                <w:color w:val="auto"/>
              </w:rPr>
              <w:t>Campbell Investment Company</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Arial" w:cs="Arial" w:eastAsia="Arial" w:hAnsi="Arial"/>
                <w:sz w:val="17"/>
                <w:szCs w:val="17"/>
                <w:color w:val="auto"/>
              </w:rPr>
              <w:t>Campbell Jin Bao Tang, Inc.</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Arial" w:cs="Arial" w:eastAsia="Arial" w:hAnsi="Arial"/>
                <w:sz w:val="17"/>
                <w:szCs w:val="17"/>
                <w:color w:val="auto"/>
              </w:rPr>
              <w:t>Campbell MFG 1 Company</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Arial" w:cs="Arial" w:eastAsia="Arial" w:hAnsi="Arial"/>
                <w:sz w:val="17"/>
                <w:szCs w:val="17"/>
                <w:color w:val="auto"/>
              </w:rPr>
              <w:t>Campbell Sales Company</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Arial" w:cs="Arial" w:eastAsia="Arial" w:hAnsi="Arial"/>
                <w:sz w:val="17"/>
                <w:szCs w:val="17"/>
                <w:color w:val="auto"/>
              </w:rPr>
              <w:t>New Jersey</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Arial" w:cs="Arial" w:eastAsia="Arial" w:hAnsi="Arial"/>
                <w:sz w:val="17"/>
                <w:szCs w:val="17"/>
                <w:color w:val="auto"/>
              </w:rPr>
              <w:t>Campbell Soup Asia Limited</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Arial" w:cs="Arial" w:eastAsia="Arial" w:hAnsi="Arial"/>
                <w:sz w:val="17"/>
                <w:szCs w:val="17"/>
                <w:color w:val="auto"/>
              </w:rPr>
              <w:t>Hong Kong</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Arial" w:cs="Arial" w:eastAsia="Arial" w:hAnsi="Arial"/>
                <w:sz w:val="17"/>
                <w:szCs w:val="17"/>
                <w:color w:val="auto"/>
              </w:rPr>
              <w:t>Campbell Soup Dominicana, S.A.</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Arial" w:cs="Arial" w:eastAsia="Arial" w:hAnsi="Arial"/>
                <w:sz w:val="17"/>
                <w:szCs w:val="17"/>
                <w:color w:val="auto"/>
              </w:rPr>
              <w:t>Dominican Republic</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Arial" w:cs="Arial" w:eastAsia="Arial" w:hAnsi="Arial"/>
                <w:sz w:val="17"/>
                <w:szCs w:val="17"/>
                <w:color w:val="auto"/>
              </w:rPr>
              <w:t>Campbell Soup Supply Company L.L.C.</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Arial" w:cs="Arial" w:eastAsia="Arial" w:hAnsi="Arial"/>
                <w:sz w:val="17"/>
                <w:szCs w:val="17"/>
                <w:color w:val="auto"/>
              </w:rPr>
              <w:t>Campbell Snacks Europe, Inc.</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Arial" w:cs="Arial" w:eastAsia="Arial" w:hAnsi="Arial"/>
                <w:sz w:val="17"/>
                <w:szCs w:val="17"/>
                <w:color w:val="auto"/>
              </w:rPr>
              <w:t>Campbell Swire (HK) Ltd</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Arial" w:cs="Arial" w:eastAsia="Arial" w:hAnsi="Arial"/>
                <w:sz w:val="17"/>
                <w:szCs w:val="17"/>
                <w:color w:val="auto"/>
              </w:rPr>
              <w:t>Hong Kong</w:t>
            </w:r>
          </w:p>
        </w:tc>
        <w:tc>
          <w:tcPr>
            <w:tcW w:w="0" w:type="dxa"/>
            <w:vAlign w:val="bottom"/>
          </w:tcPr>
          <w:p>
            <w:pPr>
              <w:spacing w:after="0"/>
              <w:rPr>
                <w:sz w:val="1"/>
                <w:szCs w:val="1"/>
                <w:color w:val="auto"/>
              </w:rPr>
            </w:pPr>
          </w:p>
        </w:tc>
      </w:tr>
      <w:tr>
        <w:trPr>
          <w:trHeight w:val="212"/>
        </w:trPr>
        <w:tc>
          <w:tcPr>
            <w:tcW w:w="4380" w:type="dxa"/>
            <w:vAlign w:val="bottom"/>
          </w:tcPr>
          <w:p>
            <w:pPr>
              <w:ind w:left="20"/>
              <w:spacing w:after="0"/>
              <w:rPr>
                <w:sz w:val="20"/>
                <w:szCs w:val="20"/>
                <w:color w:val="auto"/>
              </w:rPr>
            </w:pPr>
            <w:r>
              <w:rPr>
                <w:rFonts w:ascii="Arial" w:cs="Arial" w:eastAsia="Arial" w:hAnsi="Arial"/>
                <w:sz w:val="17"/>
                <w:szCs w:val="17"/>
                <w:color w:val="auto"/>
              </w:rPr>
              <w:t>Campbell Swire (Xiamen) Co Ltd</w:t>
            </w:r>
          </w:p>
        </w:tc>
        <w:tc>
          <w:tcPr>
            <w:tcW w:w="1240" w:type="dxa"/>
            <w:vAlign w:val="bottom"/>
            <w:tcBorders>
              <w:right w:val="single" w:sz="8" w:color="00000A"/>
            </w:tcBorders>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7"/>
                <w:szCs w:val="17"/>
                <w:color w:val="auto"/>
              </w:rPr>
              <w:t>China</w:t>
            </w:r>
          </w:p>
        </w:tc>
        <w:tc>
          <w:tcPr>
            <w:tcW w:w="0" w:type="dxa"/>
            <w:vAlign w:val="bottom"/>
          </w:tcPr>
          <w:p>
            <w:pPr>
              <w:spacing w:after="0"/>
              <w:rPr>
                <w:sz w:val="1"/>
                <w:szCs w:val="1"/>
                <w:color w:val="auto"/>
              </w:rPr>
            </w:pPr>
          </w:p>
        </w:tc>
      </w:tr>
      <w:tr>
        <w:trPr>
          <w:trHeight w:val="219"/>
        </w:trPr>
        <w:tc>
          <w:tcPr>
            <w:tcW w:w="4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Campbell U.S. Holdings, Inc.</w:t>
            </w:r>
          </w:p>
        </w:tc>
        <w:tc>
          <w:tcPr>
            <w:tcW w:w="1240" w:type="dxa"/>
            <w:vAlign w:val="bottom"/>
            <w:tcBorders>
              <w:bottom w:val="single" w:sz="8" w:color="auto"/>
              <w:right w:val="single" w:sz="8" w:color="00000A"/>
            </w:tcBorders>
            <w:shd w:val="clear" w:color="auto" w:fill="CCEEFF"/>
          </w:tcPr>
          <w:p>
            <w:pPr>
              <w:spacing w:after="0"/>
              <w:rPr>
                <w:sz w:val="19"/>
                <w:szCs w:val="19"/>
                <w:color w:val="auto"/>
              </w:rPr>
            </w:pPr>
          </w:p>
        </w:tc>
        <w:tc>
          <w:tcPr>
            <w:tcW w:w="5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Arial" w:cs="Arial" w:eastAsia="Arial" w:hAnsi="Arial"/>
                <w:sz w:val="17"/>
                <w:szCs w:val="17"/>
                <w:color w:val="auto"/>
              </w:rPr>
              <w:t>Campbell Urban Renewal Corporation</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Arial" w:cs="Arial" w:eastAsia="Arial" w:hAnsi="Arial"/>
                <w:sz w:val="17"/>
                <w:szCs w:val="17"/>
                <w:color w:val="auto"/>
              </w:rPr>
              <w:t>New Jersey</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Arial" w:cs="Arial" w:eastAsia="Arial" w:hAnsi="Arial"/>
                <w:sz w:val="17"/>
                <w:szCs w:val="17"/>
                <w:color w:val="auto"/>
              </w:rPr>
              <w:t>Campbell’s de Mexico S.A. de C. V.</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Arial" w:cs="Arial" w:eastAsia="Arial" w:hAnsi="Arial"/>
                <w:sz w:val="17"/>
                <w:szCs w:val="17"/>
                <w:color w:val="auto"/>
              </w:rPr>
              <w:t>Mexico</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Arial" w:cs="Arial" w:eastAsia="Arial" w:hAnsi="Arial"/>
                <w:sz w:val="17"/>
                <w:szCs w:val="17"/>
                <w:color w:val="auto"/>
              </w:rPr>
              <w:t>CANEB L.L.C.</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Arial" w:cs="Arial" w:eastAsia="Arial" w:hAnsi="Arial"/>
                <w:sz w:val="17"/>
                <w:szCs w:val="17"/>
                <w:color w:val="auto"/>
              </w:rPr>
              <w:t>CanFin Holdings Inc.</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Arial" w:cs="Arial" w:eastAsia="Arial" w:hAnsi="Arial"/>
                <w:sz w:val="17"/>
                <w:szCs w:val="17"/>
                <w:color w:val="auto"/>
              </w:rPr>
              <w:t>CIRT Urban Renewal Corp.</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Arial" w:cs="Arial" w:eastAsia="Arial" w:hAnsi="Arial"/>
                <w:sz w:val="17"/>
                <w:szCs w:val="17"/>
                <w:color w:val="auto"/>
              </w:rPr>
              <w:t>New Jersey</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Arial" w:cs="Arial" w:eastAsia="Arial" w:hAnsi="Arial"/>
                <w:sz w:val="17"/>
                <w:szCs w:val="17"/>
                <w:color w:val="auto"/>
              </w:rPr>
              <w:t>Comercializadora Campbell de Guatemala, Limitada</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Arial" w:cs="Arial" w:eastAsia="Arial" w:hAnsi="Arial"/>
                <w:sz w:val="17"/>
                <w:szCs w:val="17"/>
                <w:color w:val="auto"/>
              </w:rPr>
              <w:t>Guatemala</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Arial" w:cs="Arial" w:eastAsia="Arial" w:hAnsi="Arial"/>
                <w:sz w:val="17"/>
                <w:szCs w:val="17"/>
                <w:color w:val="auto"/>
              </w:rPr>
              <w:t>CSC Brands LP</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Arial" w:cs="Arial" w:eastAsia="Arial" w:hAnsi="Arial"/>
                <w:sz w:val="17"/>
                <w:szCs w:val="17"/>
                <w:color w:val="auto"/>
              </w:rPr>
              <w:t>CS Foods, LLC</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Arial" w:cs="Arial" w:eastAsia="Arial" w:hAnsi="Arial"/>
                <w:sz w:val="17"/>
                <w:szCs w:val="17"/>
                <w:color w:val="auto"/>
              </w:rPr>
              <w:t>Missouri</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Arial" w:cs="Arial" w:eastAsia="Arial" w:hAnsi="Arial"/>
                <w:sz w:val="17"/>
                <w:szCs w:val="17"/>
                <w:color w:val="auto"/>
              </w:rPr>
              <w:t>CSC Insights, Inc.</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Arial" w:cs="Arial" w:eastAsia="Arial" w:hAnsi="Arial"/>
                <w:sz w:val="17"/>
                <w:szCs w:val="17"/>
                <w:color w:val="auto"/>
              </w:rPr>
              <w:t>New Jersey</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Arial" w:cs="Arial" w:eastAsia="Arial" w:hAnsi="Arial"/>
                <w:sz w:val="17"/>
                <w:szCs w:val="17"/>
                <w:color w:val="auto"/>
              </w:rPr>
              <w:t>CSC Standards, Inc.</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Arial" w:cs="Arial" w:eastAsia="Arial" w:hAnsi="Arial"/>
                <w:sz w:val="17"/>
                <w:szCs w:val="17"/>
                <w:color w:val="auto"/>
              </w:rPr>
              <w:t>New Jersey</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Arial" w:cs="Arial" w:eastAsia="Arial" w:hAnsi="Arial"/>
                <w:sz w:val="17"/>
                <w:szCs w:val="17"/>
                <w:color w:val="auto"/>
              </w:rPr>
              <w:t>CSnacks Combo, LLC</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Arial" w:cs="Arial" w:eastAsia="Arial" w:hAnsi="Arial"/>
                <w:sz w:val="17"/>
                <w:szCs w:val="17"/>
                <w:color w:val="auto"/>
              </w:rPr>
              <w:t>DFKA Ltd.</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Arial" w:cs="Arial" w:eastAsia="Arial" w:hAnsi="Arial"/>
                <w:sz w:val="17"/>
                <w:szCs w:val="17"/>
                <w:color w:val="auto"/>
              </w:rPr>
              <w:t>United Kingdom</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Arial" w:cs="Arial" w:eastAsia="Arial" w:hAnsi="Arial"/>
                <w:sz w:val="17"/>
                <w:szCs w:val="17"/>
                <w:color w:val="auto"/>
              </w:rPr>
              <w:t>EDS Investments, LLC</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Arial" w:cs="Arial" w:eastAsia="Arial" w:hAnsi="Arial"/>
                <w:sz w:val="17"/>
                <w:szCs w:val="17"/>
                <w:color w:val="auto"/>
              </w:rPr>
              <w:t>New Jersey</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Arial" w:cs="Arial" w:eastAsia="Arial" w:hAnsi="Arial"/>
                <w:sz w:val="17"/>
                <w:szCs w:val="17"/>
                <w:color w:val="auto"/>
              </w:rPr>
              <w:t>Joseph Campbell Company</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Arial" w:cs="Arial" w:eastAsia="Arial" w:hAnsi="Arial"/>
                <w:sz w:val="17"/>
                <w:szCs w:val="17"/>
                <w:color w:val="auto"/>
              </w:rPr>
              <w:t>New Jersey</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Arial" w:cs="Arial" w:eastAsia="Arial" w:hAnsi="Arial"/>
                <w:sz w:val="17"/>
                <w:szCs w:val="17"/>
                <w:color w:val="auto"/>
              </w:rPr>
              <w:t>Pacific Foods Investments, Inc.</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Arial" w:cs="Arial" w:eastAsia="Arial" w:hAnsi="Arial"/>
                <w:sz w:val="17"/>
                <w:szCs w:val="17"/>
                <w:color w:val="auto"/>
              </w:rPr>
              <w:t>Pacific Foods of Oregon, LLC</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Arial" w:cs="Arial" w:eastAsia="Arial" w:hAnsi="Arial"/>
                <w:sz w:val="17"/>
                <w:szCs w:val="17"/>
                <w:color w:val="auto"/>
              </w:rPr>
              <w:t>Oregon</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Arial" w:cs="Arial" w:eastAsia="Arial" w:hAnsi="Arial"/>
                <w:sz w:val="17"/>
                <w:szCs w:val="17"/>
                <w:color w:val="auto"/>
              </w:rPr>
              <w:t>Pepperidge Farm, Incorporated</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Arial" w:cs="Arial" w:eastAsia="Arial" w:hAnsi="Arial"/>
                <w:sz w:val="17"/>
                <w:szCs w:val="17"/>
                <w:color w:val="auto"/>
              </w:rPr>
              <w:t>Connecticut</w:t>
            </w:r>
          </w:p>
        </w:tc>
        <w:tc>
          <w:tcPr>
            <w:tcW w:w="0" w:type="dxa"/>
            <w:vAlign w:val="bottom"/>
          </w:tcPr>
          <w:p>
            <w:pPr>
              <w:spacing w:after="0"/>
              <w:rPr>
                <w:sz w:val="1"/>
                <w:szCs w:val="1"/>
                <w:color w:val="auto"/>
              </w:rPr>
            </w:pPr>
          </w:p>
        </w:tc>
      </w:tr>
      <w:tr>
        <w:trPr>
          <w:trHeight w:val="213"/>
        </w:trPr>
        <w:tc>
          <w:tcPr>
            <w:tcW w:w="4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Snyder's-Lance, Inc.</w:t>
            </w:r>
          </w:p>
        </w:tc>
        <w:tc>
          <w:tcPr>
            <w:tcW w:w="1240" w:type="dxa"/>
            <w:vAlign w:val="bottom"/>
            <w:tcBorders>
              <w:right w:val="single" w:sz="8" w:color="00000A"/>
            </w:tcBorders>
            <w:shd w:val="clear" w:color="auto" w:fill="CCEEFF"/>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7"/>
                <w:szCs w:val="17"/>
                <w:color w:val="auto"/>
              </w:rPr>
              <w:t>North Carolina</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foregoing does not constitute a complete list of all subsidiaries of the registrant. Any subsidiaries that have been omitted do not, if considered in the aggregate as a single subsidiary, constitute a “Significant Subsidiary” as defined by the SEC.</w:t>
      </w:r>
    </w:p>
    <w:p>
      <w:pPr>
        <w:sectPr>
          <w:pgSz w:w="11900" w:h="16838" w:orient="portrait"/>
          <w:cols w:equalWidth="0" w:num="1">
            <w:col w:w="11240"/>
          </w:cols>
          <w:pgMar w:left="320" w:top="855"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7"/>
          <w:szCs w:val="17"/>
          <w:b w:val="1"/>
          <w:bCs w:val="1"/>
          <w:color w:val="auto"/>
        </w:rPr>
        <w:t>EXHIBIT 23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CONSENT OF INDEPENDENT REGISTERED PUBLIC ACCOUNTING FIRM</w:t>
      </w:r>
    </w:p>
    <w:p>
      <w:pPr>
        <w:spacing w:after="0" w:line="200" w:lineRule="exact"/>
        <w:rPr>
          <w:sz w:val="20"/>
          <w:szCs w:val="20"/>
          <w:color w:val="auto"/>
        </w:rPr>
      </w:pPr>
    </w:p>
    <w:p>
      <w:pPr>
        <w:spacing w:after="0" w:line="229"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We hereby consent to the incorporation by reference in the Registration Statements on Form S-3 (No. 333-274048) and Form S-8 (Nos. 333-268604, 333-216582, 333-208441, 333-173583, 333-173582, 333-160381, 333-157850, 333-134675, 333-22803, 333-00729 and 33-59797) of Campbell Soup Company of our report dated September 21, 2023 relating to the financial statements, financial statement schedule and the effectiveness of internal control over financial reporting, which appears in this Form 10-K.</w:t>
      </w:r>
    </w:p>
    <w:p>
      <w:pPr>
        <w:spacing w:after="0" w:line="277"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PricewaterhouseCoopers LLP</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Philadelphia, Pennsylvania</w:t>
      </w: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September 21, 2023</w:t>
      </w:r>
    </w:p>
    <w:p>
      <w:pPr>
        <w:sectPr>
          <w:pgSz w:w="11900" w:h="16838" w:orient="portrait"/>
          <w:cols w:equalWidth="0" w:num="1">
            <w:col w:w="11240"/>
          </w:cols>
          <w:pgMar w:left="320" w:top="1151"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9"/>
          <w:szCs w:val="19"/>
          <w:b w:val="1"/>
          <w:bCs w:val="1"/>
          <w:color w:val="auto"/>
        </w:rPr>
        <w:t>EXHIBIT 24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POWER OF ATTORNEY</w:t>
      </w:r>
    </w:p>
    <w:p>
      <w:pPr>
        <w:jc w:val="center"/>
        <w:spacing w:after="0"/>
        <w:rPr>
          <w:sz w:val="20"/>
          <w:szCs w:val="20"/>
          <w:color w:val="auto"/>
        </w:rPr>
      </w:pPr>
      <w:r>
        <w:rPr>
          <w:rFonts w:ascii="Arial" w:cs="Arial" w:eastAsia="Arial" w:hAnsi="Arial"/>
          <w:sz w:val="19"/>
          <w:szCs w:val="19"/>
          <w:b w:val="1"/>
          <w:bCs w:val="1"/>
          <w:color w:val="auto"/>
        </w:rPr>
        <w:t>ANNUAL REPORT ON FORM 10-K</w:t>
      </w:r>
    </w:p>
    <w:p>
      <w:pPr>
        <w:spacing w:after="0" w:line="212" w:lineRule="exact"/>
        <w:rPr>
          <w:sz w:val="20"/>
          <w:szCs w:val="20"/>
          <w:color w:val="auto"/>
        </w:rPr>
      </w:pPr>
    </w:p>
    <w:p>
      <w:pPr>
        <w:jc w:val="both"/>
        <w:ind w:firstLine="618"/>
        <w:spacing w:after="0" w:line="241" w:lineRule="auto"/>
        <w:rPr>
          <w:sz w:val="20"/>
          <w:szCs w:val="20"/>
          <w:color w:val="auto"/>
        </w:rPr>
      </w:pPr>
      <w:r>
        <w:rPr>
          <w:rFonts w:ascii="Arial" w:cs="Arial" w:eastAsia="Arial" w:hAnsi="Arial"/>
          <w:sz w:val="20"/>
          <w:szCs w:val="20"/>
          <w:color w:val="auto"/>
        </w:rPr>
        <w:t>The undersigned, a director of Campbell Soup Company, a New Jersey corporation, hereby constitutes and appoints each of Adam G. Ciongoli and Charles A. Brawley, III, together and separately, as her true and lawful attorneys-in-fact and agents, with full power of substitution and revocation, in his name, place and stead, in any and all capacities, to execute Campbell Soup Company’s Annual Report on Form 10-K for the fiscal year ended July 30, 2023,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she might or could do in person, hereby ratifying and confirming all that said attorneys-in-fact and agents may lawfully do or cause to be done by virtue hereof.</w:t>
      </w:r>
    </w:p>
    <w:p>
      <w:pPr>
        <w:spacing w:after="0" w:line="187" w:lineRule="exact"/>
        <w:rPr>
          <w:sz w:val="20"/>
          <w:szCs w:val="20"/>
          <w:color w:val="auto"/>
        </w:rPr>
      </w:pPr>
    </w:p>
    <w:p>
      <w:pPr>
        <w:ind w:left="620"/>
        <w:spacing w:after="0"/>
        <w:rPr>
          <w:sz w:val="20"/>
          <w:szCs w:val="20"/>
          <w:color w:val="auto"/>
        </w:rPr>
      </w:pPr>
      <w:r>
        <w:rPr>
          <w:rFonts w:ascii="Arial" w:cs="Arial" w:eastAsia="Arial" w:hAnsi="Arial"/>
          <w:sz w:val="21"/>
          <w:szCs w:val="21"/>
          <w:color w:val="auto"/>
        </w:rPr>
        <w:t>IN WITNESS WHEREOF, the undersigned has executed this Power of Attorney this 6th day of September, 2023.</w:t>
      </w:r>
    </w:p>
    <w:p>
      <w:pPr>
        <w:spacing w:after="0" w:line="222" w:lineRule="exact"/>
        <w:rPr>
          <w:sz w:val="20"/>
          <w:szCs w:val="20"/>
          <w:color w:val="auto"/>
        </w:rPr>
      </w:pPr>
    </w:p>
    <w:p>
      <w:pPr>
        <w:ind w:left="1540"/>
        <w:spacing w:after="0"/>
        <w:rPr>
          <w:sz w:val="20"/>
          <w:szCs w:val="20"/>
          <w:color w:val="auto"/>
        </w:rPr>
      </w:pPr>
      <w:r>
        <w:rPr>
          <w:rFonts w:ascii="Arial" w:cs="Arial" w:eastAsia="Arial" w:hAnsi="Arial"/>
          <w:sz w:val="21"/>
          <w:szCs w:val="21"/>
          <w:color w:val="auto"/>
        </w:rPr>
        <w:t>__</w:t>
      </w:r>
      <w:r>
        <w:rPr>
          <w:rFonts w:ascii="Arial" w:cs="Arial" w:eastAsia="Arial" w:hAnsi="Arial"/>
          <w:sz w:val="21"/>
          <w:szCs w:val="21"/>
          <w:u w:val="single" w:color="auto"/>
          <w:color w:val="auto"/>
        </w:rPr>
        <w:t>/s/ Fabiola R. Arredondo</w:t>
      </w:r>
      <w:r>
        <w:rPr>
          <w:rFonts w:ascii="Arial" w:cs="Arial" w:eastAsia="Arial" w:hAnsi="Arial"/>
          <w:sz w:val="21"/>
          <w:szCs w:val="21"/>
          <w:color w:val="auto"/>
        </w:rPr>
        <w:t>_____</w:t>
      </w:r>
    </w:p>
    <w:p>
      <w:pPr>
        <w:spacing w:after="0" w:line="225" w:lineRule="auto"/>
        <w:rPr>
          <w:sz w:val="20"/>
          <w:szCs w:val="20"/>
          <w:color w:val="auto"/>
        </w:rPr>
      </w:pPr>
      <w:r>
        <w:rPr>
          <w:rFonts w:ascii="Arial" w:cs="Arial" w:eastAsia="Arial" w:hAnsi="Arial"/>
          <w:sz w:val="21"/>
          <w:szCs w:val="21"/>
          <w:color w:val="auto"/>
        </w:rPr>
        <w:t>Fabiola R. Arredondo</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Director</w:t>
      </w:r>
    </w:p>
    <w:p>
      <w:pPr>
        <w:spacing w:after="0" w:line="205"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POWER OF ATTORNEY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ANNUAL REPORT ON FORM 10-K</w:t>
      </w:r>
    </w:p>
    <w:p>
      <w:pPr>
        <w:spacing w:after="0" w:line="212" w:lineRule="exact"/>
        <w:rPr>
          <w:sz w:val="20"/>
          <w:szCs w:val="20"/>
          <w:color w:val="auto"/>
        </w:rPr>
      </w:pPr>
    </w:p>
    <w:p>
      <w:pPr>
        <w:jc w:val="both"/>
        <w:ind w:firstLine="618"/>
        <w:spacing w:after="0" w:line="241" w:lineRule="auto"/>
        <w:rPr>
          <w:sz w:val="20"/>
          <w:szCs w:val="20"/>
          <w:color w:val="auto"/>
        </w:rPr>
      </w:pPr>
      <w:r>
        <w:rPr>
          <w:rFonts w:ascii="Arial" w:cs="Arial" w:eastAsia="Arial" w:hAnsi="Arial"/>
          <w:sz w:val="20"/>
          <w:szCs w:val="20"/>
          <w:color w:val="auto"/>
        </w:rPr>
        <w:t>The undersigned, a director of Campbell Soup Company, a New Jersey corporation, hereby constitutes and appoints each of Adam G. Ciongoli and Charles A. Brawley, III, together and separately, as his true and lawful attorneys-in-fact and agents, with full power of substitution and revocation, in his name, place and stead, in any and all capacities, to execute Campbell Soup Company’s Annual Report on Form 10-K for the fiscal year ended July 30, 2023,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9"/>
          <w:szCs w:val="19"/>
          <w:color w:val="auto"/>
        </w:rPr>
        <w:t>IN WITNESS WHEREOF, the undersigned has executed this Power of Attorney this 6th day of September, 2023.</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 Howard M Averill</w:t>
      </w:r>
    </w:p>
    <w:p>
      <w:pPr>
        <w:spacing w:after="0" w:line="225" w:lineRule="auto"/>
        <w:rPr>
          <w:sz w:val="20"/>
          <w:szCs w:val="20"/>
          <w:color w:val="auto"/>
        </w:rPr>
      </w:pPr>
      <w:r>
        <w:rPr>
          <w:rFonts w:ascii="Arial" w:cs="Arial" w:eastAsia="Arial" w:hAnsi="Arial"/>
          <w:sz w:val="21"/>
          <w:szCs w:val="21"/>
          <w:color w:val="auto"/>
        </w:rPr>
        <w:t>Howard M. Averill</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Director</w:t>
      </w:r>
    </w:p>
    <w:p>
      <w:pPr>
        <w:sectPr>
          <w:pgSz w:w="11900" w:h="16838" w:orient="portrait"/>
          <w:cols w:equalWidth="0" w:num="1">
            <w:col w:w="11240"/>
          </w:cols>
          <w:pgMar w:left="320" w:top="1353" w:right="339" w:bottom="1440" w:gutter="0" w:footer="0" w:header="0"/>
        </w:sectPr>
      </w:pPr>
    </w:p>
    <w:bookmarkStart w:id="123" w:name="page124"/>
    <w:bookmarkEnd w:id="1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POWER OF ATTORNEY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ANNUAL REPORT ON FORM 10-K</w:t>
      </w:r>
    </w:p>
    <w:p>
      <w:pPr>
        <w:spacing w:after="0" w:line="212" w:lineRule="exact"/>
        <w:rPr>
          <w:sz w:val="20"/>
          <w:szCs w:val="20"/>
          <w:color w:val="auto"/>
        </w:rPr>
      </w:pPr>
    </w:p>
    <w:p>
      <w:pPr>
        <w:jc w:val="both"/>
        <w:ind w:firstLine="618"/>
        <w:spacing w:after="0" w:line="241" w:lineRule="auto"/>
        <w:rPr>
          <w:sz w:val="20"/>
          <w:szCs w:val="20"/>
          <w:color w:val="auto"/>
        </w:rPr>
      </w:pPr>
      <w:r>
        <w:rPr>
          <w:rFonts w:ascii="Arial" w:cs="Arial" w:eastAsia="Arial" w:hAnsi="Arial"/>
          <w:sz w:val="20"/>
          <w:szCs w:val="20"/>
          <w:color w:val="auto"/>
        </w:rPr>
        <w:t>The undersigned, a director of Campbell Soup Company, a New Jersey corporation, hereby constitutes and appoints each of Adam G. Ciongoli and Charles A. Brawley, III, together and separately, as his true and lawful attorneys-in-fact and agents, with full power of substitution and revocation, in his name, place and stead, in any and all capacities, to execute Campbell Soup Company’s Annual Report on Form 10-K for the fiscal year ended July 30, 2023,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9"/>
          <w:szCs w:val="19"/>
          <w:color w:val="auto"/>
        </w:rPr>
        <w:t>IN WITNESS WHEREOF, the undersigned has executed this Power of Attorney this 6th day of September, 2023.</w:t>
      </w:r>
    </w:p>
    <w:p>
      <w:pPr>
        <w:spacing w:after="0" w:line="218" w:lineRule="auto"/>
        <w:rPr>
          <w:sz w:val="20"/>
          <w:szCs w:val="20"/>
          <w:color w:val="auto"/>
        </w:rPr>
      </w:pPr>
      <w:r>
        <w:rPr>
          <w:rFonts w:ascii="Arial" w:cs="Arial" w:eastAsia="Arial" w:hAnsi="Arial"/>
          <w:sz w:val="21"/>
          <w:szCs w:val="21"/>
          <w:color w:val="auto"/>
        </w:rPr>
        <w:t>__</w:t>
      </w:r>
      <w:r>
        <w:rPr>
          <w:rFonts w:ascii="Arial" w:cs="Arial" w:eastAsia="Arial" w:hAnsi="Arial"/>
          <w:sz w:val="21"/>
          <w:szCs w:val="21"/>
          <w:u w:val="single" w:color="auto"/>
          <w:color w:val="auto"/>
        </w:rPr>
        <w:t>/s/ John P. Bilbrey</w:t>
      </w:r>
      <w:r>
        <w:rPr>
          <w:rFonts w:ascii="Arial" w:cs="Arial" w:eastAsia="Arial" w:hAnsi="Arial"/>
          <w:sz w:val="21"/>
          <w:szCs w:val="21"/>
          <w:color w:val="auto"/>
        </w:rPr>
        <w:t>_____</w:t>
      </w:r>
    </w:p>
    <w:p>
      <w:pPr>
        <w:spacing w:after="0" w:line="218" w:lineRule="auto"/>
        <w:rPr>
          <w:sz w:val="20"/>
          <w:szCs w:val="20"/>
          <w:color w:val="auto"/>
        </w:rPr>
      </w:pPr>
      <w:r>
        <w:rPr>
          <w:rFonts w:ascii="Arial" w:cs="Arial" w:eastAsia="Arial" w:hAnsi="Arial"/>
          <w:sz w:val="21"/>
          <w:szCs w:val="21"/>
          <w:color w:val="auto"/>
        </w:rPr>
        <w:t>John P. Bilbrey</w:t>
      </w:r>
    </w:p>
    <w:p>
      <w:pPr>
        <w:spacing w:after="0"/>
        <w:rPr>
          <w:sz w:val="20"/>
          <w:szCs w:val="20"/>
          <w:color w:val="auto"/>
        </w:rPr>
      </w:pPr>
      <w:r>
        <w:rPr>
          <w:rFonts w:ascii="Arial" w:cs="Arial" w:eastAsia="Arial" w:hAnsi="Arial"/>
          <w:sz w:val="21"/>
          <w:szCs w:val="21"/>
          <w:color w:val="auto"/>
        </w:rPr>
        <w:t>Director</w:t>
      </w:r>
    </w:p>
    <w:p>
      <w:pPr>
        <w:spacing w:after="0" w:line="205"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POWER OF ATTORNEY</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ANNUAL REPORT ON FORM 10-K</w:t>
      </w:r>
    </w:p>
    <w:p>
      <w:pPr>
        <w:spacing w:after="0" w:line="212" w:lineRule="exact"/>
        <w:rPr>
          <w:sz w:val="20"/>
          <w:szCs w:val="20"/>
          <w:color w:val="auto"/>
        </w:rPr>
      </w:pPr>
    </w:p>
    <w:p>
      <w:pPr>
        <w:jc w:val="both"/>
        <w:ind w:firstLine="618"/>
        <w:spacing w:after="0" w:line="241" w:lineRule="auto"/>
        <w:rPr>
          <w:sz w:val="20"/>
          <w:szCs w:val="20"/>
          <w:color w:val="auto"/>
        </w:rPr>
      </w:pPr>
      <w:r>
        <w:rPr>
          <w:rFonts w:ascii="Arial" w:cs="Arial" w:eastAsia="Arial" w:hAnsi="Arial"/>
          <w:sz w:val="20"/>
          <w:szCs w:val="20"/>
          <w:color w:val="auto"/>
        </w:rPr>
        <w:t>The undersigned, a director of Campbell Soup Company, a New Jersey corporation, hereby constitutes and appoints each of Adam G. Ciongoli and Charles A. Brawley, III, together and separately, as his true and lawful attorneys-in-fact and agents, with full power of substitution and revocation, in his name, place and stead, in any and all capacities, to execute Campbell Soup Company’s Annual Report on Form 10-K for the fiscal year ended July 30, 2023,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9"/>
          <w:szCs w:val="19"/>
          <w:color w:val="auto"/>
        </w:rPr>
        <w:t>IN WITNESS WHEREOF, the undersigned has executed this Power of Attorney this 7th day of September, 2023.</w:t>
      </w:r>
    </w:p>
    <w:p>
      <w:pPr>
        <w:spacing w:after="0" w:line="218" w:lineRule="auto"/>
        <w:rPr>
          <w:sz w:val="20"/>
          <w:szCs w:val="20"/>
          <w:color w:val="auto"/>
        </w:rPr>
      </w:pPr>
      <w:r>
        <w:rPr>
          <w:rFonts w:ascii="Arial" w:cs="Arial" w:eastAsia="Arial" w:hAnsi="Arial"/>
          <w:sz w:val="21"/>
          <w:szCs w:val="21"/>
          <w:color w:val="auto"/>
        </w:rPr>
        <w:t>__</w:t>
      </w:r>
      <w:r>
        <w:rPr>
          <w:rFonts w:ascii="Arial" w:cs="Arial" w:eastAsia="Arial" w:hAnsi="Arial"/>
          <w:sz w:val="21"/>
          <w:szCs w:val="21"/>
          <w:u w:val="single" w:color="auto"/>
          <w:color w:val="auto"/>
        </w:rPr>
        <w:t>/s/ Bennett Dorrance, Jr.</w:t>
      </w:r>
      <w:r>
        <w:rPr>
          <w:rFonts w:ascii="Arial" w:cs="Arial" w:eastAsia="Arial" w:hAnsi="Arial"/>
          <w:sz w:val="21"/>
          <w:szCs w:val="21"/>
          <w:color w:val="auto"/>
        </w:rPr>
        <w:t>_____</w:t>
      </w:r>
    </w:p>
    <w:p>
      <w:pPr>
        <w:spacing w:after="0" w:line="218" w:lineRule="auto"/>
        <w:rPr>
          <w:sz w:val="20"/>
          <w:szCs w:val="20"/>
          <w:color w:val="auto"/>
        </w:rPr>
      </w:pPr>
      <w:r>
        <w:rPr>
          <w:rFonts w:ascii="Arial" w:cs="Arial" w:eastAsia="Arial" w:hAnsi="Arial"/>
          <w:sz w:val="21"/>
          <w:szCs w:val="21"/>
          <w:color w:val="auto"/>
        </w:rPr>
        <w:t>Bennett Dorrance, Jr.</w:t>
      </w:r>
    </w:p>
    <w:p>
      <w:pPr>
        <w:spacing w:after="0"/>
        <w:rPr>
          <w:sz w:val="20"/>
          <w:szCs w:val="20"/>
          <w:color w:val="auto"/>
        </w:rPr>
      </w:pPr>
      <w:r>
        <w:rPr>
          <w:rFonts w:ascii="Arial" w:cs="Arial" w:eastAsia="Arial" w:hAnsi="Arial"/>
          <w:sz w:val="21"/>
          <w:szCs w:val="21"/>
          <w:color w:val="auto"/>
        </w:rPr>
        <w:t>Director</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37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POWER OF ATTORNEY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ANNUAL REPORT ON FORM 10-K</w:t>
      </w:r>
    </w:p>
    <w:p>
      <w:pPr>
        <w:spacing w:after="0" w:line="212" w:lineRule="exact"/>
        <w:rPr>
          <w:sz w:val="20"/>
          <w:szCs w:val="20"/>
          <w:color w:val="auto"/>
        </w:rPr>
      </w:pPr>
    </w:p>
    <w:p>
      <w:pPr>
        <w:jc w:val="both"/>
        <w:ind w:firstLine="618"/>
        <w:spacing w:after="0" w:line="241" w:lineRule="auto"/>
        <w:rPr>
          <w:sz w:val="20"/>
          <w:szCs w:val="20"/>
          <w:color w:val="auto"/>
        </w:rPr>
      </w:pPr>
      <w:r>
        <w:rPr>
          <w:rFonts w:ascii="Arial" w:cs="Arial" w:eastAsia="Arial" w:hAnsi="Arial"/>
          <w:sz w:val="20"/>
          <w:szCs w:val="20"/>
          <w:color w:val="auto"/>
        </w:rPr>
        <w:t>The undersigned, a director of Campbell Soup Company, a New Jersey corporation, hereby constitutes and appoints each of Adam G. Ciongoli and Charles A. Brawley, III, together and separately, as her true and lawful attorneys-in-fact and agents, with full power of substitution and revocation, in his name, place and stead, in any and all capacities, to execute Campbell Soup Company’s Annual Report on Form 10-K for the fiscal year ended July 30, 2023,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she might or could do in person, hereby ratifying and confirming all that said attorneys-in-fact and agents may lawfully do or cause to be done by virtue hereof.</w:t>
      </w:r>
    </w:p>
    <w:p>
      <w:pPr>
        <w:spacing w:after="0" w:line="187" w:lineRule="exact"/>
        <w:rPr>
          <w:sz w:val="20"/>
          <w:szCs w:val="20"/>
          <w:color w:val="auto"/>
        </w:rPr>
      </w:pPr>
    </w:p>
    <w:p>
      <w:pPr>
        <w:ind w:right="1240" w:firstLine="618"/>
        <w:spacing w:after="0" w:line="232" w:lineRule="auto"/>
        <w:rPr>
          <w:sz w:val="20"/>
          <w:szCs w:val="20"/>
          <w:color w:val="auto"/>
        </w:rPr>
      </w:pPr>
      <w:r>
        <w:rPr>
          <w:rFonts w:ascii="Arial" w:cs="Arial" w:eastAsia="Arial" w:hAnsi="Arial"/>
          <w:sz w:val="21"/>
          <w:szCs w:val="21"/>
          <w:color w:val="auto"/>
        </w:rPr>
        <w:t>IN WITNESS WHEREOF, the undersigned has executed this Power of Attorney this 7th day of September, 2023. __</w:t>
      </w:r>
      <w:r>
        <w:rPr>
          <w:rFonts w:ascii="Arial" w:cs="Arial" w:eastAsia="Arial" w:hAnsi="Arial"/>
          <w:sz w:val="21"/>
          <w:szCs w:val="21"/>
          <w:u w:val="single" w:color="auto"/>
          <w:color w:val="auto"/>
        </w:rPr>
        <w:t>/s/ Maria Teresa Hilado</w:t>
      </w:r>
      <w:r>
        <w:rPr>
          <w:rFonts w:ascii="Arial" w:cs="Arial" w:eastAsia="Arial" w:hAnsi="Arial"/>
          <w:sz w:val="21"/>
          <w:szCs w:val="21"/>
          <w:color w:val="auto"/>
        </w:rPr>
        <w:t>_____</w:t>
      </w:r>
    </w:p>
    <w:p>
      <w:pPr>
        <w:spacing w:after="0" w:line="219" w:lineRule="auto"/>
        <w:rPr>
          <w:sz w:val="20"/>
          <w:szCs w:val="20"/>
          <w:color w:val="auto"/>
        </w:rPr>
      </w:pPr>
      <w:r>
        <w:rPr>
          <w:rFonts w:ascii="Arial" w:cs="Arial" w:eastAsia="Arial" w:hAnsi="Arial"/>
          <w:sz w:val="21"/>
          <w:szCs w:val="21"/>
          <w:color w:val="auto"/>
        </w:rPr>
        <w:t>Maria Teresa Hilado</w:t>
      </w:r>
    </w:p>
    <w:p>
      <w:pPr>
        <w:spacing w:after="0" w:line="227" w:lineRule="auto"/>
        <w:rPr>
          <w:sz w:val="20"/>
          <w:szCs w:val="20"/>
          <w:color w:val="auto"/>
        </w:rPr>
      </w:pPr>
      <w:r>
        <w:rPr>
          <w:rFonts w:ascii="Arial" w:cs="Arial" w:eastAsia="Arial" w:hAnsi="Arial"/>
          <w:sz w:val="21"/>
          <w:szCs w:val="21"/>
          <w:color w:val="auto"/>
        </w:rPr>
        <w:t>Director</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POWER OF ATTORNEY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ANNUAL REPORT ON FORM 10-K</w:t>
      </w:r>
    </w:p>
    <w:p>
      <w:pPr>
        <w:spacing w:after="0" w:line="212" w:lineRule="exact"/>
        <w:rPr>
          <w:sz w:val="20"/>
          <w:szCs w:val="20"/>
          <w:color w:val="auto"/>
        </w:rPr>
      </w:pPr>
    </w:p>
    <w:p>
      <w:pPr>
        <w:jc w:val="both"/>
        <w:ind w:firstLine="618"/>
        <w:spacing w:after="0" w:line="241" w:lineRule="auto"/>
        <w:rPr>
          <w:sz w:val="20"/>
          <w:szCs w:val="20"/>
          <w:color w:val="auto"/>
        </w:rPr>
      </w:pPr>
      <w:r>
        <w:rPr>
          <w:rFonts w:ascii="Arial" w:cs="Arial" w:eastAsia="Arial" w:hAnsi="Arial"/>
          <w:sz w:val="20"/>
          <w:szCs w:val="20"/>
          <w:color w:val="auto"/>
        </w:rPr>
        <w:t>The undersigned, a director of Campbell Soup Company, a New Jersey corporation, hereby constitutes and appoints each of Adam G. Ciongoli and Charles A. Brawley, III, together and separately, as his true and lawful attorneys-in-fact and agents, with full power of substitution and revocation, in his name, place and stead, in any and all capacities, to execute Campbell Soup Company’s Annual Report on Form 10-K for the fiscal year ended July 30, 2023,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IN WITNESS WHEREOF, the undersigned has executed this Power of Attorney this 15th day of September, 2023.</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__</w:t>
      </w:r>
      <w:r>
        <w:rPr>
          <w:rFonts w:ascii="Arial" w:cs="Arial" w:eastAsia="Arial" w:hAnsi="Arial"/>
          <w:sz w:val="21"/>
          <w:szCs w:val="21"/>
          <w:u w:val="single" w:color="auto"/>
          <w:color w:val="auto"/>
        </w:rPr>
        <w:t>/s/ Grant H. Hill</w:t>
      </w:r>
      <w:r>
        <w:rPr>
          <w:rFonts w:ascii="Arial" w:cs="Arial" w:eastAsia="Arial" w:hAnsi="Arial"/>
          <w:sz w:val="21"/>
          <w:szCs w:val="21"/>
          <w:color w:val="auto"/>
        </w:rPr>
        <w:t>_____</w:t>
      </w:r>
    </w:p>
    <w:p>
      <w:pPr>
        <w:spacing w:after="0" w:line="209" w:lineRule="auto"/>
        <w:rPr>
          <w:sz w:val="20"/>
          <w:szCs w:val="20"/>
          <w:color w:val="auto"/>
        </w:rPr>
      </w:pPr>
      <w:r>
        <w:rPr>
          <w:rFonts w:ascii="Arial" w:cs="Arial" w:eastAsia="Arial" w:hAnsi="Arial"/>
          <w:sz w:val="19"/>
          <w:szCs w:val="19"/>
          <w:color w:val="auto"/>
        </w:rPr>
        <w:t>Grant H. Hill</w:t>
      </w:r>
    </w:p>
    <w:p>
      <w:pPr>
        <w:spacing w:after="0"/>
        <w:rPr>
          <w:sz w:val="20"/>
          <w:szCs w:val="20"/>
          <w:color w:val="auto"/>
        </w:rPr>
      </w:pPr>
      <w:r>
        <w:rPr>
          <w:rFonts w:ascii="Arial" w:cs="Arial" w:eastAsia="Arial" w:hAnsi="Arial"/>
          <w:sz w:val="21"/>
          <w:szCs w:val="21"/>
          <w:color w:val="auto"/>
        </w:rPr>
        <w:t>Director</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37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POWER OF ATTORNEY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ANNUAL REPORT ON FORM 10-K</w:t>
      </w:r>
    </w:p>
    <w:p>
      <w:pPr>
        <w:spacing w:after="0" w:line="212" w:lineRule="exact"/>
        <w:rPr>
          <w:sz w:val="20"/>
          <w:szCs w:val="20"/>
          <w:color w:val="auto"/>
        </w:rPr>
      </w:pPr>
    </w:p>
    <w:p>
      <w:pPr>
        <w:jc w:val="both"/>
        <w:ind w:firstLine="618"/>
        <w:spacing w:after="0" w:line="241" w:lineRule="auto"/>
        <w:rPr>
          <w:sz w:val="20"/>
          <w:szCs w:val="20"/>
          <w:color w:val="auto"/>
        </w:rPr>
      </w:pPr>
      <w:r>
        <w:rPr>
          <w:rFonts w:ascii="Arial" w:cs="Arial" w:eastAsia="Arial" w:hAnsi="Arial"/>
          <w:sz w:val="20"/>
          <w:szCs w:val="20"/>
          <w:color w:val="auto"/>
        </w:rPr>
        <w:t>The undersigned, a director of Campbell Soup Company, a New Jersey corporation, hereby constitutes and appoints each of Adam G. Ciongoli and Charles A. Brawley, III, together and separately, as her true and lawful attorneys-in-fact and agents, with full power of substitution and revocation, in his name, place and stead, in any and all capacities, to execute Campbell Soup Company’s Annual Report on Form 10-K for the fiscal year ended July 30, 2023,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she might or could do in person, hereby ratifying and confirming all that said attorneys-in-fact and agents may lawfully do or cause to be done by virtue hereof.</w:t>
      </w:r>
    </w:p>
    <w:p>
      <w:pPr>
        <w:spacing w:after="0" w:line="187" w:lineRule="exact"/>
        <w:rPr>
          <w:sz w:val="20"/>
          <w:szCs w:val="20"/>
          <w:color w:val="auto"/>
        </w:rPr>
      </w:pPr>
    </w:p>
    <w:p>
      <w:pPr>
        <w:ind w:left="620"/>
        <w:spacing w:after="0"/>
        <w:rPr>
          <w:sz w:val="20"/>
          <w:szCs w:val="20"/>
          <w:color w:val="auto"/>
        </w:rPr>
      </w:pPr>
      <w:r>
        <w:rPr>
          <w:rFonts w:ascii="Arial" w:cs="Arial" w:eastAsia="Arial" w:hAnsi="Arial"/>
          <w:sz w:val="21"/>
          <w:szCs w:val="21"/>
          <w:color w:val="auto"/>
        </w:rPr>
        <w:t>IN WITNESS WHEREOF, the undersigned has executed this Power of Attorney this 7th day of September, 2023.</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__</w:t>
      </w:r>
      <w:r>
        <w:rPr>
          <w:rFonts w:ascii="Arial" w:cs="Arial" w:eastAsia="Arial" w:hAnsi="Arial"/>
          <w:sz w:val="21"/>
          <w:szCs w:val="21"/>
          <w:u w:val="single" w:color="auto"/>
          <w:color w:val="auto"/>
        </w:rPr>
        <w:t>/s/ Sarah Hofstetter</w:t>
      </w:r>
      <w:r>
        <w:rPr>
          <w:rFonts w:ascii="Arial" w:cs="Arial" w:eastAsia="Arial" w:hAnsi="Arial"/>
          <w:sz w:val="21"/>
          <w:szCs w:val="21"/>
          <w:color w:val="auto"/>
        </w:rPr>
        <w:t>_____</w:t>
      </w:r>
    </w:p>
    <w:p>
      <w:pPr>
        <w:spacing w:after="0" w:line="217" w:lineRule="auto"/>
        <w:rPr>
          <w:sz w:val="20"/>
          <w:szCs w:val="20"/>
          <w:color w:val="auto"/>
        </w:rPr>
      </w:pPr>
      <w:r>
        <w:rPr>
          <w:rFonts w:ascii="Arial" w:cs="Arial" w:eastAsia="Arial" w:hAnsi="Arial"/>
          <w:sz w:val="21"/>
          <w:szCs w:val="21"/>
          <w:color w:val="auto"/>
        </w:rPr>
        <w:t>Sarah Hofstetter</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Director</w:t>
      </w:r>
    </w:p>
    <w:p>
      <w:pPr>
        <w:spacing w:after="0" w:line="205"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POWER OF ATTORNEY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ANNUAL REPORT ON FORM 10-K</w:t>
      </w:r>
    </w:p>
    <w:p>
      <w:pPr>
        <w:spacing w:after="0" w:line="212" w:lineRule="exact"/>
        <w:rPr>
          <w:sz w:val="20"/>
          <w:szCs w:val="20"/>
          <w:color w:val="auto"/>
        </w:rPr>
      </w:pPr>
    </w:p>
    <w:p>
      <w:pPr>
        <w:jc w:val="both"/>
        <w:ind w:firstLine="618"/>
        <w:spacing w:after="0" w:line="241" w:lineRule="auto"/>
        <w:rPr>
          <w:sz w:val="20"/>
          <w:szCs w:val="20"/>
          <w:color w:val="auto"/>
        </w:rPr>
      </w:pPr>
      <w:r>
        <w:rPr>
          <w:rFonts w:ascii="Arial" w:cs="Arial" w:eastAsia="Arial" w:hAnsi="Arial"/>
          <w:sz w:val="20"/>
          <w:szCs w:val="20"/>
          <w:color w:val="auto"/>
        </w:rPr>
        <w:t>The undersigned, a director of Campbell Soup Company, a New Jersey corporation, hereby constitutes and appoints each of Adam G. Ciongoli and Charles A. Brawley, III, together and separately, as his true and lawful attorneys-in-fact and agents, with full power of substitution and revocation, in his name, place and stead, in any and all capacities, to execute Campbell Soup Company’s Annual Report on Form 10-K for the fiscal year ended July 30, 2023,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IN WITNESS WHEREOF, the undersigned has executed this Power of Attorney this 7th day of September, 2023.</w:t>
      </w:r>
    </w:p>
    <w:p>
      <w:pPr>
        <w:spacing w:after="0" w:line="205" w:lineRule="exact"/>
        <w:rPr>
          <w:sz w:val="20"/>
          <w:szCs w:val="20"/>
          <w:color w:val="auto"/>
        </w:rPr>
      </w:pPr>
    </w:p>
    <w:p>
      <w:pPr>
        <w:spacing w:after="0"/>
        <w:rPr>
          <w:sz w:val="20"/>
          <w:szCs w:val="20"/>
          <w:color w:val="auto"/>
        </w:rPr>
      </w:pPr>
      <w:r>
        <w:rPr>
          <w:rFonts w:ascii="Arial" w:cs="Arial" w:eastAsia="Arial" w:hAnsi="Arial"/>
          <w:sz w:val="21"/>
          <w:szCs w:val="21"/>
          <w:color w:val="auto"/>
        </w:rPr>
        <w:t>__</w:t>
      </w:r>
      <w:r>
        <w:rPr>
          <w:rFonts w:ascii="Arial" w:cs="Arial" w:eastAsia="Arial" w:hAnsi="Arial"/>
          <w:sz w:val="21"/>
          <w:szCs w:val="21"/>
          <w:u w:val="single" w:color="auto"/>
          <w:color w:val="auto"/>
        </w:rPr>
        <w:t>/s/ Marc B. Lautenbach</w:t>
      </w:r>
      <w:r>
        <w:rPr>
          <w:rFonts w:ascii="Arial" w:cs="Arial" w:eastAsia="Arial" w:hAnsi="Arial"/>
          <w:sz w:val="21"/>
          <w:szCs w:val="21"/>
          <w:color w:val="auto"/>
        </w:rPr>
        <w:t>_____</w:t>
      </w:r>
    </w:p>
    <w:p>
      <w:pPr>
        <w:spacing w:after="0" w:line="217" w:lineRule="auto"/>
        <w:rPr>
          <w:sz w:val="20"/>
          <w:szCs w:val="20"/>
          <w:color w:val="auto"/>
        </w:rPr>
      </w:pPr>
      <w:r>
        <w:rPr>
          <w:rFonts w:ascii="Arial" w:cs="Arial" w:eastAsia="Arial" w:hAnsi="Arial"/>
          <w:sz w:val="21"/>
          <w:szCs w:val="21"/>
          <w:color w:val="auto"/>
        </w:rPr>
        <w:t>Marc B. Lautenbach</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Director</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POWER OF ATTORNEY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ANNUAL REPORT ON FORM 10-K</w:t>
      </w:r>
    </w:p>
    <w:p>
      <w:pPr>
        <w:spacing w:after="0" w:line="212" w:lineRule="exact"/>
        <w:rPr>
          <w:sz w:val="20"/>
          <w:szCs w:val="20"/>
          <w:color w:val="auto"/>
        </w:rPr>
      </w:pPr>
    </w:p>
    <w:p>
      <w:pPr>
        <w:jc w:val="both"/>
        <w:ind w:firstLine="618"/>
        <w:spacing w:after="0" w:line="241" w:lineRule="auto"/>
        <w:rPr>
          <w:sz w:val="20"/>
          <w:szCs w:val="20"/>
          <w:color w:val="auto"/>
        </w:rPr>
      </w:pPr>
      <w:r>
        <w:rPr>
          <w:rFonts w:ascii="Arial" w:cs="Arial" w:eastAsia="Arial" w:hAnsi="Arial"/>
          <w:sz w:val="20"/>
          <w:szCs w:val="20"/>
          <w:color w:val="auto"/>
        </w:rPr>
        <w:t>The undersigned, a director of Campbell Soup Company, a New Jersey corporation, hereby constitutes and appoints each of Adam G. Ciongoli and Charles A. Brawley, III, together and separately, as her true and lawful attorneys-in-fact and agents, with full power of substitution and revocation, in his name, place and stead, in any and all capacities, to execute Campbell Soup Company’s Annual Report on Form 10-K for the fiscal year ended July 30, 2023,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she might or could do in person, hereby ratifying and confirming all that said attorneys-in-fact and agents may lawfully do or cause to be done by virtue hereof.</w:t>
      </w:r>
    </w:p>
    <w:p>
      <w:pPr>
        <w:spacing w:after="0" w:line="187" w:lineRule="exact"/>
        <w:rPr>
          <w:sz w:val="20"/>
          <w:szCs w:val="20"/>
          <w:color w:val="auto"/>
        </w:rPr>
      </w:pPr>
    </w:p>
    <w:p>
      <w:pPr>
        <w:ind w:left="620"/>
        <w:spacing w:after="0"/>
        <w:rPr>
          <w:sz w:val="20"/>
          <w:szCs w:val="20"/>
          <w:color w:val="auto"/>
        </w:rPr>
      </w:pPr>
      <w:r>
        <w:rPr>
          <w:rFonts w:ascii="Arial" w:cs="Arial" w:eastAsia="Arial" w:hAnsi="Arial"/>
          <w:sz w:val="21"/>
          <w:szCs w:val="21"/>
          <w:color w:val="auto"/>
        </w:rPr>
        <w:t>IN WITNESS WHEREOF, the undersigned has executed this Power of Attorney this 6th day of September, 2023.</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__</w:t>
      </w:r>
      <w:r>
        <w:rPr>
          <w:rFonts w:ascii="Arial" w:cs="Arial" w:eastAsia="Arial" w:hAnsi="Arial"/>
          <w:sz w:val="21"/>
          <w:szCs w:val="21"/>
          <w:u w:val="single" w:color="auto"/>
          <w:color w:val="auto"/>
        </w:rPr>
        <w:t>/s/ Mary Alice Malone</w:t>
      </w:r>
      <w:r>
        <w:rPr>
          <w:rFonts w:ascii="Arial" w:cs="Arial" w:eastAsia="Arial" w:hAnsi="Arial"/>
          <w:sz w:val="21"/>
          <w:szCs w:val="21"/>
          <w:color w:val="auto"/>
        </w:rPr>
        <w:t>_____</w:t>
      </w:r>
    </w:p>
    <w:p>
      <w:pPr>
        <w:spacing w:after="0" w:line="217" w:lineRule="auto"/>
        <w:rPr>
          <w:sz w:val="20"/>
          <w:szCs w:val="20"/>
          <w:color w:val="auto"/>
        </w:rPr>
      </w:pPr>
      <w:r>
        <w:rPr>
          <w:rFonts w:ascii="Arial" w:cs="Arial" w:eastAsia="Arial" w:hAnsi="Arial"/>
          <w:sz w:val="21"/>
          <w:szCs w:val="21"/>
          <w:color w:val="auto"/>
        </w:rPr>
        <w:t>Mary Alice Malone</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Director</w:t>
      </w:r>
    </w:p>
    <w:p>
      <w:pPr>
        <w:spacing w:after="0" w:line="205"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____________________________________________________</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POWER OF ATTORNEY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ANNUAL REPORT ON FORM 10-K</w:t>
      </w:r>
    </w:p>
    <w:p>
      <w:pPr>
        <w:spacing w:after="0" w:line="212" w:lineRule="exact"/>
        <w:rPr>
          <w:sz w:val="20"/>
          <w:szCs w:val="20"/>
          <w:color w:val="auto"/>
        </w:rPr>
      </w:pPr>
    </w:p>
    <w:p>
      <w:pPr>
        <w:jc w:val="both"/>
        <w:ind w:firstLine="618"/>
        <w:spacing w:after="0" w:line="241" w:lineRule="auto"/>
        <w:rPr>
          <w:sz w:val="20"/>
          <w:szCs w:val="20"/>
          <w:color w:val="auto"/>
        </w:rPr>
      </w:pPr>
      <w:r>
        <w:rPr>
          <w:rFonts w:ascii="Arial" w:cs="Arial" w:eastAsia="Arial" w:hAnsi="Arial"/>
          <w:sz w:val="20"/>
          <w:szCs w:val="20"/>
          <w:color w:val="auto"/>
        </w:rPr>
        <w:t>The undersigned, a director of Campbell Soup Company, a New Jersey corporation, hereby constitutes and appoints each of Adam G. Ciongoli and Charles A. Brawley, III, together and separately, as his true and lawful attorneys-in-fact and agents, with full power of substitution and revocation, in his name, place and stead, in any and all capacities, to execute Campbell Soup Company’s Annual Report on Form 10-K for the fiscal year ended July 30, 2023,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IN WITNESS WHEREOF, the undersigned has executed this Power of Attorney this 6th day of September, 2023.</w:t>
      </w:r>
    </w:p>
    <w:p>
      <w:pPr>
        <w:spacing w:after="0" w:line="217" w:lineRule="auto"/>
        <w:rPr>
          <w:sz w:val="20"/>
          <w:szCs w:val="20"/>
          <w:color w:val="auto"/>
        </w:rPr>
      </w:pPr>
      <w:r>
        <w:rPr>
          <w:rFonts w:ascii="Arial" w:cs="Arial" w:eastAsia="Arial" w:hAnsi="Arial"/>
          <w:sz w:val="21"/>
          <w:szCs w:val="21"/>
          <w:color w:val="auto"/>
        </w:rPr>
        <w:t>__</w:t>
      </w:r>
      <w:r>
        <w:rPr>
          <w:rFonts w:ascii="Arial" w:cs="Arial" w:eastAsia="Arial" w:hAnsi="Arial"/>
          <w:sz w:val="21"/>
          <w:szCs w:val="21"/>
          <w:u w:val="single" w:color="auto"/>
          <w:color w:val="auto"/>
        </w:rPr>
        <w:t>/s/ Keith R. McLoughlin</w:t>
      </w:r>
      <w:r>
        <w:rPr>
          <w:rFonts w:ascii="Arial" w:cs="Arial" w:eastAsia="Arial" w:hAnsi="Arial"/>
          <w:sz w:val="21"/>
          <w:szCs w:val="21"/>
          <w:color w:val="auto"/>
        </w:rPr>
        <w:t>_____</w:t>
      </w:r>
    </w:p>
    <w:p>
      <w:pPr>
        <w:spacing w:after="0" w:line="218" w:lineRule="auto"/>
        <w:rPr>
          <w:sz w:val="20"/>
          <w:szCs w:val="20"/>
          <w:color w:val="auto"/>
        </w:rPr>
      </w:pPr>
      <w:r>
        <w:rPr>
          <w:rFonts w:ascii="Arial" w:cs="Arial" w:eastAsia="Arial" w:hAnsi="Arial"/>
          <w:sz w:val="21"/>
          <w:szCs w:val="21"/>
          <w:color w:val="auto"/>
        </w:rPr>
        <w:t>Keith R. McLoughin</w:t>
      </w:r>
    </w:p>
    <w:p>
      <w:pPr>
        <w:spacing w:after="0"/>
        <w:rPr>
          <w:sz w:val="20"/>
          <w:szCs w:val="20"/>
          <w:color w:val="auto"/>
        </w:rPr>
      </w:pPr>
      <w:r>
        <w:rPr>
          <w:rFonts w:ascii="Arial" w:cs="Arial" w:eastAsia="Arial" w:hAnsi="Arial"/>
          <w:sz w:val="21"/>
          <w:szCs w:val="21"/>
          <w:color w:val="auto"/>
        </w:rPr>
        <w:t>Director</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37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POWER OF ATTORNEY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ANNUAL REPORT ON FORM 10-K</w:t>
      </w:r>
    </w:p>
    <w:p>
      <w:pPr>
        <w:spacing w:after="0" w:line="212" w:lineRule="exact"/>
        <w:rPr>
          <w:sz w:val="20"/>
          <w:szCs w:val="20"/>
          <w:color w:val="auto"/>
        </w:rPr>
      </w:pPr>
    </w:p>
    <w:p>
      <w:pPr>
        <w:jc w:val="both"/>
        <w:ind w:firstLine="618"/>
        <w:spacing w:after="0" w:line="241" w:lineRule="auto"/>
        <w:rPr>
          <w:sz w:val="20"/>
          <w:szCs w:val="20"/>
          <w:color w:val="auto"/>
        </w:rPr>
      </w:pPr>
      <w:r>
        <w:rPr>
          <w:rFonts w:ascii="Arial" w:cs="Arial" w:eastAsia="Arial" w:hAnsi="Arial"/>
          <w:sz w:val="20"/>
          <w:szCs w:val="20"/>
          <w:color w:val="auto"/>
        </w:rPr>
        <w:t>The undersigned, a director of Campbell Soup Company, a New Jersey corporation, hereby constitutes and appoints each of Adam G. Ciongoli and Charles A. Brawley, III, together and separately, as his true and lawful attorneys-in-fact and agents, with full power of substitution and revocation, in his name, place and stead, in any and all capacities, to execute Campbell Soup Company’s Annual Report on Form 10-K for the fiscal year ended July 30, 2023,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187" w:lineRule="exact"/>
        <w:rPr>
          <w:sz w:val="20"/>
          <w:szCs w:val="20"/>
          <w:color w:val="auto"/>
        </w:rPr>
      </w:pPr>
    </w:p>
    <w:p>
      <w:pPr>
        <w:ind w:left="620"/>
        <w:spacing w:after="0"/>
        <w:rPr>
          <w:sz w:val="20"/>
          <w:szCs w:val="20"/>
          <w:color w:val="auto"/>
        </w:rPr>
      </w:pPr>
      <w:r>
        <w:rPr>
          <w:rFonts w:ascii="Arial" w:cs="Arial" w:eastAsia="Arial" w:hAnsi="Arial"/>
          <w:sz w:val="21"/>
          <w:szCs w:val="21"/>
          <w:color w:val="auto"/>
        </w:rPr>
        <w:t>IN WITNESS WHEREOF, the undersigned has executed this Power of Attorney this 7th day of September, 2023.</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__</w:t>
      </w:r>
      <w:r>
        <w:rPr>
          <w:rFonts w:ascii="Arial" w:cs="Arial" w:eastAsia="Arial" w:hAnsi="Arial"/>
          <w:sz w:val="21"/>
          <w:szCs w:val="21"/>
          <w:u w:val="single" w:color="auto"/>
          <w:color w:val="auto"/>
        </w:rPr>
        <w:t>/s/ Kurt T. Schmidt</w:t>
      </w:r>
      <w:r>
        <w:rPr>
          <w:rFonts w:ascii="Arial" w:cs="Arial" w:eastAsia="Arial" w:hAnsi="Arial"/>
          <w:sz w:val="21"/>
          <w:szCs w:val="21"/>
          <w:color w:val="auto"/>
        </w:rPr>
        <w:t>_____</w:t>
      </w:r>
    </w:p>
    <w:p>
      <w:pPr>
        <w:spacing w:after="0" w:line="217" w:lineRule="auto"/>
        <w:rPr>
          <w:sz w:val="20"/>
          <w:szCs w:val="20"/>
          <w:color w:val="auto"/>
        </w:rPr>
      </w:pPr>
      <w:r>
        <w:rPr>
          <w:rFonts w:ascii="Arial" w:cs="Arial" w:eastAsia="Arial" w:hAnsi="Arial"/>
          <w:sz w:val="21"/>
          <w:szCs w:val="21"/>
          <w:color w:val="auto"/>
        </w:rPr>
        <w:t>Kurt T. Schmidt</w:t>
      </w:r>
    </w:p>
    <w:p>
      <w:pPr>
        <w:spacing w:after="0" w:line="228" w:lineRule="auto"/>
        <w:rPr>
          <w:sz w:val="20"/>
          <w:szCs w:val="20"/>
          <w:color w:val="auto"/>
        </w:rPr>
      </w:pPr>
      <w:r>
        <w:rPr>
          <w:rFonts w:ascii="Arial" w:cs="Arial" w:eastAsia="Arial" w:hAnsi="Arial"/>
          <w:sz w:val="21"/>
          <w:szCs w:val="21"/>
          <w:color w:val="auto"/>
        </w:rPr>
        <w:t>Director</w:t>
      </w:r>
    </w:p>
    <w:p>
      <w:pPr>
        <w:spacing w:after="0"/>
        <w:rPr>
          <w:sz w:val="20"/>
          <w:szCs w:val="20"/>
          <w:color w:val="auto"/>
        </w:rPr>
      </w:pPr>
      <w:r>
        <w:rPr>
          <w:rFonts w:ascii="Arial" w:cs="Arial" w:eastAsia="Arial" w:hAnsi="Arial"/>
          <w:sz w:val="21"/>
          <w:szCs w:val="21"/>
          <w:color w:val="auto"/>
        </w:rPr>
        <w:t>______________________________________________________________________</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POWER OF ATTORNEY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ANNUAL REPORT ON FORM 10-K</w:t>
      </w:r>
    </w:p>
    <w:p>
      <w:pPr>
        <w:spacing w:after="0" w:line="212" w:lineRule="exact"/>
        <w:rPr>
          <w:sz w:val="20"/>
          <w:szCs w:val="20"/>
          <w:color w:val="auto"/>
        </w:rPr>
      </w:pPr>
    </w:p>
    <w:p>
      <w:pPr>
        <w:jc w:val="both"/>
        <w:ind w:firstLine="618"/>
        <w:spacing w:after="0" w:line="241" w:lineRule="auto"/>
        <w:rPr>
          <w:sz w:val="20"/>
          <w:szCs w:val="20"/>
          <w:color w:val="auto"/>
        </w:rPr>
      </w:pPr>
      <w:r>
        <w:rPr>
          <w:rFonts w:ascii="Arial" w:cs="Arial" w:eastAsia="Arial" w:hAnsi="Arial"/>
          <w:sz w:val="20"/>
          <w:szCs w:val="20"/>
          <w:color w:val="auto"/>
        </w:rPr>
        <w:t>The undersigned, a director of Campbell Soup Company, a New Jersey corporation, hereby constitutes and appoints each of Adam G. Ciongoli and Charles A. Brawley, III, together and separately, as his true and lawful attorneys-in-fact and agents, with full power of substitution and revocation, in his name, place and stead, in any and all capacities, to execute Campbell Soup Company’s Annual Report on Form 10-K for the fiscal year ended July 30, 2023,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200" w:lineRule="exact"/>
        <w:rPr>
          <w:sz w:val="20"/>
          <w:szCs w:val="20"/>
          <w:color w:val="auto"/>
        </w:rPr>
      </w:pPr>
    </w:p>
    <w:p>
      <w:pPr>
        <w:ind w:left="620" w:right="1240"/>
        <w:spacing w:after="0" w:line="232" w:lineRule="auto"/>
        <w:rPr>
          <w:sz w:val="20"/>
          <w:szCs w:val="20"/>
          <w:color w:val="auto"/>
        </w:rPr>
      </w:pPr>
      <w:r>
        <w:rPr>
          <w:rFonts w:ascii="Arial" w:cs="Arial" w:eastAsia="Arial" w:hAnsi="Arial"/>
          <w:sz w:val="21"/>
          <w:szCs w:val="21"/>
          <w:color w:val="auto"/>
        </w:rPr>
        <w:t>IN WITNESS WHEREOF, the undersigned has executed this Power of Attorney this 7th day of September, 2023. __</w:t>
      </w:r>
      <w:r>
        <w:rPr>
          <w:rFonts w:ascii="Arial" w:cs="Arial" w:eastAsia="Arial" w:hAnsi="Arial"/>
          <w:sz w:val="21"/>
          <w:szCs w:val="21"/>
          <w:u w:val="single" w:color="auto"/>
          <w:color w:val="auto"/>
        </w:rPr>
        <w:t>/s/ Archbold D. van Beuren</w:t>
      </w:r>
      <w:r>
        <w:rPr>
          <w:rFonts w:ascii="Arial" w:cs="Arial" w:eastAsia="Arial" w:hAnsi="Arial"/>
          <w:sz w:val="21"/>
          <w:szCs w:val="21"/>
          <w:color w:val="auto"/>
        </w:rPr>
        <w:t>_____</w:t>
      </w:r>
    </w:p>
    <w:p>
      <w:pPr>
        <w:spacing w:after="0" w:line="219" w:lineRule="auto"/>
        <w:rPr>
          <w:sz w:val="20"/>
          <w:szCs w:val="20"/>
          <w:color w:val="auto"/>
        </w:rPr>
      </w:pPr>
      <w:r>
        <w:rPr>
          <w:rFonts w:ascii="Arial" w:cs="Arial" w:eastAsia="Arial" w:hAnsi="Arial"/>
          <w:sz w:val="21"/>
          <w:szCs w:val="21"/>
          <w:color w:val="auto"/>
        </w:rPr>
        <w:t>Archbold D. van Beuren</w:t>
      </w:r>
    </w:p>
    <w:p>
      <w:pPr>
        <w:spacing w:after="0"/>
        <w:rPr>
          <w:sz w:val="20"/>
          <w:szCs w:val="20"/>
          <w:color w:val="auto"/>
        </w:rPr>
      </w:pPr>
      <w:r>
        <w:rPr>
          <w:rFonts w:ascii="Arial" w:cs="Arial" w:eastAsia="Arial" w:hAnsi="Arial"/>
          <w:sz w:val="21"/>
          <w:szCs w:val="21"/>
          <w:color w:val="auto"/>
        </w:rPr>
        <w:t>Director</w:t>
      </w:r>
    </w:p>
    <w:p>
      <w:pPr>
        <w:sectPr>
          <w:pgSz w:w="11900" w:h="16838" w:orient="portrait"/>
          <w:cols w:equalWidth="0" w:num="1">
            <w:col w:w="11240"/>
          </w:cols>
          <w:pgMar w:left="320" w:top="1440"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7"/>
          <w:szCs w:val="17"/>
          <w:b w:val="1"/>
          <w:bCs w:val="1"/>
          <w:color w:val="auto"/>
        </w:rPr>
        <w:t>EXHIBIT 31(a)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RULE 13a-14(a)</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I, Mark A. Clouse, certify that:</w:t>
      </w:r>
    </w:p>
    <w:p>
      <w:pPr>
        <w:spacing w:after="0" w:line="165" w:lineRule="exact"/>
        <w:rPr>
          <w:sz w:val="20"/>
          <w:szCs w:val="20"/>
          <w:color w:val="auto"/>
        </w:rPr>
      </w:pPr>
    </w:p>
    <w:p>
      <w:pPr>
        <w:ind w:left="360" w:hanging="164"/>
        <w:spacing w:after="0"/>
        <w:tabs>
          <w:tab w:leader="none" w:pos="3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Campbell Soup Company;</w:t>
      </w:r>
    </w:p>
    <w:p>
      <w:pPr>
        <w:spacing w:after="0" w:line="165" w:lineRule="exact"/>
        <w:rPr>
          <w:rFonts w:ascii="Arial" w:cs="Arial" w:eastAsia="Arial" w:hAnsi="Arial"/>
          <w:sz w:val="17"/>
          <w:szCs w:val="17"/>
          <w:color w:val="auto"/>
        </w:rPr>
      </w:pPr>
    </w:p>
    <w:p>
      <w:pPr>
        <w:ind w:right="120" w:firstLine="196"/>
        <w:spacing w:after="0" w:line="311" w:lineRule="auto"/>
        <w:tabs>
          <w:tab w:leader="none" w:pos="36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6"/>
          <w:szCs w:val="16"/>
          <w:color w:val="auto"/>
        </w:rPr>
      </w:pPr>
    </w:p>
    <w:p>
      <w:pPr>
        <w:ind w:right="220" w:firstLine="196"/>
        <w:spacing w:after="0" w:line="279" w:lineRule="auto"/>
        <w:tabs>
          <w:tab w:leader="none" w:pos="365" w:val="left"/>
        </w:tabs>
        <w:numPr>
          <w:ilvl w:val="0"/>
          <w:numId w:val="1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Arial" w:cs="Arial" w:eastAsia="Arial" w:hAnsi="Arial"/>
          <w:sz w:val="17"/>
          <w:szCs w:val="17"/>
          <w:color w:val="auto"/>
        </w:rPr>
      </w:pPr>
    </w:p>
    <w:p>
      <w:pPr>
        <w:ind w:right="80" w:firstLine="196"/>
        <w:spacing w:after="0" w:line="266" w:lineRule="auto"/>
        <w:tabs>
          <w:tab w:leader="none" w:pos="365"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7"/>
          <w:szCs w:val="17"/>
          <w:color w:val="auto"/>
        </w:rPr>
      </w:pPr>
    </w:p>
    <w:p>
      <w:pPr>
        <w:ind w:right="140" w:firstLine="428"/>
        <w:spacing w:after="0" w:line="266" w:lineRule="auto"/>
        <w:tabs>
          <w:tab w:leader="none" w:pos="601" w:val="left"/>
        </w:tabs>
        <w:numPr>
          <w:ilvl w:val="1"/>
          <w:numId w:val="11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7"/>
          <w:szCs w:val="17"/>
          <w:color w:val="auto"/>
        </w:rPr>
      </w:pPr>
    </w:p>
    <w:p>
      <w:pPr>
        <w:jc w:val="both"/>
        <w:ind w:right="260" w:firstLine="428"/>
        <w:spacing w:after="0" w:line="266" w:lineRule="auto"/>
        <w:tabs>
          <w:tab w:leader="none" w:pos="611" w:val="left"/>
        </w:tabs>
        <w:numPr>
          <w:ilvl w:val="1"/>
          <w:numId w:val="1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7"/>
          <w:szCs w:val="17"/>
          <w:color w:val="auto"/>
        </w:rPr>
      </w:pPr>
    </w:p>
    <w:p>
      <w:pPr>
        <w:ind w:right="40" w:firstLine="428"/>
        <w:spacing w:after="0" w:line="279" w:lineRule="auto"/>
        <w:tabs>
          <w:tab w:leader="none" w:pos="601" w:val="left"/>
        </w:tabs>
        <w:numPr>
          <w:ilvl w:val="1"/>
          <w:numId w:val="1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Arial" w:cs="Arial" w:eastAsia="Arial" w:hAnsi="Arial"/>
          <w:sz w:val="17"/>
          <w:szCs w:val="17"/>
          <w:color w:val="auto"/>
        </w:rPr>
      </w:pPr>
    </w:p>
    <w:p>
      <w:pPr>
        <w:ind w:right="100" w:firstLine="428"/>
        <w:spacing w:after="0" w:line="266" w:lineRule="auto"/>
        <w:tabs>
          <w:tab w:leader="none" w:pos="611" w:val="left"/>
        </w:tabs>
        <w:numPr>
          <w:ilvl w:val="1"/>
          <w:numId w:val="11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7"/>
          <w:szCs w:val="17"/>
          <w:color w:val="auto"/>
        </w:rPr>
      </w:pPr>
    </w:p>
    <w:p>
      <w:pPr>
        <w:ind w:right="600" w:firstLine="196"/>
        <w:spacing w:after="0" w:line="311" w:lineRule="auto"/>
        <w:tabs>
          <w:tab w:leader="none" w:pos="36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6"/>
          <w:szCs w:val="16"/>
          <w:color w:val="auto"/>
        </w:rPr>
      </w:pPr>
    </w:p>
    <w:p>
      <w:pPr>
        <w:ind w:right="240" w:firstLine="428"/>
        <w:spacing w:after="0" w:line="279" w:lineRule="auto"/>
        <w:tabs>
          <w:tab w:leader="none" w:pos="601" w:val="left"/>
        </w:tabs>
        <w:numPr>
          <w:ilvl w:val="1"/>
          <w:numId w:val="1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2" w:lineRule="exact"/>
        <w:rPr>
          <w:rFonts w:ascii="Arial" w:cs="Arial" w:eastAsia="Arial" w:hAnsi="Arial"/>
          <w:sz w:val="17"/>
          <w:szCs w:val="17"/>
          <w:color w:val="auto"/>
        </w:rPr>
      </w:pPr>
    </w:p>
    <w:p>
      <w:pPr>
        <w:ind w:right="460" w:firstLine="428"/>
        <w:spacing w:after="0" w:line="279" w:lineRule="auto"/>
        <w:tabs>
          <w:tab w:leader="none" w:pos="611" w:val="left"/>
        </w:tabs>
        <w:numPr>
          <w:ilvl w:val="1"/>
          <w:numId w:val="11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Date: September 21, 2023</w:t>
      </w:r>
    </w:p>
    <w:p>
      <w:pPr>
        <w:spacing w:after="0" w:line="49" w:lineRule="exact"/>
        <w:rPr>
          <w:sz w:val="20"/>
          <w:szCs w:val="20"/>
          <w:color w:val="auto"/>
        </w:rPr>
      </w:pPr>
    </w:p>
    <w:p>
      <w:pPr>
        <w:ind w:left="4200"/>
        <w:spacing w:after="0"/>
        <w:tabs>
          <w:tab w:leader="none" w:pos="4640" w:val="left"/>
        </w:tabs>
        <w:rPr>
          <w:sz w:val="20"/>
          <w:szCs w:val="20"/>
          <w:color w:val="auto"/>
        </w:rPr>
      </w:pPr>
      <w:r>
        <w:rPr>
          <w:rFonts w:ascii="Arial" w:cs="Arial" w:eastAsia="Arial" w:hAnsi="Arial"/>
          <w:sz w:val="17"/>
          <w:szCs w:val="17"/>
          <w:color w:val="auto"/>
        </w:rPr>
        <w:t>By:</w:t>
        <w:tab/>
        <w:t>/s/ Mark A. Clouse</w:t>
      </w:r>
    </w:p>
    <w:p>
      <w:pPr>
        <w:spacing w:after="0" w:line="21" w:lineRule="exact"/>
        <w:rPr>
          <w:sz w:val="20"/>
          <w:szCs w:val="20"/>
          <w:color w:val="auto"/>
        </w:rPr>
      </w:pPr>
    </w:p>
    <w:tbl>
      <w:tblPr>
        <w:tblLayout w:type="fixed"/>
        <w:tblInd w:w="4640" w:type="dxa"/>
        <w:tblCellMar>
          <w:top w:w="0" w:type="dxa"/>
          <w:left w:w="0" w:type="dxa"/>
          <w:bottom w:w="0" w:type="dxa"/>
          <w:right w:w="0" w:type="dxa"/>
        </w:tblCellMar>
      </w:tblPr>
      <w:tr>
        <w:trPr>
          <w:trHeight w:val="214"/>
        </w:trPr>
        <w:tc>
          <w:tcPr>
            <w:tcW w:w="6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Name:</w:t>
            </w:r>
          </w:p>
        </w:tc>
        <w:tc>
          <w:tcPr>
            <w:tcW w:w="434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Mark A. Clouse</w:t>
            </w:r>
          </w:p>
        </w:tc>
      </w:tr>
      <w:tr>
        <w:trPr>
          <w:trHeight w:val="217"/>
        </w:trPr>
        <w:tc>
          <w:tcPr>
            <w:tcW w:w="660" w:type="dxa"/>
            <w:vAlign w:val="bottom"/>
          </w:tcPr>
          <w:p>
            <w:pPr>
              <w:ind w:left="20"/>
              <w:spacing w:after="0"/>
              <w:rPr>
                <w:sz w:val="20"/>
                <w:szCs w:val="20"/>
                <w:color w:val="auto"/>
              </w:rPr>
            </w:pPr>
            <w:r>
              <w:rPr>
                <w:rFonts w:ascii="Arial" w:cs="Arial" w:eastAsia="Arial" w:hAnsi="Arial"/>
                <w:sz w:val="17"/>
                <w:szCs w:val="17"/>
                <w:color w:val="auto"/>
              </w:rPr>
              <w:t>Title:</w:t>
            </w:r>
          </w:p>
        </w:tc>
        <w:tc>
          <w:tcPr>
            <w:tcW w:w="4340" w:type="dxa"/>
            <w:vAlign w:val="bottom"/>
          </w:tcPr>
          <w:p>
            <w:pPr>
              <w:ind w:left="180"/>
              <w:spacing w:after="0"/>
              <w:rPr>
                <w:sz w:val="20"/>
                <w:szCs w:val="20"/>
                <w:color w:val="auto"/>
              </w:rPr>
            </w:pPr>
            <w:r>
              <w:rPr>
                <w:rFonts w:ascii="Arial" w:cs="Arial" w:eastAsia="Arial" w:hAnsi="Arial"/>
                <w:sz w:val="17"/>
                <w:szCs w:val="17"/>
                <w:color w:val="auto"/>
              </w:rPr>
              <w:t>President and Chief Executive Officer</w:t>
            </w:r>
          </w:p>
        </w:tc>
      </w:tr>
    </w:tbl>
    <w:p>
      <w:pPr>
        <w:sectPr>
          <w:pgSz w:w="11900" w:h="16838" w:orient="portrait"/>
          <w:cols w:equalWidth="0" w:num="1">
            <w:col w:w="11240"/>
          </w:cols>
          <w:pgMar w:left="320" w:top="855"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7"/>
          <w:szCs w:val="17"/>
          <w:b w:val="1"/>
          <w:bCs w:val="1"/>
          <w:color w:val="auto"/>
        </w:rPr>
        <w:t>EXHIBIT 31(b)</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RULE 13a-14(a)</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I, Carrie L. Anderson, certify that:</w:t>
      </w:r>
    </w:p>
    <w:p>
      <w:pPr>
        <w:spacing w:after="0" w:line="165" w:lineRule="exact"/>
        <w:rPr>
          <w:sz w:val="20"/>
          <w:szCs w:val="20"/>
          <w:color w:val="auto"/>
        </w:rPr>
      </w:pPr>
    </w:p>
    <w:p>
      <w:pPr>
        <w:ind w:left="360" w:hanging="164"/>
        <w:spacing w:after="0"/>
        <w:tabs>
          <w:tab w:leader="none" w:pos="3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Campbell Soup Company;</w:t>
      </w:r>
    </w:p>
    <w:p>
      <w:pPr>
        <w:spacing w:after="0" w:line="165" w:lineRule="exact"/>
        <w:rPr>
          <w:rFonts w:ascii="Arial" w:cs="Arial" w:eastAsia="Arial" w:hAnsi="Arial"/>
          <w:sz w:val="17"/>
          <w:szCs w:val="17"/>
          <w:color w:val="auto"/>
        </w:rPr>
      </w:pPr>
    </w:p>
    <w:p>
      <w:pPr>
        <w:ind w:right="120" w:firstLine="196"/>
        <w:spacing w:after="0" w:line="311" w:lineRule="auto"/>
        <w:tabs>
          <w:tab w:leader="none" w:pos="36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6"/>
          <w:szCs w:val="16"/>
          <w:color w:val="auto"/>
        </w:rPr>
      </w:pPr>
    </w:p>
    <w:p>
      <w:pPr>
        <w:ind w:right="220" w:firstLine="196"/>
        <w:spacing w:after="0" w:line="279" w:lineRule="auto"/>
        <w:tabs>
          <w:tab w:leader="none" w:pos="36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Arial" w:cs="Arial" w:eastAsia="Arial" w:hAnsi="Arial"/>
          <w:sz w:val="17"/>
          <w:szCs w:val="17"/>
          <w:color w:val="auto"/>
        </w:rPr>
      </w:pPr>
    </w:p>
    <w:p>
      <w:pPr>
        <w:ind w:right="80" w:firstLine="196"/>
        <w:spacing w:after="0" w:line="266" w:lineRule="auto"/>
        <w:tabs>
          <w:tab w:leader="none" w:pos="36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7"/>
          <w:szCs w:val="17"/>
          <w:color w:val="auto"/>
        </w:rPr>
      </w:pPr>
    </w:p>
    <w:p>
      <w:pPr>
        <w:ind w:right="140" w:firstLine="428"/>
        <w:spacing w:after="0" w:line="266" w:lineRule="auto"/>
        <w:tabs>
          <w:tab w:leader="none" w:pos="601" w:val="left"/>
        </w:tabs>
        <w:numPr>
          <w:ilvl w:val="1"/>
          <w:numId w:val="1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7"/>
          <w:szCs w:val="17"/>
          <w:color w:val="auto"/>
        </w:rPr>
      </w:pPr>
    </w:p>
    <w:p>
      <w:pPr>
        <w:jc w:val="both"/>
        <w:ind w:right="260" w:firstLine="428"/>
        <w:spacing w:after="0" w:line="266" w:lineRule="auto"/>
        <w:tabs>
          <w:tab w:leader="none" w:pos="611" w:val="left"/>
        </w:tabs>
        <w:numPr>
          <w:ilvl w:val="1"/>
          <w:numId w:val="1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7"/>
          <w:szCs w:val="17"/>
          <w:color w:val="auto"/>
        </w:rPr>
      </w:pPr>
    </w:p>
    <w:p>
      <w:pPr>
        <w:ind w:right="40" w:firstLine="428"/>
        <w:spacing w:after="0" w:line="279" w:lineRule="auto"/>
        <w:tabs>
          <w:tab w:leader="none" w:pos="601" w:val="left"/>
        </w:tabs>
        <w:numPr>
          <w:ilvl w:val="1"/>
          <w:numId w:val="1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Arial" w:cs="Arial" w:eastAsia="Arial" w:hAnsi="Arial"/>
          <w:sz w:val="17"/>
          <w:szCs w:val="17"/>
          <w:color w:val="auto"/>
        </w:rPr>
      </w:pPr>
    </w:p>
    <w:p>
      <w:pPr>
        <w:ind w:right="100" w:firstLine="428"/>
        <w:spacing w:after="0" w:line="266" w:lineRule="auto"/>
        <w:tabs>
          <w:tab w:leader="none" w:pos="611" w:val="left"/>
        </w:tabs>
        <w:numPr>
          <w:ilvl w:val="1"/>
          <w:numId w:val="11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7"/>
          <w:szCs w:val="17"/>
          <w:color w:val="auto"/>
        </w:rPr>
      </w:pPr>
    </w:p>
    <w:p>
      <w:pPr>
        <w:ind w:right="600" w:firstLine="196"/>
        <w:spacing w:after="0" w:line="311" w:lineRule="auto"/>
        <w:tabs>
          <w:tab w:leader="none" w:pos="36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6"/>
          <w:szCs w:val="16"/>
          <w:color w:val="auto"/>
        </w:rPr>
      </w:pPr>
    </w:p>
    <w:p>
      <w:pPr>
        <w:ind w:right="240" w:firstLine="428"/>
        <w:spacing w:after="0" w:line="279" w:lineRule="auto"/>
        <w:tabs>
          <w:tab w:leader="none" w:pos="601" w:val="left"/>
        </w:tabs>
        <w:numPr>
          <w:ilvl w:val="1"/>
          <w:numId w:val="1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2" w:lineRule="exact"/>
        <w:rPr>
          <w:rFonts w:ascii="Arial" w:cs="Arial" w:eastAsia="Arial" w:hAnsi="Arial"/>
          <w:sz w:val="17"/>
          <w:szCs w:val="17"/>
          <w:color w:val="auto"/>
        </w:rPr>
      </w:pPr>
    </w:p>
    <w:p>
      <w:pPr>
        <w:ind w:right="460" w:firstLine="428"/>
        <w:spacing w:after="0" w:line="279" w:lineRule="auto"/>
        <w:tabs>
          <w:tab w:leader="none" w:pos="611" w:val="left"/>
        </w:tabs>
        <w:numPr>
          <w:ilvl w:val="1"/>
          <w:numId w:val="11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Date: September 21, 2023</w:t>
      </w:r>
    </w:p>
    <w:p>
      <w:pPr>
        <w:spacing w:after="0" w:line="204" w:lineRule="exact"/>
        <w:rPr>
          <w:sz w:val="20"/>
          <w:szCs w:val="20"/>
          <w:color w:val="auto"/>
        </w:rPr>
      </w:pPr>
    </w:p>
    <w:p>
      <w:pPr>
        <w:ind w:left="4140"/>
        <w:spacing w:after="0"/>
        <w:tabs>
          <w:tab w:leader="none" w:pos="4580" w:val="left"/>
        </w:tabs>
        <w:rPr>
          <w:sz w:val="20"/>
          <w:szCs w:val="20"/>
          <w:color w:val="auto"/>
        </w:rPr>
      </w:pPr>
      <w:r>
        <w:rPr>
          <w:rFonts w:ascii="Arial" w:cs="Arial" w:eastAsia="Arial" w:hAnsi="Arial"/>
          <w:sz w:val="17"/>
          <w:szCs w:val="17"/>
          <w:color w:val="auto"/>
        </w:rPr>
        <w:t>By:</w:t>
        <w:tab/>
        <w:t>/s/ Carrie L. Anderson</w:t>
      </w:r>
    </w:p>
    <w:p>
      <w:pPr>
        <w:spacing w:after="0" w:line="21" w:lineRule="exact"/>
        <w:rPr>
          <w:sz w:val="20"/>
          <w:szCs w:val="20"/>
          <w:color w:val="auto"/>
        </w:rPr>
      </w:pPr>
    </w:p>
    <w:tbl>
      <w:tblPr>
        <w:tblLayout w:type="fixed"/>
        <w:tblInd w:w="4580" w:type="dxa"/>
        <w:tblCellMar>
          <w:top w:w="0" w:type="dxa"/>
          <w:left w:w="0" w:type="dxa"/>
          <w:bottom w:w="0" w:type="dxa"/>
          <w:right w:w="0" w:type="dxa"/>
        </w:tblCellMar>
      </w:tblPr>
      <w:tr>
        <w:trPr>
          <w:trHeight w:val="214"/>
        </w:trPr>
        <w:tc>
          <w:tcPr>
            <w:tcW w:w="6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Name:</w:t>
            </w:r>
          </w:p>
        </w:tc>
        <w:tc>
          <w:tcPr>
            <w:tcW w:w="430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Carrie L. Anderson</w:t>
            </w:r>
          </w:p>
        </w:tc>
      </w:tr>
      <w:tr>
        <w:trPr>
          <w:trHeight w:val="217"/>
        </w:trPr>
        <w:tc>
          <w:tcPr>
            <w:tcW w:w="660" w:type="dxa"/>
            <w:vAlign w:val="bottom"/>
          </w:tcPr>
          <w:p>
            <w:pPr>
              <w:ind w:left="20"/>
              <w:spacing w:after="0"/>
              <w:rPr>
                <w:sz w:val="20"/>
                <w:szCs w:val="20"/>
                <w:color w:val="auto"/>
              </w:rPr>
            </w:pPr>
            <w:r>
              <w:rPr>
                <w:rFonts w:ascii="Arial" w:cs="Arial" w:eastAsia="Arial" w:hAnsi="Arial"/>
                <w:sz w:val="17"/>
                <w:szCs w:val="17"/>
                <w:color w:val="auto"/>
              </w:rPr>
              <w:t>Title:</w:t>
            </w:r>
          </w:p>
        </w:tc>
        <w:tc>
          <w:tcPr>
            <w:tcW w:w="4300" w:type="dxa"/>
            <w:vAlign w:val="bottom"/>
          </w:tcPr>
          <w:p>
            <w:pPr>
              <w:ind w:left="180"/>
              <w:spacing w:after="0"/>
              <w:rPr>
                <w:sz w:val="20"/>
                <w:szCs w:val="20"/>
                <w:color w:val="auto"/>
              </w:rPr>
            </w:pPr>
            <w:r>
              <w:rPr>
                <w:rFonts w:ascii="Arial" w:cs="Arial" w:eastAsia="Arial" w:hAnsi="Arial"/>
                <w:sz w:val="17"/>
                <w:szCs w:val="17"/>
                <w:color w:val="auto"/>
              </w:rPr>
              <w:t>Executive Vice President and Chief Financial</w:t>
            </w:r>
          </w:p>
        </w:tc>
      </w:tr>
      <w:tr>
        <w:trPr>
          <w:trHeight w:val="219"/>
        </w:trPr>
        <w:tc>
          <w:tcPr>
            <w:tcW w:w="660" w:type="dxa"/>
            <w:vAlign w:val="bottom"/>
          </w:tcPr>
          <w:p>
            <w:pPr>
              <w:spacing w:after="0"/>
              <w:rPr>
                <w:sz w:val="19"/>
                <w:szCs w:val="19"/>
                <w:color w:val="auto"/>
              </w:rPr>
            </w:pPr>
          </w:p>
        </w:tc>
        <w:tc>
          <w:tcPr>
            <w:tcW w:w="4300" w:type="dxa"/>
            <w:vAlign w:val="bottom"/>
          </w:tcPr>
          <w:p>
            <w:pPr>
              <w:ind w:left="180"/>
              <w:spacing w:after="0"/>
              <w:rPr>
                <w:sz w:val="20"/>
                <w:szCs w:val="20"/>
                <w:color w:val="auto"/>
              </w:rPr>
            </w:pPr>
            <w:r>
              <w:rPr>
                <w:rFonts w:ascii="Arial" w:cs="Arial" w:eastAsia="Arial" w:hAnsi="Arial"/>
                <w:sz w:val="17"/>
                <w:szCs w:val="17"/>
                <w:color w:val="auto"/>
              </w:rPr>
              <w:t>Officer</w:t>
            </w:r>
          </w:p>
        </w:tc>
      </w:tr>
    </w:tbl>
    <w:p>
      <w:pPr>
        <w:sectPr>
          <w:pgSz w:w="11900" w:h="16838" w:orient="portrait"/>
          <w:cols w:equalWidth="0" w:num="1">
            <w:col w:w="11240"/>
          </w:cols>
          <w:pgMar w:left="320" w:top="855"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7"/>
          <w:szCs w:val="17"/>
          <w:b w:val="1"/>
          <w:bCs w:val="1"/>
          <w:color w:val="auto"/>
        </w:rPr>
        <w:t>EXHIBIT 32(a)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54" w:lineRule="exact"/>
        <w:rPr>
          <w:sz w:val="20"/>
          <w:szCs w:val="20"/>
          <w:color w:val="auto"/>
        </w:rPr>
      </w:pPr>
    </w:p>
    <w:p>
      <w:pPr>
        <w:ind w:right="80" w:firstLine="193"/>
        <w:spacing w:after="0" w:line="266" w:lineRule="auto"/>
        <w:rPr>
          <w:sz w:val="20"/>
          <w:szCs w:val="20"/>
          <w:color w:val="auto"/>
        </w:rPr>
      </w:pPr>
      <w:r>
        <w:rPr>
          <w:rFonts w:ascii="Arial" w:cs="Arial" w:eastAsia="Arial" w:hAnsi="Arial"/>
          <w:sz w:val="17"/>
          <w:szCs w:val="17"/>
          <w:color w:val="auto"/>
        </w:rPr>
        <w:t>In connection with the Annual Report of Campbell Soup Company (the “Company”) on Form 10-K for the fiscal year ended July 30, 2023 (the “Report”), I, Mark A. Clouse, President and Chief Executive Officer of the Company, hereby certify, pursuant to 18 U.S.C. Section 1350, as adopted pursuant to Section 906 of the Sarbanes-Oxley Act of 2002, that, to my knowledge:</w:t>
      </w:r>
    </w:p>
    <w:p>
      <w:pPr>
        <w:spacing w:after="0" w:line="123" w:lineRule="exact"/>
        <w:rPr>
          <w:sz w:val="20"/>
          <w:szCs w:val="20"/>
          <w:color w:val="auto"/>
        </w:rPr>
      </w:pPr>
    </w:p>
    <w:p>
      <w:pPr>
        <w:ind w:left="680" w:hanging="252"/>
        <w:spacing w:after="0"/>
        <w:tabs>
          <w:tab w:leader="none" w:pos="6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65" w:lineRule="exact"/>
        <w:rPr>
          <w:rFonts w:ascii="Arial" w:cs="Arial" w:eastAsia="Arial" w:hAnsi="Arial"/>
          <w:sz w:val="17"/>
          <w:szCs w:val="17"/>
          <w:color w:val="auto"/>
        </w:rPr>
      </w:pPr>
    </w:p>
    <w:p>
      <w:pPr>
        <w:ind w:right="600" w:firstLine="428"/>
        <w:spacing w:after="0" w:line="466" w:lineRule="auto"/>
        <w:tabs>
          <w:tab w:leader="none" w:pos="668"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Date: September 21, 2023</w:t>
      </w:r>
    </w:p>
    <w:p>
      <w:pPr>
        <w:spacing w:after="0" w:line="1" w:lineRule="exact"/>
        <w:rPr>
          <w:sz w:val="20"/>
          <w:szCs w:val="20"/>
          <w:color w:val="auto"/>
        </w:rPr>
      </w:pPr>
    </w:p>
    <w:p>
      <w:pPr>
        <w:ind w:left="4140"/>
        <w:spacing w:after="0"/>
        <w:tabs>
          <w:tab w:leader="none" w:pos="4580" w:val="left"/>
        </w:tabs>
        <w:rPr>
          <w:sz w:val="20"/>
          <w:szCs w:val="20"/>
          <w:color w:val="auto"/>
        </w:rPr>
      </w:pPr>
      <w:r>
        <w:rPr>
          <w:rFonts w:ascii="Arial" w:cs="Arial" w:eastAsia="Arial" w:hAnsi="Arial"/>
          <w:sz w:val="17"/>
          <w:szCs w:val="17"/>
          <w:color w:val="auto"/>
        </w:rPr>
        <w:t>By:</w:t>
        <w:tab/>
        <w:t>/s/ Mark A. Clouse</w:t>
      </w:r>
    </w:p>
    <w:p>
      <w:pPr>
        <w:spacing w:after="0" w:line="21" w:lineRule="exact"/>
        <w:rPr>
          <w:sz w:val="20"/>
          <w:szCs w:val="20"/>
          <w:color w:val="auto"/>
        </w:rPr>
      </w:pPr>
    </w:p>
    <w:tbl>
      <w:tblPr>
        <w:tblLayout w:type="fixed"/>
        <w:tblInd w:w="4580" w:type="dxa"/>
        <w:tblCellMar>
          <w:top w:w="0" w:type="dxa"/>
          <w:left w:w="0" w:type="dxa"/>
          <w:bottom w:w="0" w:type="dxa"/>
          <w:right w:w="0" w:type="dxa"/>
        </w:tblCellMar>
      </w:tblPr>
      <w:tr>
        <w:trPr>
          <w:trHeight w:val="214"/>
        </w:trPr>
        <w:tc>
          <w:tcPr>
            <w:tcW w:w="6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Name:</w:t>
            </w:r>
          </w:p>
        </w:tc>
        <w:tc>
          <w:tcPr>
            <w:tcW w:w="430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Mark A. Clouse</w:t>
            </w:r>
          </w:p>
        </w:tc>
      </w:tr>
      <w:tr>
        <w:trPr>
          <w:trHeight w:val="217"/>
        </w:trPr>
        <w:tc>
          <w:tcPr>
            <w:tcW w:w="660" w:type="dxa"/>
            <w:vAlign w:val="bottom"/>
          </w:tcPr>
          <w:p>
            <w:pPr>
              <w:ind w:left="20"/>
              <w:spacing w:after="0"/>
              <w:rPr>
                <w:sz w:val="20"/>
                <w:szCs w:val="20"/>
                <w:color w:val="auto"/>
              </w:rPr>
            </w:pPr>
            <w:r>
              <w:rPr>
                <w:rFonts w:ascii="Arial" w:cs="Arial" w:eastAsia="Arial" w:hAnsi="Arial"/>
                <w:sz w:val="17"/>
                <w:szCs w:val="17"/>
                <w:color w:val="auto"/>
              </w:rPr>
              <w:t>Title:</w:t>
            </w:r>
          </w:p>
        </w:tc>
        <w:tc>
          <w:tcPr>
            <w:tcW w:w="4300" w:type="dxa"/>
            <w:vAlign w:val="bottom"/>
          </w:tcPr>
          <w:p>
            <w:pPr>
              <w:ind w:left="180"/>
              <w:spacing w:after="0"/>
              <w:rPr>
                <w:sz w:val="20"/>
                <w:szCs w:val="20"/>
                <w:color w:val="auto"/>
              </w:rPr>
            </w:pPr>
            <w:r>
              <w:rPr>
                <w:rFonts w:ascii="Arial" w:cs="Arial" w:eastAsia="Arial" w:hAnsi="Arial"/>
                <w:sz w:val="17"/>
                <w:szCs w:val="17"/>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The foregoing certification is being furnished solely pursuant to 18 U.S.C. Section 1350 and is not being filed as part of the Report or as a separate disclosure document.</w:t>
      </w:r>
    </w:p>
    <w:p>
      <w:pPr>
        <w:spacing w:after="0" w:line="11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 signed original of this written statement required under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55"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7"/>
          <w:szCs w:val="17"/>
          <w:b w:val="1"/>
          <w:bCs w:val="1"/>
          <w:color w:val="auto"/>
        </w:rPr>
        <w:t>EXHIBIT 32(b)</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54" w:lineRule="exact"/>
        <w:rPr>
          <w:sz w:val="20"/>
          <w:szCs w:val="20"/>
          <w:color w:val="auto"/>
        </w:rPr>
      </w:pPr>
    </w:p>
    <w:p>
      <w:pPr>
        <w:ind w:right="20" w:firstLine="193"/>
        <w:spacing w:after="0" w:line="266" w:lineRule="auto"/>
        <w:rPr>
          <w:sz w:val="20"/>
          <w:szCs w:val="20"/>
          <w:color w:val="auto"/>
        </w:rPr>
      </w:pPr>
      <w:r>
        <w:rPr>
          <w:rFonts w:ascii="Arial" w:cs="Arial" w:eastAsia="Arial" w:hAnsi="Arial"/>
          <w:sz w:val="17"/>
          <w:szCs w:val="17"/>
          <w:color w:val="auto"/>
        </w:rPr>
        <w:t>In connection with the Annual Report of Campbell Soup Company (the “Company”) on Form 10-K for the fiscal year ended July 30, 2023 (the “Report”), I, Carrie L. Anderson, Executive Vice President and Chief Financial Officer of the Company, hereby certify, pursuant to 18 U.S.C. Section 1350, as adopted pursuant to Section 906 of the Sarbanes-Oxley Act of 2002, that, to my knowledge:</w:t>
      </w:r>
    </w:p>
    <w:p>
      <w:pPr>
        <w:spacing w:after="0" w:line="123" w:lineRule="exact"/>
        <w:rPr>
          <w:sz w:val="20"/>
          <w:szCs w:val="20"/>
          <w:color w:val="auto"/>
        </w:rPr>
      </w:pPr>
    </w:p>
    <w:p>
      <w:pPr>
        <w:ind w:left="680" w:hanging="252"/>
        <w:spacing w:after="0"/>
        <w:tabs>
          <w:tab w:leader="none" w:pos="6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65" w:lineRule="exact"/>
        <w:rPr>
          <w:rFonts w:ascii="Arial" w:cs="Arial" w:eastAsia="Arial" w:hAnsi="Arial"/>
          <w:sz w:val="17"/>
          <w:szCs w:val="17"/>
          <w:color w:val="auto"/>
        </w:rPr>
      </w:pPr>
    </w:p>
    <w:p>
      <w:pPr>
        <w:ind w:left="680" w:hanging="252"/>
        <w:spacing w:after="0"/>
        <w:tabs>
          <w:tab w:leader="none" w:pos="6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Date: September 21, 2023</w:t>
      </w:r>
    </w:p>
    <w:p>
      <w:pPr>
        <w:spacing w:after="0" w:line="49" w:lineRule="exact"/>
        <w:rPr>
          <w:sz w:val="20"/>
          <w:szCs w:val="20"/>
          <w:color w:val="auto"/>
        </w:rPr>
      </w:pPr>
    </w:p>
    <w:p>
      <w:pPr>
        <w:ind w:left="4140"/>
        <w:spacing w:after="0"/>
        <w:tabs>
          <w:tab w:leader="none" w:pos="4580" w:val="left"/>
        </w:tabs>
        <w:rPr>
          <w:sz w:val="20"/>
          <w:szCs w:val="20"/>
          <w:color w:val="auto"/>
        </w:rPr>
      </w:pPr>
      <w:r>
        <w:rPr>
          <w:rFonts w:ascii="Arial" w:cs="Arial" w:eastAsia="Arial" w:hAnsi="Arial"/>
          <w:sz w:val="17"/>
          <w:szCs w:val="17"/>
          <w:color w:val="auto"/>
        </w:rPr>
        <w:t>By:</w:t>
        <w:tab/>
        <w:t>/s/ Carrie L. Anderson</w:t>
      </w:r>
    </w:p>
    <w:p>
      <w:pPr>
        <w:spacing w:after="0" w:line="21" w:lineRule="exact"/>
        <w:rPr>
          <w:sz w:val="20"/>
          <w:szCs w:val="20"/>
          <w:color w:val="auto"/>
        </w:rPr>
      </w:pPr>
    </w:p>
    <w:tbl>
      <w:tblPr>
        <w:tblLayout w:type="fixed"/>
        <w:tblInd w:w="4580" w:type="dxa"/>
        <w:tblCellMar>
          <w:top w:w="0" w:type="dxa"/>
          <w:left w:w="0" w:type="dxa"/>
          <w:bottom w:w="0" w:type="dxa"/>
          <w:right w:w="0" w:type="dxa"/>
        </w:tblCellMar>
      </w:tblPr>
      <w:tr>
        <w:trPr>
          <w:trHeight w:val="214"/>
        </w:trPr>
        <w:tc>
          <w:tcPr>
            <w:tcW w:w="6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Name:</w:t>
            </w:r>
          </w:p>
        </w:tc>
        <w:tc>
          <w:tcPr>
            <w:tcW w:w="430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Carrie L. Anderson</w:t>
            </w:r>
          </w:p>
        </w:tc>
      </w:tr>
      <w:tr>
        <w:trPr>
          <w:trHeight w:val="217"/>
        </w:trPr>
        <w:tc>
          <w:tcPr>
            <w:tcW w:w="660" w:type="dxa"/>
            <w:vAlign w:val="bottom"/>
          </w:tcPr>
          <w:p>
            <w:pPr>
              <w:ind w:left="20"/>
              <w:spacing w:after="0"/>
              <w:rPr>
                <w:sz w:val="20"/>
                <w:szCs w:val="20"/>
                <w:color w:val="auto"/>
              </w:rPr>
            </w:pPr>
            <w:r>
              <w:rPr>
                <w:rFonts w:ascii="Arial" w:cs="Arial" w:eastAsia="Arial" w:hAnsi="Arial"/>
                <w:sz w:val="17"/>
                <w:szCs w:val="17"/>
                <w:color w:val="auto"/>
              </w:rPr>
              <w:t>Title:</w:t>
            </w:r>
          </w:p>
        </w:tc>
        <w:tc>
          <w:tcPr>
            <w:tcW w:w="4300" w:type="dxa"/>
            <w:vAlign w:val="bottom"/>
          </w:tcPr>
          <w:p>
            <w:pPr>
              <w:ind w:left="180"/>
              <w:spacing w:after="0"/>
              <w:rPr>
                <w:sz w:val="20"/>
                <w:szCs w:val="20"/>
                <w:color w:val="auto"/>
              </w:rPr>
            </w:pPr>
            <w:r>
              <w:rPr>
                <w:rFonts w:ascii="Arial" w:cs="Arial" w:eastAsia="Arial" w:hAnsi="Arial"/>
                <w:sz w:val="17"/>
                <w:szCs w:val="17"/>
                <w:color w:val="auto"/>
              </w:rPr>
              <w:t>Executive Vice President and Chief Financial</w:t>
            </w:r>
          </w:p>
        </w:tc>
      </w:tr>
      <w:tr>
        <w:trPr>
          <w:trHeight w:val="219"/>
        </w:trPr>
        <w:tc>
          <w:tcPr>
            <w:tcW w:w="660" w:type="dxa"/>
            <w:vAlign w:val="bottom"/>
          </w:tcPr>
          <w:p>
            <w:pPr>
              <w:spacing w:after="0"/>
              <w:rPr>
                <w:sz w:val="19"/>
                <w:szCs w:val="19"/>
                <w:color w:val="auto"/>
              </w:rPr>
            </w:pPr>
          </w:p>
        </w:tc>
        <w:tc>
          <w:tcPr>
            <w:tcW w:w="4300" w:type="dxa"/>
            <w:vAlign w:val="bottom"/>
          </w:tcPr>
          <w:p>
            <w:pPr>
              <w:ind w:left="180"/>
              <w:spacing w:after="0"/>
              <w:rPr>
                <w:sz w:val="20"/>
                <w:szCs w:val="20"/>
                <w:color w:val="auto"/>
              </w:rPr>
            </w:pPr>
            <w:r>
              <w:rPr>
                <w:rFonts w:ascii="Arial" w:cs="Arial" w:eastAsia="Arial" w:hAnsi="Arial"/>
                <w:sz w:val="17"/>
                <w:szCs w:val="17"/>
                <w:color w:val="auto"/>
              </w:rPr>
              <w:t>Officer</w:t>
            </w:r>
          </w:p>
        </w:tc>
      </w:tr>
    </w:tbl>
    <w:p>
      <w:pPr>
        <w:spacing w:after="0" w:line="200" w:lineRule="exact"/>
        <w:rPr>
          <w:sz w:val="20"/>
          <w:szCs w:val="20"/>
          <w:color w:val="auto"/>
        </w:rPr>
      </w:pPr>
    </w:p>
    <w:p>
      <w:pPr>
        <w:spacing w:after="0" w:line="266"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The foregoing certification is being furnished solely pursuant to 18 U.S.C. Section 1350 and is not being filed as part of the Report or as a separate disclosure document.</w:t>
      </w:r>
    </w:p>
    <w:p>
      <w:pPr>
        <w:spacing w:after="0" w:line="11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 signed original of this written statement required under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34B6A8"/>
    <w:multiLevelType w:val="hybridMultilevel"/>
    <w:lvl w:ilvl="0">
      <w:lvlJc w:val="left"/>
      <w:lvlText w:val="•"/>
      <w:numFmt w:val="bullet"/>
      <w:start w:val="1"/>
    </w:lvl>
  </w:abstractNum>
  <w:abstractNum w:abstractNumId="1">
    <w:nsid w:val="10233C99"/>
    <w:multiLevelType w:val="hybridMultilevel"/>
    <w:lvl w:ilvl="0">
      <w:lvlJc w:val="left"/>
      <w:lvlText w:val="•"/>
      <w:numFmt w:val="bullet"/>
      <w:start w:val="1"/>
    </w:lvl>
  </w:abstractNum>
  <w:abstractNum w:abstractNumId="2">
    <w:nsid w:val="3F6AB60F"/>
    <w:multiLevelType w:val="hybridMultilevel"/>
    <w:lvl w:ilvl="0">
      <w:lvlJc w:val="left"/>
      <w:lvlText w:val="•"/>
      <w:numFmt w:val="bullet"/>
      <w:start w:val="1"/>
    </w:lvl>
  </w:abstractNum>
  <w:abstractNum w:abstractNumId="3">
    <w:nsid w:val="61574095"/>
    <w:multiLevelType w:val="hybridMultilevel"/>
    <w:lvl w:ilvl="0">
      <w:lvlJc w:val="left"/>
      <w:lvlText w:val="•"/>
      <w:numFmt w:val="bullet"/>
      <w:start w:val="1"/>
    </w:lvl>
  </w:abstractNum>
  <w:abstractNum w:abstractNumId="4">
    <w:nsid w:val="7E0C57B1"/>
    <w:multiLevelType w:val="hybridMultilevel"/>
    <w:lvl w:ilvl="0">
      <w:lvlJc w:val="left"/>
      <w:lvlText w:val="•"/>
      <w:numFmt w:val="bullet"/>
      <w:start w:val="1"/>
    </w:lvl>
  </w:abstractNum>
  <w:abstractNum w:abstractNumId="5">
    <w:nsid w:val="77AE35EB"/>
    <w:multiLevelType w:val="hybridMultilevel"/>
    <w:lvl w:ilvl="0">
      <w:lvlJc w:val="left"/>
      <w:lvlText w:val="•"/>
      <w:numFmt w:val="bullet"/>
      <w:start w:val="1"/>
    </w:lvl>
  </w:abstractNum>
  <w:abstractNum w:abstractNumId="6">
    <w:nsid w:val="579BE4F1"/>
    <w:multiLevelType w:val="hybridMultilevel"/>
    <w:lvl w:ilvl="0">
      <w:lvlJc w:val="left"/>
      <w:lvlText w:val="%1"/>
      <w:numFmt w:val="decimal"/>
      <w:start w:val="56"/>
    </w:lvl>
  </w:abstractNum>
  <w:abstractNum w:abstractNumId="7">
    <w:nsid w:val="310C50B3"/>
    <w:multiLevelType w:val="hybridMultilevel"/>
    <w:lvl w:ilvl="0">
      <w:lvlJc w:val="left"/>
      <w:lvlText w:val="%1"/>
      <w:numFmt w:val="decimal"/>
      <w:start w:val="56"/>
    </w:lvl>
  </w:abstractNum>
  <w:abstractNum w:abstractNumId="8">
    <w:nsid w:val="5FF87E05"/>
    <w:multiLevelType w:val="hybridMultilevel"/>
    <w:lvl w:ilvl="0">
      <w:lvlJc w:val="left"/>
      <w:lvlText w:val="*"/>
      <w:numFmt w:val="bullet"/>
      <w:start w:val="1"/>
    </w:lvl>
  </w:abstractNum>
  <w:abstractNum w:abstractNumId="9">
    <w:nsid w:val="2F305DEF"/>
    <w:multiLevelType w:val="hybridMultilevel"/>
    <w:lvl w:ilvl="0">
      <w:lvlJc w:val="left"/>
      <w:lvlText w:val="(%1)"/>
      <w:numFmt w:val="decimal"/>
      <w:start w:val="1"/>
    </w:lvl>
  </w:abstractNum>
  <w:abstractNum w:abstractNumId="10">
    <w:nsid w:val="25A70BF7"/>
    <w:multiLevelType w:val="hybridMultilevel"/>
    <w:lvl w:ilvl="0">
      <w:lvlJc w:val="left"/>
      <w:lvlText w:val="•"/>
      <w:numFmt w:val="bullet"/>
      <w:start w:val="1"/>
    </w:lvl>
  </w:abstractNum>
  <w:abstractNum w:abstractNumId="11">
    <w:nsid w:val="1DBABF00"/>
    <w:multiLevelType w:val="hybridMultilevel"/>
    <w:lvl w:ilvl="0">
      <w:lvlJc w:val="left"/>
      <w:lvlText w:val="•"/>
      <w:numFmt w:val="bullet"/>
      <w:start w:val="1"/>
    </w:lvl>
  </w:abstractNum>
  <w:abstractNum w:abstractNumId="12">
    <w:nsid w:val="4AD084E9"/>
    <w:multiLevelType w:val="hybridMultilevel"/>
    <w:lvl w:ilvl="0">
      <w:lvlJc w:val="left"/>
      <w:lvlText w:val="•"/>
      <w:numFmt w:val="bullet"/>
      <w:start w:val="1"/>
    </w:lvl>
  </w:abstractNum>
  <w:abstractNum w:abstractNumId="13">
    <w:nsid w:val="1F48EAA1"/>
    <w:multiLevelType w:val="hybridMultilevel"/>
    <w:lvl w:ilvl="0">
      <w:lvlJc w:val="left"/>
      <w:lvlText w:val="(%1)"/>
      <w:numFmt w:val="decimal"/>
      <w:start w:val="1"/>
    </w:lvl>
  </w:abstractNum>
  <w:abstractNum w:abstractNumId="14">
    <w:nsid w:val="1381823A"/>
    <w:multiLevelType w:val="hybridMultilevel"/>
    <w:lvl w:ilvl="0">
      <w:lvlJc w:val="left"/>
      <w:lvlText w:val="•"/>
      <w:numFmt w:val="bullet"/>
      <w:start w:val="1"/>
    </w:lvl>
  </w:abstractNum>
  <w:abstractNum w:abstractNumId="15">
    <w:nsid w:val="5DB70AE5"/>
    <w:multiLevelType w:val="hybridMultilevel"/>
    <w:lvl w:ilvl="0">
      <w:lvlJc w:val="left"/>
      <w:lvlText w:val="•"/>
      <w:numFmt w:val="bullet"/>
      <w:start w:val="1"/>
    </w:lvl>
  </w:abstractNum>
  <w:abstractNum w:abstractNumId="16">
    <w:nsid w:val="100F8FCA"/>
    <w:multiLevelType w:val="hybridMultilevel"/>
    <w:lvl w:ilvl="0">
      <w:lvlJc w:val="left"/>
      <w:lvlText w:val="(%1)"/>
      <w:numFmt w:val="decimal"/>
      <w:start w:val="1"/>
    </w:lvl>
  </w:abstractNum>
  <w:abstractNum w:abstractNumId="17">
    <w:nsid w:val="6590700B"/>
    <w:multiLevelType w:val="hybridMultilevel"/>
    <w:lvl w:ilvl="0">
      <w:lvlJc w:val="left"/>
      <w:lvlText w:val="(%1)"/>
      <w:numFmt w:val="decimal"/>
      <w:start w:val="1"/>
    </w:lvl>
  </w:abstractNum>
  <w:abstractNum w:abstractNumId="18">
    <w:nsid w:val="15014ACB"/>
    <w:multiLevelType w:val="hybridMultilevel"/>
    <w:lvl w:ilvl="0">
      <w:lvlJc w:val="left"/>
      <w:lvlText w:val="(%1)"/>
      <w:numFmt w:val="decimal"/>
      <w:start w:val="1"/>
    </w:lvl>
  </w:abstractNum>
  <w:abstractNum w:abstractNumId="19">
    <w:nsid w:val="5F5E7FD0"/>
    <w:multiLevelType w:val="hybridMultilevel"/>
    <w:lvl w:ilvl="0">
      <w:lvlJc w:val="left"/>
      <w:lvlText w:val="(%1)"/>
      <w:numFmt w:val="decimal"/>
      <w:start w:val="2"/>
    </w:lvl>
  </w:abstractNum>
  <w:abstractNum w:abstractNumId="20">
    <w:nsid w:val="98A3148"/>
    <w:multiLevelType w:val="hybridMultilevel"/>
    <w:lvl w:ilvl="0">
      <w:lvlJc w:val="left"/>
      <w:lvlText w:val="•"/>
      <w:numFmt w:val="bullet"/>
      <w:start w:val="1"/>
    </w:lvl>
  </w:abstractNum>
  <w:abstractNum w:abstractNumId="21">
    <w:nsid w:val="799D0247"/>
    <w:multiLevelType w:val="hybridMultilevel"/>
    <w:lvl w:ilvl="0">
      <w:lvlJc w:val="left"/>
      <w:lvlText w:val="(%1)"/>
      <w:numFmt w:val="decimal"/>
      <w:start w:val="1"/>
    </w:lvl>
  </w:abstractNum>
  <w:abstractNum w:abstractNumId="22">
    <w:nsid w:val="6B94764"/>
    <w:multiLevelType w:val="hybridMultilevel"/>
    <w:lvl w:ilvl="0">
      <w:lvlJc w:val="left"/>
      <w:lvlText w:val="•"/>
      <w:numFmt w:val="bullet"/>
      <w:start w:val="1"/>
    </w:lvl>
  </w:abstractNum>
  <w:abstractNum w:abstractNumId="23">
    <w:nsid w:val="42C296BD"/>
    <w:multiLevelType w:val="hybridMultilevel"/>
    <w:lvl w:ilvl="0">
      <w:lvlJc w:val="left"/>
      <w:lvlText w:val="•"/>
      <w:numFmt w:val="bullet"/>
      <w:start w:val="1"/>
    </w:lvl>
  </w:abstractNum>
  <w:abstractNum w:abstractNumId="24">
    <w:nsid w:val="168E121F"/>
    <w:multiLevelType w:val="hybridMultilevel"/>
    <w:lvl w:ilvl="0">
      <w:lvlJc w:val="left"/>
      <w:lvlText w:val="•"/>
      <w:numFmt w:val="bullet"/>
      <w:start w:val="1"/>
    </w:lvl>
  </w:abstractNum>
  <w:abstractNum w:abstractNumId="25">
    <w:nsid w:val="1EBA5D23"/>
    <w:multiLevelType w:val="hybridMultilevel"/>
    <w:lvl w:ilvl="0">
      <w:lvlJc w:val="left"/>
      <w:lvlText w:val="$"/>
      <w:numFmt w:val="bullet"/>
      <w:start w:val="1"/>
    </w:lvl>
  </w:abstractNum>
  <w:abstractNum w:abstractNumId="26">
    <w:nsid w:val="661E3F1E"/>
    <w:multiLevelType w:val="hybridMultilevel"/>
    <w:lvl w:ilvl="0">
      <w:lvlJc w:val="left"/>
      <w:lvlText w:val="$"/>
      <w:numFmt w:val="bullet"/>
      <w:start w:val="1"/>
    </w:lvl>
  </w:abstractNum>
  <w:abstractNum w:abstractNumId="27">
    <w:nsid w:val="5DC79EA8"/>
    <w:multiLevelType w:val="hybridMultilevel"/>
    <w:lvl w:ilvl="0">
      <w:lvlJc w:val="left"/>
      <w:lvlText w:val="(%1)"/>
      <w:numFmt w:val="decimal"/>
      <w:start w:val="1"/>
    </w:lvl>
  </w:abstractNum>
  <w:abstractNum w:abstractNumId="28">
    <w:nsid w:val="540A471C"/>
    <w:multiLevelType w:val="hybridMultilevel"/>
    <w:lvl w:ilvl="0">
      <w:lvlJc w:val="left"/>
      <w:lvlText w:val="•"/>
      <w:numFmt w:val="bullet"/>
      <w:start w:val="1"/>
    </w:lvl>
  </w:abstractNum>
  <w:abstractNum w:abstractNumId="29">
    <w:nsid w:val="7BD3EE7B"/>
    <w:multiLevelType w:val="hybridMultilevel"/>
    <w:lvl w:ilvl="0">
      <w:lvlJc w:val="left"/>
      <w:lvlText w:val="•"/>
      <w:numFmt w:val="bullet"/>
      <w:start w:val="1"/>
    </w:lvl>
  </w:abstractNum>
  <w:abstractNum w:abstractNumId="30">
    <w:nsid w:val="51D9C564"/>
    <w:multiLevelType w:val="hybridMultilevel"/>
    <w:lvl w:ilvl="0">
      <w:lvlJc w:val="left"/>
      <w:lvlText w:val="•"/>
      <w:numFmt w:val="bullet"/>
      <w:start w:val="1"/>
    </w:lvl>
  </w:abstractNum>
  <w:abstractNum w:abstractNumId="31">
    <w:nsid w:val="613EFDC5"/>
    <w:multiLevelType w:val="hybridMultilevel"/>
    <w:lvl w:ilvl="0">
      <w:lvlJc w:val="left"/>
      <w:lvlText w:val="%1."/>
      <w:numFmt w:val="decimal"/>
      <w:start w:val="3"/>
    </w:lvl>
  </w:abstractNum>
  <w:abstractNum w:abstractNumId="32">
    <w:nsid w:val="BF72B14"/>
    <w:multiLevelType w:val="hybridMultilevel"/>
    <w:lvl w:ilvl="0">
      <w:lvlJc w:val="left"/>
      <w:lvlText w:val="(%1)"/>
      <w:numFmt w:val="decimal"/>
      <w:start w:val="1"/>
    </w:lvl>
  </w:abstractNum>
  <w:abstractNum w:abstractNumId="33">
    <w:nsid w:val="11447B73"/>
    <w:multiLevelType w:val="hybridMultilevel"/>
    <w:lvl w:ilvl="0">
      <w:lvlJc w:val="left"/>
      <w:lvlText w:val="%1."/>
      <w:numFmt w:val="decimal"/>
      <w:start w:val="5"/>
    </w:lvl>
  </w:abstractNum>
  <w:abstractNum w:abstractNumId="34">
    <w:nsid w:val="42963E5A"/>
    <w:multiLevelType w:val="hybridMultilevel"/>
    <w:lvl w:ilvl="0">
      <w:lvlJc w:val="left"/>
      <w:lvlText w:val="(%1)"/>
      <w:numFmt w:val="decimal"/>
      <w:start w:val="1"/>
    </w:lvl>
  </w:abstractNum>
  <w:abstractNum w:abstractNumId="35">
    <w:nsid w:val="A0382C5"/>
    <w:multiLevelType w:val="hybridMultilevel"/>
    <w:lvl w:ilvl="0">
      <w:lvlJc w:val="left"/>
      <w:lvlText w:val="(%1)"/>
      <w:numFmt w:val="decimal"/>
      <w:start w:val="1"/>
    </w:lvl>
  </w:abstractNum>
  <w:abstractNum w:abstractNumId="36">
    <w:nsid w:val="8F2B15E"/>
    <w:multiLevelType w:val="hybridMultilevel"/>
    <w:lvl w:ilvl="0">
      <w:lvlJc w:val="left"/>
      <w:lvlText w:val="•"/>
      <w:numFmt w:val="bullet"/>
      <w:start w:val="1"/>
    </w:lvl>
  </w:abstractNum>
  <w:abstractNum w:abstractNumId="37">
    <w:nsid w:val="1A32234B"/>
    <w:multiLevelType w:val="hybridMultilevel"/>
    <w:lvl w:ilvl="0">
      <w:lvlJc w:val="left"/>
      <w:lvlText w:val="(%1)"/>
      <w:numFmt w:val="decimal"/>
      <w:start w:val="1"/>
    </w:lvl>
  </w:abstractNum>
  <w:abstractNum w:abstractNumId="38">
    <w:nsid w:val="3B0FD379"/>
    <w:multiLevelType w:val="hybridMultilevel"/>
    <w:lvl w:ilvl="0">
      <w:lvlJc w:val="left"/>
      <w:lvlText w:val="(%1)"/>
      <w:numFmt w:val="decimal"/>
      <w:start w:val="1"/>
    </w:lvl>
  </w:abstractNum>
  <w:abstractNum w:abstractNumId="39">
    <w:nsid w:val="68EB2F63"/>
    <w:multiLevelType w:val="hybridMultilevel"/>
    <w:lvl w:ilvl="0">
      <w:lvlJc w:val="left"/>
      <w:lvlText w:val="•"/>
      <w:numFmt w:val="bullet"/>
      <w:start w:val="1"/>
    </w:lvl>
  </w:abstractNum>
  <w:abstractNum w:abstractNumId="40">
    <w:nsid w:val="4962813B"/>
    <w:multiLevelType w:val="hybridMultilevel"/>
    <w:lvl w:ilvl="0">
      <w:lvlJc w:val="left"/>
      <w:lvlText w:val="(%1)"/>
      <w:numFmt w:val="decimal"/>
      <w:start w:val="1"/>
    </w:lvl>
  </w:abstractNum>
  <w:abstractNum w:abstractNumId="41">
    <w:nsid w:val="60B6DF70"/>
    <w:multiLevelType w:val="hybridMultilevel"/>
    <w:lvl w:ilvl="0">
      <w:lvlJc w:val="left"/>
      <w:lvlText w:val="%1."/>
      <w:numFmt w:val="decimal"/>
      <w:start w:val="12"/>
    </w:lvl>
  </w:abstractNum>
  <w:abstractNum w:abstractNumId="42">
    <w:nsid w:val="6A5EE64"/>
    <w:multiLevelType w:val="hybridMultilevel"/>
    <w:lvl w:ilvl="0">
      <w:lvlJc w:val="left"/>
      <w:lvlText w:val="(%1)"/>
      <w:numFmt w:val="decimal"/>
      <w:start w:val="1"/>
    </w:lvl>
  </w:abstractNum>
  <w:abstractNum w:abstractNumId="43">
    <w:nsid w:val="14330624"/>
    <w:multiLevelType w:val="hybridMultilevel"/>
    <w:lvl w:ilvl="0">
      <w:lvlJc w:val="left"/>
      <w:lvlText w:val="(%1)"/>
      <w:numFmt w:val="decimal"/>
      <w:start w:val="1"/>
    </w:lvl>
  </w:abstractNum>
  <w:abstractNum w:abstractNumId="44">
    <w:nsid w:val="7FFFCA11"/>
    <w:multiLevelType w:val="hybridMultilevel"/>
    <w:lvl w:ilvl="0">
      <w:lvlJc w:val="left"/>
      <w:lvlText w:val="•"/>
      <w:numFmt w:val="bullet"/>
      <w:start w:val="1"/>
    </w:lvl>
  </w:abstractNum>
  <w:abstractNum w:abstractNumId="45">
    <w:nsid w:val="1A27709E"/>
    <w:multiLevelType w:val="hybridMultilevel"/>
    <w:lvl w:ilvl="0">
      <w:lvlJc w:val="left"/>
      <w:lvlText w:val="%1."/>
      <w:numFmt w:val="decimal"/>
      <w:start w:val="1"/>
    </w:lvl>
  </w:abstractNum>
  <w:abstractNum w:abstractNumId="46">
    <w:nsid w:val="71EA1109"/>
    <w:multiLevelType w:val="hybridMultilevel"/>
    <w:lvl w:ilvl="0">
      <w:lvlJc w:val="left"/>
      <w:lvlText w:val="(%1)"/>
      <w:numFmt w:val="decimal"/>
      <w:start w:val="1"/>
    </w:lvl>
  </w:abstractNum>
  <w:abstractNum w:abstractNumId="47">
    <w:nsid w:val="100F59DC"/>
    <w:multiLevelType w:val="hybridMultilevel"/>
    <w:lvl w:ilvl="0">
      <w:lvlJc w:val="left"/>
      <w:lvlText w:val="%1."/>
      <w:numFmt w:val="decimal"/>
      <w:start w:val="17"/>
    </w:lvl>
  </w:abstractNum>
  <w:abstractNum w:abstractNumId="48">
    <w:nsid w:val="7FB7E0AA"/>
    <w:multiLevelType w:val="hybridMultilevel"/>
    <w:lvl w:ilvl="0">
      <w:lvlJc w:val="left"/>
      <w:lvlText w:val="(%1)"/>
      <w:numFmt w:val="decimal"/>
      <w:start w:val="1"/>
    </w:lvl>
  </w:abstractNum>
  <w:abstractNum w:abstractNumId="49">
    <w:nsid w:val="6EB5BD4"/>
    <w:multiLevelType w:val="hybridMultilevel"/>
    <w:lvl w:ilvl="0">
      <w:lvlJc w:val="left"/>
      <w:lvlText w:val="(%1)"/>
      <w:numFmt w:val="decimal"/>
      <w:start w:val="1"/>
    </w:lvl>
  </w:abstractNum>
  <w:abstractNum w:abstractNumId="50">
    <w:nsid w:val="6F6DD9AC"/>
    <w:multiLevelType w:val="hybridMultilevel"/>
    <w:lvl w:ilvl="0">
      <w:lvlJc w:val="left"/>
      <w:lvlText w:val="(%1)"/>
      <w:numFmt w:val="decimal"/>
      <w:start w:val="5"/>
    </w:lvl>
  </w:abstractNum>
  <w:abstractNum w:abstractNumId="51">
    <w:nsid w:val="94211F2"/>
    <w:multiLevelType w:val="hybridMultilevel"/>
    <w:lvl w:ilvl="0">
      <w:lvlJc w:val="left"/>
      <w:lvlText w:val="•"/>
      <w:numFmt w:val="bullet"/>
      <w:start w:val="1"/>
    </w:lvl>
  </w:abstractNum>
  <w:abstractNum w:abstractNumId="52">
    <w:nsid w:val="885E1B"/>
    <w:multiLevelType w:val="hybridMultilevel"/>
    <w:lvl w:ilvl="0">
      <w:lvlJc w:val="left"/>
      <w:lvlText w:val="%1."/>
      <w:numFmt w:val="decimal"/>
      <w:start w:val="70"/>
    </w:lvl>
  </w:abstractNum>
  <w:abstractNum w:abstractNumId="53">
    <w:nsid w:val="76272110"/>
    <w:multiLevelType w:val="hybridMultilevel"/>
    <w:lvl w:ilvl="0">
      <w:lvlJc w:val="left"/>
      <w:lvlText w:val="•"/>
      <w:numFmt w:val="bullet"/>
      <w:start w:val="1"/>
    </w:lvl>
  </w:abstractNum>
  <w:abstractNum w:abstractNumId="54">
    <w:nsid w:val="4C04A8AF"/>
    <w:multiLevelType w:val="hybridMultilevel"/>
    <w:lvl w:ilvl="0">
      <w:lvlJc w:val="left"/>
      <w:lvlText w:val="(%1)"/>
      <w:numFmt w:val="decimal"/>
      <w:start w:val="1"/>
    </w:lvl>
  </w:abstractNum>
  <w:abstractNum w:abstractNumId="55">
    <w:nsid w:val="1716703B"/>
    <w:multiLevelType w:val="hybridMultilevel"/>
    <w:lvl w:ilvl="0">
      <w:lvlJc w:val="left"/>
      <w:lvlText w:val="(%1)"/>
      <w:numFmt w:val="lowerLetter"/>
      <w:start w:val="1"/>
    </w:lvl>
    <w:lvl w:ilvl="1">
      <w:lvlJc w:val="left"/>
      <w:lvlText w:val="%2."/>
      <w:numFmt w:val="decimal"/>
      <w:start w:val="1"/>
    </w:lvl>
  </w:abstractNum>
  <w:abstractNum w:abstractNumId="56">
    <w:nsid w:val="14E17E33"/>
    <w:multiLevelType w:val="hybridMultilevel"/>
    <w:lvl w:ilvl="0">
      <w:lvlJc w:val="left"/>
      <w:lvlText w:val="%1."/>
      <w:numFmt w:val="decimal"/>
      <w:start w:val="2"/>
    </w:lvl>
    <w:lvl w:ilvl="1">
      <w:lvlJc w:val="left"/>
      <w:lvlText w:val="%2"/>
      <w:numFmt w:val="upperLetter"/>
      <w:start w:val="1"/>
    </w:lvl>
  </w:abstractNum>
  <w:abstractNum w:abstractNumId="57">
    <w:nsid w:val="3222E7CD"/>
    <w:multiLevelType w:val="hybridMultilevel"/>
    <w:lvl w:ilvl="0">
      <w:lvlJc w:val="left"/>
      <w:lvlText w:val="(%1)"/>
      <w:numFmt w:val="lowerLetter"/>
      <w:start w:val="2"/>
    </w:lvl>
  </w:abstractNum>
  <w:abstractNum w:abstractNumId="58">
    <w:nsid w:val="74DE0EE3"/>
    <w:multiLevelType w:val="hybridMultilevel"/>
    <w:lvl w:ilvl="0">
      <w:lvlJc w:val="left"/>
      <w:lvlText w:val="2"/>
      <w:numFmt w:val="bullet"/>
      <w:start w:val="1"/>
    </w:lvl>
  </w:abstractNum>
  <w:abstractNum w:abstractNumId="59">
    <w:nsid w:val="68EBC550"/>
    <w:multiLevelType w:val="hybridMultilevel"/>
    <w:lvl w:ilvl="0">
      <w:lvlJc w:val="left"/>
      <w:lvlText w:val="%1"/>
      <w:numFmt w:val="decimal"/>
      <w:start w:val="21"/>
    </w:lvl>
  </w:abstractNum>
  <w:abstractNum w:abstractNumId="60">
    <w:nsid w:val="2DF6D648"/>
    <w:multiLevelType w:val="hybridMultilevel"/>
    <w:lvl w:ilvl="0">
      <w:lvlJc w:val="left"/>
      <w:lvlText w:val="%1"/>
      <w:numFmt w:val="decimal"/>
      <w:start w:val="23"/>
    </w:lvl>
  </w:abstractNum>
  <w:abstractNum w:abstractNumId="61">
    <w:nsid w:val="46B7D447"/>
    <w:multiLevelType w:val="hybridMultilevel"/>
    <w:lvl w:ilvl="0">
      <w:lvlJc w:val="left"/>
      <w:lvlText w:val="%1"/>
      <w:numFmt w:val="decimal"/>
      <w:start w:val="104"/>
    </w:lvl>
  </w:abstractNum>
  <w:abstractNum w:abstractNumId="62">
    <w:nsid w:val="4A2AC315"/>
    <w:multiLevelType w:val="hybridMultilevel"/>
    <w:lvl w:ilvl="0">
      <w:lvlJc w:val="left"/>
      <w:lvlText w:val="*"/>
      <w:numFmt w:val="bullet"/>
      <w:start w:val="1"/>
    </w:lvl>
  </w:abstractNum>
  <w:abstractNum w:abstractNumId="63">
    <w:nsid w:val="39EE015C"/>
    <w:multiLevelType w:val="hybridMultilevel"/>
    <w:lvl w:ilvl="0">
      <w:lvlJc w:val="left"/>
      <w:lvlText w:val="(%1)"/>
      <w:numFmt w:val="decimal"/>
      <w:start w:val="1"/>
    </w:lvl>
  </w:abstractNum>
  <w:abstractNum w:abstractNumId="64">
    <w:nsid w:val="57FC4FBB"/>
    <w:multiLevelType w:val="hybridMultilevel"/>
    <w:lvl w:ilvl="0">
      <w:lvlJc w:val="left"/>
      <w:lvlText w:val="%1"/>
      <w:numFmt w:val="decimal"/>
      <w:start w:val="1"/>
    </w:lvl>
    <w:lvl w:ilvl="1">
      <w:lvlJc w:val="left"/>
      <w:lvlText w:val="(%2)"/>
      <w:numFmt w:val="lowerLetter"/>
      <w:start w:val="2"/>
    </w:lvl>
  </w:abstractNum>
  <w:abstractNum w:abstractNumId="65">
    <w:nsid w:val="CC1016F"/>
    <w:multiLevelType w:val="hybridMultilevel"/>
    <w:lvl w:ilvl="0">
      <w:lvlJc w:val="left"/>
      <w:lvlText w:val="(%1)"/>
      <w:numFmt w:val="decimal"/>
      <w:start w:val="1"/>
    </w:lvl>
    <w:lvl w:ilvl="1">
      <w:lvlJc w:val="left"/>
      <w:lvlText w:val="%2"/>
      <w:numFmt w:val="lowerLetter"/>
      <w:start w:val="1"/>
    </w:lvl>
  </w:abstractNum>
  <w:abstractNum w:abstractNumId="66">
    <w:nsid w:val="43F18422"/>
    <w:multiLevelType w:val="hybridMultilevel"/>
    <w:lvl w:ilvl="0">
      <w:lvlJc w:val="left"/>
      <w:lvlText w:val="(%1)"/>
      <w:numFmt w:val="lowerLetter"/>
      <w:start w:val="1"/>
    </w:lvl>
  </w:abstractNum>
  <w:abstractNum w:abstractNumId="67">
    <w:nsid w:val="60EF011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68">
    <w:nsid w:val="26F324BA"/>
    <w:multiLevelType w:val="hybridMultilevel"/>
    <w:lvl w:ilvl="0">
      <w:lvlJc w:val="left"/>
      <w:lvlText w:val="(%1)"/>
      <w:numFmt w:val="lowerLetter"/>
      <w:start w:val="2"/>
    </w:lvl>
    <w:lvl w:ilvl="1">
      <w:lvlJc w:val="left"/>
      <w:lvlText w:val="(%2)"/>
      <w:numFmt w:val="lowerLetter"/>
      <w:start w:val="3"/>
    </w:lvl>
    <w:lvl w:ilvl="2">
      <w:lvlJc w:val="left"/>
      <w:lvlText w:val="(%3)"/>
      <w:numFmt w:val="lowerRoman"/>
      <w:start w:val="1"/>
    </w:lvl>
  </w:abstractNum>
  <w:abstractNum w:abstractNumId="69">
    <w:nsid w:val="7F01579B"/>
    <w:multiLevelType w:val="hybridMultilevel"/>
    <w:lvl w:ilvl="0">
      <w:lvlJc w:val="left"/>
      <w:lvlText w:val="(%1)"/>
      <w:numFmt w:val="lowerLetter"/>
      <w:start w:val="1"/>
    </w:lvl>
  </w:abstractNum>
  <w:abstractNum w:abstractNumId="70">
    <w:nsid w:val="49DA307D"/>
    <w:multiLevelType w:val="hybridMultilevel"/>
    <w:lvl w:ilvl="0">
      <w:lvlJc w:val="left"/>
      <w:lvlText w:val="(%1)"/>
      <w:numFmt w:val="lowerLetter"/>
      <w:start w:val="3"/>
    </w:lvl>
  </w:abstractNum>
  <w:abstractNum w:abstractNumId="71">
    <w:nsid w:val="7055A5F5"/>
    <w:multiLevelType w:val="hybridMultilevel"/>
    <w:lvl w:ilvl="0">
      <w:lvlJc w:val="left"/>
      <w:lvlText w:val="(%1)"/>
      <w:numFmt w:val="lowerLetter"/>
      <w:start w:val="1"/>
    </w:lvl>
    <w:lvl w:ilvl="1">
      <w:lvlJc w:val="left"/>
      <w:lvlText w:val="(%2)"/>
      <w:numFmt w:val="lowerRoman"/>
      <w:start w:val="1"/>
    </w:lvl>
  </w:abstractNum>
  <w:abstractNum w:abstractNumId="72">
    <w:nsid w:val="5FB8370B"/>
    <w:multiLevelType w:val="hybridMultilevel"/>
    <w:lvl w:ilvl="0">
      <w:lvlJc w:val="left"/>
      <w:lvlText w:val="(%1)"/>
      <w:numFmt w:val="decimal"/>
      <w:start w:val="2"/>
    </w:lvl>
  </w:abstractNum>
  <w:abstractNum w:abstractNumId="73">
    <w:nsid w:val="50801EE1"/>
    <w:multiLevelType w:val="hybridMultilevel"/>
    <w:lvl w:ilvl="0">
      <w:lvlJc w:val="left"/>
      <w:lvlText w:val="%1."/>
      <w:numFmt w:val="decimal"/>
      <w:start w:val="1"/>
    </w:lvl>
  </w:abstractNum>
  <w:abstractNum w:abstractNumId="74">
    <w:nsid w:val="488AC1A"/>
    <w:multiLevelType w:val="hybridMultilevel"/>
    <w:lvl w:ilvl="0">
      <w:lvlJc w:val="left"/>
      <w:lvlText w:val="%1."/>
      <w:numFmt w:val="decimal"/>
      <w:start w:val="3"/>
    </w:lvl>
  </w:abstractNum>
  <w:abstractNum w:abstractNumId="75">
    <w:nsid w:val="5FB8011C"/>
    <w:multiLevelType w:val="hybridMultilevel"/>
    <w:lvl w:ilvl="0">
      <w:lvlJc w:val="left"/>
      <w:lvlText w:val="%1."/>
      <w:numFmt w:val="decimal"/>
      <w:start w:val="5"/>
    </w:lvl>
    <w:lvl w:ilvl="1">
      <w:lvlJc w:val="left"/>
      <w:lvlText w:val="(%2)"/>
      <w:numFmt w:val="lowerLetter"/>
      <w:start w:val="1"/>
    </w:lvl>
  </w:abstractNum>
  <w:abstractNum w:abstractNumId="76">
    <w:nsid w:val="6AA78F7F"/>
    <w:multiLevelType w:val="hybridMultilevel"/>
    <w:lvl w:ilvl="0">
      <w:lvlJc w:val="left"/>
      <w:lvlText w:val="(%1)"/>
      <w:numFmt w:val="lowerLetter"/>
      <w:start w:val="4"/>
    </w:lvl>
  </w:abstractNum>
  <w:abstractNum w:abstractNumId="77">
    <w:nsid w:val="7672BD23"/>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abstractNum>
  <w:abstractNum w:abstractNumId="78">
    <w:nsid w:val="6FC75AF8"/>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79">
    <w:nsid w:val="6A5F7029"/>
    <w:multiLevelType w:val="hybridMultilevel"/>
    <w:lvl w:ilvl="0">
      <w:lvlJc w:val="left"/>
      <w:lvlText w:val="%1."/>
      <w:numFmt w:val="decimal"/>
      <w:start w:val="10"/>
    </w:lvl>
  </w:abstractNum>
  <w:abstractNum w:abstractNumId="80">
    <w:nsid w:val="7D5E18F8"/>
    <w:multiLevelType w:val="hybridMultilevel"/>
    <w:lvl w:ilvl="0">
      <w:lvlJc w:val="left"/>
      <w:lvlText w:val="%1."/>
      <w:numFmt w:val="decimal"/>
      <w:start w:val="1"/>
    </w:lvl>
    <w:lvl w:ilvl="1">
      <w:lvlJc w:val="left"/>
      <w:lvlText w:val="(%2)"/>
      <w:numFmt w:val="upperLetter"/>
      <w:start w:val="1"/>
    </w:lvl>
  </w:abstractNum>
  <w:abstractNum w:abstractNumId="81">
    <w:nsid w:val="5F3534A4"/>
    <w:multiLevelType w:val="hybridMultilevel"/>
    <w:lvl w:ilvl="0">
      <w:lvlJc w:val="left"/>
      <w:lvlText w:val="%1."/>
      <w:numFmt w:val="decimal"/>
      <w:start w:val="2"/>
    </w:lvl>
    <w:lvl w:ilvl="1">
      <w:lvlJc w:val="left"/>
      <w:lvlText w:val="(%2)"/>
      <w:numFmt w:val="upperLetter"/>
      <w:start w:val="1"/>
    </w:lvl>
  </w:abstractNum>
  <w:abstractNum w:abstractNumId="82">
    <w:nsid w:val="73A1821B"/>
    <w:multiLevelType w:val="hybridMultilevel"/>
    <w:lvl w:ilvl="0">
      <w:lvlJc w:val="left"/>
      <w:lvlText w:val="%1"/>
      <w:numFmt w:val="decimal"/>
      <w:start w:val="1"/>
    </w:lvl>
    <w:lvl w:ilvl="1">
      <w:lvlJc w:val="left"/>
      <w:lvlText w:val="(%2)"/>
      <w:numFmt w:val="upperLetter"/>
      <w:start w:val="6"/>
    </w:lvl>
  </w:abstractNum>
  <w:abstractNum w:abstractNumId="83">
    <w:nsid w:val="7DE67713"/>
    <w:multiLevelType w:val="hybridMultilevel"/>
    <w:lvl w:ilvl="0">
      <w:lvlJc w:val="left"/>
      <w:lvlText w:val="%1."/>
      <w:numFmt w:val="decimal"/>
      <w:start w:val="5"/>
    </w:lvl>
    <w:lvl w:ilvl="1">
      <w:lvlJc w:val="left"/>
      <w:lvlText w:val="(%2)"/>
      <w:numFmt w:val="upperLetter"/>
      <w:start w:val="1"/>
    </w:lvl>
  </w:abstractNum>
  <w:abstractNum w:abstractNumId="84">
    <w:nsid w:val="555C55B5"/>
    <w:multiLevelType w:val="hybridMultilevel"/>
    <w:lvl w:ilvl="0">
      <w:lvlJc w:val="left"/>
      <w:lvlText w:val="%1"/>
      <w:numFmt w:val="decimal"/>
      <w:start w:val="1"/>
    </w:lvl>
    <w:lvl w:ilvl="1">
      <w:lvlJc w:val="left"/>
      <w:lvlText w:val="(%2)"/>
      <w:numFmt w:val="upperLetter"/>
      <w:start w:val="2"/>
    </w:lvl>
  </w:abstractNum>
  <w:abstractNum w:abstractNumId="85">
    <w:nsid w:val="3FA62ACA"/>
    <w:multiLevelType w:val="hybridMultilevel"/>
    <w:lvl w:ilvl="0">
      <w:lvlJc w:val="left"/>
      <w:lvlText w:val="%1."/>
      <w:numFmt w:val="decimal"/>
      <w:start w:val="8"/>
    </w:lvl>
    <w:lvl w:ilvl="1">
      <w:lvlJc w:val="left"/>
      <w:lvlText w:val="%2"/>
      <w:numFmt w:val="upperLetter"/>
      <w:start w:val="1"/>
    </w:lvl>
  </w:abstractNum>
  <w:abstractNum w:abstractNumId="86">
    <w:nsid w:val="14FCE74E"/>
    <w:multiLevelType w:val="hybridMultilevel"/>
    <w:lvl w:ilvl="0">
      <w:lvlJc w:val="left"/>
      <w:lvlText w:val="*"/>
      <w:numFmt w:val="bullet"/>
      <w:start w:val="1"/>
    </w:lvl>
  </w:abstractNum>
  <w:abstractNum w:abstractNumId="87">
    <w:nsid w:val="6A3DD3E8"/>
    <w:multiLevelType w:val="hybridMultilevel"/>
    <w:lvl w:ilvl="0">
      <w:lvlJc w:val="left"/>
      <w:lvlText w:val="%1."/>
      <w:numFmt w:val="decimal"/>
      <w:start w:val="1"/>
    </w:lvl>
  </w:abstractNum>
  <w:abstractNum w:abstractNumId="88">
    <w:nsid w:val="71C91298"/>
    <w:multiLevelType w:val="hybridMultilevel"/>
    <w:lvl w:ilvl="0">
      <w:lvlJc w:val="left"/>
      <w:lvlText w:val="%1."/>
      <w:numFmt w:val="decimal"/>
      <w:start w:val="2"/>
    </w:lvl>
    <w:lvl w:ilvl="1">
      <w:lvlJc w:val="left"/>
      <w:lvlText w:val="(%2)"/>
      <w:numFmt w:val="lowerLetter"/>
      <w:start w:val="1"/>
    </w:lvl>
  </w:abstractNum>
  <w:abstractNum w:abstractNumId="89">
    <w:nsid w:val="9DAF632"/>
    <w:multiLevelType w:val="hybridMultilevel"/>
    <w:lvl w:ilvl="0">
      <w:lvlJc w:val="left"/>
      <w:lvlText w:val="(%1)"/>
      <w:numFmt w:val="lowerLetter"/>
      <w:start w:val="2"/>
    </w:lvl>
    <w:lvl w:ilvl="1">
      <w:lvlJc w:val="left"/>
      <w:lvlText w:val="%2."/>
      <w:numFmt w:val="decimal"/>
      <w:start w:val="1"/>
    </w:lvl>
  </w:abstractNum>
  <w:abstractNum w:abstractNumId="90">
    <w:nsid w:val="53299938"/>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91">
    <w:nsid w:val="1FBFE8E0"/>
    <w:multiLevelType w:val="hybridMultilevel"/>
    <w:lvl w:ilvl="0">
      <w:lvlJc w:val="left"/>
      <w:lvlText w:val="%1."/>
      <w:numFmt w:val="decimal"/>
      <w:start w:val="6"/>
    </w:lvl>
  </w:abstractNum>
  <w:abstractNum w:abstractNumId="92">
    <w:nsid w:val="5092CA79"/>
    <w:multiLevelType w:val="hybridMultilevel"/>
    <w:lvl w:ilvl="0">
      <w:lvlJc w:val="left"/>
      <w:lvlText w:val="%1."/>
      <w:numFmt w:val="decimal"/>
      <w:start w:val="16"/>
    </w:lvl>
  </w:abstractNum>
  <w:abstractNum w:abstractNumId="93">
    <w:nsid w:val="1D545C4D"/>
    <w:multiLevelType w:val="hybridMultilevel"/>
    <w:lvl w:ilvl="0">
      <w:lvlJc w:val="left"/>
      <w:lvlText w:val="%1."/>
      <w:numFmt w:val="decimal"/>
      <w:start w:val="1"/>
    </w:lvl>
    <w:lvl w:ilvl="1">
      <w:lvlJc w:val="left"/>
      <w:lvlText w:val="(%2)"/>
      <w:numFmt w:val="upperLetter"/>
      <w:start w:val="1"/>
    </w:lvl>
  </w:abstractNum>
  <w:abstractNum w:abstractNumId="94">
    <w:nsid w:val="59ADEA3D"/>
    <w:multiLevelType w:val="hybridMultilevel"/>
    <w:lvl w:ilvl="0">
      <w:lvlJc w:val="left"/>
      <w:lvlText w:val="%1."/>
      <w:numFmt w:val="decimal"/>
      <w:start w:val="2"/>
    </w:lvl>
    <w:lvl w:ilvl="1">
      <w:lvlJc w:val="left"/>
      <w:lvlText w:val="(%2)"/>
      <w:numFmt w:val="upperLetter"/>
      <w:start w:val="1"/>
    </w:lvl>
  </w:abstractNum>
  <w:abstractNum w:abstractNumId="95">
    <w:nsid w:val="288F1A34"/>
    <w:multiLevelType w:val="hybridMultilevel"/>
    <w:lvl w:ilvl="0">
      <w:lvlJc w:val="left"/>
      <w:lvlText w:val="(%1)"/>
      <w:numFmt w:val="upperLetter"/>
      <w:start w:val="6"/>
    </w:lvl>
  </w:abstractNum>
  <w:abstractNum w:abstractNumId="96">
    <w:nsid w:val="2A155DBC"/>
    <w:multiLevelType w:val="hybridMultilevel"/>
    <w:lvl w:ilvl="0">
      <w:lvlJc w:val="left"/>
      <w:lvlText w:val="%1."/>
      <w:numFmt w:val="decimal"/>
      <w:start w:val="5"/>
    </w:lvl>
    <w:lvl w:ilvl="1">
      <w:lvlJc w:val="left"/>
      <w:lvlText w:val="(%2)"/>
      <w:numFmt w:val="upperLetter"/>
      <w:start w:val="1"/>
    </w:lvl>
  </w:abstractNum>
  <w:abstractNum w:abstractNumId="97">
    <w:nsid w:val="1D9F6E5F"/>
    <w:multiLevelType w:val="hybridMultilevel"/>
    <w:lvl w:ilvl="0">
      <w:lvlJc w:val="left"/>
      <w:lvlText w:val="*"/>
      <w:numFmt w:val="bullet"/>
      <w:start w:val="1"/>
    </w:lvl>
    <w:lvl w:ilvl="1">
      <w:lvlJc w:val="left"/>
      <w:lvlText w:val="%2"/>
      <w:numFmt w:val="decimal"/>
      <w:start w:val="1"/>
    </w:lvl>
    <w:lvl w:ilvl="2">
      <w:lvlJc w:val="left"/>
      <w:lvlText w:val="(%3)"/>
      <w:numFmt w:val="upperLetter"/>
      <w:start w:val="2"/>
    </w:lvl>
  </w:abstractNum>
  <w:abstractNum w:abstractNumId="98">
    <w:nsid w:val="97E1B4E"/>
    <w:multiLevelType w:val="hybridMultilevel"/>
    <w:lvl w:ilvl="0">
      <w:lvlJc w:val="left"/>
      <w:lvlText w:val="*"/>
      <w:numFmt w:val="bullet"/>
      <w:start w:val="1"/>
    </w:lvl>
    <w:lvl w:ilvl="1">
      <w:lvlJc w:val="left"/>
      <w:lvlText w:val="%2."/>
      <w:numFmt w:val="decimal"/>
      <w:start w:val="8"/>
    </w:lvl>
    <w:lvl w:ilvl="2">
      <w:lvlJc w:val="left"/>
      <w:lvlText w:val="%3"/>
      <w:numFmt w:val="upperLetter"/>
      <w:start w:val="1"/>
    </w:lvl>
  </w:abstractNum>
  <w:abstractNum w:abstractNumId="99">
    <w:nsid w:val="51088277"/>
    <w:multiLevelType w:val="hybridMultilevel"/>
    <w:lvl w:ilvl="0">
      <w:lvlJc w:val="left"/>
      <w:lvlText w:val="%1."/>
      <w:numFmt w:val="decimal"/>
      <w:start w:val="1"/>
    </w:lvl>
  </w:abstractNum>
  <w:abstractNum w:abstractNumId="100">
    <w:nsid w:val="1CA0C5FA"/>
    <w:multiLevelType w:val="hybridMultilevel"/>
    <w:lvl w:ilvl="0">
      <w:lvlJc w:val="left"/>
      <w:lvlText w:val="%1."/>
      <w:numFmt w:val="decimal"/>
      <w:start w:val="2"/>
    </w:lvl>
  </w:abstractNum>
  <w:abstractNum w:abstractNumId="101">
    <w:nsid w:val="53584BCB"/>
    <w:multiLevelType w:val="hybridMultilevel"/>
    <w:lvl w:ilvl="0">
      <w:lvlJc w:val="left"/>
      <w:lvlText w:val="(%1)"/>
      <w:numFmt w:val="lowerLetter"/>
      <w:start w:val="1"/>
    </w:lvl>
    <w:lvl w:ilvl="1">
      <w:lvlJc w:val="left"/>
      <w:lvlText w:val="%2."/>
      <w:numFmt w:val="decimal"/>
      <w:start w:val="1"/>
    </w:lvl>
  </w:abstractNum>
  <w:abstractNum w:abstractNumId="102">
    <w:nsid w:val="415E286C"/>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lvl w:ilvl="3">
      <w:lvlJc w:val="left"/>
      <w:lvlText w:val="%4."/>
      <w:numFmt w:val="decimal"/>
      <w:start w:val="1"/>
    </w:lvl>
  </w:abstractNum>
  <w:abstractNum w:abstractNumId="103">
    <w:nsid w:val="7C58FD05"/>
    <w:multiLevelType w:val="hybridMultilevel"/>
    <w:lvl w:ilvl="0">
      <w:lvlJc w:val="left"/>
      <w:lvlText w:val="(%1)"/>
      <w:numFmt w:val="decimal"/>
      <w:start w:val="180"/>
    </w:lvl>
    <w:lvl w:ilvl="1">
      <w:lvlJc w:val="left"/>
      <w:lvlText w:val="%2"/>
      <w:numFmt w:val="decimal"/>
      <w:start w:val="1"/>
    </w:lvl>
    <w:lvl w:ilvl="2">
      <w:lvlJc w:val="left"/>
      <w:lvlText w:val="%3"/>
      <w:numFmt w:val="lowerLetter"/>
      <w:start w:val="1"/>
    </w:lvl>
    <w:lvl w:ilvl="3">
      <w:lvlJc w:val="left"/>
      <w:lvlText w:val="%4."/>
      <w:numFmt w:val="decimal"/>
      <w:start w:val="2"/>
    </w:lvl>
  </w:abstractNum>
  <w:abstractNum w:abstractNumId="104">
    <w:nsid w:val="23D86AAC"/>
    <w:multiLevelType w:val="hybridMultilevel"/>
    <w:lvl w:ilvl="0">
      <w:lvlJc w:val="left"/>
      <w:lvlText w:val="(%1)"/>
      <w:numFmt w:val="lowerLetter"/>
      <w:start w:val="2"/>
    </w:lvl>
  </w:abstractNum>
  <w:abstractNum w:abstractNumId="105">
    <w:nsid w:val="45E6D486"/>
    <w:multiLevelType w:val="hybridMultilevel"/>
    <w:lvl w:ilvl="0">
      <w:lvlJc w:val="left"/>
      <w:lvlText w:val="%1."/>
      <w:numFmt w:val="decimal"/>
      <w:start w:val="6"/>
    </w:lvl>
  </w:abstractNum>
  <w:abstractNum w:abstractNumId="106">
    <w:nsid w:val="5C10FE21"/>
    <w:multiLevelType w:val="hybridMultilevel"/>
    <w:lvl w:ilvl="0">
      <w:lvlJc w:val="left"/>
      <w:lvlText w:val="%1."/>
      <w:numFmt w:val="decimal"/>
      <w:start w:val="10"/>
    </w:lvl>
  </w:abstractNum>
  <w:abstractNum w:abstractNumId="107">
    <w:nsid w:val="E7FFA2B"/>
    <w:multiLevelType w:val="hybridMultilevel"/>
    <w:lvl w:ilvl="0">
      <w:lvlJc w:val="left"/>
      <w:lvlText w:val="%1."/>
      <w:numFmt w:val="decimal"/>
      <w:start w:val="1"/>
    </w:lvl>
    <w:lvl w:ilvl="1">
      <w:lvlJc w:val="left"/>
      <w:lvlText w:val="(%2)"/>
      <w:numFmt w:val="upperLetter"/>
      <w:start w:val="1"/>
    </w:lvl>
  </w:abstractNum>
  <w:abstractNum w:abstractNumId="108">
    <w:nsid w:val="3C5991AA"/>
    <w:multiLevelType w:val="hybridMultilevel"/>
    <w:lvl w:ilvl="0">
      <w:lvlJc w:val="left"/>
      <w:lvlText w:val="%1."/>
      <w:numFmt w:val="decimal"/>
      <w:start w:val="2"/>
    </w:lvl>
    <w:lvl w:ilvl="1">
      <w:lvlJc w:val="left"/>
      <w:lvlText w:val="(%2)"/>
      <w:numFmt w:val="upperLetter"/>
      <w:start w:val="1"/>
    </w:lvl>
  </w:abstractNum>
  <w:abstractNum w:abstractNumId="109">
    <w:nsid w:val="4BD8591A"/>
    <w:multiLevelType w:val="hybridMultilevel"/>
    <w:lvl w:ilvl="0">
      <w:lvlJc w:val="left"/>
      <w:lvlText w:val="%1"/>
      <w:numFmt w:val="decimal"/>
      <w:start w:val="1"/>
    </w:lvl>
    <w:lvl w:ilvl="1">
      <w:lvlJc w:val="left"/>
      <w:lvlText w:val="(%2)"/>
      <w:numFmt w:val="upperLetter"/>
      <w:start w:val="5"/>
    </w:lvl>
  </w:abstractNum>
  <w:abstractNum w:abstractNumId="110">
    <w:nsid w:val="78DF6A55"/>
    <w:multiLevelType w:val="hybridMultilevel"/>
    <w:lvl w:ilvl="0">
      <w:lvlJc w:val="left"/>
      <w:lvlText w:val="%1."/>
      <w:numFmt w:val="decimal"/>
      <w:start w:val="5"/>
    </w:lvl>
    <w:lvl w:ilvl="1">
      <w:lvlJc w:val="left"/>
      <w:lvlText w:val="%2"/>
      <w:numFmt w:val="upperLetter"/>
      <w:start w:val="1"/>
    </w:lvl>
  </w:abstractNum>
  <w:abstractNum w:abstractNumId="111">
    <w:nsid w:val="39B7AAA2"/>
    <w:multiLevelType w:val="hybridMultilevel"/>
    <w:lvl w:ilvl="0">
      <w:lvlJc w:val="left"/>
      <w:lvlText w:val="%1."/>
      <w:numFmt w:val="decimal"/>
      <w:start w:val="6"/>
    </w:lvl>
  </w:abstractNum>
  <w:abstractNum w:abstractNumId="112">
    <w:nsid w:val="2B0D8DBE"/>
    <w:multiLevelType w:val="hybridMultilevel"/>
    <w:lvl w:ilvl="0">
      <w:lvlJc w:val="left"/>
      <w:lvlText w:val="%1"/>
      <w:numFmt w:val="decimal"/>
      <w:start w:val="1"/>
    </w:lvl>
    <w:lvl w:ilvl="1">
      <w:lvlJc w:val="left"/>
      <w:lvlText w:val="(%2)"/>
      <w:numFmt w:val="upperLetter"/>
      <w:start w:val="1"/>
    </w:lvl>
  </w:abstractNum>
  <w:abstractNum w:abstractNumId="113">
    <w:nsid w:val="6C80EC70"/>
    <w:multiLevelType w:val="hybridMultilevel"/>
    <w:lvl w:ilvl="0">
      <w:lvlJc w:val="left"/>
      <w:lvlText w:val="%1."/>
      <w:numFmt w:val="decimal"/>
      <w:start w:val="7"/>
    </w:lvl>
    <w:lvl w:ilvl="1">
      <w:lvlJc w:val="left"/>
      <w:lvlText w:val="(%2)"/>
      <w:numFmt w:val="upperLetter"/>
      <w:start w:val="1"/>
    </w:lvl>
  </w:abstractNum>
  <w:abstractNum w:abstractNumId="114">
    <w:nsid w:val="379E21B5"/>
    <w:multiLevelType w:val="hybridMultilevel"/>
    <w:lvl w:ilvl="0">
      <w:lvlJc w:val="left"/>
      <w:lvlText w:val="%1."/>
      <w:numFmt w:val="decimal"/>
      <w:start w:val="11"/>
    </w:lvl>
  </w:abstractNum>
  <w:abstractNum w:abstractNumId="115">
    <w:nsid w:val="69E373"/>
    <w:multiLevelType w:val="hybridMultilevel"/>
    <w:lvl w:ilvl="0">
      <w:lvlJc w:val="left"/>
      <w:lvlText w:val="*"/>
      <w:numFmt w:val="bullet"/>
      <w:start w:val="1"/>
    </w:lvl>
  </w:abstractNum>
  <w:abstractNum w:abstractNumId="116">
    <w:nsid w:val="2C27173B"/>
    <w:multiLevelType w:val="hybridMultilevel"/>
    <w:lvl w:ilvl="0">
      <w:lvlJc w:val="left"/>
      <w:lvlText w:val="%1."/>
      <w:numFmt w:val="decimal"/>
      <w:start w:val="1"/>
    </w:lvl>
    <w:lvl w:ilvl="1">
      <w:lvlJc w:val="left"/>
      <w:lvlText w:val="%2)"/>
      <w:numFmt w:val="lowerLetter"/>
      <w:start w:val="1"/>
    </w:lvl>
  </w:abstractNum>
  <w:abstractNum w:abstractNumId="117">
    <w:nsid w:val="4C9B0904"/>
    <w:multiLevelType w:val="hybridMultilevel"/>
    <w:lvl w:ilvl="0">
      <w:lvlJc w:val="left"/>
      <w:lvlText w:val="%1."/>
      <w:numFmt w:val="decimal"/>
      <w:start w:val="1"/>
    </w:lvl>
    <w:lvl w:ilvl="1">
      <w:lvlJc w:val="left"/>
      <w:lvlText w:val="%2)"/>
      <w:numFmt w:val="lowerLetter"/>
      <w:start w:val="1"/>
    </w:lvl>
  </w:abstractNum>
  <w:abstractNum w:abstractNumId="118">
    <w:nsid w:val="6AA7B75C"/>
    <w:multiLevelType w:val="hybridMultilevel"/>
    <w:lvl w:ilvl="0">
      <w:lvlJc w:val="left"/>
      <w:lvlText w:val="(%1)"/>
      <w:numFmt w:val="decimal"/>
      <w:start w:val="1"/>
    </w:lvl>
  </w:abstractNum>
  <w:abstractNum w:abstractNumId="119">
    <w:nsid w:val="1DF029D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25" Type="http://schemas.openxmlformats.org/officeDocument/2006/relationships/image" Target="media/image99.png"/><Relationship Id="rId126" Type="http://schemas.openxmlformats.org/officeDocument/2006/relationships/image" Target="media/image100.png"/><Relationship Id="rId145" Type="http://schemas.openxmlformats.org/officeDocument/2006/relationships/image" Target="media/image101.png"/><Relationship Id="rId146" Type="http://schemas.openxmlformats.org/officeDocument/2006/relationships/image" Target="media/image102.png"/><Relationship Id="rId155" Type="http://schemas.openxmlformats.org/officeDocument/2006/relationships/image" Target="media/image103.png"/><Relationship Id="rId156" Type="http://schemas.openxmlformats.org/officeDocument/2006/relationships/image" Target="media/image104.png"/><Relationship Id="rId157" Type="http://schemas.openxmlformats.org/officeDocument/2006/relationships/image" Target="media/image105.png"/><Relationship Id="rId158" Type="http://schemas.openxmlformats.org/officeDocument/2006/relationships/image" Target="media/image106.png"/><Relationship Id="rId159" Type="http://schemas.openxmlformats.org/officeDocument/2006/relationships/image" Target="media/image107.png"/><Relationship Id="rId160" Type="http://schemas.openxmlformats.org/officeDocument/2006/relationships/image" Target="media/image108.png"/><Relationship Id="rId161" Type="http://schemas.openxmlformats.org/officeDocument/2006/relationships/image" Target="media/image109.png"/><Relationship Id="rId162" Type="http://schemas.openxmlformats.org/officeDocument/2006/relationships/image" Target="media/image110.png"/><Relationship Id="rId163" Type="http://schemas.openxmlformats.org/officeDocument/2006/relationships/image" Target="media/image111.png"/><Relationship Id="rId164" Type="http://schemas.openxmlformats.org/officeDocument/2006/relationships/image" Target="media/image112.png"/><Relationship Id="rId165" Type="http://schemas.openxmlformats.org/officeDocument/2006/relationships/image" Target="media/image113.png"/><Relationship Id="rId166" Type="http://schemas.openxmlformats.org/officeDocument/2006/relationships/image" Target="media/image114.png"/><Relationship Id="rId167" Type="http://schemas.openxmlformats.org/officeDocument/2006/relationships/image" Target="media/image115.png"/><Relationship Id="rId168" Type="http://schemas.openxmlformats.org/officeDocument/2006/relationships/image" Target="media/image116.png"/><Relationship Id="rId169" Type="http://schemas.openxmlformats.org/officeDocument/2006/relationships/image" Target="media/image117.png"/><Relationship Id="rId170" Type="http://schemas.openxmlformats.org/officeDocument/2006/relationships/image" Target="media/image118.png"/><Relationship Id="rId171" Type="http://schemas.openxmlformats.org/officeDocument/2006/relationships/image" Target="media/image119.png"/><Relationship Id="rId172" Type="http://schemas.openxmlformats.org/officeDocument/2006/relationships/image" Target="media/image120.png"/><Relationship Id="rId173" Type="http://schemas.openxmlformats.org/officeDocument/2006/relationships/image" Target="media/image121.png"/><Relationship Id="rId174" Type="http://schemas.openxmlformats.org/officeDocument/2006/relationships/image" Target="media/image122.png"/><Relationship Id="rId175" Type="http://schemas.openxmlformats.org/officeDocument/2006/relationships/image" Target="media/image123.png"/><Relationship Id="rId176" Type="http://schemas.openxmlformats.org/officeDocument/2006/relationships/image" Target="media/image124.png"/><Relationship Id="rId177" Type="http://schemas.openxmlformats.org/officeDocument/2006/relationships/image" Target="media/image125.png"/><Relationship Id="rId178" Type="http://schemas.openxmlformats.org/officeDocument/2006/relationships/image" Target="media/image126.png"/><Relationship Id="rId179" Type="http://schemas.openxmlformats.org/officeDocument/2006/relationships/image" Target="media/image127.png"/><Relationship Id="rId180" Type="http://schemas.openxmlformats.org/officeDocument/2006/relationships/image" Target="media/image128.png"/><Relationship Id="rId181" Type="http://schemas.openxmlformats.org/officeDocument/2006/relationships/image" Target="media/image129.png"/><Relationship Id="rId182" Type="http://schemas.openxmlformats.org/officeDocument/2006/relationships/image" Target="media/image130.png"/><Relationship Id="rId183" Type="http://schemas.openxmlformats.org/officeDocument/2006/relationships/image" Target="media/image131.png"/><Relationship Id="rId184" Type="http://schemas.openxmlformats.org/officeDocument/2006/relationships/image" Target="media/image132.png"/><Relationship Id="rId185" Type="http://schemas.openxmlformats.org/officeDocument/2006/relationships/image" Target="media/image133.png"/><Relationship Id="rId186" Type="http://schemas.openxmlformats.org/officeDocument/2006/relationships/image" Target="media/image134.png"/><Relationship Id="rId106" Type="http://schemas.openxmlformats.org/officeDocument/2006/relationships/hyperlink" Target="https://www.sec.gov/Archives/edgar/data/16732/000095010323011620/dp198090_ex0201.htm" TargetMode="External"/><Relationship Id="rId107" Type="http://schemas.openxmlformats.org/officeDocument/2006/relationships/hyperlink" Target="http://www.sec.gov/Archives/edgar/data/16732/000089322002001206/w64292exv3wxiy.txt" TargetMode="External"/><Relationship Id="rId108" Type="http://schemas.openxmlformats.org/officeDocument/2006/relationships/hyperlink" Target="https://www.sec.gov/Archives/edgar/data/16732/000001673223000065/by-lawsofcampbellsoupcompa.htm" TargetMode="External"/><Relationship Id="rId109" Type="http://schemas.openxmlformats.org/officeDocument/2006/relationships/hyperlink" Target="http://www.sec.gov/Archives/edgar/data/16732/000095010308002875/dp11895_ex4a.htm" TargetMode="External"/><Relationship Id="rId110" Type="http://schemas.openxmlformats.org/officeDocument/2006/relationships/hyperlink" Target="http://www.sec.gov/Archives/edgar/data/16732/000119312512330540/d385353dex41.htm" TargetMode="External"/><Relationship Id="rId111" Type="http://schemas.openxmlformats.org/officeDocument/2006/relationships/hyperlink" Target="https://www.sec.gov/Archives/edgar/data/16732/000119312520259691/d57612dex42.htm" TargetMode="External"/><Relationship Id="rId112" Type="http://schemas.openxmlformats.org/officeDocument/2006/relationships/hyperlink" Target="http://www.sec.gov/Archives/edgar/data/16732/000119312515097806/d801200dex41.htm" TargetMode="External"/><Relationship Id="rId113" Type="http://schemas.openxmlformats.org/officeDocument/2006/relationships/hyperlink" Target="https://www.sec.gov/Archives/edgar/data/16732/000119312523215040/d441929dex42.htm" TargetMode="External"/><Relationship Id="rId114" Type="http://schemas.openxmlformats.org/officeDocument/2006/relationships/hyperlink" Target="https://www.sec.gov/Archives/edgar/data/16732/000119312523215040/d441929dex43.htm" TargetMode="External"/><Relationship Id="rId115" Type="http://schemas.openxmlformats.org/officeDocument/2006/relationships/hyperlink" Target="http://www.sec.gov/Archives/edgar/data/16732/000119312515097806/d801200dex42.htm" TargetMode="External"/><Relationship Id="rId116" Type="http://schemas.openxmlformats.org/officeDocument/2006/relationships/hyperlink" Target="http://www.sec.gov/Archives/edgar/data/16732/000095015918000106/ex4-2_5.htm" TargetMode="External"/><Relationship Id="rId117" Type="http://schemas.openxmlformats.org/officeDocument/2006/relationships/hyperlink" Target="http://www.sec.gov/Archives/edgar/data/16732/000095015918000106/ex4-2_6.htm" TargetMode="External"/><Relationship Id="rId118" Type="http://schemas.openxmlformats.org/officeDocument/2006/relationships/hyperlink" Target="http://www.sec.gov/Archives/edgar/data/16732/000095015918000106/ex4-2_7.htm" TargetMode="External"/><Relationship Id="rId119" Type="http://schemas.openxmlformats.org/officeDocument/2006/relationships/hyperlink" Target="https://www.sec.gov/Archives/edgar/data/16732/000119312520119114/d916212dex421.htm" TargetMode="External"/><Relationship Id="rId120" Type="http://schemas.openxmlformats.org/officeDocument/2006/relationships/hyperlink" Target="http://www.sec.gov/Archives/edgar/data/16732/000119312520119114/d916212dex422.htm" TargetMode="External"/><Relationship Id="rId121" Type="http://schemas.openxmlformats.org/officeDocument/2006/relationships/hyperlink" Target="https://www.sec.gov/Archives/edgar/data/16732/000001673219000070/cpb-7292018x10xkxexb4p.htm" TargetMode="External"/><Relationship Id="rId122" Type="http://schemas.openxmlformats.org/officeDocument/2006/relationships/hyperlink" Target="http://www.sec.gov/Archives/edgar/data/16732/000095012310092073/w79419def14a.htm" TargetMode="External"/><Relationship Id="rId123" Type="http://schemas.openxmlformats.org/officeDocument/2006/relationships/hyperlink" Target="http://www.sec.gov/Archives/edgar/data/16732/000119312515341359/d35422ddef14a.htm" TargetMode="External"/><Relationship Id="rId124" Type="http://schemas.openxmlformats.org/officeDocument/2006/relationships/hyperlink" Target="https://www.sec.gov/Archives/edgar/data/16732/000120677422002551/cpb4080901-def14a.htm" TargetMode="External"/><Relationship Id="rId127" Type="http://schemas.openxmlformats.org/officeDocument/2006/relationships/hyperlink" Target="http://www.sec.gov/Archives/edgar/data/16732/000119312514360923/d773216ddef14a.htm" TargetMode="External"/><Relationship Id="rId128" Type="http://schemas.openxmlformats.org/officeDocument/2006/relationships/hyperlink" Target="http://www.sec.gov/Archives/edgar/data/16732/000089322009000515/w73131exv10wxay.htm" TargetMode="External"/><Relationship Id="rId129" Type="http://schemas.openxmlformats.org/officeDocument/2006/relationships/hyperlink" Target="http://www.sec.gov/Archives/edgar/data/16732/000095012311023447/w81833exv10wxay.htm" TargetMode="External"/><Relationship Id="rId130" Type="http://schemas.openxmlformats.org/officeDocument/2006/relationships/hyperlink" Target="http://www.sec.gov/Archives/edgar/data/16732/000089322000001180/w41784ex10-e.txt" TargetMode="External"/><Relationship Id="rId131" Type="http://schemas.openxmlformats.org/officeDocument/2006/relationships/hyperlink" Target="http://www.sec.gov/Archives/edgar/data/16732/000001673217000025/exhibit4c-campbellsoupcomp.htm" TargetMode="External"/><Relationship Id="rId132" Type="http://schemas.openxmlformats.org/officeDocument/2006/relationships/hyperlink" Target="http://www.sec.gov/Archives/edgar/data/16732/000001673217000058/cpb-7302017x10xkxexb10i.htm" TargetMode="External"/><Relationship Id="rId133" Type="http://schemas.openxmlformats.org/officeDocument/2006/relationships/hyperlink" Target="http://www.sec.gov/Archives/edgar/data/16732/000001673217000058/cpb-7302017x10xkxexb10j.htm" TargetMode="External"/><Relationship Id="rId134" Type="http://schemas.openxmlformats.org/officeDocument/2006/relationships/hyperlink" Target="http://www.sec.gov/Archives/edgar/data/16732/000095012311087197/w83891exv10wm.htm" TargetMode="External"/><Relationship Id="rId135" Type="http://schemas.openxmlformats.org/officeDocument/2006/relationships/hyperlink" Target="http://www.sec.gov/Archives/edgar/data/16732/000001673216000146/cpb-7312016x10xkxexb10o.htm" TargetMode="External"/><Relationship Id="rId136" Type="http://schemas.openxmlformats.org/officeDocument/2006/relationships/hyperlink" Target="http://www.sec.gov/Archives/edgar/data/16732/000089322009000515/w73131exv10wxcy.htm" TargetMode="External"/><Relationship Id="rId137" Type="http://schemas.openxmlformats.org/officeDocument/2006/relationships/hyperlink" Target="http://www.sec.gov/Archives/edgar/data/16732/000095012311023447/w81833exv10wxcy.htm" TargetMode="External"/><Relationship Id="rId138" Type="http://schemas.openxmlformats.org/officeDocument/2006/relationships/hyperlink" Target="http://www.sec.gov/Archives/edgar/data/16732/000001673215000059/cpb-1112015xexb10.htm" TargetMode="External"/><Relationship Id="rId139" Type="http://schemas.openxmlformats.org/officeDocument/2006/relationships/hyperlink" Target="http://www.sec.gov/Archives/edgar/data/16732/000001673216000146/cpb-7312046xexb10dd.htm" TargetMode="External"/><Relationship Id="rId140" Type="http://schemas.openxmlformats.org/officeDocument/2006/relationships/hyperlink" Target="http://www.sec.gov/Archives/edgar/data/16732/000001673216000173/cpb-10302016xexbx10b.htm" TargetMode="External"/><Relationship Id="rId141" Type="http://schemas.openxmlformats.org/officeDocument/2006/relationships/hyperlink" Target="http://www.sec.gov/Archives/edgar/data/16732/000001673216000146/cpb-7312016xexb10ff.htm" TargetMode="External"/><Relationship Id="rId142" Type="http://schemas.openxmlformats.org/officeDocument/2006/relationships/hyperlink" Target="http://www.sec.gov/Archives/edgar/data/16732/000001673216000173/cpb-10302016xexbx10c.htm" TargetMode="External"/><Relationship Id="rId143" Type="http://schemas.openxmlformats.org/officeDocument/2006/relationships/hyperlink" Target="https://www.sec.gov/Archives/edgar/data/16732/000001673221000103/cpb-812021x10xkexb10s.htm" TargetMode="External"/><Relationship Id="rId144" Type="http://schemas.openxmlformats.org/officeDocument/2006/relationships/hyperlink" Target="https://www.sec.gov/Archives/edgar/data/16732/000001673221000103/cpb-812021x10xkxex10t.htm" TargetMode="External"/><Relationship Id="rId147" Type="http://schemas.openxmlformats.org/officeDocument/2006/relationships/hyperlink" Target="https://www.sec.gov/Archives/edgar/data/16732/000119312521284156/d216246dex10.htm" TargetMode="External"/><Relationship Id="rId148" Type="http://schemas.openxmlformats.org/officeDocument/2006/relationships/hyperlink" Target="https://www.sec.gov/Archives/edgar/data/16732/000001673223000076/ex101soframendment.htm" TargetMode="External"/><Relationship Id="rId149" Type="http://schemas.openxmlformats.org/officeDocument/2006/relationships/hyperlink" Target="https://www.sec.gov/Archives/edgar/data/16732/000001673222000156/cpb-exb101x10302022x10xq.htm" TargetMode="External"/><Relationship Id="rId150" Type="http://schemas.openxmlformats.org/officeDocument/2006/relationships/hyperlink" Target="http://www.sec.gov/Archives/edgar/data/16732/000001673219000024/cpb-10282018x10xqxexb10b.htm" TargetMode="External"/><Relationship Id="rId151" Type="http://schemas.openxmlformats.org/officeDocument/2006/relationships/hyperlink" Target="https://www.sec.gov/Archives/edgar/data/16732/000001673220000111/cpb-exhibit10bb.htm" TargetMode="External"/><Relationship Id="rId152" Type="http://schemas.openxmlformats.org/officeDocument/2006/relationships/hyperlink" Target="https://www.sec.gov/Archives/edgar/data/16732/000001673221000034/cpb-ex101x1312021x10xq.htm" TargetMode="External"/><Relationship Id="rId153" Type="http://schemas.openxmlformats.org/officeDocument/2006/relationships/hyperlink" Target="http://www.sec.gov/Archives/edgar/data/16732/000162828019003777/exhibit10.htm" TargetMode="External"/><Relationship Id="rId154" Type="http://schemas.openxmlformats.org/officeDocument/2006/relationships/hyperlink" Target="https://www.sec.gov/Archives/edgar/data/16732/000095010323011620/dp198090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2023-09-21T06:38:56Z</dcterms:created>
  <dcterms:modified xsi:type="dcterms:W3CDTF">2023-09-21T06:38:56Z</dcterms:modified>
</cp:coreProperties>
</file>