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ANNUAL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ectPr>
          <w:pgSz w:w="11900" w:h="16838" w:orient="portrait"/>
          <w:cols w:equalWidth="0" w:num="1">
            <w:col w:w="11240"/>
          </w:cols>
          <w:pgMar w:left="320" w:top="1029" w:right="339" w:bottom="1440" w:gutter="0" w:footer="0" w:header="0"/>
        </w:sectPr>
      </w:pPr>
    </w:p>
    <w:p>
      <w:pPr>
        <w:spacing w:after="0" w:line="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For the Fiscal Year Ended</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63" w:lineRule="exact"/>
        <w:rPr>
          <w:sz w:val="24"/>
          <w:szCs w:val="24"/>
          <w:color w:val="auto"/>
        </w:rPr>
      </w:pPr>
    </w:p>
    <w:p>
      <w:pPr>
        <w:sectPr>
          <w:pgSz w:w="11900" w:h="16838" w:orient="portrait"/>
          <w:cols w:equalWidth="0" w:num="2">
            <w:col w:w="7860" w:space="720"/>
            <w:col w:w="2660"/>
          </w:cols>
          <w:pgMar w:left="320" w:top="1029" w:right="3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b w:val="1"/>
          <w:bCs w:val="1"/>
          <w:color w:val="auto"/>
        </w:rPr>
        <w:t>August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105410</wp:posOffset>
            </wp:positionV>
            <wp:extent cx="1474470"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5403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1-3822</w:t>
      </w:r>
    </w:p>
    <w:p>
      <w:pPr>
        <w:spacing w:after="0" w:line="211" w:lineRule="exact"/>
        <w:rPr>
          <w:sz w:val="24"/>
          <w:szCs w:val="24"/>
          <w:color w:val="auto"/>
        </w:rPr>
      </w:pPr>
    </w:p>
    <w:p>
      <w:pPr>
        <w:sectPr>
          <w:pgSz w:w="11900" w:h="16838" w:orient="portrait"/>
          <w:cols w:equalWidth="0" w:num="2">
            <w:col w:w="8600" w:space="720"/>
            <w:col w:w="1920"/>
          </w:cols>
          <w:pgMar w:left="320" w:top="1029"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CAMPBELL SOUP COMPANY</w:t>
      </w:r>
    </w:p>
    <w:p>
      <w:pPr>
        <w:sectPr>
          <w:pgSz w:w="11900" w:h="16838" w:orient="portrait"/>
          <w:cols w:equalWidth="0" w:num="1">
            <w:col w:w="11240"/>
          </w:cols>
          <w:pgMar w:left="320" w:top="1029" w:right="339" w:bottom="1440" w:gutter="0" w:footer="0" w:header="0"/>
          <w:type w:val="continuous"/>
        </w:sectPr>
      </w:pPr>
    </w:p>
    <w:p>
      <w:pPr>
        <w:spacing w:after="0" w:line="75"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New Jersey</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21-0419870</w:t>
      </w:r>
    </w:p>
    <w:p>
      <w:pPr>
        <w:spacing w:after="0" w:line="77" w:lineRule="exact"/>
        <w:rPr>
          <w:sz w:val="24"/>
          <w:szCs w:val="24"/>
          <w:color w:val="auto"/>
        </w:rPr>
      </w:pPr>
    </w:p>
    <w:p>
      <w:pPr>
        <w:sectPr>
          <w:pgSz w:w="11900" w:h="16838" w:orient="portrait"/>
          <w:cols w:equalWidth="0" w:num="2">
            <w:col w:w="7220" w:space="720"/>
            <w:col w:w="3300"/>
          </w:cols>
          <w:pgMar w:left="320" w:top="1029" w:right="3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7"/>
          <w:szCs w:val="17"/>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142" w:lineRule="exact"/>
        <w:rPr>
          <w:sz w:val="24"/>
          <w:szCs w:val="24"/>
          <w:color w:val="auto"/>
        </w:rPr>
      </w:pPr>
    </w:p>
    <w:p>
      <w:pPr>
        <w:sectPr>
          <w:pgSz w:w="11900" w:h="16838" w:orient="portrait"/>
          <w:cols w:equalWidth="0" w:num="2">
            <w:col w:w="6420" w:space="720"/>
            <w:col w:w="4100"/>
          </w:cols>
          <w:pgMar w:left="320" w:top="10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 Campbell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Camden, New Jersey 08103-1799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(856) 342-4800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240"/>
          </w:cols>
          <w:pgMar w:left="320" w:top="1029" w:right="339" w:bottom="1440" w:gutter="0" w:footer="0" w:header="0"/>
          <w:type w:val="continuous"/>
        </w:sectPr>
      </w:pPr>
    </w:p>
    <w:p>
      <w:pPr>
        <w:spacing w:after="0" w:line="52"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78" w:lineRule="exact"/>
        <w:rPr>
          <w:sz w:val="24"/>
          <w:szCs w:val="24"/>
          <w:color w:val="auto"/>
        </w:rPr>
      </w:pPr>
    </w:p>
    <w:p>
      <w:pPr>
        <w:sectPr>
          <w:pgSz w:w="11900" w:h="16838" w:orient="portrait"/>
          <w:cols w:equalWidth="0" w:num="3">
            <w:col w:w="4260" w:space="720"/>
            <w:col w:w="1520" w:space="720"/>
            <w:col w:w="4020"/>
          </w:cols>
          <w:pgMar w:left="320" w:top="1029"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8"/>
          <w:szCs w:val="18"/>
          <w:color w:val="auto"/>
        </w:rPr>
        <w:t>Capital Stock, par value $.0375</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17"/>
          <w:szCs w:val="17"/>
          <w:color w:val="auto"/>
        </w:rPr>
        <w:t>CPB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51" w:lineRule="exact"/>
        <w:rPr>
          <w:sz w:val="24"/>
          <w:szCs w:val="24"/>
          <w:color w:val="auto"/>
        </w:rPr>
      </w:pPr>
    </w:p>
    <w:p>
      <w:pPr>
        <w:sectPr>
          <w:pgSz w:w="11900" w:h="16838" w:orient="portrait"/>
          <w:cols w:equalWidth="0" w:num="3">
            <w:col w:w="4720" w:space="720"/>
            <w:col w:w="1840" w:space="720"/>
            <w:col w:w="3240"/>
          </w:cols>
          <w:pgMar w:left="320" w:top="10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6" w:lineRule="exact"/>
        <w:rPr>
          <w:sz w:val="24"/>
          <w:szCs w:val="24"/>
          <w:color w:val="auto"/>
        </w:rPr>
      </w:pPr>
    </w:p>
    <w:p>
      <w:pPr>
        <w:ind w:left="340" w:right="150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333333"/>
        </w:rPr>
        <w:t>☐</w:t>
      </w:r>
      <w:r>
        <w:rPr>
          <w:rFonts w:ascii="Times New Roman" w:cs="Times New Roman" w:eastAsia="Times New Roman" w:hAnsi="Times New Roman"/>
          <w:sz w:val="18"/>
          <w:szCs w:val="18"/>
          <w:color w:val="auto"/>
        </w:rPr>
        <w:t xml:space="preserve"> No Indicate by check mark if the registrant is not required to file reports pursuant to Section 13 or 15(d) of the Act. </w:t>
      </w:r>
      <w:r>
        <w:rPr>
          <w:rFonts w:ascii="MS PGothic" w:cs="MS PGothic" w:eastAsia="MS PGothic" w:hAnsi="MS PGothic"/>
          <w:sz w:val="18"/>
          <w:szCs w:val="18"/>
          <w:color w:val="333333"/>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w:t>
      </w:r>
    </w:p>
    <w:p>
      <w:pPr>
        <w:spacing w:after="0" w:line="16"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333333"/>
        </w:rPr>
        <w:t>☐</w:t>
      </w:r>
      <w:r>
        <w:rPr>
          <w:rFonts w:ascii="Times New Roman" w:cs="Times New Roman" w:eastAsia="Times New Roman" w:hAnsi="Times New Roman"/>
          <w:sz w:val="18"/>
          <w:szCs w:val="18"/>
          <w:color w:val="auto"/>
        </w:rPr>
        <w:t xml:space="preserve"> No</w:t>
      </w:r>
    </w:p>
    <w:p>
      <w:pPr>
        <w:spacing w:after="0" w:line="16"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333333"/>
        </w:rPr>
        <w:t>☐</w:t>
      </w:r>
      <w:r>
        <w:rPr>
          <w:rFonts w:ascii="Times New Roman" w:cs="Times New Roman" w:eastAsia="Times New Roman" w:hAnsi="Times New Roman"/>
          <w:sz w:val="18"/>
          <w:szCs w:val="18"/>
          <w:color w:val="auto"/>
        </w:rPr>
        <w:t xml:space="preserve"> No</w:t>
      </w:r>
    </w:p>
    <w:p>
      <w:pPr>
        <w:spacing w:after="0" w:line="17" w:lineRule="exact"/>
        <w:rPr>
          <w:sz w:val="24"/>
          <w:szCs w:val="24"/>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440" w:type="dxa"/>
        <w:tblCellMar>
          <w:top w:w="0" w:type="dxa"/>
          <w:left w:w="0" w:type="dxa"/>
          <w:bottom w:w="0" w:type="dxa"/>
          <w:right w:w="0" w:type="dxa"/>
        </w:tblCellMar>
      </w:tblPr>
      <w:tr>
        <w:trPr>
          <w:trHeight w:val="32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3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3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3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97"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3" w:lineRule="exact"/>
        <w:rPr>
          <w:sz w:val="24"/>
          <w:szCs w:val="24"/>
          <w:color w:val="auto"/>
        </w:rPr>
      </w:pPr>
    </w:p>
    <w:p>
      <w:pPr>
        <w:jc w:val="both"/>
        <w:ind w:firstLine="324"/>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333333"/>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w:t>
      </w:r>
    </w:p>
    <w:p>
      <w:pPr>
        <w:spacing w:after="0" w:line="2"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closing price on the New York Stock Exchange on January 24, 2020 (the last business day of the registrant’s most recently completed second fiscal quarter), the aggregate market value of capital stock held by non-affiliates of the registrant was approximately $ 9,425,850,414. There were 302,271,127 shares of capital stock outstanding as of September 16, 2020.</w:t>
      </w:r>
    </w:p>
    <w:p>
      <w:pPr>
        <w:spacing w:after="0" w:line="1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Portions of the Registrant’s Proxy Statement for the 2020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17"/>
                <w:szCs w:val="17"/>
                <w:color w:val="auto"/>
              </w:rPr>
            </w:pPr>
          </w:p>
        </w:tc>
      </w:tr>
      <w:tr>
        <w:trPr>
          <w:trHeight w:val="515"/>
        </w:trPr>
        <w:tc>
          <w:tcPr>
            <w:tcW w:w="4620" w:type="dxa"/>
            <w:vAlign w:val="bottom"/>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PART I</w:t>
              </w:r>
            </w:hyperlink>
          </w:p>
        </w:tc>
        <w:tc>
          <w:tcPr>
            <w:tcW w:w="192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0"/>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 1. Business</w:t>
              </w:r>
            </w:hyperlink>
          </w:p>
        </w:tc>
        <w:tc>
          <w:tcPr>
            <w:tcW w:w="480" w:type="dxa"/>
            <w:vAlign w:val="bottom"/>
          </w:tcPr>
          <w:p>
            <w:pPr>
              <w:ind w:left="30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r>
      <w:tr>
        <w:trPr>
          <w:trHeight w:val="229"/>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Item 1A. Risk Factors</w:t>
              </w:r>
            </w:hyperlink>
          </w:p>
        </w:tc>
        <w:tc>
          <w:tcPr>
            <w:tcW w:w="480" w:type="dxa"/>
            <w:vAlign w:val="bottom"/>
          </w:tcPr>
          <w:p>
            <w:pPr>
              <w:ind w:left="30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6</w:t>
              </w:r>
            </w:hyperlink>
          </w:p>
        </w:tc>
      </w:tr>
      <w:tr>
        <w:trPr>
          <w:trHeight w:val="230"/>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12">
              <w:r>
                <w:rPr>
                  <w:rFonts w:ascii="Times New Roman" w:cs="Times New Roman" w:eastAsia="Times New Roman" w:hAnsi="Times New Roman"/>
                  <w:sz w:val="18"/>
                  <w:szCs w:val="18"/>
                  <w:color w:val="0000FF"/>
                </w:rPr>
                <w:t>Item 1B. Unresolved Staff Comments</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12">
              <w:r>
                <w:rPr>
                  <w:rFonts w:ascii="Times New Roman" w:cs="Times New Roman" w:eastAsia="Times New Roman" w:hAnsi="Times New Roman"/>
                  <w:sz w:val="18"/>
                  <w:szCs w:val="18"/>
                  <w:color w:val="0000FF"/>
                  <w:w w:val="88"/>
                </w:rPr>
                <w:t>12</w:t>
              </w:r>
            </w:hyperlink>
          </w:p>
        </w:tc>
      </w:tr>
      <w:tr>
        <w:trPr>
          <w:trHeight w:val="229"/>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12">
              <w:r>
                <w:rPr>
                  <w:rFonts w:ascii="Times New Roman" w:cs="Times New Roman" w:eastAsia="Times New Roman" w:hAnsi="Times New Roman"/>
                  <w:sz w:val="18"/>
                  <w:szCs w:val="18"/>
                  <w:color w:val="0000FF"/>
                </w:rPr>
                <w:t>Item 2. Properties</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12">
              <w:r>
                <w:rPr>
                  <w:rFonts w:ascii="Times New Roman" w:cs="Times New Roman" w:eastAsia="Times New Roman" w:hAnsi="Times New Roman"/>
                  <w:sz w:val="18"/>
                  <w:szCs w:val="18"/>
                  <w:color w:val="0000FF"/>
                  <w:w w:val="88"/>
                </w:rPr>
                <w:t>13</w:t>
              </w:r>
            </w:hyperlink>
          </w:p>
        </w:tc>
      </w:tr>
      <w:tr>
        <w:trPr>
          <w:trHeight w:val="229"/>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13">
              <w:r>
                <w:rPr>
                  <w:rFonts w:ascii="Times New Roman" w:cs="Times New Roman" w:eastAsia="Times New Roman" w:hAnsi="Times New Roman"/>
                  <w:sz w:val="18"/>
                  <w:szCs w:val="18"/>
                  <w:color w:val="0000FF"/>
                </w:rPr>
                <w:t>Item 3. Legal Proceedings</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13">
              <w:r>
                <w:rPr>
                  <w:rFonts w:ascii="Times New Roman" w:cs="Times New Roman" w:eastAsia="Times New Roman" w:hAnsi="Times New Roman"/>
                  <w:sz w:val="18"/>
                  <w:szCs w:val="18"/>
                  <w:color w:val="0000FF"/>
                  <w:w w:val="88"/>
                </w:rPr>
                <w:t>13</w:t>
              </w:r>
            </w:hyperlink>
          </w:p>
        </w:tc>
      </w:tr>
      <w:tr>
        <w:trPr>
          <w:trHeight w:val="230"/>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13">
              <w:r>
                <w:rPr>
                  <w:rFonts w:ascii="Times New Roman" w:cs="Times New Roman" w:eastAsia="Times New Roman" w:hAnsi="Times New Roman"/>
                  <w:sz w:val="18"/>
                  <w:szCs w:val="18"/>
                  <w:color w:val="0000FF"/>
                </w:rPr>
                <w:t>Item 4. Mine Safety Disclosures</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13">
              <w:r>
                <w:rPr>
                  <w:rFonts w:ascii="Times New Roman" w:cs="Times New Roman" w:eastAsia="Times New Roman" w:hAnsi="Times New Roman"/>
                  <w:sz w:val="18"/>
                  <w:szCs w:val="18"/>
                  <w:color w:val="0000FF"/>
                  <w:w w:val="88"/>
                </w:rPr>
                <w:t>13</w:t>
              </w:r>
            </w:hyperlink>
          </w:p>
        </w:tc>
      </w:tr>
      <w:tr>
        <w:trPr>
          <w:trHeight w:val="229"/>
        </w:trPr>
        <w:tc>
          <w:tcPr>
            <w:tcW w:w="9380" w:type="dxa"/>
            <w:vAlign w:val="bottom"/>
            <w:gridSpan w:val="3"/>
          </w:tcPr>
          <w:p>
            <w:pPr>
              <w:ind w:left="660"/>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Information about our </w:t>
            </w:r>
            <w:hyperlink w:anchor="page13">
              <w:r>
                <w:rPr>
                  <w:rFonts w:ascii="Times New Roman" w:cs="Times New Roman" w:eastAsia="Times New Roman" w:hAnsi="Times New Roman"/>
                  <w:sz w:val="18"/>
                  <w:szCs w:val="18"/>
                  <w:color w:val="0000FF"/>
                </w:rPr>
                <w:t>Executive Officers</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13">
              <w:r>
                <w:rPr>
                  <w:rFonts w:ascii="Times New Roman" w:cs="Times New Roman" w:eastAsia="Times New Roman" w:hAnsi="Times New Roman"/>
                  <w:sz w:val="18"/>
                  <w:szCs w:val="18"/>
                  <w:color w:val="0000FF"/>
                  <w:w w:val="88"/>
                </w:rPr>
                <w:t>14</w:t>
              </w:r>
            </w:hyperlink>
          </w:p>
        </w:tc>
      </w:tr>
      <w:tr>
        <w:trPr>
          <w:trHeight w:val="229"/>
        </w:trPr>
        <w:tc>
          <w:tcPr>
            <w:tcW w:w="9380" w:type="dxa"/>
            <w:vAlign w:val="bottom"/>
            <w:gridSpan w:val="3"/>
          </w:tcPr>
          <w:p>
            <w:pPr>
              <w:spacing w:after="0"/>
              <w:rPr>
                <w:rFonts w:ascii="Times New Roman" w:cs="Times New Roman" w:eastAsia="Times New Roman" w:hAnsi="Times New Roman"/>
                <w:sz w:val="18"/>
                <w:szCs w:val="18"/>
                <w:color w:val="0000FF"/>
              </w:rPr>
            </w:pPr>
            <w:hyperlink w:anchor="page14">
              <w:r>
                <w:rPr>
                  <w:rFonts w:ascii="Times New Roman" w:cs="Times New Roman" w:eastAsia="Times New Roman" w:hAnsi="Times New Roman"/>
                  <w:sz w:val="18"/>
                  <w:szCs w:val="18"/>
                  <w:color w:val="0000FF"/>
                </w:rPr>
                <w:t>PART II</w:t>
              </w:r>
            </w:hyperlink>
          </w:p>
        </w:tc>
        <w:tc>
          <w:tcPr>
            <w:tcW w:w="480" w:type="dxa"/>
            <w:vAlign w:val="bottom"/>
          </w:tcPr>
          <w:p>
            <w:pPr>
              <w:spacing w:after="0"/>
              <w:rPr>
                <w:sz w:val="19"/>
                <w:szCs w:val="19"/>
                <w:color w:val="auto"/>
              </w:rPr>
            </w:pPr>
          </w:p>
        </w:tc>
      </w:tr>
      <w:tr>
        <w:trPr>
          <w:trHeight w:val="230"/>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14">
              <w:r>
                <w:rPr>
                  <w:rFonts w:ascii="Times New Roman" w:cs="Times New Roman" w:eastAsia="Times New Roman" w:hAnsi="Times New Roman"/>
                  <w:sz w:val="18"/>
                  <w:szCs w:val="18"/>
                  <w:color w:val="0000FF"/>
                </w:rPr>
                <w:t>Item 5. Market for Registrant’s Capital Stock, Related Shareholder Matters and Issuer Purchases of Equity Securities</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14">
              <w:r>
                <w:rPr>
                  <w:rFonts w:ascii="Times New Roman" w:cs="Times New Roman" w:eastAsia="Times New Roman" w:hAnsi="Times New Roman"/>
                  <w:sz w:val="18"/>
                  <w:szCs w:val="18"/>
                  <w:color w:val="0000FF"/>
                  <w:w w:val="88"/>
                </w:rPr>
                <w:t>14</w:t>
              </w:r>
            </w:hyperlink>
          </w:p>
        </w:tc>
      </w:tr>
      <w:tr>
        <w:trPr>
          <w:trHeight w:val="229"/>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15">
              <w:r>
                <w:rPr>
                  <w:rFonts w:ascii="Times New Roman" w:cs="Times New Roman" w:eastAsia="Times New Roman" w:hAnsi="Times New Roman"/>
                  <w:sz w:val="18"/>
                  <w:szCs w:val="18"/>
                  <w:color w:val="0000FF"/>
                </w:rPr>
                <w:t>Item 6. Selected Financial Data</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15">
              <w:r>
                <w:rPr>
                  <w:rFonts w:ascii="Times New Roman" w:cs="Times New Roman" w:eastAsia="Times New Roman" w:hAnsi="Times New Roman"/>
                  <w:sz w:val="18"/>
                  <w:szCs w:val="18"/>
                  <w:color w:val="0000FF"/>
                  <w:w w:val="88"/>
                </w:rPr>
                <w:t>16</w:t>
              </w:r>
            </w:hyperlink>
          </w:p>
        </w:tc>
      </w:tr>
      <w:tr>
        <w:trPr>
          <w:trHeight w:val="230"/>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color w:val="0000FF"/>
                </w:rPr>
                <w:t>Item 7. Management's Discussion and Analysis of Financial Condition and Results of Operations</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17">
              <w:r>
                <w:rPr>
                  <w:rFonts w:ascii="Times New Roman" w:cs="Times New Roman" w:eastAsia="Times New Roman" w:hAnsi="Times New Roman"/>
                  <w:sz w:val="18"/>
                  <w:szCs w:val="18"/>
                  <w:color w:val="0000FF"/>
                  <w:w w:val="88"/>
                </w:rPr>
                <w:t>18</w:t>
              </w:r>
            </w:hyperlink>
          </w:p>
        </w:tc>
      </w:tr>
      <w:tr>
        <w:trPr>
          <w:trHeight w:val="229"/>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Item 7A. Quantitative and Qualitative Disclosure about Market Risk</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39">
              <w:r>
                <w:rPr>
                  <w:rFonts w:ascii="Times New Roman" w:cs="Times New Roman" w:eastAsia="Times New Roman" w:hAnsi="Times New Roman"/>
                  <w:sz w:val="18"/>
                  <w:szCs w:val="18"/>
                  <w:color w:val="0000FF"/>
                  <w:w w:val="88"/>
                </w:rPr>
                <w:t>39</w:t>
              </w:r>
            </w:hyperlink>
          </w:p>
        </w:tc>
      </w:tr>
      <w:tr>
        <w:trPr>
          <w:trHeight w:val="229"/>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Item 8. Financial Statements and Supplementary Data</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39">
              <w:r>
                <w:rPr>
                  <w:rFonts w:ascii="Times New Roman" w:cs="Times New Roman" w:eastAsia="Times New Roman" w:hAnsi="Times New Roman"/>
                  <w:sz w:val="18"/>
                  <w:szCs w:val="18"/>
                  <w:color w:val="0000FF"/>
                  <w:w w:val="88"/>
                </w:rPr>
                <w:t>40</w:t>
              </w:r>
            </w:hyperlink>
          </w:p>
        </w:tc>
      </w:tr>
      <w:tr>
        <w:trPr>
          <w:trHeight w:val="230"/>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Item 9. Changes in and Disagreements with Accountants on Accounting and Financial Disclosure</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88">
              <w:r>
                <w:rPr>
                  <w:rFonts w:ascii="Times New Roman" w:cs="Times New Roman" w:eastAsia="Times New Roman" w:hAnsi="Times New Roman"/>
                  <w:sz w:val="18"/>
                  <w:szCs w:val="18"/>
                  <w:color w:val="0000FF"/>
                  <w:w w:val="88"/>
                </w:rPr>
                <w:t>89</w:t>
              </w:r>
            </w:hyperlink>
          </w:p>
        </w:tc>
      </w:tr>
      <w:tr>
        <w:trPr>
          <w:trHeight w:val="229"/>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Item 9A. Controls and Procedures</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89">
              <w:r>
                <w:rPr>
                  <w:rFonts w:ascii="Times New Roman" w:cs="Times New Roman" w:eastAsia="Times New Roman" w:hAnsi="Times New Roman"/>
                  <w:sz w:val="18"/>
                  <w:szCs w:val="18"/>
                  <w:color w:val="0000FF"/>
                  <w:w w:val="88"/>
                </w:rPr>
                <w:t>89</w:t>
              </w:r>
            </w:hyperlink>
          </w:p>
        </w:tc>
      </w:tr>
      <w:tr>
        <w:trPr>
          <w:trHeight w:val="229"/>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Item 9B. Other Information</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89">
              <w:r>
                <w:rPr>
                  <w:rFonts w:ascii="Times New Roman" w:cs="Times New Roman" w:eastAsia="Times New Roman" w:hAnsi="Times New Roman"/>
                  <w:sz w:val="18"/>
                  <w:szCs w:val="18"/>
                  <w:color w:val="0000FF"/>
                  <w:w w:val="88"/>
                </w:rPr>
                <w:t>89</w:t>
              </w:r>
            </w:hyperlink>
          </w:p>
        </w:tc>
      </w:tr>
      <w:tr>
        <w:trPr>
          <w:trHeight w:val="230"/>
        </w:trPr>
        <w:tc>
          <w:tcPr>
            <w:tcW w:w="9380" w:type="dxa"/>
            <w:vAlign w:val="bottom"/>
            <w:gridSpan w:val="3"/>
          </w:tcPr>
          <w:p>
            <w:pPr>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PART III</w:t>
              </w:r>
            </w:hyperlink>
          </w:p>
        </w:tc>
        <w:tc>
          <w:tcPr>
            <w:tcW w:w="480" w:type="dxa"/>
            <w:vAlign w:val="bottom"/>
          </w:tcPr>
          <w:p>
            <w:pPr>
              <w:spacing w:after="0"/>
              <w:rPr>
                <w:sz w:val="19"/>
                <w:szCs w:val="19"/>
                <w:color w:val="auto"/>
              </w:rPr>
            </w:pPr>
          </w:p>
        </w:tc>
      </w:tr>
      <w:tr>
        <w:trPr>
          <w:trHeight w:val="229"/>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Item 10. Directors, Executive Officers and Corporate Governance</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89">
              <w:r>
                <w:rPr>
                  <w:rFonts w:ascii="Times New Roman" w:cs="Times New Roman" w:eastAsia="Times New Roman" w:hAnsi="Times New Roman"/>
                  <w:sz w:val="18"/>
                  <w:szCs w:val="18"/>
                  <w:color w:val="0000FF"/>
                  <w:w w:val="88"/>
                </w:rPr>
                <w:t>89</w:t>
              </w:r>
            </w:hyperlink>
          </w:p>
        </w:tc>
      </w:tr>
      <w:tr>
        <w:trPr>
          <w:trHeight w:val="230"/>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Item 11. Executive Compensation</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89">
              <w:r>
                <w:rPr>
                  <w:rFonts w:ascii="Times New Roman" w:cs="Times New Roman" w:eastAsia="Times New Roman" w:hAnsi="Times New Roman"/>
                  <w:sz w:val="18"/>
                  <w:szCs w:val="18"/>
                  <w:color w:val="0000FF"/>
                  <w:w w:val="88"/>
                </w:rPr>
                <w:t>89</w:t>
              </w:r>
            </w:hyperlink>
          </w:p>
        </w:tc>
      </w:tr>
      <w:tr>
        <w:trPr>
          <w:trHeight w:val="229"/>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Item 12. Security Ownership of Certain Beneficial Owners and Management and Related Shareholder Matters</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89">
              <w:r>
                <w:rPr>
                  <w:rFonts w:ascii="Times New Roman" w:cs="Times New Roman" w:eastAsia="Times New Roman" w:hAnsi="Times New Roman"/>
                  <w:sz w:val="18"/>
                  <w:szCs w:val="18"/>
                  <w:color w:val="0000FF"/>
                  <w:w w:val="88"/>
                </w:rPr>
                <w:t>89</w:t>
              </w:r>
            </w:hyperlink>
          </w:p>
        </w:tc>
      </w:tr>
      <w:tr>
        <w:trPr>
          <w:trHeight w:val="229"/>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Item 13. Certain Relationships and Related Transactions, and Director Independence</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90">
              <w:r>
                <w:rPr>
                  <w:rFonts w:ascii="Times New Roman" w:cs="Times New Roman" w:eastAsia="Times New Roman" w:hAnsi="Times New Roman"/>
                  <w:sz w:val="18"/>
                  <w:szCs w:val="18"/>
                  <w:color w:val="0000FF"/>
                  <w:w w:val="88"/>
                </w:rPr>
                <w:t>90</w:t>
              </w:r>
            </w:hyperlink>
          </w:p>
        </w:tc>
      </w:tr>
      <w:tr>
        <w:trPr>
          <w:trHeight w:val="230"/>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Item 14. Principal Accounting Fees and Services</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90">
              <w:r>
                <w:rPr>
                  <w:rFonts w:ascii="Times New Roman" w:cs="Times New Roman" w:eastAsia="Times New Roman" w:hAnsi="Times New Roman"/>
                  <w:sz w:val="18"/>
                  <w:szCs w:val="18"/>
                  <w:color w:val="0000FF"/>
                  <w:w w:val="88"/>
                </w:rPr>
                <w:t>90</w:t>
              </w:r>
            </w:hyperlink>
          </w:p>
        </w:tc>
      </w:tr>
      <w:tr>
        <w:trPr>
          <w:trHeight w:val="230"/>
        </w:trPr>
        <w:tc>
          <w:tcPr>
            <w:tcW w:w="9380" w:type="dxa"/>
            <w:vAlign w:val="bottom"/>
            <w:gridSpan w:val="3"/>
          </w:tcPr>
          <w:p>
            <w:pPr>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PART IV</w:t>
              </w:r>
            </w:hyperlink>
          </w:p>
        </w:tc>
        <w:tc>
          <w:tcPr>
            <w:tcW w:w="480" w:type="dxa"/>
            <w:vAlign w:val="bottom"/>
          </w:tcPr>
          <w:p>
            <w:pPr>
              <w:spacing w:after="0"/>
              <w:rPr>
                <w:sz w:val="19"/>
                <w:szCs w:val="19"/>
                <w:color w:val="auto"/>
              </w:rPr>
            </w:pPr>
          </w:p>
        </w:tc>
      </w:tr>
      <w:tr>
        <w:trPr>
          <w:trHeight w:val="230"/>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Item 15. Exhibits and Financial Statement Schedules</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90">
              <w:r>
                <w:rPr>
                  <w:rFonts w:ascii="Times New Roman" w:cs="Times New Roman" w:eastAsia="Times New Roman" w:hAnsi="Times New Roman"/>
                  <w:sz w:val="18"/>
                  <w:szCs w:val="18"/>
                  <w:color w:val="0000FF"/>
                  <w:w w:val="88"/>
                </w:rPr>
                <w:t>90</w:t>
              </w:r>
            </w:hyperlink>
          </w:p>
        </w:tc>
      </w:tr>
      <w:tr>
        <w:trPr>
          <w:trHeight w:val="230"/>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91">
              <w:r>
                <w:rPr>
                  <w:rFonts w:ascii="Times New Roman" w:cs="Times New Roman" w:eastAsia="Times New Roman" w:hAnsi="Times New Roman"/>
                  <w:sz w:val="18"/>
                  <w:szCs w:val="18"/>
                  <w:color w:val="0000FF"/>
                </w:rPr>
                <w:t>Item 16. Form 10-K Summary</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91">
              <w:r>
                <w:rPr>
                  <w:rFonts w:ascii="Times New Roman" w:cs="Times New Roman" w:eastAsia="Times New Roman" w:hAnsi="Times New Roman"/>
                  <w:sz w:val="18"/>
                  <w:szCs w:val="18"/>
                  <w:color w:val="0000FF"/>
                  <w:w w:val="88"/>
                </w:rPr>
                <w:t>91</w:t>
              </w:r>
            </w:hyperlink>
          </w:p>
        </w:tc>
      </w:tr>
      <w:tr>
        <w:trPr>
          <w:trHeight w:val="229"/>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91">
              <w:r>
                <w:rPr>
                  <w:rFonts w:ascii="Times New Roman" w:cs="Times New Roman" w:eastAsia="Times New Roman" w:hAnsi="Times New Roman"/>
                  <w:sz w:val="18"/>
                  <w:szCs w:val="18"/>
                  <w:color w:val="0000FF"/>
                </w:rPr>
                <w:t>Index to Exhibits</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91">
              <w:r>
                <w:rPr>
                  <w:rFonts w:ascii="Times New Roman" w:cs="Times New Roman" w:eastAsia="Times New Roman" w:hAnsi="Times New Roman"/>
                  <w:sz w:val="18"/>
                  <w:szCs w:val="18"/>
                  <w:color w:val="0000FF"/>
                  <w:w w:val="88"/>
                </w:rPr>
                <w:t>92</w:t>
              </w:r>
            </w:hyperlink>
          </w:p>
        </w:tc>
      </w:tr>
      <w:tr>
        <w:trPr>
          <w:trHeight w:val="234"/>
        </w:trPr>
        <w:tc>
          <w:tcPr>
            <w:tcW w:w="9380" w:type="dxa"/>
            <w:vAlign w:val="bottom"/>
            <w:gridSpan w:val="3"/>
          </w:tcPr>
          <w:p>
            <w:pPr>
              <w:ind w:left="660"/>
              <w:spacing w:after="0"/>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Signatures</w:t>
              </w:r>
            </w:hyperlink>
          </w:p>
        </w:tc>
        <w:tc>
          <w:tcPr>
            <w:tcW w:w="480" w:type="dxa"/>
            <w:vAlign w:val="bottom"/>
          </w:tcPr>
          <w:p>
            <w:pPr>
              <w:ind w:left="300"/>
              <w:spacing w:after="0"/>
              <w:rPr>
                <w:rFonts w:ascii="Times New Roman" w:cs="Times New Roman" w:eastAsia="Times New Roman" w:hAnsi="Times New Roman"/>
                <w:sz w:val="18"/>
                <w:szCs w:val="18"/>
                <w:color w:val="0000FF"/>
                <w:w w:val="88"/>
              </w:rPr>
            </w:pPr>
            <w:hyperlink w:anchor="page94">
              <w:r>
                <w:rPr>
                  <w:rFonts w:ascii="Times New Roman" w:cs="Times New Roman" w:eastAsia="Times New Roman" w:hAnsi="Times New Roman"/>
                  <w:sz w:val="18"/>
                  <w:szCs w:val="18"/>
                  <w:color w:val="0000FF"/>
                  <w:w w:val="88"/>
                </w:rPr>
                <w:t>95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99"/>
          </w:cols>
          <w:pgMar w:left="360" w:top="87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 Risks and uncertainties include, but are not limited to, those discussed in "Risk Factors" and in the "Cautionary Factors That May Affect Future Results" in "Management’s Discussion and Analysis of Financial Condition and Results of Operations" in this Report. Our consolidated financial statements and the accompanying notes to the consolidated financial statements are presented in "Financial Statements and Supplementary Data."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Campbell Soup Company and its consolidated subsidiaries.</w:t>
      </w:r>
    </w:p>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organized as a business corporation under the laws of New Jersey on November 23, 1922; however, through predecessor organizations, we trace our heritage in the food business back to 1869. Our principal executive offices are in Camden, New Jersey 08103-1799.</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2018, we acquired Pacific Foods of Oregon, LLC and Snyder's-Lance, Inc. (Snyder's-Lance). See Note 4 to the Consolidated Financial Statements for additional information on our recent acquisitions.</w:t>
      </w:r>
    </w:p>
    <w:p>
      <w:pPr>
        <w:spacing w:after="0" w:line="40"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In 2019, we announced our plan to divest our Campbell Fresh operating segment and our international biscuits and snacks operating segment. In 2019, we sold our U.S. refrigerated soup business, our Garden Fresh Gourmet business and our Bolthouse Farms business. Within our international biscuits and</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snacks operating segment, we completed the sale of our Kelsen business on September 23, 2019. On December 23, 2019, we completed the sale of our Arnott’s business and certain other international operations, including the simple meals and shelf-stable beverages businesses in Australia and Asia Pacific (the Arnott’s and other international operations). In addition, on October 11, 2019, we completed the sale of our European chips business. See Note 3 to the Consolidated Financial Statements for additional information on these divestitures.</w:t>
      </w:r>
    </w:p>
    <w:p>
      <w:pPr>
        <w:spacing w:after="0" w:line="4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used the net proceeds from the sales to reduce debt as described below in “Management’s Discussion and Analysis of Financial Condition and Results of Operations—Liquidity and Capital Resources.” To support our more focused portfolio, we are pursuing multi-year cost savings initiatives with targeted annualized cost savings of $850 million from continuing operations by the end of 2022, which includes $295 million in synergies and run-rate cost savings from our acquisition of Snyder's-Lance. See "Management's Discussion and Analysis of Financial Condition and Results of Operations" for additional information regarding our cost savings initiatives.</w:t>
      </w:r>
    </w:p>
    <w:p>
      <w:pPr>
        <w:spacing w:after="0" w:line="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U.S. refrigerated soup business, our Garden Fresh Gourmet business and our Bolthouse Farms business were historically included in the Campbell Fresh segment. Beginning in the third quarter of 2019, we have reflected the results of operations of these businesses as discontinued operations in the Consolidated Statements of Earnings for all periods presented. A portion of the U.S. refrigerated soup business historically included in Campbell Fresh was retained and is now reported in Meals &amp; Beverages.</w:t>
      </w:r>
    </w:p>
    <w:p>
      <w:pPr>
        <w:spacing w:after="0" w:line="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Beginning in the fourth quarter of 2019, we have reflected the results of operations of our Kelsen business and the Arnott’s and other international operations (collectively referred to as Campbell International) as discontinued operations in the Consolidated Statements of Earnings for all periods presented. The assets and liabilities of these businesses have been reflected in assets and liabilities of discontinued operations in the Consolidated Balance Sheets as of July 28, 2019. These businesses were historically included in the Snacks reportable segment. The results of the European chips business through the date of sale were reflected in continuing operations within the Snacks reportable segment.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reportable segments are:</w:t>
      </w:r>
    </w:p>
    <w:p>
      <w:pPr>
        <w:spacing w:after="0" w:line="90" w:lineRule="exact"/>
        <w:rPr>
          <w:sz w:val="20"/>
          <w:szCs w:val="20"/>
          <w:color w:val="auto"/>
        </w:rPr>
      </w:pPr>
    </w:p>
    <w:p>
      <w:pPr>
        <w:jc w:val="both"/>
        <w:ind w:left="66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Meals &amp; Beverages, which includes the retail and foodservice businesses in the U.S. and Canada. The segment includes the following products: </w:t>
      </w:r>
      <w:r>
        <w:rPr>
          <w:rFonts w:ascii="Times New Roman" w:cs="Times New Roman" w:eastAsia="Times New Roman" w:hAnsi="Times New Roman"/>
          <w:sz w:val="18"/>
          <w:szCs w:val="18"/>
          <w:i w:val="1"/>
          <w:iCs w:val="1"/>
          <w:color w:val="auto"/>
        </w:rPr>
        <w:t xml:space="preserve">Campbell’s </w:t>
      </w:r>
      <w:r>
        <w:rPr>
          <w:rFonts w:ascii="Times New Roman" w:cs="Times New Roman" w:eastAsia="Times New Roman" w:hAnsi="Times New Roman"/>
          <w:sz w:val="18"/>
          <w:szCs w:val="18"/>
          <w:color w:val="auto"/>
        </w:rPr>
        <w:t>condensed and ready-to-serve soups;</w:t>
      </w:r>
      <w:r>
        <w:rPr>
          <w:rFonts w:ascii="Times New Roman" w:cs="Times New Roman" w:eastAsia="Times New Roman" w:hAnsi="Times New Roman"/>
          <w:sz w:val="18"/>
          <w:szCs w:val="18"/>
          <w:i w:val="1"/>
          <w:iCs w:val="1"/>
          <w:color w:val="auto"/>
        </w:rPr>
        <w:t xml:space="preserve"> Swanson </w:t>
      </w:r>
      <w:r>
        <w:rPr>
          <w:rFonts w:ascii="Times New Roman" w:cs="Times New Roman" w:eastAsia="Times New Roman" w:hAnsi="Times New Roman"/>
          <w:sz w:val="18"/>
          <w:szCs w:val="18"/>
          <w:color w:val="auto"/>
        </w:rPr>
        <w:t>broth and stocks;</w:t>
      </w:r>
      <w:r>
        <w:rPr>
          <w:rFonts w:ascii="Times New Roman" w:cs="Times New Roman" w:eastAsia="Times New Roman" w:hAnsi="Times New Roman"/>
          <w:sz w:val="18"/>
          <w:szCs w:val="18"/>
          <w:i w:val="1"/>
          <w:iCs w:val="1"/>
          <w:color w:val="auto"/>
        </w:rPr>
        <w:t xml:space="preserve"> Pacific Foods </w:t>
      </w:r>
      <w:r>
        <w:rPr>
          <w:rFonts w:ascii="Times New Roman" w:cs="Times New Roman" w:eastAsia="Times New Roman" w:hAnsi="Times New Roman"/>
          <w:sz w:val="18"/>
          <w:szCs w:val="18"/>
          <w:color w:val="auto"/>
        </w:rPr>
        <w:t>broth, soups and non-dairy beverages;</w:t>
      </w:r>
      <w:r>
        <w:rPr>
          <w:rFonts w:ascii="Times New Roman" w:cs="Times New Roman" w:eastAsia="Times New Roman" w:hAnsi="Times New Roman"/>
          <w:sz w:val="18"/>
          <w:szCs w:val="18"/>
          <w:i w:val="1"/>
          <w:iCs w:val="1"/>
          <w:color w:val="auto"/>
        </w:rPr>
        <w:t xml:space="preserve"> Prego </w:t>
      </w:r>
      <w:r>
        <w:rPr>
          <w:rFonts w:ascii="Times New Roman" w:cs="Times New Roman" w:eastAsia="Times New Roman" w:hAnsi="Times New Roman"/>
          <w:sz w:val="18"/>
          <w:szCs w:val="18"/>
          <w:color w:val="auto"/>
        </w:rPr>
        <w:t>pasta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pasta,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Plum</w:t>
      </w:r>
      <w:r>
        <w:rPr>
          <w:rFonts w:ascii="Times New Roman" w:cs="Times New Roman" w:eastAsia="Times New Roman" w:hAnsi="Times New Roman"/>
          <w:sz w:val="18"/>
          <w:szCs w:val="18"/>
          <w:color w:val="auto"/>
        </w:rPr>
        <w:t xml:space="preserve"> baby food and snacks;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and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Snacks, which consists of Pepperidge Farm cookies, crackers, fresh bakery and frozen products in U.S. retail, including </w:t>
      </w:r>
      <w:r>
        <w:rPr>
          <w:rFonts w:ascii="Times New Roman" w:cs="Times New Roman" w:eastAsia="Times New Roman" w:hAnsi="Times New Roman"/>
          <w:sz w:val="18"/>
          <w:szCs w:val="18"/>
          <w:i w:val="1"/>
          <w:iCs w:val="1"/>
          <w:color w:val="auto"/>
        </w:rPr>
        <w:t>Milano</w:t>
      </w:r>
      <w:r>
        <w:rPr>
          <w:rFonts w:ascii="Times New Roman" w:cs="Times New Roman" w:eastAsia="Times New Roman" w:hAnsi="Times New Roman"/>
          <w:sz w:val="18"/>
          <w:szCs w:val="18"/>
          <w:color w:val="auto"/>
        </w:rPr>
        <w:t xml:space="preserve"> cookies and </w:t>
      </w:r>
      <w:r>
        <w:rPr>
          <w:rFonts w:ascii="Times New Roman" w:cs="Times New Roman" w:eastAsia="Times New Roman" w:hAnsi="Times New Roman"/>
          <w:sz w:val="18"/>
          <w:szCs w:val="18"/>
          <w:i w:val="1"/>
          <w:iCs w:val="1"/>
          <w:color w:val="auto"/>
        </w:rPr>
        <w:t xml:space="preserve">Goldfish </w:t>
      </w:r>
      <w:r>
        <w:rPr>
          <w:rFonts w:ascii="Times New Roman" w:cs="Times New Roman" w:eastAsia="Times New Roman" w:hAnsi="Times New Roman"/>
          <w:sz w:val="18"/>
          <w:szCs w:val="18"/>
          <w:color w:val="auto"/>
        </w:rPr>
        <w:t>crackers; and</w:t>
      </w:r>
      <w:r>
        <w:rPr>
          <w:rFonts w:ascii="Times New Roman" w:cs="Times New Roman" w:eastAsia="Times New Roman" w:hAnsi="Times New Roman"/>
          <w:sz w:val="18"/>
          <w:szCs w:val="18"/>
          <w:i w:val="1"/>
          <w:iCs w:val="1"/>
          <w:color w:val="auto"/>
        </w:rPr>
        <w:t xml:space="preserve"> Snyder’s of Hanover </w:t>
      </w:r>
      <w:r>
        <w:rPr>
          <w:rFonts w:ascii="Times New Roman" w:cs="Times New Roman" w:eastAsia="Times New Roman" w:hAnsi="Times New Roman"/>
          <w:sz w:val="18"/>
          <w:szCs w:val="18"/>
          <w:color w:val="auto"/>
        </w:rPr>
        <w:t>pretzels,</w:t>
      </w:r>
      <w:r>
        <w:rPr>
          <w:rFonts w:ascii="Times New Roman" w:cs="Times New Roman" w:eastAsia="Times New Roman" w:hAnsi="Times New Roman"/>
          <w:sz w:val="18"/>
          <w:szCs w:val="18"/>
          <w:i w:val="1"/>
          <w:iCs w:val="1"/>
          <w:color w:val="auto"/>
        </w:rPr>
        <w:t xml:space="preserve"> Lance </w:t>
      </w:r>
      <w:r>
        <w:rPr>
          <w:rFonts w:ascii="Times New Roman" w:cs="Times New Roman" w:eastAsia="Times New Roman" w:hAnsi="Times New Roman"/>
          <w:sz w:val="18"/>
          <w:szCs w:val="18"/>
          <w:color w:val="auto"/>
        </w:rPr>
        <w:t>sandwich crackers,</w:t>
      </w:r>
      <w:r>
        <w:rPr>
          <w:rFonts w:ascii="Times New Roman" w:cs="Times New Roman" w:eastAsia="Times New Roman" w:hAnsi="Times New Roman"/>
          <w:sz w:val="18"/>
          <w:szCs w:val="18"/>
          <w:i w:val="1"/>
          <w:iCs w:val="1"/>
          <w:color w:val="auto"/>
        </w:rPr>
        <w:t xml:space="preserve"> Cape Cod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Kettle Brand </w:t>
      </w:r>
      <w:r>
        <w:rPr>
          <w:rFonts w:ascii="Times New Roman" w:cs="Times New Roman" w:eastAsia="Times New Roman" w:hAnsi="Times New Roman"/>
          <w:sz w:val="18"/>
          <w:szCs w:val="18"/>
          <w:color w:val="auto"/>
        </w:rPr>
        <w:t>potato chips,</w:t>
      </w:r>
      <w:r>
        <w:rPr>
          <w:rFonts w:ascii="Times New Roman" w:cs="Times New Roman" w:eastAsia="Times New Roman" w:hAnsi="Times New Roman"/>
          <w:sz w:val="18"/>
          <w:szCs w:val="18"/>
          <w:i w:val="1"/>
          <w:iCs w:val="1"/>
          <w:color w:val="auto"/>
        </w:rPr>
        <w:t xml:space="preserve"> Late July </w:t>
      </w:r>
      <w:r>
        <w:rPr>
          <w:rFonts w:ascii="Times New Roman" w:cs="Times New Roman" w:eastAsia="Times New Roman" w:hAnsi="Times New Roman"/>
          <w:sz w:val="18"/>
          <w:szCs w:val="18"/>
          <w:color w:val="auto"/>
        </w:rPr>
        <w:t>snacks,</w:t>
      </w:r>
      <w:r>
        <w:rPr>
          <w:rFonts w:ascii="Times New Roman" w:cs="Times New Roman" w:eastAsia="Times New Roman" w:hAnsi="Times New Roman"/>
          <w:sz w:val="18"/>
          <w:szCs w:val="18"/>
          <w:i w:val="1"/>
          <w:iCs w:val="1"/>
          <w:color w:val="auto"/>
        </w:rPr>
        <w:t xml:space="preserve"> Snack Factory Pretzel Crisps, Pop Secret </w:t>
      </w:r>
      <w:r>
        <w:rPr>
          <w:rFonts w:ascii="Times New Roman" w:cs="Times New Roman" w:eastAsia="Times New Roman" w:hAnsi="Times New Roman"/>
          <w:sz w:val="18"/>
          <w:szCs w:val="18"/>
          <w:color w:val="auto"/>
        </w:rPr>
        <w:t>popcorn,</w:t>
      </w:r>
      <w:r>
        <w:rPr>
          <w:rFonts w:ascii="Times New Roman" w:cs="Times New Roman" w:eastAsia="Times New Roman" w:hAnsi="Times New Roman"/>
          <w:sz w:val="18"/>
          <w:szCs w:val="18"/>
          <w:i w:val="1"/>
          <w:iCs w:val="1"/>
          <w:color w:val="auto"/>
        </w:rPr>
        <w:t xml:space="preserve"> Emerald </w:t>
      </w:r>
      <w:r>
        <w:rPr>
          <w:rFonts w:ascii="Times New Roman" w:cs="Times New Roman" w:eastAsia="Times New Roman" w:hAnsi="Times New Roman"/>
          <w:sz w:val="18"/>
          <w:szCs w:val="18"/>
          <w:color w:val="auto"/>
        </w:rPr>
        <w:t>nuts, and other snacking products in the U.S. and Canada. The segment includes the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in Latin America. This segment also included the results of our European chips business, which was sold on October 11, 2019.</w:t>
      </w:r>
    </w:p>
    <w:p>
      <w:pPr>
        <w:spacing w:after="0" w:line="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the fourth quarter of 2019, our retail business in Latin America was managed as part of the Meals &amp; Beverages segment. Beginning in 2020, our business in Latin America is managed as part of the Snacks segment. See Note 7 to the Consolidated Financial Statements and "Management's Discussion and Analysis of Financial Condition and Results of Operations" for additional information regarding our reportable segments.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Ingredients and Packaging</w:t>
      </w:r>
    </w:p>
    <w:p>
      <w:pPr>
        <w:spacing w:after="0" w:line="10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ingredients and packaging materials required for the manufacture of our food and beverage products are purchased from various suppliers, substantially all of which are located in North America. These items are subject to price fluctuations from a number of factors, including climate change, changes in crop size, cattle cycles, herd and flock disease, crop disease, crop pests, product scarcity, pandemics, demand for raw materials, supplier capacities, commodity market speculation, energy costs, currency fluctuations, government-sponsored agricultural programs and other government policy, import and export requirements (including tariffs), drought and excessive rain, temperature extremes and other adverse weather events, water scarcity, scarcity of suitable agricultural land, scarcity of organic ingredients and other factors that may be beyond our control during the growing and harvesting seasons. To help reduce some of this price volatility, we use a combination of purchase orders, short- and long-term contracts, inventory management practices and various commodity risk management tools for most of our ingredients and packaging. Ingredient inventories are generally at a peak during the late fall and decline during the winter and spring. Since many ingredients of suitable quality are available in sufficient quantities only during certain seasons, we make commitments for the purchase of such ingredients in their respective seasons. In addition, certain of the materials required for the manufacture of our products, including steel and aluminum, have been or may be impacted by tariffs. Despite our ability to source raw materials necessary to meet increased demand for our products, certain ingredients and packaging, including steel, aluminum, glass, agricultural products, proteins and other commodities have been adversely impacted by the COVID-19 pandemic. Although we are unable to predict the impact to our ability to source these materials in the future, we expect these supply pressures to continue throughout 2021. For information on the impact of inflation, see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08"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In most of our markets, sales and merchandising activities are conducted through our own sales force and/or third-party brokers and distribution partners. Our products are generally resold to consumers through retail food chains, mass discounters, mass merchandisers, club stores, convenience stores, drug stores, dollar stores, e-commerce and other retail, commercial and non-commercial establishments. Each of Pepperidge Farm and Snyder's-Lance also has a direct-store-delivery distribution model that uses independent contractor distributors. We make shipments promptly after acceptance of orders. In the second half of 2020 we experienced increased demand in our retail businesses as the COVID-19 pandemic and related governmental restrictions resulted in a significant increase in at-home food consumption. We have taken steps, including modifying production schedules and temporarily adjusting product mix,</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increase our production capacity to meet the increased demand for our retail products. Notwithstanding these efforts, we have been, and continue to be, unable to fulfill all orders we receive from our customers. For additional information on COVID-19 impacts, see “Management’s Discussion and Analysis of Financial Condition and Results of Operations.”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five largest customers accounted for approximately 44% of our consolidated net sales from continuing operations in 2020, 43% in 2019 and 46% in 2018. Our largest customer, Wal-Mart Stores, Inc. and its affiliates, accounted for approximately 21% of our consolidated net sales from continuing operations in 2020, 20% in 2019 and 22% 2018. The Kroger Co. and its affiliates accounted for approximately 9% of our consolidated net sales from continuing operations in 2020 and 2019, and 10% in 2018. Both of our reportable segments sold products to Wal-Mart Stores, Inc. or its affiliates and The Kroger Co. or its affiliates. No other customer accounted for 10% or more of our consolidated net sales.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Technology</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16, 2020, we owned over 3,000 trademark registrations and applications in over 160 countries. We believe our trademarks are of material importance to our business. Although the laws vary by jurisdiction, trademarks generally are valid as long as they are in use and/or their registrations are properly maintained and have not been found to have become generic. Trademark registrations generally can be renewed indefinitely as long as the trademarks are in use. We believe that our principal brands, including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Chunky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Emerald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Milano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Pace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Pacific Foods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Pepperidge Farm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Plum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Pop Secret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Prego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Snack Factory Pretzel Crisps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Snyder's of Hanover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Spaghettios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Swanson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V8</w:t>
      </w:r>
      <w:r>
        <w:rPr>
          <w:rFonts w:ascii="Times New Roman" w:cs="Times New Roman" w:eastAsia="Times New Roman" w:hAnsi="Times New Roman"/>
          <w:sz w:val="18"/>
          <w:szCs w:val="18"/>
          <w:color w:val="auto"/>
        </w:rPr>
        <w:t>, are protected by trademark law in the major markets where they are used.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 w:name="page5"/>
    <w:bookmarkEnd w:id="4"/>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Although we own a number of valuable patents, we do not regard any segment of our business as being dependent upon any single patent or group of related patents. In addition, we own copyrights, both registered and unregistered, proprietary trade secrets, technology, know-how, processes and other intellectual property rights that are not registered.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operate in a highly competitive industry and experience competition in all of our categories. This competition arises from numerous competitors of varying sizes across multiple food and beverage categories, and includes producers of private label products, as well as other branded food and beverage manufacturers. Private label products are generally sold at lower prices than branded products. Competitors market and sell their products through traditional retailers and e-commerce. All of these competitors vie for trade merchandising support and consumer dollars. The number of competitors cannot be reliably estimated. Our principal areas of competition are brand recognition, taste, nutritional value, price, promotion, innovation, shelf space and customer service.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relating to our cash flows from operations and working capital items, see "Management’s Discussion and Analysis of Financial Condition and Results of Operations—Liquidity and Capital Resources."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2020, our aggregate capital expenditures were $299 million. We expect to spend approximately $350 million for capital projects in 2021. Major capital projects based on planned spend in 2021 include implementation of an SAP enterprise-resource planning system for Snyder's-Lance, which was delayed from 2020 due to the COVID-19 pandemic, and a new manufacturing line for our snacks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manufacture and sale of consumer food products is highly regulated. In the U.S., our activities are subject to regulation by various federal government agencies, including the Food and Drug Administration, Department of Agriculture, Federal Trade Commission, Department of Labor, Department of Commerce and Environmental Protection Agency, as well as various state and local agencies. Our business is also regulated by similar agencies outside of the U.S. In addition, the current U.S. administration has implemented and is considering tariffs on certain imported commodities, including steel and aluminum. In response, other countries have adopted and/or are considering countervailing tariffs on imported food and agriculture products.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requirements for the operation and design of our facilities that meet or exceed applicable environmental rules and regulations. Of our $299 million in capital expenditures made during 2020, approximately $6 million were for compliance with environmental laws and regulations in the U.S. We further estimate that approximately $13 million of the capital expenditures anticipated during 2021 will be for compliance with U.S. environmental laws and regulations. We believe that continued compliance with existing environmental laws and regulations (both within the U.S. and elsewhere) will not have a material effect on capital expenditures, earnings or our competitive position. In addition, we continue to monitor existing and pending environmental laws and regulations within the U.S. and elsewhere relating to climate change and greenhouse gas emissions. While the impact of these laws and regulations cannot be predicted with certainty, we do not believe that compliance with these laws and regulations will have a material effect on capital expenditures, earnings or our competitive position.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Demand for soup products is seasonal, with the fall and winter months usually accounting for the highest sales volume. This year, due to the impact of the COVID-19 pandemic, demand for soup products was above normal levels during the spring and summer months. Demand for our other products is generally evenly distributed throughout the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2, 2020, we had approximately 14,500 employees.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primary corporate website can be found at </w:t>
      </w:r>
      <w:r>
        <w:rPr>
          <w:rFonts w:ascii="Times New Roman" w:cs="Times New Roman" w:eastAsia="Times New Roman" w:hAnsi="Times New Roman"/>
          <w:sz w:val="18"/>
          <w:szCs w:val="18"/>
          <w:u w:val="single" w:color="auto"/>
          <w:color w:val="auto"/>
        </w:rPr>
        <w:t>www.campbellsoupcompany.com</w:t>
      </w:r>
      <w:r>
        <w:rPr>
          <w:rFonts w:ascii="Times New Roman" w:cs="Times New Roman" w:eastAsia="Times New Roman" w:hAnsi="Times New Roman"/>
          <w:sz w:val="18"/>
          <w:szCs w:val="18"/>
          <w:color w:val="auto"/>
        </w:rPr>
        <w:t>. We make available free of charge at this website (under the "Investor Center—Financial Information—SEC Filings" caption) all of our reports (including amendments) filed or furnished pursuant to Section 13(a) or 15(d) of the Securities Exchange Act of 1934, as amended, including our annual report on Form 10-K, our quarterly reports on Form 10-Q and our current reports on Form 8-K. These reports are made available on the website as soon as reasonably practicable after their filing with, or furnishing to, the Securities and Exchange Commission.</w:t>
      </w:r>
    </w:p>
    <w:p>
      <w:pPr>
        <w:spacing w:after="0" w:line="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websites appearing in this Annual Report on Form 10-K are inactive textual references only, and the information in, or accessible through, such websites is not incorporated into this Annual Report on Form 10-K, or into any of our other filings with the Securities and Exchange Commission.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factors discussed elsewhere in this Report, the following risks and uncertainties could materially adversely affect our business, financial condition and results of operations. Additional risks and uncertainties not presently known to us or that we currently deem immaterial also may impair our business operations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outbreak of COVID-19 and associated responses could adversely impact our business and results of operations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COVID-19 pandemic has significantly impacted economic activity and markets throughout the world. In response, governmental authorities have implemented numerous measures in an attempt to contain the virus, such as travel bans and restrictions, quarantines, shelter-in-place orders and business shutdowns. Although our business has benefitted from some of these measures, the impact and associated responses of the COVID-19 pandemic could adversely impact our business and results of operations in a number of ways, including but not limited to:</w:t>
      </w:r>
    </w:p>
    <w:p>
      <w:pPr>
        <w:spacing w:after="0" w:line="58"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shutdown of one or more of our manufacturing, warehousing or distribution facilities, or disruption in our supply chain, including but not limited to, as a result of illness, government restrictions or other workforce disruptions;</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 parties on which we rely, including but not limited to, those that supply our packaging, ingredients, equipment and other necessary operating materials, co-manufacturers and independent contractors, to meet their obligations to us, or significant disruptions in their ability to do so;</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strain on our supply chain, which could result from continued increased retailer and consumer demand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to our distribution capabilities or to our distribution channels, including those of our suppliers, contract manufacturers, logistics service providers or independent distributors;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availability of one or more of our products as we prioritize the production of other products due to increased demand;</w:t>
      </w:r>
    </w:p>
    <w:p>
      <w:pPr>
        <w:spacing w:after="0" w:line="9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escalated government or regulatory responses in markets where we manufacture, sell or distribute our products, or in the markets of third parties on which we rely, could prevent or disrupt our business operations;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commodity cost volatility, which may not be sufficiently offset by our commodity hedging activities;</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workforce, including our management team, could become unable to work as a result of illness, or the attention of our management team could be diverted if key employees become ill from COVID-19 and unable to work;</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in certain areas such as front-line employee compensation and independent contractor payments, as well as incremental costs associated with newly added health screenings, temperature checks and enhanced cleaning and sanitation protocols to protect our employees and product quality standards, which could continue or could increase in these or other areas;</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temporary inability of consumers to purchase our products due to illness, quarantine or other travel restrictions, or financial hardship; or decrease in demand due to the easing of governmental authority restrictions and business closings; or decrease in pantry-loading activity;</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demand for or availability of our products as a result of retailers, distributors, or carriers modifying their inventory, fulfillment or shipping practices;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effectively modify our trade promotion and advertising activities to reflect changing consumer shopping habits due to, among other things, reduced in-store visits and travel restrictions;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consumer spending as a result of an economic downturn could result in consumers moving to private label or lower price products;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reliance on our information technology systems due to many employees working remotely causing us to be increasingly subject to cyberattack;</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decrease in demand at restaurants or other away from home dining establishments resulting from government restrictions and social distancing measures, which adversely affects our foodservice business; and</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business disruptions and uncertainties related to the COVID-19 pandemic for a sustained period of time could result in additional delays or modifications to our strategic plans and other initiatives and hinder our ability to achieve anticipated cost savings and productivity initiatives on the original timelines.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and other impacts of the COVID-19 pandemic could also have the effect of heightening many of the other risk factors included below in this Item 1A. The ultimate impact depends on the severity and duration of the current COVID-19 pandemic and actions taken by governmental authorities and other third parties in response, each of which is uncertain, rapidly changing and difficult to predict. Any of these disruptions could adversely impact our business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significant competition in all our product categories, which may result in lower sales and margins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operate in the highly competitive food and beverage industry mainly in the North American market and experience competition in all of our categories. The principal areas of competition are brand recognition, taste, nutritional value, price, promotion, innovation, shelf space and customer service. A number of our primary competitors are larger than us and have substantial financial, marketing and other resources, and some of our competitors may spend more aggressively on advertising and promotional activities than we do. In addition, reduced barriers to entry and easier access to funding are creating new competition. A strong competitive response from one or more of these competitors to our marketplace efforts, or a continued shift towards private label offerings, could result in us reducing prices, increasing marketing or other expenditures, and/or losing market share, each of which may result in lower sales and margins.</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compete also depends upon our ability to predict, identify, and interpret the tastes and dietary habits of consumers and to offer products that appeal to those preferences. There are inherent marketplace risks associated with new product or packaging introductions, including uncertainties about trade and consumer acceptance. If we do not succeed in offering products that consumers want to buy, our sales and market share will decrease, resulting in reduced profitability. If we are unable to accurately predict which shifts in consumer preferences will be long-lasting, or are unable to introduce new and improved products to satisfy those preferences, our sales will decline. In addition, given the variety of backgrounds and identities of consumers in our consumer base, we must offer a sufficient array of products to satisfy the broad spectrum of consumer preferences. As such, we must be successful in developing innovative products across a multitude of product categories. In addition, the COVID-19 pandemic has altered, and in some cases, delayed product innovation efforts. Finally, if we fail to rapidly develop products in faster-growing and more profitable categories, we could experience reduced demand for our products, or fail to expand margins.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achieve our targeted cost savings, which may adversely affect our ability to grow margins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pursuing multi-year cost savings initiatives with targeted annualized cost savings of $850 million for continuing operations by the end of 2022, which includes $295 million in synergies and run-rate cost savings from our acquisition of Snyder's-Lance. These initiatives require a substantial amount of management and operational resources. Our management team must successfully execute the administrative and operational changes necessary to achieve the anticipated benefits of these initiatives, including the integration of Snyder's-Lance in an efficient and effective manner. In some respects, our plans to achieve these cost savings continue to be refined. See "Management's Discussion and Analysis of Financial Condition and Results of Operation - Restructuring Charges and Cost Savings Initiatives" for additional information on these initiatives. We have recently delayed the implementation of system</w:t>
      </w:r>
    </w:p>
    <w:p>
      <w:pPr>
        <w:spacing w:after="0" w:line="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upgrades and certain other cost-saving and productivity initiatives due to the COVID-19 pandemic. Continued disruptions and uncertainties related to the COVID-19 pandemic for a sustained period of time could result in additional delays or modifications to our strategic plans and other initiatives and hinder</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achieve our cost savings and productivity initiatives on the same timelines. These and related demands on our resources may divert the organization's attention from other business issues, have adverse effects on existing business relationships with suppliers and customers and impact employee morale. Our success is partly dependent upon properly executing, and realizing cost savings or other benefits from, these often complex initiatives. Any failure to or delay in implementing our initiatives in accordance with our plans could adversely affect our ability to grow margins.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increase prices to fully offset increases in prices of raw and packaging materials or distribution costs</w:t>
      </w:r>
    </w:p>
    <w:p>
      <w:pPr>
        <w:spacing w:after="0" w:line="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manufacturer of food and beverage products, the raw and packaging materials used in our business include tomato paste, grains, beef, poultry, dairy, potatoes and other vegetables, steel, aluminum, glass, paper and resin. Many of these materials are subject to price fluctuations from a number of factors, including but not limited to changes in crop size, cattle cycles, herd and flock disease, crop disease, crop pests, product scarcity, demand for raw materials, commodity market speculation, energy costs, currency fluctuations, supplier capacities, government-sponsored agricultural programs and other government policy, import and export requirements (including tariffs), drought and excessive rain, temperature extremes and other adverse weather events, water scarcity, scarcity of suitable agricultural land, scarcity of organic ingredients, pandemic illness (such as the COVID-19 pandemic) and other factors that may be beyond our control. Despite our ability to source raw materials necessary to meet increased demand for our products, certain ingredients and packaging, including steel, aluminum, glass, agricultural products, proteins and other commodities have been adversely impacted by the COVID-19 pandemic. Although we are unable to predict the impact to our ability to source these materials in the future, we expect these supply pressures to continue into 2021. The cost of distribution decreased in 2020 due to a decline in transportation and logistics costs, driven by excess availability, warehousing efficiencies and lower fuel costs, however, we have experienced a recent increase in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transportation and logistics costs. We may not be able to offset any price increases through productivity or price increases or through our commodity hedging activity.</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try to pass along to customers some or all cost increases through increases in the selling prices of, or decreases in the packaging sizes of, some of our products. Higher product prices or smaller packaging sizes may result in reductions in sales volume. Consumers may be less willing to pay a price differential for our branded products and may increasingly purchase lower-priced offerings, or may forego some purchases altogether, during an economic downturn. To the extent that price increases or packaging size decreases are not sufficient to offset these increased costs, and/or if they result in significant decreases in sales volume, our business results and financial condition may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adversely impacted by a changing customer landscape and the increased significance of some of our customers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businesses are largely concentrated in the traditional retail grocery trade, which has experienced slower growth than other retail channels, such as dollar stores, drug stores, club stores and e-commerce retailers. We expect this trend away from traditional retail grocery to alternate channels to continue in the future. These alternative retail channels may also create consumer price deflation, affecting our retail customer relationships and presenting additional challenges to increasing prices in response to commodity or other cost increases. In addition, retailers with increased buying power and negotiating strength are seeking more favorable terms, including increased promotional programs and customized products funded by their suppliers. These customers may also use more of their shelf space for their private label products, which are generally sold at lower prices than branded products. If we are unable to use our scale, marketing, product innovation and category leadership positions to respond to these customer dynamics, our business or financial results could be adversely impacted.</w:t>
      </w:r>
    </w:p>
    <w:p>
      <w:pPr>
        <w:spacing w:after="0" w:line="5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2020, our five largest customers accounted for approximately 44% of our consolidated net sales from continuing operations, with the largest customer, Wal-Mart Stores, Inc. and its affiliates, accounting for approximately 21% of our consolidated net sales from continuing operations. In addition, The Kroger Co. and its affiliates accounted for approximately 9% of our consolidated net sales from continuing operations in 2020. There can be no assurance that our largest customers will continue to purchase our products in the same mix or quantities, or on the same terms as in the past. Disruption of sales to any of these customers, or to any of our other large customers, for an extended period of time could adversely affect our business or financial results.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may be adversely impacted if consumers do not maintain their favorable perception of our brands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 number of iconic brands with significant value. Maintaining and continually enhancing the value of these brands is critical to the success of our business. Brand value is primarily based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 publicity about our products, packaging or ingredients (whether or not valid), our failure to maintain the quality of our products, the failure of our products to deliver consistently positive consumer experiences, or the products becoming unavailable to consumers. The growing use of social and digital media by consumers increases the speed and extent that information and opinions can be shared. Negative posts or comments about us, our brands, products or packaging on social or digital media could seriously damage our brands and reputation. If we do not maintain the favorable perception of our brands, our results could be adversely impacted.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 to our supply chain could adversely affect our business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manufacture and/or sell our products may be impaired by damage or disruption to our manufacturing, warehousing or distribution capabilities, or to the capabilities of our suppliers, contract manufacturers, logistics service providers or independent distributors. This damage or disruption could result from execution issues, as well as factors that are hard to predict or beyond our control such as increased temperatures due to climate change, water stress, extreme weather events, natural disasters, product or raw material scarcity, fire, terrorism, pandemics (such as the COVID-19 pandemic), strikes, cybersecurity breaches, government shutdowns, disruptions in logistics, supplier capacity constraints or other events. Commodity prices have</w:t>
      </w:r>
    </w:p>
    <w:p>
      <w:pPr>
        <w:spacing w:after="0" w:line="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become, and may continue to be, more volatile during the COVID-19 pandemic. Production of the agricultural commodities used in our business may also be adversely affected by drought and excessive rain, temperature extremes and other adverse weather events, water scarcity, scarcity of suitable agricultural land, scarcity of organic ingredients, crop size, cattle cycles, herd and flock disease, crop disease and crop pests. Failure to take adequate steps to mitigate the likelihood or potential impact of such events, or to effectively manage such events if they occur, may adversely affect our business or financial results, particularly in circumstances when a product is sourced from a single supplier or location. Disputes with significant suppliers, contract manufacturers, logistics service providers or independent distributors, including disputes regarding pricing or performance, may also adversely affect our ability to manufacture and/or sell our products, as well as our business or financial results.</w:t>
      </w:r>
    </w:p>
    <w:p>
      <w:pPr>
        <w:spacing w:after="0" w:line="6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experienced minor temporary workforce disruptions in our supply chain as a result of the COVID-19 pandemic. We have implemented employee safety measures, which exceed guidance from the Centers for Disease Control and Prevention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and World Health Organization, across all our supply chain facilities, including proper hygiene, enhanced sanitation, social distancing, mask use, plexiglass dividers, and temperature screenings. Even with these measures, there is risk that COVID-19 may spread through our workforce. Illness, travel restrictions, absenteeism, or other workforce disruptions could negatively affect our supply chain, manufacturing, distribution, or other business processes. We may face additional production disruptions in the future, which may place constraints on our ability to produce products in a timely manner or may increase our costs.</w:t>
      </w:r>
    </w:p>
    <w:p>
      <w:pPr>
        <w:spacing w:after="0" w:line="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experienced increased demand for our products in the second half of 2020. Short-term or sustained increases in consumer demand at our retail customers may exceed our production capacity or otherwise strain our supply chain. Our failure to meet the demand for our products could adversely affect our business and results of operations.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actively monitoring the continued spread of the COVID-19 pandemic and its ongoing impact on our supply chain and operations, however we are unable to accurately predict the future impact that the COVID-19 pandemic will have due to various uncertainties, including the ultimate geographic spread of the virus, the severity of the virus, the duration of the outbreak, and actions that may be taken by governmental authorities.</w:t>
      </w:r>
    </w:p>
    <w:p>
      <w:pPr>
        <w:spacing w:after="0" w:line="50"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If our food products become adulterated or are mislabeled, we might need to recall those items, and we may experience product liability claims and damage to our reputation</w:t>
      </w:r>
    </w:p>
    <w:p>
      <w:pPr>
        <w:spacing w:after="0" w:line="2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in the past and we may, in the future, need to recall some of our products if they become adulterated or if they are mislabeled, and we may also be liable if the consumption of any of our products causes sickness or injury to consumers. A widespread product recall could result in significant losses due to the costs of a recall, the destruction of product inventory, and lost sales due to the unavailability of product for a period of time. We could also suffer losses from a significant adverse product liability judgment. A significant product recall or product liability claim could also result in adverse publicity, damage to our reputation, and a loss of consumer confidence in the safety and/or quality of our products, ingredients or packaging. In addition, if another company recalls or experiences negative publicity related to a product in a category in which we compete, consumers might reduce their overall consumption of products in that category.</w:t>
      </w:r>
    </w:p>
    <w:p>
      <w:pPr>
        <w:spacing w:after="0" w:line="6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An impairment of the carrying value of goodwill or other indefinite-lived intangible assets could adversely affect our financial results and net worth</w:t>
      </w:r>
    </w:p>
    <w:p>
      <w:pPr>
        <w:spacing w:after="0" w:line="3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August 2, 2020, we had goodwill of $3,986 million and other indefinite-lived intangible assets of $2,611 million. Goodwill and indefinite-lived intangible assets are initially recorded at fair value and not amortized, but are tested for impairment at least annually or more frequently if impairment indicators arise. We test goodwill at the reporting unit level by comparing the carrying value of the net assets of the reporting unit, including goodwill, to the unit's fair value. Similarly, we test indefinite-lived intangible assets by comparing the fair value of the assets to their carrying values. Fair value for both goodwill and other indefinite-lived intangible assets is determined based on a discounted cash flow analysis. If the carrying values of the reporting unit or indefinite-lived intangible assets exceed their fair value, the goodwill or indefinite-lived intangible assets are considered impaired and reduced to fair value. Factors that could result in an impairment include a change in revenue growth rates, operating margins, weighted average cost of capital, future economic and market conditions or assumed royalty rates. We have experienced impairment charges in prior years. See "Significant Accounting Estimates" and Notes 3 and 6 to the Consolidated Financial Statements for additional information on such impairments. If current expectations for growth rates for sales and profits are not met, or other market factors and macroeconomic conditions that could be affected by the COVID-19 pandemic or otherwise were to change, we may be required in the future to record additional impairment of the carrying value of goodwill or other indefinite-lived intangible assets, which could adversely affect our financial results and net worth.</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 rights are valuable, and any inability to protect them could reduce the value of our products and brands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consider our intellectual property rights, particularly our trademarks, to be a significant and valuable aspect of our business. We protect our intellectual property rights through a combination of trademark, patent, copyright and trade secret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w:t>
      </w:r>
    </w:p>
    <w:p>
      <w:pPr>
        <w:spacing w:after="0" w:line="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Competing intellectual property claims that impact our brands or products may arise unexpectedly. Any litigation or disputes regarding intellectual property may be costly and time-consuming and may divert the attention of our management and key personnel from our business operations. We also may be subject to significant damages or injunctions against development, launch and sale of certain products. Any of these occurrences may harm our business and financial results.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We may be adversely impacted by increased liabilities and costs related to our defined benefit pension plans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sponsor a number of defined benefit pension plans for certain employees in the U.S. and certain non-U.S. locations. The major defined benefit pension plans are funded with trust assets invested in a globally diversified portfolio of securities and other investments. Changes in regulatory requirements or the market value of plan assets, investment returns, interest rates and mortality rates may affect the funded status of our defined benefit pension plans and cause volatility in the net periodic benefit cost, future funding requirements of the plans and the funded status as recorded on the balance sheet. A significant increase in our obligations or future funding requirements could have a material adverse effect on our financial results.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adversely impacted by a failure or security breach of our information technology systems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are critically important to our operations. We rely on our information technology systems (some of which are outsourced to third parties) to manage our data, communications and business processes, including our marketing, sales, manufacturing, procurement, logistics, customer service, accounting and administrative functions and the importance of such networks and systems has increased due to many of our employees working remotely as a result of the COVID-19 pandemic. If we do not allocate and effectively manage the resources necessary to build, sustain and protect appropriate information technology systems, our business or financial results could be adversely impacted. Furthermore, our information technology systems are subject to attack or other security breaches (including the access to or acquisition of customer, consumer, employee or other confidential information), service disruptions or other system failures. If we are unable to prevent or adequately respond to and resolve these breaches, disruptions or failures, our operations may be impacted, and we may suffer other adverse consequences such as reputational damage, litigation, remediation costs and/or penalties under various data protection laws and regulations.</w:t>
      </w:r>
    </w:p>
    <w:p>
      <w:pPr>
        <w:spacing w:after="0" w:line="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address the risks to our information technology systems and the associated costs, we maintain an information security program that includes updating technology and security policies, cyber insurance, employee training, and monitoring and routine testing of our information technology systems. We believe that these preventative actions provide adequate measures of protection against security breaches and generally reduce our cybersecurity risks. Although we have not experienced a material incident to date, there can be no assurance that these measures will prevent or limit the impact of a future incident. The cost to remediate damages to our information technology systems suffered as a result of a cyber attack could be significant.</w:t>
      </w:r>
    </w:p>
    <w:p>
      <w:pPr>
        <w:spacing w:after="0" w:line="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event our suppliers or customers experience a breach or system failure, their businesses could be disrupted or otherwise negatively affected, which may result in a disruption in our supply chain or reduced customer orders, which would adversely affect our business and financial results. We have also outsourced several information technology support services and administrative functions to third-party service providers, and may outsource other functions in the future to achieve cost savings and efficiencies. If these service providers do not perform effectively due to breach or system failure, we may not be able to achieve the expected benefits and our business may be disrupted.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attract and retain the highly skilled people we need to support our business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depend on the skills and continued service of key personnel, including our experienced management team. In addition, our ability to achieve our strategic and operating goals depends on our ability to identify, hire, train and retain qualified individuals. We also compete with other companies both within and outside of our industry for talented personnel, and we may lose key personnel or fail to attract, train and retain other talented personnel. Any such loss or failure may adversely affect our business or financial results. In addition, activities related to identifying, recruiting, hiring and integrating qualified individuals may require significant time and expense. We may not be able to locate suitable replacements for any key employees who leave, or offer employment to potential replacements on reasonable terms, each of which may adversely affect our business and financial results. We also recently streamlined our business into a two-division operating model, which could lead to operational challenges and higher employee turnover.</w:t>
      </w:r>
    </w:p>
    <w:p>
      <w:pPr>
        <w:spacing w:after="0" w:line="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results may be adversely affected by our inability to complete or realize the projected benefits of acquisitions, divestitures and other strategic transactions</w:t>
      </w:r>
    </w:p>
    <w:p>
      <w:pPr>
        <w:spacing w:after="0" w:line="3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historically made strategic acquisition of brands and businesses and we may undertake additional acquisitions or other strategic transactions in the future. Our ability to meet our objectives with respect to acquisitions and other strategic transactions may depend in part on our ability to identify suitable counterparties, negotiate favorable financial and other contractual terms, obtain all necessary regulatory approvals on the terms expected and complete those transactions. Potential risks also include:</w:t>
      </w:r>
    </w:p>
    <w:p>
      <w:pPr>
        <w:spacing w:after="0" w:line="45" w:lineRule="exact"/>
        <w:rPr>
          <w:sz w:val="20"/>
          <w:szCs w:val="20"/>
          <w:color w:val="auto"/>
        </w:rPr>
      </w:pPr>
    </w:p>
    <w:p>
      <w:pPr>
        <w:ind w:left="660" w:right="5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integrate acquired businesses into our existing operations in a timely and cost-efficient manner, including implementation of enterprise-resource planning systems;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suppliers and/or customers of acquired businesses;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risks and liabilities;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achieve anticipated benefits, including revenues or other operating results;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of acquired businesses may be greater than expected;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promptly implement an effective control environment;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inherent in entering markets or lines of business with which we have limited or no prior experience.</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during the first half of 2020, we completed the sale of our Kelsen business and the Arnott’s and other international operations, and we may</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undertake other divestitures in the future. Any other businesses we decide to divest in the future may depend in part on our ability to identify suitable buyers, negotiate favorable financial and other contractual terms and obtain all necessary regulatory approvals on the terms expected. Potential risks of divestitures may also include:</w:t>
      </w:r>
    </w:p>
    <w:p>
      <w:pPr>
        <w:spacing w:after="0" w:line="10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suppliers and/or customers of divested businesses;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separate divested businesses or business units effectively and efficiently from our existing business operations;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reduce or eliminate associated overhead costs.</w:t>
      </w:r>
    </w:p>
    <w:p>
      <w:pPr>
        <w:spacing w:after="0" w:line="144"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If we are unable to complete or realize the projected benefits of future acquisitions, divestitures or other strategic transactions, our business or financial results may be adversely impacted.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Conditions and Other General Risk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related to recession, financial and credit market disruptions and other economic conditions</w:t>
      </w:r>
    </w:p>
    <w:p>
      <w:pPr>
        <w:spacing w:after="0" w:line="108"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Customer and consumer demand for our products may be impacted by weak economic conditions, recession, equity market volatility or other negative economic factors in the U.S. or other nations. Similarly, disruptions in financial and/or credit markets, the risk of which has been heightened due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pandemic, may impact our ability to manage normal commercial relationships with our customers, suppliers and creditors and might cause us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not be able to continue to access preferred sources of liquidity when we would like, and our borrowing costs could increase. The COVID-19 pandemic has increased volatility and pricing in the capital markets. We may not have access to preferred sources of liquidity when needed or on terms we find acceptable, and our borrowing costs could increase.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to our derivative contracts. In addition, changes in tax or interest rates in the U.S. or other nations, whether due to recession, economic disruptions or other reasons, may adversely impact us.</w:t>
      </w:r>
    </w:p>
    <w:p>
      <w:pPr>
        <w:spacing w:after="0" w:line="6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administering regulatory authority regulating the London Interbank Offered Rate (LIBOR) announced that it intends to phase out LIBOR by the end of December 2021. Our variable rate debt and revolving credit facility use LIBOR as a benchmark for establishing interest rates. While we expect to have paid off our variable-rate debt and replaced or renegotiated our revolving credit facility by the end of December 2021, we may incur additional indebtedness and/or negotiate new credit terms that will rely on an alternative interest rate method to LIBOR. Any legal or regulatory changes made in response to LIBOR’s future discontinuance may result in, among other things, a sudden or prolonged increase or decrease in LIBOR, a delay in the publication of LIBOR, or changes in the rules or methodologies in LIBOR. In addition, alternative methods to LIBOR may not yet have been established by the end of December 2021, and the impact of such alternative methods may be impossible or impracticable to determine. While we do not expect that the transition from LIBOR and risks related thereto will have a material adverse effect on our financing costs, it is still uncertain at this time.</w:t>
      </w:r>
    </w:p>
    <w:p>
      <w:pPr>
        <w:spacing w:after="0" w:line="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Actions of activist shareholders could cause us to incur substantial costs, divert management's attention and resources, and have an adverse effect on our business</w:t>
      </w:r>
    </w:p>
    <w:p>
      <w:pPr>
        <w:spacing w:after="0" w:line="3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the target of activist shareholder activities in 2019. If a new activist investor purchased our stock, our business could be adversely affected because responding to proxy contests and reacting to other actions by activist shareholders can be costly and time-consuming, disruptive to our operations and divert the attention of management and our employees. In addition, perceived uncertainties as to our future direction, strategy or leadership created as a consequence of activist shareholder initiatives may result in the loss of potential business opportunities, harm our ability to attract new investors, customers, employees, suppliers and other strategic partners, and cause our share price to experience periods of volatility or stagnation.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Regulatory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adversely impacted by legal and regulatory proceedings or claims</w:t>
      </w:r>
    </w:p>
    <w:p>
      <w:pPr>
        <w:spacing w:after="0" w:line="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party to a variety of legal and regulatory proceedings and claims arising out of the normal course of business. See Note 20 to the Consolidated Financial Statements for information regarding reportable legal proceedings. Since these actions are inherently uncertain, there is no guarantee that we will be successful in defending ourselves against such proceedings or claims, or that our assessment of the materiality or immateriality of these matters, including any reserves taken in connection with such matters, will be consistent with the ultimate outcome of such proceedings or claims. In particular, the marketing of food products has come under increased scrutiny in recent years, and the food industry has been subject to an increasing number of proceedings and claims relating to alleged false or deceptive marketing under federal, state and foreign laws or regulations. Additionally, the independent contractor distribution model, which is used by Pepperidge Farm and Snyder’s-Lance, has also come under increased regulatory scrutiny. Our independent contractor distribution model has also been the subject of various class and individual lawsuits in recent years. In the event we are unable to successfully defend ourselves against these proceedings or claims, or if our assessment of the materiality of these proceedings or claims proves inaccurate, our business or financial results may be adversely affected. In addition, our reputation could be damaged by allegations made in proceedings or claims (even if untrue). Furthermore, actions we have taken or may take, or decisions we have made or may make, as a consequence of the COVID-19 pandemic, may result in investigations, legal claims or litigation against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Increased regulation or changes in law could adversely affect our business or financial results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manufacture and marketing of food products is extensively regulated. Various laws and regulations govern the processing, packaging, storage, distribution, marketing, advertising, labeling, quality and safety of our food products, as well as the health and safety of our employees and the protection of the environment. In the U.S., we are subject to regulation by various federal government agencies, including but not limited to the Food and Drug Administration, the Department of Agriculture, the Federal Trade Commission, the Occupational Safety and Health Administration and the Environmental Protection Agency, as well as various state and local agencies. We are also regulated by similar agencies outside the U.S.</w:t>
      </w:r>
    </w:p>
    <w:p>
      <w:pPr>
        <w:spacing w:after="0" w:line="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Governmental and administrative bodies within the U.S. are considering a variety of tax, trade and other regulatory reforms. Trade reforms include tariffs on certain materials used in the manufacture of our products and tariffs on certain finished products. We regularly move data across national and state borders to conduct our operations and, consequently, are subject to a variety of laws and regulations in the U.S. and other jurisdictions regarding privacy, data protection, and data security, including those related to the collection, storage, handling, use, disclosure, transfer, and security of personal data. There is significant uncertainty with respect to compliance with such privacy and data protection laws and regulations because they are continuously evolving and developing and may be interpreted and applied differently from country to country and state to state and may create inconsistent or conflicting requirements.</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Changes in legal or regulatory requirements (such as new food safety requirements and revised regulatory requirements for the labeling of nutrition facts, serving sizes and genetically modified ingredients), or evolving interpretations of existing legal or regulatory requirements, may result in increased compliance cost, capital expenditures and other financial obligations that could adversely affect our business and financial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company-owned and located in Camden, New Jersey. The following table sets forth our principal manufacturing facilities and the business segment that primarily uses each of the facilities: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Inside the U.S.</w:t>
            </w:r>
          </w:p>
        </w:tc>
        <w:tc>
          <w:tcPr>
            <w:tcW w:w="330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70"/>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Arizona</w:t>
            </w:r>
          </w:p>
        </w:tc>
        <w:tc>
          <w:tcPr>
            <w:tcW w:w="33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Indiana</w:t>
            </w:r>
          </w:p>
        </w:tc>
        <w:tc>
          <w:tcPr>
            <w:tcW w:w="25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Pennsylvania</w:t>
            </w:r>
          </w:p>
        </w:tc>
      </w:tr>
      <w:tr>
        <w:trPr>
          <w:trHeight w:val="270"/>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Goodyear (S)</w:t>
            </w:r>
          </w:p>
        </w:tc>
        <w:tc>
          <w:tcPr>
            <w:tcW w:w="3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Jeffersonville (S)</w:t>
            </w:r>
          </w:p>
        </w:tc>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Denver (S)</w:t>
            </w:r>
          </w:p>
        </w:tc>
      </w:tr>
      <w:tr>
        <w:trPr>
          <w:trHeight w:val="270"/>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California</w:t>
            </w:r>
          </w:p>
        </w:tc>
        <w:tc>
          <w:tcPr>
            <w:tcW w:w="33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Massachusetts</w:t>
            </w:r>
          </w:p>
        </w:tc>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8"/>
              </w:rPr>
              <w:t>Downingtown (S)</w:t>
            </w:r>
          </w:p>
        </w:tc>
      </w:tr>
      <w:tr>
        <w:trPr>
          <w:trHeight w:val="270"/>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Dixon (MB)</w:t>
            </w:r>
          </w:p>
        </w:tc>
        <w:tc>
          <w:tcPr>
            <w:tcW w:w="3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Hyannis (S)</w:t>
            </w:r>
          </w:p>
        </w:tc>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Hanover (S)</w:t>
            </w:r>
          </w:p>
        </w:tc>
      </w:tr>
      <w:tr>
        <w:trPr>
          <w:trHeight w:val="270"/>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Stockton (MB)</w:t>
            </w:r>
          </w:p>
        </w:tc>
        <w:tc>
          <w:tcPr>
            <w:tcW w:w="33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North Carolina</w:t>
            </w:r>
          </w:p>
        </w:tc>
        <w:tc>
          <w:tcPr>
            <w:tcW w:w="25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Texas</w:t>
            </w:r>
          </w:p>
        </w:tc>
      </w:tr>
      <w:tr>
        <w:trPr>
          <w:trHeight w:val="270"/>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Connecticut</w:t>
            </w:r>
          </w:p>
        </w:tc>
        <w:tc>
          <w:tcPr>
            <w:tcW w:w="3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Charlotte (S)</w:t>
            </w:r>
          </w:p>
        </w:tc>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Paris (MB)</w:t>
            </w:r>
          </w:p>
        </w:tc>
      </w:tr>
      <w:tr>
        <w:trPr>
          <w:trHeight w:val="270"/>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Bloomfield (S)</w:t>
            </w:r>
          </w:p>
        </w:tc>
        <w:tc>
          <w:tcPr>
            <w:tcW w:w="3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Maxton (MB)</w:t>
            </w:r>
          </w:p>
        </w:tc>
        <w:tc>
          <w:tcPr>
            <w:tcW w:w="25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Utah</w:t>
            </w:r>
          </w:p>
        </w:tc>
      </w:tr>
      <w:tr>
        <w:trPr>
          <w:trHeight w:val="270"/>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Florida</w:t>
            </w:r>
          </w:p>
        </w:tc>
        <w:tc>
          <w:tcPr>
            <w:tcW w:w="33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Ohio</w:t>
            </w:r>
          </w:p>
        </w:tc>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Richmond (S)</w:t>
            </w:r>
          </w:p>
        </w:tc>
      </w:tr>
      <w:tr>
        <w:trPr>
          <w:trHeight w:val="270"/>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Lakeland (S)</w:t>
            </w:r>
          </w:p>
        </w:tc>
        <w:tc>
          <w:tcPr>
            <w:tcW w:w="3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Ashland (S)</w:t>
            </w:r>
          </w:p>
        </w:tc>
        <w:tc>
          <w:tcPr>
            <w:tcW w:w="25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i w:val="1"/>
                <w:iCs w:val="1"/>
                <w:color w:val="auto"/>
              </w:rPr>
              <w:t>Wisconsin</w:t>
            </w:r>
          </w:p>
        </w:tc>
      </w:tr>
      <w:tr>
        <w:trPr>
          <w:trHeight w:val="270"/>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Georgia</w:t>
            </w:r>
          </w:p>
        </w:tc>
        <w:tc>
          <w:tcPr>
            <w:tcW w:w="3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Napoleon (MB)</w:t>
            </w:r>
          </w:p>
        </w:tc>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Beloit (S)</w:t>
            </w:r>
          </w:p>
        </w:tc>
      </w:tr>
      <w:tr>
        <w:trPr>
          <w:trHeight w:val="270"/>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Columbus (S)</w:t>
            </w:r>
          </w:p>
        </w:tc>
        <w:tc>
          <w:tcPr>
            <w:tcW w:w="3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Willard (S)</w:t>
            </w:r>
          </w:p>
        </w:tc>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Franklin (S)</w:t>
            </w:r>
          </w:p>
        </w:tc>
      </w:tr>
      <w:tr>
        <w:trPr>
          <w:trHeight w:val="270"/>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Illinois</w:t>
            </w:r>
          </w:p>
        </w:tc>
        <w:tc>
          <w:tcPr>
            <w:tcW w:w="33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Oregon</w:t>
            </w:r>
          </w:p>
        </w:tc>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Milwaukee (MB)</w:t>
            </w:r>
          </w:p>
        </w:tc>
      </w:tr>
      <w:tr>
        <w:trPr>
          <w:trHeight w:val="270"/>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Downers Grove (S)</w:t>
            </w:r>
          </w:p>
        </w:tc>
        <w:tc>
          <w:tcPr>
            <w:tcW w:w="3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Salem (S)</w:t>
            </w:r>
          </w:p>
        </w:tc>
        <w:tc>
          <w:tcPr>
            <w:tcW w:w="2560" w:type="dxa"/>
            <w:vAlign w:val="bottom"/>
          </w:tcPr>
          <w:p>
            <w:pPr>
              <w:spacing w:after="0"/>
              <w:rPr>
                <w:sz w:val="23"/>
                <w:szCs w:val="23"/>
                <w:color w:val="auto"/>
              </w:rPr>
            </w:pPr>
          </w:p>
        </w:tc>
      </w:tr>
      <w:tr>
        <w:trPr>
          <w:trHeight w:val="270"/>
        </w:trPr>
        <w:tc>
          <w:tcPr>
            <w:tcW w:w="3240" w:type="dxa"/>
            <w:vAlign w:val="bottom"/>
          </w:tcPr>
          <w:p>
            <w:pPr>
              <w:spacing w:after="0"/>
              <w:rPr>
                <w:sz w:val="23"/>
                <w:szCs w:val="23"/>
                <w:color w:val="auto"/>
              </w:rPr>
            </w:pPr>
          </w:p>
        </w:tc>
        <w:tc>
          <w:tcPr>
            <w:tcW w:w="3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Tualatin (MB)</w:t>
            </w:r>
          </w:p>
        </w:tc>
        <w:tc>
          <w:tcPr>
            <w:tcW w:w="2560" w:type="dxa"/>
            <w:vAlign w:val="bottom"/>
          </w:tcPr>
          <w:p>
            <w:pPr>
              <w:spacing w:after="0"/>
              <w:rPr>
                <w:sz w:val="23"/>
                <w:szCs w:val="23"/>
                <w:color w:val="auto"/>
              </w:rPr>
            </w:pPr>
          </w:p>
        </w:tc>
      </w:tr>
      <w:tr>
        <w:trPr>
          <w:trHeight w:val="33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______________________________</w:t>
            </w:r>
          </w:p>
        </w:tc>
        <w:tc>
          <w:tcPr>
            <w:tcW w:w="33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MB - Meals &amp; Beverages</w:t>
            </w:r>
          </w:p>
        </w:tc>
        <w:tc>
          <w:tcPr>
            <w:tcW w:w="33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 - Snacks</w:t>
            </w:r>
          </w:p>
        </w:tc>
        <w:tc>
          <w:tcPr>
            <w:tcW w:w="3300" w:type="dxa"/>
            <w:vAlign w:val="bottom"/>
          </w:tcPr>
          <w:p>
            <w:pPr>
              <w:spacing w:after="0"/>
              <w:rPr>
                <w:sz w:val="20"/>
                <w:szCs w:val="20"/>
                <w:color w:val="auto"/>
              </w:rPr>
            </w:pPr>
          </w:p>
        </w:tc>
        <w:tc>
          <w:tcPr>
            <w:tcW w:w="2560" w:type="dxa"/>
            <w:vAlign w:val="bottom"/>
          </w:tcPr>
          <w:p>
            <w:pPr>
              <w:spacing w:after="0"/>
              <w:rPr>
                <w:sz w:val="20"/>
                <w:szCs w:val="20"/>
                <w:color w:val="auto"/>
              </w:rPr>
            </w:pPr>
          </w:p>
        </w:tc>
      </w:tr>
    </w:tbl>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the foregoing manufacturing facilities is company-owned, except the Tualatin, Oregon facility, which is leased. We also maintain principal business unit offices in Charlotte, North Carolina; Doral, Florida; Hanover, Pennsylvania; Norwalk, Connecticut; Tualatin, Oregon; and Mississauga, Canada.</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own and lease distribution centers across the U.S. We believe that our manufacturing and processing plants and distribution centers are well maintained and, together with facilities operated by our contract manufacturers, are generally adequate to support the current operations of the businesses.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reportable legal proceedings is contained in Note 20 to the Consolidated Financial Statements and incorporated herein by reference.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section below provides information regarding our executive officers as of September 16, 2020: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Name, Present Title &amp;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36830</wp:posOffset>
            </wp:positionV>
            <wp:extent cx="711517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spacing w:after="0" w:line="47"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color w:val="auto"/>
        </w:rPr>
        <w:t>Mick J. Beekhuizen, Executive Vice President and Chief Financial Officer. Executive Vice President and Chief Financial Officer, Chobani LLC (2016-2019). Executive Vice President and Chief Financial Officer, Education Management Corporation (2013-2016).</w:t>
      </w:r>
    </w:p>
    <w:p>
      <w:pPr>
        <w:spacing w:after="0" w:line="14" w:lineRule="exact"/>
        <w:rPr>
          <w:sz w:val="20"/>
          <w:szCs w:val="20"/>
          <w:color w:val="auto"/>
        </w:rPr>
      </w:pPr>
    </w:p>
    <w:p>
      <w:pPr>
        <w:ind w:left="40" w:right="180"/>
        <w:spacing w:after="0" w:line="281" w:lineRule="auto"/>
        <w:rPr>
          <w:sz w:val="20"/>
          <w:szCs w:val="20"/>
          <w:color w:val="auto"/>
        </w:rPr>
      </w:pPr>
      <w:r>
        <w:rPr>
          <w:rFonts w:ascii="Times New Roman" w:cs="Times New Roman" w:eastAsia="Times New Roman" w:hAnsi="Times New Roman"/>
          <w:sz w:val="18"/>
          <w:szCs w:val="18"/>
          <w:color w:val="auto"/>
        </w:rPr>
        <w:t>Xavier F. Boza, Executive Vice President and Chief Human Resources Officer. Vice President, Human Resources of Campbell Soup Company (2015-2018). Regional Vice President, Human Resources of Kellogg Company (2013-2015).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wp:posOffset>
            </wp:positionV>
            <wp:extent cx="7115175"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ind w:left="40" w:right="260"/>
        <w:spacing w:after="0" w:line="266" w:lineRule="auto"/>
        <w:rPr>
          <w:sz w:val="20"/>
          <w:szCs w:val="20"/>
          <w:color w:val="auto"/>
        </w:rPr>
      </w:pPr>
      <w:r>
        <w:rPr>
          <w:rFonts w:ascii="Times New Roman" w:cs="Times New Roman" w:eastAsia="Times New Roman" w:hAnsi="Times New Roman"/>
          <w:sz w:val="18"/>
          <w:szCs w:val="18"/>
          <w:color w:val="auto"/>
        </w:rPr>
        <w:t>Adam G. Ciongoli, Executive Vice President and General Counsel. Executive Vice President and General Counsel of Lincoln Financial Group (2012-2015).</w:t>
      </w:r>
    </w:p>
    <w:p>
      <w:pPr>
        <w:ind w:left="40" w:right="20"/>
        <w:spacing w:after="0" w:line="281" w:lineRule="auto"/>
        <w:rPr>
          <w:sz w:val="20"/>
          <w:szCs w:val="20"/>
          <w:color w:val="auto"/>
        </w:rPr>
      </w:pPr>
      <w:r>
        <w:rPr>
          <w:rFonts w:ascii="Times New Roman" w:cs="Times New Roman" w:eastAsia="Times New Roman" w:hAnsi="Times New Roman"/>
          <w:sz w:val="17"/>
          <w:szCs w:val="17"/>
          <w:color w:val="auto"/>
        </w:rPr>
        <w:t>Mark A. Clouse, President and Chief Executive Officer. Chief Executive Officer of Pinnacle Foods, Inc. (2016-2018). Chief Commercial Officer (2016) and Executive Vice President and Chief Growth Officer (2014-2016) of Mondelez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wp:posOffset>
            </wp:positionV>
            <wp:extent cx="711517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ind w:left="40"/>
        <w:spacing w:after="0" w:line="281" w:lineRule="auto"/>
        <w:rPr>
          <w:sz w:val="20"/>
          <w:szCs w:val="20"/>
          <w:color w:val="auto"/>
        </w:rPr>
      </w:pPr>
      <w:r>
        <w:rPr>
          <w:rFonts w:ascii="Times New Roman" w:cs="Times New Roman" w:eastAsia="Times New Roman" w:hAnsi="Times New Roman"/>
          <w:sz w:val="18"/>
          <w:szCs w:val="18"/>
          <w:color w:val="auto"/>
        </w:rPr>
        <w:t>Christopher D. Foley, Executive Vice President and President, Meals &amp; Beverages. We have employed Mr. Foley in an executive or managerial capacity for at least five years.</w:t>
      </w:r>
    </w:p>
    <w:p>
      <w:pPr>
        <w:spacing w:after="0" w:line="1" w:lineRule="exact"/>
        <w:rPr>
          <w:sz w:val="20"/>
          <w:szCs w:val="20"/>
          <w:color w:val="auto"/>
        </w:rPr>
      </w:pPr>
    </w:p>
    <w:p>
      <w:pPr>
        <w:ind w:left="40" w:right="120"/>
        <w:spacing w:after="0" w:line="281" w:lineRule="auto"/>
        <w:rPr>
          <w:sz w:val="20"/>
          <w:szCs w:val="20"/>
          <w:color w:val="auto"/>
        </w:rPr>
      </w:pPr>
      <w:r>
        <w:rPr>
          <w:rFonts w:ascii="Times New Roman" w:cs="Times New Roman" w:eastAsia="Times New Roman" w:hAnsi="Times New Roman"/>
          <w:sz w:val="18"/>
          <w:szCs w:val="18"/>
          <w:color w:val="auto"/>
        </w:rPr>
        <w:t>Robert J. Furbee, Executive Vice President, Global Supply Chain. We have employed Mr. Furbee in an executive or managerial capacity for at least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wp:posOffset>
            </wp:positionV>
            <wp:extent cx="7115175"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jc w:val="both"/>
        <w:ind w:left="40" w:right="220"/>
        <w:spacing w:after="0" w:line="281" w:lineRule="auto"/>
        <w:rPr>
          <w:sz w:val="20"/>
          <w:szCs w:val="20"/>
          <w:color w:val="auto"/>
        </w:rPr>
      </w:pPr>
      <w:r>
        <w:rPr>
          <w:rFonts w:ascii="Times New Roman" w:cs="Times New Roman" w:eastAsia="Times New Roman" w:hAnsi="Times New Roman"/>
          <w:sz w:val="17"/>
          <w:szCs w:val="17"/>
          <w:color w:val="auto"/>
        </w:rPr>
        <w:t>Valerie J. Oswalt, Executive Vice President and President, Campbell Snacks. Chief Executive Officer, Century Snacks (2018-2020). President, Mondelez North America Confections (2017-2018). President, Mondelez North America Sales (2015-2017).</w:t>
      </w:r>
    </w:p>
    <w:p>
      <w:pPr>
        <w:spacing w:after="0" w:line="1" w:lineRule="exact"/>
        <w:rPr>
          <w:sz w:val="20"/>
          <w:szCs w:val="20"/>
          <w:color w:val="auto"/>
        </w:rPr>
      </w:pPr>
    </w:p>
    <w:p>
      <w:pPr>
        <w:ind w:left="40" w:right="480"/>
        <w:spacing w:after="0" w:line="282" w:lineRule="auto"/>
        <w:rPr>
          <w:sz w:val="20"/>
          <w:szCs w:val="20"/>
          <w:color w:val="auto"/>
        </w:rPr>
      </w:pPr>
      <w:r>
        <w:rPr>
          <w:rFonts w:ascii="Times New Roman" w:cs="Times New Roman" w:eastAsia="Times New Roman" w:hAnsi="Times New Roman"/>
          <w:sz w:val="18"/>
          <w:szCs w:val="18"/>
          <w:color w:val="auto"/>
        </w:rPr>
        <w:t>Craig S. Slavtcheff, Executive Vice President, Chief R&amp;D and Innovation Officer. We have employed Mr. Slavtcheff in an executive or managerial capacity for at least five years.</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w:t>
      </w:r>
      <w:r>
        <w:rPr>
          <w:rFonts w:ascii="Times New Roman" w:cs="Times New Roman" w:eastAsia="Times New Roman" w:hAnsi="Times New Roman"/>
          <w:sz w:val="18"/>
          <w:szCs w:val="18"/>
          <w:b w:val="1"/>
          <w:bCs w:val="1"/>
          <w:i w:val="1"/>
          <w:iCs w:val="1"/>
          <w:color w:val="auto"/>
        </w:rPr>
        <w:t>. Market for Registrant’s Capital Stock, Related Shareholder Matters and Issuer Purchases of Equity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Registrant’s Capital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Year First</w:t>
      </w:r>
    </w:p>
    <w:p>
      <w:pPr>
        <w:spacing w:after="0" w:line="31"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Appointed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u w:val="single" w:color="auto"/>
          <w:color w:val="auto"/>
        </w:rPr>
        <w:t>Age</w:t>
      </w:r>
      <w:r>
        <w:rPr>
          <w:sz w:val="20"/>
          <w:szCs w:val="20"/>
          <w:color w:val="auto"/>
        </w:rPr>
        <w:tab/>
      </w:r>
      <w:r>
        <w:rPr>
          <w:rFonts w:ascii="Times New Roman" w:cs="Times New Roman" w:eastAsia="Times New Roman" w:hAnsi="Times New Roman"/>
          <w:sz w:val="18"/>
          <w:szCs w:val="18"/>
          <w:b w:val="1"/>
          <w:bCs w:val="1"/>
          <w:u w:val="single" w:color="auto"/>
          <w:color w:val="auto"/>
        </w:rPr>
        <w:t>Officer</w:t>
      </w:r>
    </w:p>
    <w:p>
      <w:pPr>
        <w:spacing w:after="0" w:line="26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2020</w:t>
      </w:r>
    </w:p>
    <w:p>
      <w:pPr>
        <w:spacing w:after="0" w:line="387"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2018</w:t>
      </w:r>
    </w:p>
    <w:p>
      <w:pPr>
        <w:spacing w:after="0" w:line="266"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2015</w:t>
      </w:r>
    </w:p>
    <w:p>
      <w:pPr>
        <w:spacing w:after="0" w:line="252"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2019</w:t>
      </w:r>
    </w:p>
    <w:p>
      <w:pPr>
        <w:spacing w:after="0" w:line="266"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2019</w:t>
      </w:r>
    </w:p>
    <w:p>
      <w:pPr>
        <w:spacing w:after="0" w:line="279"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2017</w:t>
      </w:r>
    </w:p>
    <w:p>
      <w:pPr>
        <w:spacing w:after="0" w:line="266" w:lineRule="exact"/>
        <w:rPr>
          <w:sz w:val="20"/>
          <w:szCs w:val="20"/>
          <w:color w:val="auto"/>
        </w:rPr>
      </w:pPr>
    </w:p>
    <w:p>
      <w:pPr>
        <w:ind w:left="860" w:hanging="801"/>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w:t>
      </w:r>
    </w:p>
    <w:p>
      <w:pPr>
        <w:spacing w:after="0" w:line="265" w:lineRule="exact"/>
        <w:rPr>
          <w:rFonts w:ascii="Times New Roman" w:cs="Times New Roman" w:eastAsia="Times New Roman" w:hAnsi="Times New Roman"/>
          <w:sz w:val="18"/>
          <w:szCs w:val="18"/>
          <w:color w:val="auto"/>
        </w:rPr>
      </w:pPr>
    </w:p>
    <w:p>
      <w:pPr>
        <w:ind w:left="860" w:hanging="801"/>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w:t>
      </w:r>
    </w:p>
    <w:p>
      <w:pPr>
        <w:spacing w:after="0" w:line="1508" w:lineRule="exact"/>
        <w:rPr>
          <w:sz w:val="20"/>
          <w:szCs w:val="20"/>
          <w:color w:val="auto"/>
        </w:rPr>
      </w:pPr>
    </w:p>
    <w:p>
      <w:pPr>
        <w:sectPr>
          <w:pgSz w:w="11900" w:h="16838" w:orient="portrait"/>
          <w:cols w:equalWidth="0" w:num="2">
            <w:col w:w="9340" w:space="300"/>
            <w:col w:w="1600"/>
          </w:cols>
          <w:pgMar w:left="320" w:top="981" w:right="339" w:bottom="1440" w:gutter="0" w:footer="0" w:header="0"/>
        </w:sect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capital stock is traded on the New York Stock Exchange under the symbol "CPB." On September 16, 2020, there were 16,868 holders of record of our capital stock.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 to Shareholders</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Performance Graph</w:t>
      </w:r>
    </w:p>
    <w:p>
      <w:pPr>
        <w:spacing w:after="0" w:line="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information contained in this Return to Shareholders Performance Graph section shall not be deemed to be "soliciting material" or "filed" or incorporated by reference in future filings with the Securities and Exchange Commission, or subject to the liabilities of Section 18 of the Securities Exchange Act of 1934, as amended (the Exchange Act), except to the extent we specifically incorporate it by reference into a document filed under the Securities Exchange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4" w:name="page15"/>
    <w:bookmarkEnd w:id="1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(TSR) on our stock with the cumulative total return of the Standard &amp; Poor’s 500 Stock Index (the S&amp;P 500) and the Standard &amp; Poor’s Packaged Foods Index (the S&amp;P Packaged Foods Group). The graph assumes that $100 was invested on July 31, 2015, in each of our stock, the S&amp;P 500 and the S&amp;P Packaged Foods Group, and that all dividends were reinvested. The total cumulative dollar returns shown on the graph represent the value that such investments would have had on August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254000</wp:posOffset>
            </wp:positionV>
            <wp:extent cx="5254625" cy="3429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5462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hanging="92"/>
        <w:spacing w:after="0"/>
        <w:tabs>
          <w:tab w:leader="none" w:pos="1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Stock appreciation plus dividend reinvestment.</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55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44"/>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Campbell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116</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123</w:t>
            </w:r>
          </w:p>
        </w:tc>
        <w:tc>
          <w:tcPr>
            <w:tcW w:w="1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143</w:t>
            </w:r>
          </w:p>
        </w:tc>
        <w:tc>
          <w:tcPr>
            <w:tcW w:w="1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172</w:t>
            </w:r>
          </w:p>
        </w:tc>
      </w:tr>
      <w:tr>
        <w:trPr>
          <w:trHeight w:val="27"/>
        </w:trPr>
        <w:tc>
          <w:tcPr>
            <w:tcW w:w="5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Packaged Foods Group</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103</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123</w:t>
            </w:r>
          </w:p>
        </w:tc>
      </w:tr>
      <w:tr>
        <w:trPr>
          <w:trHeight w:val="27"/>
        </w:trPr>
        <w:tc>
          <w:tcPr>
            <w:tcW w:w="5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5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2020</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3"/>
                <w:szCs w:val="13"/>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r>
              <w:rPr>
                <w:rFonts w:ascii="Times New Roman" w:cs="Times New Roman" w:eastAsia="Times New Roman" w:hAnsi="Times New Roman"/>
                <w:sz w:val="9"/>
                <w:szCs w:val="9"/>
                <w:b w:val="1"/>
                <w:bCs w:val="1"/>
                <w:color w:val="auto"/>
              </w:rPr>
              <w:t>(2)</w:t>
            </w:r>
          </w:p>
        </w:tc>
        <w:tc>
          <w:tcPr>
            <w:tcW w:w="240" w:type="dxa"/>
            <w:vAlign w:val="bottom"/>
          </w:tcPr>
          <w:p>
            <w:pPr>
              <w:spacing w:after="0"/>
              <w:rPr>
                <w:sz w:val="13"/>
                <w:szCs w:val="13"/>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2018</w:t>
            </w:r>
            <w:r>
              <w:rPr>
                <w:rFonts w:ascii="Times New Roman" w:cs="Times New Roman" w:eastAsia="Times New Roman" w:hAnsi="Times New Roman"/>
                <w:sz w:val="9"/>
                <w:szCs w:val="9"/>
                <w:b w:val="1"/>
                <w:bCs w:val="1"/>
                <w:color w:val="auto"/>
              </w:rPr>
              <w:t>(3)</w:t>
            </w:r>
          </w:p>
        </w:tc>
        <w:tc>
          <w:tcPr>
            <w:tcW w:w="240" w:type="dxa"/>
            <w:vAlign w:val="bottom"/>
          </w:tcPr>
          <w:p>
            <w:pPr>
              <w:spacing w:after="0"/>
              <w:rPr>
                <w:sz w:val="13"/>
                <w:szCs w:val="13"/>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r>
              <w:rPr>
                <w:rFonts w:ascii="Times New Roman" w:cs="Times New Roman" w:eastAsia="Times New Roman" w:hAnsi="Times New Roman"/>
                <w:sz w:val="9"/>
                <w:szCs w:val="9"/>
                <w:b w:val="1"/>
                <w:bCs w:val="1"/>
                <w:color w:val="auto"/>
              </w:rPr>
              <w:t>(4)</w:t>
            </w:r>
          </w:p>
        </w:tc>
        <w:tc>
          <w:tcPr>
            <w:tcW w:w="260" w:type="dxa"/>
            <w:vAlign w:val="bottom"/>
          </w:tcPr>
          <w:p>
            <w:pPr>
              <w:spacing w:after="0"/>
              <w:rPr>
                <w:sz w:val="13"/>
                <w:szCs w:val="13"/>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2016</w:t>
            </w:r>
            <w:r>
              <w:rPr>
                <w:rFonts w:ascii="Times New Roman" w:cs="Times New Roman" w:eastAsia="Times New Roman" w:hAnsi="Times New Roman"/>
                <w:sz w:val="9"/>
                <w:szCs w:val="9"/>
                <w:b w:val="1"/>
                <w:bCs w:val="1"/>
                <w:color w:val="auto"/>
              </w:rPr>
              <w:t>(5)</w:t>
            </w:r>
          </w:p>
        </w:tc>
        <w:tc>
          <w:tcPr>
            <w:tcW w:w="0" w:type="dxa"/>
            <w:vAlign w:val="bottom"/>
          </w:tcPr>
          <w:p>
            <w:pPr>
              <w:spacing w:after="0"/>
              <w:rPr>
                <w:sz w:val="1"/>
                <w:szCs w:val="1"/>
                <w:color w:val="auto"/>
              </w:rPr>
            </w:pPr>
          </w:p>
        </w:tc>
      </w:tr>
      <w:tr>
        <w:trPr>
          <w:trHeight w:val="2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5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of Operations</w:t>
            </w:r>
          </w:p>
        </w:tc>
        <w:tc>
          <w:tcPr>
            <w:tcW w:w="180" w:type="dxa"/>
            <w:vAlign w:val="bottom"/>
            <w:tcBorders>
              <w:bottom w:val="single" w:sz="8" w:color="BFE4FF"/>
            </w:tcBorders>
            <w:shd w:val="clear" w:color="auto" w:fill="BFE4FF"/>
          </w:tcPr>
          <w:p>
            <w:pPr>
              <w:spacing w:after="0"/>
              <w:rPr>
                <w:sz w:val="22"/>
                <w:szCs w:val="22"/>
                <w:color w:val="auto"/>
              </w:rPr>
            </w:pPr>
          </w:p>
        </w:tc>
        <w:tc>
          <w:tcPr>
            <w:tcW w:w="74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76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spacing w:after="0"/>
              <w:rPr>
                <w:sz w:val="22"/>
                <w:szCs w:val="22"/>
                <w:color w:val="auto"/>
              </w:rPr>
            </w:pPr>
          </w:p>
        </w:tc>
        <w:tc>
          <w:tcPr>
            <w:tcW w:w="76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720" w:type="dxa"/>
            <w:vAlign w:val="bottom"/>
            <w:tcBorders>
              <w:bottom w:val="single" w:sz="8" w:color="BFE4FF"/>
            </w:tcBorders>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8,691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8,107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5,837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1,107</w:t>
            </w:r>
          </w:p>
        </w:tc>
        <w:tc>
          <w:tcPr>
            <w:tcW w:w="28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979</w:t>
            </w:r>
          </w:p>
        </w:tc>
        <w:tc>
          <w:tcPr>
            <w:tcW w:w="24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jc w:val="right"/>
              <w:ind w:right="51"/>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1,431</w:t>
            </w:r>
          </w:p>
        </w:tc>
        <w:tc>
          <w:tcPr>
            <w:tcW w:w="26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766</w:t>
            </w: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1,316</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592</w:t>
            </w:r>
          </w:p>
        </w:tc>
        <w:tc>
          <w:tcPr>
            <w:tcW w:w="28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jc w:val="right"/>
              <w:ind w:right="51"/>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924</w:t>
            </w:r>
          </w:p>
        </w:tc>
        <w:tc>
          <w:tcPr>
            <w:tcW w:w="26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1,036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1,628</w:t>
            </w:r>
          </w:p>
        </w:tc>
        <w:tc>
          <w:tcPr>
            <w:tcW w:w="28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jc w:val="right"/>
              <w:ind w:right="51"/>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887</w:t>
            </w:r>
          </w:p>
        </w:tc>
        <w:tc>
          <w:tcPr>
            <w:tcW w:w="26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1,628</w:t>
            </w: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887</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1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12,372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13,148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14,529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7,726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23"/>
                <w:szCs w:val="23"/>
                <w:color w:val="auto"/>
                <w:vertAlign w:val="superscript"/>
              </w:rPr>
              <w:t>(6)</w:t>
            </w:r>
          </w:p>
        </w:tc>
        <w:tc>
          <w:tcPr>
            <w:tcW w:w="180" w:type="dxa"/>
            <w:vAlign w:val="bottom"/>
            <w:shd w:val="clear" w:color="auto" w:fill="BFE4FF"/>
          </w:tcPr>
          <w:p>
            <w:pPr>
              <w:spacing w:after="0"/>
              <w:rPr>
                <w:sz w:val="23"/>
                <w:szCs w:val="23"/>
                <w:color w:val="auto"/>
              </w:rPr>
            </w:pPr>
          </w:p>
        </w:tc>
        <w:tc>
          <w:tcPr>
            <w:tcW w:w="740" w:type="dxa"/>
            <w:vAlign w:val="bottom"/>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6,196</w:t>
            </w:r>
          </w:p>
        </w:tc>
        <w:tc>
          <w:tcPr>
            <w:tcW w:w="280" w:type="dxa"/>
            <w:vAlign w:val="bottom"/>
            <w:shd w:val="clear" w:color="auto" w:fill="BFE4FF"/>
          </w:tcPr>
          <w:p>
            <w:pPr>
              <w:spacing w:after="0"/>
              <w:rPr>
                <w:sz w:val="23"/>
                <w:szCs w:val="23"/>
                <w:color w:val="auto"/>
              </w:rPr>
            </w:pPr>
          </w:p>
        </w:tc>
        <w:tc>
          <w:tcPr>
            <w:tcW w:w="760" w:type="dxa"/>
            <w:vAlign w:val="bottom"/>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8,712</w:t>
            </w:r>
          </w:p>
        </w:tc>
        <w:tc>
          <w:tcPr>
            <w:tcW w:w="240" w:type="dxa"/>
            <w:vAlign w:val="bottom"/>
            <w:shd w:val="clear" w:color="auto" w:fill="BFE4FF"/>
          </w:tcPr>
          <w:p>
            <w:pPr>
              <w:spacing w:after="0"/>
              <w:rPr>
                <w:sz w:val="23"/>
                <w:szCs w:val="23"/>
                <w:color w:val="auto"/>
              </w:rPr>
            </w:pPr>
          </w:p>
        </w:tc>
        <w:tc>
          <w:tcPr>
            <w:tcW w:w="780" w:type="dxa"/>
            <w:vAlign w:val="bottom"/>
            <w:shd w:val="clear" w:color="auto" w:fill="BFE4FF"/>
          </w:tcPr>
          <w:p>
            <w:pPr>
              <w:jc w:val="right"/>
              <w:ind w:right="51"/>
              <w:spacing w:after="0"/>
              <w:rPr>
                <w:sz w:val="20"/>
                <w:szCs w:val="20"/>
                <w:color w:val="auto"/>
              </w:rPr>
            </w:pPr>
            <w:r>
              <w:rPr>
                <w:rFonts w:ascii="Times New Roman" w:cs="Times New Roman" w:eastAsia="Times New Roman" w:hAnsi="Times New Roman"/>
                <w:sz w:val="18"/>
                <w:szCs w:val="18"/>
                <w:color w:val="auto"/>
              </w:rPr>
              <w:t>9,894</w:t>
            </w:r>
          </w:p>
        </w:tc>
        <w:tc>
          <w:tcPr>
            <w:tcW w:w="240" w:type="dxa"/>
            <w:vAlign w:val="bottom"/>
            <w:shd w:val="clear" w:color="auto" w:fill="BFE4FF"/>
          </w:tcPr>
          <w:p>
            <w:pPr>
              <w:spacing w:after="0"/>
              <w:rPr>
                <w:sz w:val="23"/>
                <w:szCs w:val="23"/>
                <w:color w:val="auto"/>
              </w:rPr>
            </w:pPr>
          </w:p>
        </w:tc>
        <w:tc>
          <w:tcPr>
            <w:tcW w:w="760" w:type="dxa"/>
            <w:vAlign w:val="bottom"/>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3,536</w:t>
            </w:r>
          </w:p>
        </w:tc>
        <w:tc>
          <w:tcPr>
            <w:tcW w:w="260" w:type="dxa"/>
            <w:vAlign w:val="bottom"/>
            <w:shd w:val="clear" w:color="auto" w:fill="BFE4FF"/>
          </w:tcPr>
          <w:p>
            <w:pPr>
              <w:spacing w:after="0"/>
              <w:rPr>
                <w:sz w:val="23"/>
                <w:szCs w:val="23"/>
                <w:color w:val="auto"/>
              </w:rPr>
            </w:pPr>
          </w:p>
        </w:tc>
        <w:tc>
          <w:tcPr>
            <w:tcW w:w="7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2,569</w:t>
            </w: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1,112</w:t>
            </w:r>
          </w:p>
        </w:tc>
        <w:tc>
          <w:tcPr>
            <w:tcW w:w="24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1,373</w:t>
            </w:r>
          </w:p>
        </w:tc>
        <w:tc>
          <w:tcPr>
            <w:tcW w:w="2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1,645</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1.96</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 basic</w:t>
            </w:r>
          </w:p>
        </w:tc>
        <w:tc>
          <w:tcPr>
            <w:tcW w:w="18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6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w:t>
            </w:r>
          </w:p>
        </w:tc>
        <w:tc>
          <w:tcPr>
            <w:tcW w:w="180" w:type="dxa"/>
            <w:vAlign w:val="bottom"/>
            <w:shd w:val="clear" w:color="auto" w:fill="BFE4FF"/>
          </w:tcPr>
          <w:p>
            <w:pPr>
              <w:spacing w:after="0"/>
              <w:rPr>
                <w:sz w:val="19"/>
                <w:szCs w:val="19"/>
                <w:color w:val="auto"/>
              </w:rPr>
            </w:pPr>
          </w:p>
        </w:tc>
        <w:tc>
          <w:tcPr>
            <w:tcW w:w="740" w:type="dxa"/>
            <w:vAlign w:val="bottom"/>
            <w:vMerge w:val="restart"/>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1.95</w:t>
            </w:r>
          </w:p>
        </w:tc>
        <w:tc>
          <w:tcPr>
            <w:tcW w:w="28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78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7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Company - assuming dilution</w:t>
            </w:r>
          </w:p>
        </w:tc>
        <w:tc>
          <w:tcPr>
            <w:tcW w:w="180" w:type="dxa"/>
            <w:vAlign w:val="bottom"/>
            <w:tcBorders>
              <w:bottom w:val="single" w:sz="8" w:color="BFE4FF"/>
            </w:tcBorders>
            <w:shd w:val="clear" w:color="auto" w:fill="BFE4FF"/>
          </w:tcPr>
          <w:p>
            <w:pPr>
              <w:spacing w:after="0"/>
              <w:rPr>
                <w:sz w:val="20"/>
                <w:szCs w:val="20"/>
                <w:color w:val="auto"/>
              </w:rPr>
            </w:pPr>
          </w:p>
        </w:tc>
        <w:tc>
          <w:tcPr>
            <w:tcW w:w="740" w:type="dxa"/>
            <w:vAlign w:val="bottom"/>
            <w:tcBorders>
              <w:bottom w:val="single" w:sz="8" w:color="BFE4FF"/>
            </w:tcBorders>
            <w:vMerge w:val="continue"/>
            <w:shd w:val="clear" w:color="auto" w:fill="BFE4FF"/>
          </w:tcPr>
          <w:p>
            <w:pPr>
              <w:spacing w:after="0"/>
              <w:rPr>
                <w:sz w:val="20"/>
                <w:szCs w:val="20"/>
                <w:color w:val="auto"/>
              </w:rPr>
            </w:pPr>
          </w:p>
        </w:tc>
        <w:tc>
          <w:tcPr>
            <w:tcW w:w="280" w:type="dxa"/>
            <w:vAlign w:val="bottom"/>
            <w:tcBorders>
              <w:bottom w:val="single" w:sz="8" w:color="BFE4FF"/>
            </w:tcBorders>
            <w:shd w:val="clear" w:color="auto" w:fill="BFE4FF"/>
          </w:tcPr>
          <w:p>
            <w:pPr>
              <w:spacing w:after="0"/>
              <w:rPr>
                <w:sz w:val="20"/>
                <w:szCs w:val="20"/>
                <w:color w:val="auto"/>
              </w:rPr>
            </w:pPr>
          </w:p>
        </w:tc>
        <w:tc>
          <w:tcPr>
            <w:tcW w:w="760" w:type="dxa"/>
            <w:vAlign w:val="bottom"/>
            <w:tcBorders>
              <w:bottom w:val="single" w:sz="8" w:color="BFE4FF"/>
            </w:tcBorders>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Borders>
              <w:bottom w:val="single" w:sz="8" w:color="BFE4FF"/>
            </w:tcBorders>
            <w:shd w:val="clear" w:color="auto" w:fill="BFE4FF"/>
          </w:tcPr>
          <w:p>
            <w:pPr>
              <w:spacing w:after="0"/>
              <w:rPr>
                <w:sz w:val="20"/>
                <w:szCs w:val="20"/>
                <w:color w:val="auto"/>
              </w:rPr>
            </w:pPr>
          </w:p>
        </w:tc>
        <w:tc>
          <w:tcPr>
            <w:tcW w:w="780" w:type="dxa"/>
            <w:vAlign w:val="bottom"/>
            <w:tcBorders>
              <w:bottom w:val="single" w:sz="8" w:color="BFE4FF"/>
            </w:tcBorders>
            <w:shd w:val="clear" w:color="auto" w:fill="BFE4FF"/>
          </w:tcPr>
          <w:p>
            <w:pPr>
              <w:jc w:val="right"/>
              <w:ind w:right="51"/>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Borders>
              <w:bottom w:val="single" w:sz="8" w:color="BFE4FF"/>
            </w:tcBorders>
            <w:shd w:val="clear" w:color="auto" w:fill="BFE4FF"/>
          </w:tcPr>
          <w:p>
            <w:pPr>
              <w:spacing w:after="0"/>
              <w:rPr>
                <w:sz w:val="20"/>
                <w:szCs w:val="20"/>
                <w:color w:val="auto"/>
              </w:rPr>
            </w:pPr>
          </w:p>
        </w:tc>
        <w:tc>
          <w:tcPr>
            <w:tcW w:w="760" w:type="dxa"/>
            <w:vAlign w:val="bottom"/>
            <w:tcBorders>
              <w:bottom w:val="single" w:sz="8" w:color="BFE4FF"/>
            </w:tcBorders>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Borders>
              <w:bottom w:val="single" w:sz="8" w:color="BFE4FF"/>
            </w:tcBorders>
            <w:shd w:val="clear" w:color="auto" w:fill="BFE4FF"/>
          </w:tcPr>
          <w:p>
            <w:pPr>
              <w:spacing w:after="0"/>
              <w:rPr>
                <w:sz w:val="20"/>
                <w:szCs w:val="20"/>
                <w:color w:val="auto"/>
              </w:rPr>
            </w:pPr>
          </w:p>
        </w:tc>
        <w:tc>
          <w:tcPr>
            <w:tcW w:w="7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 - basic</w:t>
            </w: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5.39</w:t>
            </w: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 - assuming dilution</w:t>
            </w:r>
          </w:p>
        </w:tc>
        <w:tc>
          <w:tcPr>
            <w:tcW w:w="1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5.36</w:t>
            </w:r>
          </w:p>
        </w:tc>
        <w:tc>
          <w:tcPr>
            <w:tcW w:w="28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jc w:val="right"/>
              <w:ind w:right="51"/>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1.40</w:t>
            </w: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Statistics</w:t>
            </w:r>
          </w:p>
        </w:tc>
        <w:tc>
          <w:tcPr>
            <w:tcW w:w="1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299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302</w:t>
            </w:r>
          </w:p>
        </w:tc>
        <w:tc>
          <w:tcPr>
            <w:tcW w:w="28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jc w:val="right"/>
              <w:ind w:right="51"/>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31"/>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304</w:t>
            </w: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per share amounts below are on a diluted basis)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guidance that amends accounting for leases. In July 2018, the FASB issued an adoption approach that allows entities to apply the new guidance and recognize a cumulative-effect adjustment to the opening balance of retained earnings in the period of adoption without restating prior periods. We adopted the guidance in 2020 using this transition method.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2014, the FASB issued revised guidance on the recognition of revenue from contracts with customers. We adopted the guidance in 2019 using the modified retrospective method.</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2017, the FASB issued guidance that changes the presentation of net periodic pension cost and net periodic postretirement benefit cost. The guidance also allows only the service cost component to be eligible for capitalization when applicable (for example, as a cost of internally manufactured inventory). We adopted the guidance in 2018 and retrospectively adjusted prior periods.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2016, the FASB issued guidance that amends accounting for share-based payments, including the accounting for income taxes, forfeitures, and statutory withholding requirements, as well as classification in the statement of cash flows. We adopted the guidance in 2017 and retrospectively adjusted prior periods.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2020 fiscal year consisted of 53 weeks. All other periods had 52 weeks.</w:t>
      </w:r>
    </w:p>
    <w:p>
      <w:pPr>
        <w:spacing w:after="0" w:line="104" w:lineRule="exact"/>
        <w:rPr>
          <w:sz w:val="20"/>
          <w:szCs w:val="20"/>
          <w:color w:val="auto"/>
        </w:rPr>
      </w:pPr>
    </w:p>
    <w:p>
      <w:pPr>
        <w:jc w:val="both"/>
        <w:ind w:left="340" w:hanging="332"/>
        <w:spacing w:after="0" w:line="243"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2020 earnings from continuing operations attributable to Campbell Soup Company were impacted by the following: a restructuring charge and costs of $52 million ($.17 per share) associated with restructuring and cost savings initiatives; losses of $92 million ($.30 per share) associated with mark-to-market adjustments for defined benefit pension and postretirement plans; pension settlement charges of $33 million ($.11 per share); a loss of $35 million ($.12 per share) associated with the sale of our limited partnership interest in Acre Venture Partners, L.P.; a loss of $37 million ($.12 per share) on the sale of the European chips business; and a loss of $57 million ($.19 per share) on the extinguishment of debt. Earnings from discontinued operations were impacted by net gains of $1,000 million ($3.29 per share) associated with the</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color w:val="auto"/>
        </w:rPr>
        <w:t>sale of the Kelsen business and the Arnott's and other international operations (collectively referred to as Campbell International).</w:t>
      </w:r>
    </w:p>
    <w:p>
      <w:pPr>
        <w:spacing w:after="0" w:line="27" w:lineRule="exact"/>
        <w:rPr>
          <w:sz w:val="20"/>
          <w:szCs w:val="20"/>
          <w:color w:val="auto"/>
        </w:rPr>
      </w:pPr>
    </w:p>
    <w:p>
      <w:pPr>
        <w:jc w:val="both"/>
        <w:ind w:left="340" w:hanging="332"/>
        <w:spacing w:after="0" w:line="242"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2019 earnings from continuing operations attributable to Campbell Soup Company were impacted by the following: a restructuring charge and costs of $92 million ($.30 per share) associated with restructuring and cost savings initiatives; impairment charges of $13 million ($.04 per share) related to the European chips business; a pension settlement charge of $22 million ($.07 per share); losses of $93 million ($.31 per share) associated with mark-to-market adjustments for defined benefit pension and postretirement plans; and a tax charge of $2 million ($.01 per share) due to the enactment of the Tax Cuts and Jobs Act that was signed into law in December 2017 (the Act). Loss from discontinued operations was impacted by the following: impairment charges of $275 million ($.91 per share) related to Campbell Fresh; expenses of $51 million ($.17 per share) associated with the sale process of the businesses in Campbell Fresh, including losses on the sale of the businesses, and on deferred tax assets that were not realizable; impairment charges of $12 million ($.04 per share) related to Kelsen; costs of $10 million ($.03 per share) associated with the planned divestiture of Campbell International; and losses of $9 million ($.03 per share) associated with mark-to-market adjustments for defined benefit pension plans.</w:t>
      </w:r>
    </w:p>
    <w:p>
      <w:pPr>
        <w:spacing w:after="0" w:line="7" w:lineRule="exact"/>
        <w:rPr>
          <w:rFonts w:ascii="Times New Roman" w:cs="Times New Roman" w:eastAsia="Times New Roman" w:hAnsi="Times New Roman"/>
          <w:sz w:val="23"/>
          <w:szCs w:val="23"/>
          <w:color w:val="auto"/>
          <w:vertAlign w:val="superscript"/>
        </w:rPr>
      </w:pPr>
    </w:p>
    <w:p>
      <w:pPr>
        <w:jc w:val="both"/>
        <w:ind w:left="340" w:hanging="332"/>
        <w:spacing w:after="0" w:line="242"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2018 earnings from continuing operations attributable to Campbell Soup Company were impacted by the following: a restructuring charge and costs of $132 million ($.44 per share) associated with restructuring and cost savings initiatives; gains of $100 million ($.33 per share) associated with mark-to-market adjustments for defined benefit pension and postretirement plans; impairment charges of $41 million ($.14 per share) related to the </w:t>
      </w:r>
      <w:r>
        <w:rPr>
          <w:rFonts w:ascii="Times New Roman" w:cs="Times New Roman" w:eastAsia="Times New Roman" w:hAnsi="Times New Roman"/>
          <w:sz w:val="18"/>
          <w:szCs w:val="18"/>
          <w:i w:val="1"/>
          <w:iCs w:val="1"/>
          <w:color w:val="auto"/>
        </w:rPr>
        <w:t xml:space="preserve">Plum </w:t>
      </w:r>
      <w:r>
        <w:rPr>
          <w:rFonts w:ascii="Times New Roman" w:cs="Times New Roman" w:eastAsia="Times New Roman" w:hAnsi="Times New Roman"/>
          <w:sz w:val="18"/>
          <w:szCs w:val="18"/>
          <w:color w:val="auto"/>
        </w:rPr>
        <w:t>trademark; transaction and integration costs of $73 million ($.24 per share) associated with the acquisition of Snyder's-Lance; a net tax benefit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$126 million ($.42 per share) due to the enactment of the Act; and a loss of $15 million ($.05 per share) related to the settlement of a legal claim. Loss from discontinued operations was impacted by the following: a restructuring charge and costs of $4 million ($.01 per share) associated with restructuring and cost savings initiatives; impairment charges of $571 million ($1.89 per share) related to the Bolthouse Farms refrigerated beverages and salad dressings reporting unit, the deli reporting unit, and the Bolthouse Farms carrot and carrot ingredients reporting unit; and gains of $3 million ($.01 per share) associated with mark-to-market and curtailment adjustments for defined benefit pension plans.</w:t>
      </w:r>
    </w:p>
    <w:p>
      <w:pPr>
        <w:spacing w:after="0" w:line="7" w:lineRule="exact"/>
        <w:rPr>
          <w:rFonts w:ascii="Times New Roman" w:cs="Times New Roman" w:eastAsia="Times New Roman" w:hAnsi="Times New Roman"/>
          <w:sz w:val="23"/>
          <w:szCs w:val="23"/>
          <w:color w:val="auto"/>
          <w:vertAlign w:val="superscript"/>
        </w:rPr>
      </w:pPr>
    </w:p>
    <w:p>
      <w:pPr>
        <w:jc w:val="both"/>
        <w:ind w:left="340" w:hanging="332"/>
        <w:spacing w:after="0" w:line="242"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2017 earnings from continuing operations attributable to Campbell Soup Company were impacted by the following: a restructuring charge and costs of $30 million ($.10 per share) associated with restructuring and cost savings initiatives; gains of $100 million ($.33 per share) associated with mark-to-market adjustments for defined benefit pension and postretirement plans; and a tax benefit of $52 million ($.17 per share) primarily associated with the sale of intercompany notes receivable to a financial institution. Loss from discontinued operations were impacted by the following: a restructuring charge and costs of $7 million ($.02 per share) associated with restructuring and cost savings initiatives; impairment charges of $180 million ($.59 per share) related to the intangible assets of the Bolthouse Farms carrot and carrot ingredients reporting unit and the Garden Fresh Gourmet reporting unit; a reduction to interest expense of $4 million ($.01 per share) primarily associated with the sale of intercompany notes receivable to a financial institution; and gains of $16 million ($.05 per share) associated with mark-to-market adjustments for defined benefit pension plans.</w:t>
      </w:r>
    </w:p>
    <w:p>
      <w:pPr>
        <w:spacing w:after="0" w:line="7"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2016 earnings from continuing operations attributable to Campbell Soup Company were impacted by the following: a restructuring charge and costs of $49 million ($.16 per share) associated with restructuring and cost savings initiatives; and losses of $187 million ($.60 per share) associated with mark-to-market adjustments for defined benefit pension and postretirement plans. Earnings from discontinued operations were impacted by the following: impairment charges of $127 million ($.41 per share) related to the intangible assets of the Bolthouse Farms carrot and carrot ingredients reporting unit; losses of $13 million ($.04 per share) associated with mark-to-market adjustments for defined benefit pension plans; and a gain of $25 million ($.08 per share) associated with a settlement of a claim related to the Kelsen acquisition.</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debt includes debt related to discontinued operations. In 2019, debt related to discontinued operations was $238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Data should be read in conjunction with the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ind w:right="396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our consolidated financial statements and the accompanying notes to the consolidated financial statements presented in "Financial Statements and Supplementary Data," as well as the information contained in "Risk Factors."</w:t>
      </w:r>
    </w:p>
    <w:p>
      <w:pPr>
        <w:spacing w:after="0" w:line="54" w:lineRule="exact"/>
        <w:rPr>
          <w:sz w:val="20"/>
          <w:szCs w:val="20"/>
          <w:color w:val="auto"/>
        </w:rPr>
      </w:pPr>
    </w:p>
    <w:p>
      <w:pPr>
        <w:ind w:right="880" w:firstLine="324"/>
        <w:spacing w:after="0" w:line="352" w:lineRule="auto"/>
        <w:rPr>
          <w:sz w:val="20"/>
          <w:szCs w:val="20"/>
          <w:color w:val="auto"/>
        </w:rPr>
      </w:pPr>
      <w:r>
        <w:rPr>
          <w:rFonts w:ascii="Times New Roman" w:cs="Times New Roman" w:eastAsia="Times New Roman" w:hAnsi="Times New Roman"/>
          <w:sz w:val="18"/>
          <w:szCs w:val="18"/>
          <w:color w:val="auto"/>
        </w:rPr>
        <w:t xml:space="preserve">Unless otherwise stated, the terms "we," "us," "our" and the "company" refer to Campbell Soup Company and its consolidated subsidiaries. </w:t>
      </w:r>
      <w:r>
        <w:rPr>
          <w:rFonts w:ascii="Times New Roman" w:cs="Times New Roman" w:eastAsia="Times New Roman" w:hAnsi="Times New Roman"/>
          <w:sz w:val="18"/>
          <w:szCs w:val="18"/>
          <w:b w:val="1"/>
          <w:bCs w:val="1"/>
          <w:i w:val="1"/>
          <w:iCs w:val="1"/>
          <w:color w:val="auto"/>
        </w:rPr>
        <w:t>Executive Summary</w:t>
      </w: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2020 illustrated the importance of a focused strategic plan and a dynamic team as we faced the unprecedented challenges of the COVID-19 pandemic. The year can be viewed in two clear and separate halves. The first half of 2020 was a period of steady execution against our strategic roadmap. We began the year focused on strengthening our brand powerhouse, with two distinct divisions concentrated in North America: Meals &amp; Beverages and Snacks; each home to strong portfolios of products. We kicked off our “Win in Soup” strategic plan and completed our planned divestitures of our Campbell International and European chips business, using the proceeds to reduce our leverage while implementing a new operating model to optimize growth and profitability. The groundwork we established in the first half of 2020 served as a springboard for the business into the second half of the year, when progress against our strategy accelerated as a result of the COVID-19 pandemic.</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the spread of the COVID-19 pandemic in North America during the second half of 2020, we experienced significantly higher sales for our retail products in both our Meals &amp; Beverages and Snacks segments, especially in retail chains and large grocery supermarkets. This result was attributable to a change in retail demand, as consumers significantly increased their current food purchases for at-home consumption, which more than offset the declines in our foodservice business during the same period. We also saw elevated repeat purchase rates and new buyers of our products, especially in our soup business. The higher sales trends of our retail products may lessen or reverse in 2021 if customers or consumers alter their purchasing habits.</w:t>
      </w:r>
    </w:p>
    <w:p>
      <w:pPr>
        <w:spacing w:after="0" w:line="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response to increased demand for our retail products during the second half of 2020, we have taken steps, including modifying production schedules and temporarily adjusting product mix, to increase our production capacity to meet the increased demand for our retail products. During the second half of 2020, we also experienced higher costs in certain areas such as front-line employee compensation and independent contractor payments, as well as incremental costs associated with newly added health screenings, temperature checks and enhanced cleaning and sanitation protocols to protect our employees and product quality standards, which may continue or increase in 2021.</w:t>
      </w:r>
    </w:p>
    <w:p>
      <w:pPr>
        <w:spacing w:after="0" w:line="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Overall, we benefited from increased product demand and favorable product mix as we leveraged our supply chain assets to respond to the impact of the pandemic. Consequently, our full-year results significantly exceeded our initial annual targets for net sales and earnings from continuing operations.</w:t>
      </w:r>
    </w:p>
    <w:p>
      <w:pPr>
        <w:spacing w:after="0" w:line="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2019, we sold our U.S. refrigerated soup business, our Garden Fresh Gourmet business and our Bolthouse Farms business. Beginning in the third quarter of 2019, we have reflected the results of operations of these businesses as discontinued operations in the Consolidated Statements of Earnings for all periods presented. These businesses were historically included in the Campbell Fresh reportable segment. A portion of the U.S. refrigerated soup business historically included in Campbell Fresh was retained and is now reported in Meals &amp; Beverages.</w:t>
      </w:r>
    </w:p>
    <w:p>
      <w:pPr>
        <w:spacing w:after="0" w:line="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discussed above, we completed the sale of our Kelsen business on September 23, 2019. On December 23, 2019, we completed the sale of our Arnott’s business and certain other international operations, including the simple meals and shelf-stable beverages businesses in Australia and Asia Pacific (the Arnott's and other international operations). Beginning in the fourth quarter of 2019, we have reflected the results of operations of the Kelsen business and the Arnott’s and other international operations (collectively referred to as Campbell International) as discontinued operations in the Consolidated Statements of Earnings for all periods presented. These businesses were historically included in the Snacks reportable segment. In addition, on October 11, 2019, we completed the sale of our European chips business. The results of the European chips business through the date of sale were reflected in continuing operations within the Snacks reportable segment. See Notes 3 and 7 to the Consolidated Financial Statements for additional information on these divestitures and reportable segments.</w:t>
      </w:r>
    </w:p>
    <w:p>
      <w:pPr>
        <w:spacing w:after="0" w:line="7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Through the fourth quarter of 2019, our retail business in Latin America was managed as part of the Meals &amp; Beverages segment. Beginning in 2020, our business in Latin America is managed as part of the Snacks segment. Segment results have been adjusted to conform to the current presentation.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strategy is to deliver profitable growth by focusing on our core brands in two divisions within North America while delivering on the promise of</w:t>
      </w:r>
    </w:p>
    <w:p>
      <w:pPr>
        <w:spacing w:after="0" w:line="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our purpose - </w:t>
      </w:r>
      <w:r>
        <w:rPr>
          <w:rFonts w:ascii="Times New Roman" w:cs="Times New Roman" w:eastAsia="Times New Roman" w:hAnsi="Times New Roman"/>
          <w:sz w:val="18"/>
          <w:szCs w:val="18"/>
          <w:i w:val="1"/>
          <w:iCs w:val="1"/>
          <w:color w:val="auto"/>
        </w:rPr>
        <w:t>Real food that matters for life’s moments</w:t>
      </w:r>
      <w:r>
        <w:rPr>
          <w:rFonts w:ascii="Times New Roman" w:cs="Times New Roman" w:eastAsia="Times New Roman" w:hAnsi="Times New Roman"/>
          <w:sz w:val="18"/>
          <w:szCs w:val="18"/>
          <w:color w:val="auto"/>
        </w:rPr>
        <w:t>. Our strategic plan is based on four pillars: create a profitable growth model; fuel investments and margins with targeted cost savings; build a winning team and culture; and deliver on the promise of our purpose all as further discussed below.</w:t>
      </w:r>
    </w:p>
    <w:p>
      <w:pPr>
        <w:spacing w:after="0" w:line="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plan to continue to build upon our consumer and customer engagement models, which we believe will enhance our profitable growth model. We plan to do this through the development of more consumer-oriented product quality, marketing and innovation plans and prioritizing channels and retailers within our defined portfolio roles. In addition, we expect to continue to focus on the growth of our snacks business while also investing in U.S. soup and our other core brands.</w:t>
      </w:r>
    </w:p>
    <w:p>
      <w:pPr>
        <w:spacing w:after="0" w:line="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expect to continue pursuing our multi-year cost savings initiatives with targeted annualized cost savings of $850 million for continuing operations by the end of 2022, which includes $295 million in synergies and run-rate cost savings from our acquisition of Snyder's-Lance, Inc. (Snyder's-Lance). We expect to achieve these additional savings with continued network optimization, organization consolidation and integration, procurement savings and incremental savings opportunities across several cost categories. See "Restructuring Charges and Cost Savings Initiatives" for additional information on these initiatives.</w:t>
      </w:r>
    </w:p>
    <w:p>
      <w:pPr>
        <w:spacing w:after="0" w:line="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plan to focus on building a winning team and culture by improving our employee experience, advancing our inclusion and diversity strategy and investing in strategic capabilities that support our core brands in North America. In addition, we plan to continue to deliver on the promise of our purpose with consumer transparency initiatives, progress on our sustainability goals and strengthening our connection to the communities in which we operate.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1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businesses are being influenced by a variety of trends that we anticipate will continue in the future, including: changing consumer preferences; a competitive and dynamic retail environment; and cost inflation.</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strategy is designed, in part, to capture growing consumer preferences for snacking and convenience. For example, we believe that consumers are changing their eating habits by increasing the type and frequency of snacks they consume. We also expect consumers to continue to seek products that they associate with health and well-being, including naturally functional and organic foods as well as plant-based foods.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Retailers continue to use their buying power and negotiating strength to seek increased promotional programs funded by their suppliers and more favorable terms, including increased promotional programs and customized products funded by their suppliers. Any consolidations among retailers would continue to create large and sophisticated customers that may further this trend. Retailers also continue to grow and promote store brands that compete with branded products, while other challenger brands drive innovation and engagement that threatens our market share.</w:t>
      </w:r>
    </w:p>
    <w:p>
      <w:pPr>
        <w:spacing w:after="0" w:line="9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spread of the COVID-19 pandemic in North America has led to shifts in the growth of the retail channels in which we sell our products. Our businesses are largely concentrated in the traditional retail grocery trade, which prior to the pandemic, had experienced slower growth than other retail channels, such as dollar stores, drug stores, club stores and e-commerce retailers. The COVID-19 pandemic has shifted growth back to the traditional grocery trade. Although there is significant uncertainty as to how the retail channels will perform in the future, we anticipate that the growth of e-commerce, including omnichannel click and collect models, as well as alternative retail channels, such as club and dollar stores, to continue.</w:t>
      </w:r>
    </w:p>
    <w:p>
      <w:pPr>
        <w:spacing w:after="0" w:line="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spread of the COVID-19 pandemic also resulted in increased demand for our retail products, as consumers significantly increased their current food purchases for at-home consumption. In response to increased demand for our retail products during the second half of 2020, we have taken steps, including modifying production schedules and temporarily adjusting product mix, to increase our production capacity to meet the increased demand for our retail products. The continued spread of the COVID-19 pandemic and any resulting government stay-at-home orders in the United States in 2021 may continue to drive consumer demand for our products, which may be in excess of our ability to supply. In mitigating supply chain risks associated with the COVID-19 pandemic, we experienced higher costs in certain areas such as front-line employee compensation and independent contractor payments, as well as incremental costs associated with newly added health screenings, temperature checks and enhanced cleaning and sanitation protocols to protect our employees and product quality standards, which may continue or increase in 2021.</w:t>
      </w:r>
    </w:p>
    <w:p>
      <w:pPr>
        <w:spacing w:after="0" w:line="7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cost of distribution decreased in 2020 due to a decline in transportation and logistics costs, driven by excess availability, warehousing efficiencies and lower fuel costs, however, we have experienced a recent increase in transportation and logistics costs. Despite our ability to source raw materials necessary to meet increased demand for our products, certain ingredients and packaging, including steel, aluminum, glass, agricultural products, proteins and other commodities have been adversely impacted by the COVID-19 pandemic. Although we are unable to predict the impact to our ability to source these materials in the future with any certainty, we expect these supply pressures to continue into 2021.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53 weeks in 2020. There were 52 weeks in 2019 and 2018.</w:t>
      </w:r>
    </w:p>
    <w:p>
      <w:pPr>
        <w:spacing w:after="0" w:line="90" w:lineRule="exact"/>
        <w:rPr>
          <w:sz w:val="20"/>
          <w:szCs w:val="20"/>
          <w:color w:val="auto"/>
        </w:rPr>
      </w:pPr>
    </w:p>
    <w:p>
      <w:pPr>
        <w:jc w:val="both"/>
        <w:ind w:left="660" w:hanging="328"/>
        <w:spacing w:after="0" w:line="23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7% in 2020 to $8,691 million, primarily due to gains in Meals &amp; Beverages and Snacks. The 53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week contributed 2 points of growth, which was mostly offset by the impact of the divestiture of the European chips business. As a result of COVID-19, net sales accelerated in our retail products in the second half of 2020 with increased demand of food purchases for at-home consumption, partly offset by declines in foodservice as a result of shifts in consumer behavior and continued COVID-19 restrictions.</w:t>
      </w:r>
    </w:p>
    <w:p>
      <w:pPr>
        <w:spacing w:after="0" w:line="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increased to 34.5% in 2020 from 33.2% a year ago. The increase was primarily due to supply chain productivity improvements, cost savings initiatives, favorable product mix and operating leverage, partly offset by cost inflation and other supply chain costs, including the impact of COVID-19.</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decreased to $345 million in 2020 from $356 million a year ago. The current year included a loss of $75 million related to extinguishment of debt. After adjusting for this item, interest expense declined primarily due to lower levels of debt and lower average interest rates on the debt portfolio.</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from continuing operations per share were $1.95 in 2020, compared to $1.57 a year ago. The current and prior year included expenses of $1.01 and $.74 per share, respectively, from items impacting comparability as discussed below.</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from discontinued operations per share were $3.41 in the 2020, compared to a Loss per share of $.87 a year ago. The current year included gains of $3.29 and the prior year included expenses of $1.18 per share from items impacting comparability as discussed below.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Campbell Soup Company - 2020 Compared with 2019</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106" w:lineRule="exact"/>
        <w:rPr>
          <w:sz w:val="20"/>
          <w:szCs w:val="20"/>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we recognized losses of $121 million in Other expenses / (income) ($92 million after tax, $.30 per share) associated with mark-to-market adjustments for defined benefit pension and postretirement plans. In 2019, we recognized losses of $122 million in Other expenses / (income) ($93 million after tax, or $.31 per share) associated with mark-to-market adjustments for defined benefit pension and postretirement plans;</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we recognized pre-tax pension settlement charges in Other expenses / (income) of $43 million ($33 million after tax, or $.11 per share) associated with U.S. and Canadian pension plans. In 2019, we recognized a pre-tax pension settlement charge in Other expenses / (income) of $28 million ($22 million after tax, or $.07 per share) associated with a U.S. pension plan. The settlements resulted from the level of lump sum distributions from the plans' assets;</w:t>
      </w:r>
    </w:p>
    <w:p>
      <w:pPr>
        <w:spacing w:after="0" w:line="5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several cost savings initiatives in recent years. In 2020, we recorded a pre-tax restructuring charge of $9 million and implementation costs and other related costs of $48 million in Administrative expenses, $9 million in Cost of products sold, $2 million in Marketing and selling expenses, and $1 million in Research and development expenses (aggregate impact of $52 million after tax, or $.17 per share) related to these initiatives. In 2019, we recorded a pre-tax restructuring charge of $31 million and implementation costs and other related costs of $62 million in Administrative expenses, $18 million in Cost of products sold, $7 million in Marketing and selling expenses, and $3 million in Research and development expenses (aggregate impact of $92 million after tax, or $.30 per share) related to these initiatives. See Note 8 to the Consolidated Financial Statements and "Restructuring Charges and Cost Savings Initiatives" for additional information;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26, 2020, we entered into an agreement to sell our limited partnership interest in Acre Venture Partnerships, L.P. (Acre). The transaction closed on May 8, 2020. In the third quarter of 2020, we recorded a loss in Other expenses / (income) of $45 million ($35 million after tax, or $.12 per share) as a result of the pending sale. See Note 16 to the Consolidated Financial Statements for additional information;</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we recorded a loss in Other expenses / (income) of $64 million ($37 million after tax, or $.12 per share) on the sale of our European chips business;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we recorded a loss in Interest expense of $75 million ($57 million after tax, or $.19 per share) on the extinguishment of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0" w:name="page21"/>
    <w:bookmarkEnd w:id="20"/>
    <w:p>
      <w:pPr>
        <w:jc w:val="both"/>
        <w:ind w:left="328"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we recorded a tax charge of $2 million ($.01 per share) related to a transition tax on unremitted foreign earnings under the enactment of the Tax Cuts and Jobs Act (the Act). See Note 13 to the Consolidated Financial Statements and "Taxes on Earnings" for additional information; and</w:t>
      </w:r>
    </w:p>
    <w:p>
      <w:pPr>
        <w:spacing w:after="0" w:line="40"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2019, we performed an assessment on the assets within the European chips business and recorded a non-cash impairment charge of $16 million ($13 million after tax, or $.04 per share) on intangible assets in Other expenses / (income). See Note 6 to the Consolidated Financial Statements for additional information.</w:t>
      </w:r>
    </w:p>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u w:val="single" w:color="auto"/>
          <w:color w:val="auto"/>
        </w:rPr>
        <w:t>Discontinued Operations</w:t>
      </w:r>
    </w:p>
    <w:p>
      <w:pPr>
        <w:spacing w:after="0" w:line="106" w:lineRule="exact"/>
        <w:rPr>
          <w:sz w:val="20"/>
          <w:szCs w:val="20"/>
          <w:color w:val="auto"/>
        </w:rPr>
      </w:pPr>
    </w:p>
    <w:p>
      <w:pPr>
        <w:jc w:val="both"/>
        <w:ind w:left="328" w:hanging="328"/>
        <w:spacing w:after="0" w:line="258"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we recognized pre-tax net gains of $1,039 million ($1,000 million after tax, or $3.29 per share) associated with the sale of Campbell International. In 2019, we incurred pre-tax expenses of $32 million associated with the sale process of Campbell Fresh, including transaction costs. In addition, we recorded tax expense of $29 million as deferred tax assets on Bolthouse Farms were not realizable. The aggregate impact was $51 million after tax, or $.17 per share. In 2019, we also incurred costs of $12 million ($10 million after tax, or $.03 per share) associated with the planned divestiture of Campbell International. The total aggregate impact was $61 million after tax, or $.20 per share;</w:t>
      </w:r>
    </w:p>
    <w:p>
      <w:pPr>
        <w:spacing w:after="0" w:line="48"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we recognized losses of $12 million ($9 million after tax, or $.03 per share) associated with mark-to-market adjustments for defined benefit pension plans; and</w:t>
      </w:r>
    </w:p>
    <w:p>
      <w:pPr>
        <w:spacing w:after="0" w:line="40"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2019, as part of our annual review of intangible assets, we recognized a non-cash impairment charge of $7 million on a trademark and $10 million on goodwill in Kelsen due to a lower long-term outlook for sales and the pending sale of the business. The aggregate impact was $17 million ($12 million after tax, or $.04 per share).</w:t>
      </w:r>
    </w:p>
    <w:p>
      <w:pPr>
        <w:spacing w:after="0" w:line="54" w:lineRule="exact"/>
        <w:rPr>
          <w:rFonts w:ascii="Times New Roman" w:cs="Times New Roman" w:eastAsia="Times New Roman" w:hAnsi="Times New Roman"/>
          <w:sz w:val="18"/>
          <w:szCs w:val="18"/>
          <w:color w:val="auto"/>
        </w:rPr>
      </w:pPr>
    </w:p>
    <w:p>
      <w:pPr>
        <w:jc w:val="both"/>
        <w:ind w:left="32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2019, interim impairment assessments were performed on the intangible and tangible assets within Campbell Fresh, which included Garden Fresh Gourmet, Bolthouse Farms carrot and carrot ingredients and Bolthouse Farms refrigerated beverages and salad dressings, as we continued to pursue the divestiture of these businesses. We revised our future outlook for earnings and cash flows for each of these businesses as the divestiture process progressed. We recorded non-cash impairment charges of $104 million on the tangible assets and $73 million on the intangible assets of Bolthouse Farms carrot and carrot ingredients; $96 million on the intangible assets and $9 million on the tangible assets of Bolthouse Farms refrigerated beverages and salad dressings; and $62 million on the intangible assets and $2 million on the tangible assets of Garden Fresh Gourmet. The aggregate impact of the impairment charges was $346 million ($264 million after tax, or $.87 per share).</w:t>
      </w:r>
    </w:p>
    <w:p>
      <w:pPr>
        <w:spacing w:after="0" w:line="53"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2019, we recorded a non-cash impairment charge of $14 million ($11 million after tax, or $.04 per share) on our U.S. refrigerated soup plant assets.</w:t>
      </w:r>
    </w:p>
    <w:p>
      <w:pPr>
        <w:spacing w:after="0" w:line="40"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total non-cash impairment charges recorded were $377 million ($287 million after tax, or $.95 per share).</w:t>
      </w:r>
    </w:p>
    <w:p>
      <w:pPr>
        <w:spacing w:after="0" w:line="200" w:lineRule="exact"/>
        <w:rPr>
          <w:sz w:val="20"/>
          <w:szCs w:val="20"/>
          <w:color w:val="auto"/>
        </w:rPr>
      </w:pPr>
    </w:p>
    <w:p>
      <w:pPr>
        <w:spacing w:after="0" w:line="36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85"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EPS</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820" w:type="dxa"/>
            <w:vAlign w:val="bottom"/>
          </w:tcPr>
          <w:p>
            <w:pPr>
              <w:jc w:val="right"/>
              <w:ind w:right="292"/>
              <w:spacing w:after="0" w:line="149" w:lineRule="exact"/>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95"/>
        </w:trPr>
        <w:tc>
          <w:tcPr>
            <w:tcW w:w="68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6"/>
                <w:szCs w:val="16"/>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94"/>
        </w:trPr>
        <w:tc>
          <w:tcPr>
            <w:tcW w:w="68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8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6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postretirement benefit mark-to-market adjustments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Pension settlement charges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losses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associated with divestiture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reform</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items on Earnings from continuing operations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8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6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(charges) associated with divestitures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Pension benefit mark-to-market adjustments</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64"/>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Impact of items on Earnings (loss) from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2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may not add due to rounding.</w:t>
      </w:r>
    </w:p>
    <w:p>
      <w:pPr>
        <w:spacing w:after="0" w:line="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Earnings from continuing operations were $592 million ($1.95 per share) in 2020, compared to $474 million ($1.57 per share) in 2019. After adjusting for items impacting comparability, earnings increased reflecting sales volume gains, including the benefit of the additional week, an improved gross profit performance and lower interest expense, partially offset by increased marketing investment. The additional week contributed approximately $.04 per share to Earnings from continuing operations in 2020.</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"Discontinued Operations" for additional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Campbell Soup Company - 2019 Compared with 2018</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2019 items that impacted comparability of Net earnings discussed above, the following items impacted the comparability of net earnings and net earnings per share:</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106" w:lineRule="exact"/>
        <w:rPr>
          <w:sz w:val="20"/>
          <w:szCs w:val="20"/>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we recognized gains of $131 million in Other expenses / (income) ($100 million after tax, or $.33 per share) associated with mark-to-market adjustments for defined benefit pension and postretirement plans;</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we recorded a pre-tax restructuring charge of $42 million and implementation costs and other related costs of $87 million in Administrative expenses, $45 million in Cost of products sold, and $3 million in Marketing and selling expenses (aggregate impact of $132 million after tax, or $.44 per share) related to the cost savings initiatives discussed above. See Note 8 to the Consolidated Financial Statements and "Restructuring Charges and Cost Savings Initiatives" for additional information;</w:t>
      </w:r>
    </w:p>
    <w:p>
      <w:pPr>
        <w:spacing w:after="0" w:line="5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we recorded a tax benefit of $179 million due to the remeasurement of deferred tax assets and liabilities, and a tax charge of $53 million related to a transition tax on unremitted foreign earnings under the enactment of the Act. The net impact was a tax benefit of $126 million ($.42 per share). See Note 13 to the Consolidated Financial Statements and "Taxes on Earnings" for additional information;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jc w:val="both"/>
        <w:ind w:left="328" w:hanging="328"/>
        <w:spacing w:after="0" w:line="258"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fourth quarter of 2018, we performed an impairment assessment on the </w:t>
      </w:r>
      <w:r>
        <w:rPr>
          <w:rFonts w:ascii="Times New Roman" w:cs="Times New Roman" w:eastAsia="Times New Roman" w:hAnsi="Times New Roman"/>
          <w:sz w:val="18"/>
          <w:szCs w:val="18"/>
          <w:i w:val="1"/>
          <w:iCs w:val="1"/>
          <w:color w:val="auto"/>
        </w:rPr>
        <w:t>Plum</w:t>
      </w:r>
      <w:r>
        <w:rPr>
          <w:rFonts w:ascii="Times New Roman" w:cs="Times New Roman" w:eastAsia="Times New Roman" w:hAnsi="Times New Roman"/>
          <w:sz w:val="18"/>
          <w:szCs w:val="18"/>
          <w:color w:val="auto"/>
        </w:rPr>
        <w:t xml:space="preserve"> trademark. In 2018, sales and operating performance were well below expectations due in part to competitive pressure and reduced margins. In the fourth quarter of 2018, as part of a strategic review initiated by a new leadership team and based on recent performance, we lowered our long-term outlook for future sales. We recorded a non-cash impairment charge of $54 million ($41 million after tax, or $.14 per share) in Other expenses / (income). See "Significant Accounting Estimates" for additional information;</w:t>
      </w:r>
    </w:p>
    <w:p>
      <w:pPr>
        <w:spacing w:after="0" w:line="50"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2018, we announced our intent to acquire Snyder's-Lance and on March 26, 2018, the acquisition closed. In 2018, we incurred $120 million of transaction and integration costs, of which $13 million was recorded in Restructuring charges, $12 million in Administrative expenses, $53 million in Other expenses / (income), and $42 million in Cost of products sold associated with an acquisition date fair value adjustment for inventory. We also recorded a gain in Interest expense of $18 million on treasury rate lock contracts used to hedge the planned financing of the acquisition. The aggregate impact was $102 million, $73 million after tax, or $.24 per share; and</w:t>
      </w:r>
    </w:p>
    <w:p>
      <w:pPr>
        <w:spacing w:after="0" w:line="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we recorded expense of $22 million in Other expenses / (income) ($15 million after tax, or $.05 per share) from a settlement of a legal claim.</w:t>
      </w:r>
    </w:p>
    <w:p>
      <w:pPr>
        <w:spacing w:after="0" w:line="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u w:val="single" w:color="auto"/>
          <w:color w:val="auto"/>
        </w:rPr>
        <w:t>Discontinued Operations</w:t>
      </w:r>
    </w:p>
    <w:p>
      <w:pPr>
        <w:spacing w:after="0" w:line="92" w:lineRule="exact"/>
        <w:rPr>
          <w:sz w:val="20"/>
          <w:szCs w:val="20"/>
          <w:color w:val="auto"/>
        </w:rPr>
      </w:pPr>
    </w:p>
    <w:p>
      <w:pPr>
        <w:ind w:left="328" w:hanging="328"/>
        <w:spacing w:after="0" w:line="282" w:lineRule="auto"/>
        <w:tabs>
          <w:tab w:leader="none" w:pos="32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we recognized gains of $5 million ($3 million after tax, or $.01 per share) associated with mark-to-market and curtailment adjustments for defined benefit pension plans;</w:t>
      </w:r>
    </w:p>
    <w:p>
      <w:pPr>
        <w:spacing w:after="0" w:line="40"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2018, we performed interim impairment assessments within Campbell Fresh on the deli reporting unit, which includes Garden Fresh Gourmet and the U.S. refrigerated soup business, and the Bolthouse Farms refrigerated beverages and salad dressings reporting unit. Within the deli unit, we revised our long-term outlook due to the anticipated loss of refrigerated soup business with certain private label customers, as well as the performance of the business. In addition, the operating performance of the Bolthouse Farms refrigerated beverages and salad dressings reporting unit was below expectations. We revised our long-term outlook for future earnings and cash flows for each of these reporting units. We recorded a non-cash impairment charge of $11 million on the tangible assets and $94 million on the intangible assets ($80 million after tax, or $.27 per share) of the deli reporting unit, and a non-cash impairment charge of $514 million ($417 million after tax, or $1.39 per share) related to the intangible assets of the Bolthouse Farms refrigerated beverages and salad dressings reporting unit. The aggregate impact of the impairment charges was $619 million ($497 million after tax, or $1.65 per share).</w:t>
      </w:r>
    </w:p>
    <w:p>
      <w:pPr>
        <w:spacing w:after="0" w:line="66"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2018, we performed an interim impairment assessment on the intangible assets of the Bolthouse Farms carrot and carrot ingredients reporting unit as operating performance was below expectations. We revised our outlook for future earnings and cash flows and recorded a non-cash impairment charge of $75 million ($74 million after tax, or $.25 per share).</w:t>
      </w:r>
    </w:p>
    <w:p>
      <w:pPr>
        <w:spacing w:after="0" w:line="40"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total non-cash impairment charges recorded were $694 million ($571 million after tax, or $1.89 per share); and</w:t>
      </w:r>
    </w:p>
    <w:p>
      <w:pPr>
        <w:spacing w:after="0" w:line="103"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we recorded a pre-tax restructuring charge of $7 million and implementation costs and other related costs of $1 million in Administrative expenses (aggregate impact of $4 million after tax, or $.01 per share) related to the cost savings initiatives discussed above. See Note 8 to the Consolidated Financial Statements and "Restructuring Charges and Cost Savings Initiatives" for additional information.</w:t>
      </w:r>
    </w:p>
    <w:p>
      <w:pPr>
        <w:spacing w:after="0" w:line="200" w:lineRule="exact"/>
        <w:rPr>
          <w:sz w:val="20"/>
          <w:szCs w:val="20"/>
          <w:color w:val="auto"/>
        </w:rPr>
      </w:pPr>
    </w:p>
    <w:p>
      <w:pPr>
        <w:spacing w:after="0" w:line="31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83" w:right="339"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EPS</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820" w:type="dxa"/>
            <w:vAlign w:val="bottom"/>
          </w:tcPr>
          <w:p>
            <w:pPr>
              <w:jc w:val="right"/>
              <w:ind w:right="292"/>
              <w:spacing w:after="0" w:line="149" w:lineRule="exact"/>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95"/>
        </w:trPr>
        <w:tc>
          <w:tcPr>
            <w:tcW w:w="68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6"/>
                <w:szCs w:val="16"/>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93"/>
        </w:trPr>
        <w:tc>
          <w:tcPr>
            <w:tcW w:w="68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8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6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postretirement benefit mark-to-market adjustments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Pension settlement charges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reform</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Claim settlement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6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Impact of items on Earnings from continuing operations</w:t>
            </w:r>
            <w:r>
              <w:rPr>
                <w:rFonts w:ascii="Times New Roman" w:cs="Times New Roman" w:eastAsia="Times New Roman" w:hAnsi="Times New Roman"/>
                <w:sz w:val="23"/>
                <w:szCs w:val="23"/>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8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6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associated with divestitures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Pension benefit mark-to-market and curtailment adjustments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items on Loss from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24"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may not add due to rounding.</w:t>
      </w:r>
    </w:p>
    <w:p>
      <w:pPr>
        <w:spacing w:after="0" w:line="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Earnings from continuing operations were $474 million ($1.57 per share) in 2019, compared to $724 million ($2.40 per share) in 2018. After adjusting for items impacting comparability, earnings decreased reflecting higher interest expense, partly offset by a lower adjusted tax rate as incremental earnings before interest and taxes (EBIT) from the Snyder's-Lance acquisition were mostly offset by declines in EBIT in the base business.</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"Discontinued Operations" for additional information.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8"/>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7"/>
                <w:szCs w:val="17"/>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1040" w:type="dxa"/>
            <w:vAlign w:val="bottom"/>
          </w:tcPr>
          <w:p>
            <w:pPr>
              <w:jc w:val="center"/>
              <w:ind w:left="214"/>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1800" w:type="dxa"/>
            <w:vAlign w:val="bottom"/>
            <w:gridSpan w:val="3"/>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2019/2018</w:t>
            </w: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20" w:type="dxa"/>
            <w:vAlign w:val="bottom"/>
          </w:tcPr>
          <w:p>
            <w:pPr>
              <w:spacing w:after="0"/>
              <w:rPr>
                <w:sz w:val="21"/>
                <w:szCs w:val="21"/>
                <w:color w:val="auto"/>
              </w:rPr>
            </w:pPr>
          </w:p>
        </w:tc>
        <w:tc>
          <w:tcPr>
            <w:tcW w:w="104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5</w:t>
            </w:r>
          </w:p>
        </w:tc>
        <w:tc>
          <w:tcPr>
            <w:tcW w:w="1800" w:type="dxa"/>
            <w:vAlign w:val="bottom"/>
            <w:gridSpan w:val="3"/>
          </w:tcPr>
          <w:p>
            <w:pPr>
              <w:jc w:val="center"/>
              <w:ind w:left="342"/>
              <w:spacing w:after="0"/>
              <w:rPr>
                <w:sz w:val="20"/>
                <w:szCs w:val="20"/>
                <w:color w:val="auto"/>
              </w:rPr>
            </w:pPr>
            <w:r>
              <w:rPr>
                <w:rFonts w:ascii="Times New Roman" w:cs="Times New Roman" w:eastAsia="Times New Roman" w:hAnsi="Times New Roman"/>
                <w:sz w:val="18"/>
                <w:szCs w:val="18"/>
                <w:color w:val="auto"/>
                <w:w w:val="99"/>
              </w:rPr>
              <w:t>62</w:t>
            </w:r>
          </w:p>
        </w:tc>
      </w:tr>
      <w:tr>
        <w:trPr>
          <w:trHeight w:val="27"/>
        </w:trPr>
        <w:tc>
          <w:tcPr>
            <w:tcW w:w="3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38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8,691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1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7"/>
        </w:trPr>
        <w:tc>
          <w:tcPr>
            <w:tcW w:w="3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2020 versus 2019</w:t>
            </w:r>
          </w:p>
        </w:tc>
        <w:tc>
          <w:tcPr>
            <w:tcW w:w="508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Meals &amp; Beverages</w:t>
            </w:r>
            <w:r>
              <w:rPr>
                <w:rFonts w:ascii="Times New Roman" w:cs="Times New Roman" w:eastAsia="Times New Roman" w:hAnsi="Times New Roman"/>
                <w:sz w:val="9"/>
                <w:szCs w:val="9"/>
                <w:b w:val="1"/>
                <w:bCs w:val="1"/>
                <w:color w:val="auto"/>
              </w:rPr>
              <w:t>(2)</w:t>
            </w:r>
          </w:p>
        </w:tc>
        <w:tc>
          <w:tcPr>
            <w:tcW w:w="16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15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508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 and mix</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 and sales allowances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(Increased)/decreased promotional spending</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Divestiture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impact of 53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week</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2019 versus 2018</w:t>
            </w:r>
          </w:p>
        </w:tc>
        <w:tc>
          <w:tcPr>
            <w:tcW w:w="50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9"/>
        </w:trPr>
        <w:tc>
          <w:tcPr>
            <w:tcW w:w="20" w:type="dxa"/>
            <w:vAlign w:val="bottom"/>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508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6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15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6380" w:type="dxa"/>
            <w:vAlign w:val="bottom"/>
            <w:tcBorders>
              <w:bottom w:val="single" w:sz="8" w:color="CCEEFF"/>
            </w:tcBorders>
            <w:gridSpan w:val="2"/>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 and mix</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(Increased)/decreased promotional spending</w:t>
            </w:r>
            <w:r>
              <w:rPr>
                <w:rFonts w:ascii="Times New Roman" w:cs="Times New Roman" w:eastAsia="Times New Roman" w:hAnsi="Times New Roman"/>
                <w:sz w:val="23"/>
                <w:szCs w:val="23"/>
                <w:color w:val="auto"/>
                <w:vertAlign w:val="superscript"/>
              </w:rPr>
              <w:t>(1)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62%</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24"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revenue reductions from trade promotion and consumer coupon redemption programs.</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83"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In 2020, Meals &amp; Beverages sales increased 9%. Excluding the benefit of the 53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week, sales increased primarily due to gains in the U.S. retail business driven by U.S. soup,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and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beverages, as well as gains in Canada, partially offset by declines in foodservice. Volume and mix increased in the retail business driven by COVID-19, with increased demand of food purchases for at-home consumption in the second half of 2020. The foodservice business was negatively impacted by shifts in consumer behavior and continued COVID-19 related restrictions, as well as the loss of a refrigerated soup contract. Including a 2-point benefit from the additional week, sales of U.S. soup increased 14% due to gains in condensed soups, ready-to-serve soups and broth.</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2019, Meals &amp; Beverages sales were comparable with prior year reflecting a 2-point benefit from the acquisition of Pacific Foods of Oregon, LLC (Pacific Foods), partially offset by declines in U.S. soup, the retail business in Canada driven by the negative impact of currency translation and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Excluding Pacific Foods, sales of U.S. soup decreased 2% due to declines in condensed and ready-to-serve soups, partly offset by gains in broth. The decline in U.S. soup was driven primarily by continued competitive pressure across the market as well as increased promotional spending.</w:t>
      </w:r>
    </w:p>
    <w:p>
      <w:pPr>
        <w:spacing w:after="0" w:line="58"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In 2020, Snacks sales increased 5%. Excluding the impact of the European chips divestiture and the benefit of the 53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week, sales increased driven by volume gains reflecting increased demand of food purchases for at-home consumption in the second half of 2020, as well as base business performance. The sales increases reflect gains in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Pepperidge Farm cookies and fresh bakery products, as well as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and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w:t>
      </w:r>
    </w:p>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2019, Snacks sales increased 62% with a 59-point benefit of the acquisition of Snyder’s-Lance. Excluding the impact of the acquisition of Snyder’s-Lance, sales increased reflecting growth in Pepperidge Farm, with gains in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fresh bakery products and in cookies, as well as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and </w:t>
      </w:r>
      <w:r>
        <w:rPr>
          <w:rFonts w:ascii="Times New Roman" w:cs="Times New Roman" w:eastAsia="Times New Roman" w:hAnsi="Times New Roman"/>
          <w:sz w:val="18"/>
          <w:szCs w:val="18"/>
          <w:i w:val="1"/>
          <w:iCs w:val="1"/>
          <w:color w:val="auto"/>
        </w:rPr>
        <w:t>Snack Factory Pretzel Crisps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increased by $306 million in 2020 from 2019 and increased by $319 million in 2019 from 2018. As a percent of sales, gross profit was 34.5% in 2020, 33.2% in 2019 and 35.9% in 2018.</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firstLine="324"/>
        <w:spacing w:after="0" w:line="278" w:lineRule="auto"/>
        <w:rPr>
          <w:sz w:val="20"/>
          <w:szCs w:val="20"/>
          <w:color w:val="auto"/>
        </w:rPr>
      </w:pPr>
      <w:r>
        <w:rPr>
          <w:rFonts w:ascii="Times New Roman" w:cs="Times New Roman" w:eastAsia="Times New Roman" w:hAnsi="Times New Roman"/>
          <w:sz w:val="18"/>
          <w:szCs w:val="18"/>
          <w:color w:val="auto"/>
        </w:rPr>
        <w:t>The 1.3 percentage-point increase and the 2.7 percentage-point decrease in gross profit percentage in 2020 and 2019, respectively, were due to the following factors:</w:t>
      </w:r>
    </w:p>
    <w:tbl>
      <w:tblPr>
        <w:tblLayout w:type="fixed"/>
        <w:tblInd w:w="20" w:type="dxa"/>
        <w:tblCellMar>
          <w:top w:w="0" w:type="dxa"/>
          <w:left w:w="0" w:type="dxa"/>
          <w:bottom w:w="0" w:type="dxa"/>
          <w:right w:w="0" w:type="dxa"/>
        </w:tblCellMar>
      </w:tblPr>
      <w:tr>
        <w:trPr>
          <w:trHeight w:val="195"/>
        </w:trPr>
        <w:tc>
          <w:tcPr>
            <w:tcW w:w="8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196"/>
        </w:trPr>
        <w:tc>
          <w:tcPr>
            <w:tcW w:w="86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820" w:type="dxa"/>
            <w:vAlign w:val="bottom"/>
            <w:tcBorders>
              <w:bottom w:val="single" w:sz="8" w:color="CCEEFF"/>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7"/>
              </w:rPr>
              <w:t>1.4</w:t>
            </w:r>
          </w:p>
        </w:tc>
        <w:tc>
          <w:tcPr>
            <w:tcW w:w="1760" w:type="dxa"/>
            <w:vAlign w:val="bottom"/>
            <w:tcBorders>
              <w:bottom w:val="single" w:sz="8" w:color="CCEEFF"/>
            </w:tcBorders>
            <w:gridSpan w:val="3"/>
            <w:shd w:val="clear" w:color="auto" w:fill="CCEEFF"/>
          </w:tcPr>
          <w:p>
            <w:pPr>
              <w:jc w:val="center"/>
              <w:ind w:left="453"/>
              <w:spacing w:after="0"/>
              <w:rPr>
                <w:sz w:val="20"/>
                <w:szCs w:val="20"/>
                <w:color w:val="auto"/>
              </w:rPr>
            </w:pPr>
            <w:r>
              <w:rPr>
                <w:rFonts w:ascii="Times New Roman" w:cs="Times New Roman" w:eastAsia="Times New Roman" w:hAnsi="Times New Roman"/>
                <w:sz w:val="18"/>
                <w:szCs w:val="18"/>
                <w:color w:val="auto"/>
                <w:w w:val="97"/>
              </w:rPr>
              <w:t>1.3</w:t>
            </w:r>
          </w:p>
        </w:tc>
      </w:tr>
      <w:tr>
        <w:trPr>
          <w:trHeight w:val="24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Mix</w:t>
            </w:r>
          </w:p>
        </w:tc>
        <w:tc>
          <w:tcPr>
            <w:tcW w:w="820" w:type="dxa"/>
            <w:vAlign w:val="bottom"/>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7"/>
              </w:rPr>
              <w:t>0.7</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and sales allowances</w:t>
            </w:r>
          </w:p>
        </w:tc>
        <w:tc>
          <w:tcPr>
            <w:tcW w:w="820" w:type="dxa"/>
            <w:vAlign w:val="bottom"/>
            <w:tcBorders>
              <w:bottom w:val="single" w:sz="8" w:color="CCEEFF"/>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7"/>
              </w:rPr>
              <w:t>0.3</w:t>
            </w:r>
          </w:p>
        </w:tc>
        <w:tc>
          <w:tcPr>
            <w:tcW w:w="1760" w:type="dxa"/>
            <w:vAlign w:val="bottom"/>
            <w:tcBorders>
              <w:bottom w:val="single" w:sz="8" w:color="CCEEFF"/>
            </w:tcBorders>
            <w:gridSpan w:val="3"/>
            <w:shd w:val="clear" w:color="auto" w:fill="CCEEFF"/>
          </w:tcPr>
          <w:p>
            <w:pPr>
              <w:jc w:val="center"/>
              <w:ind w:left="453"/>
              <w:spacing w:after="0"/>
              <w:rPr>
                <w:sz w:val="20"/>
                <w:szCs w:val="20"/>
                <w:color w:val="auto"/>
              </w:rPr>
            </w:pPr>
            <w:r>
              <w:rPr>
                <w:rFonts w:ascii="Times New Roman" w:cs="Times New Roman" w:eastAsia="Times New Roman" w:hAnsi="Times New Roman"/>
                <w:sz w:val="18"/>
                <w:szCs w:val="18"/>
                <w:color w:val="auto"/>
                <w:w w:val="97"/>
              </w:rPr>
              <w:t>0.3</w:t>
            </w:r>
          </w:p>
        </w:tc>
      </w:tr>
      <w:tr>
        <w:trPr>
          <w:trHeight w:val="24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restructuring-related costs</w:t>
            </w:r>
          </w:p>
        </w:tc>
        <w:tc>
          <w:tcPr>
            <w:tcW w:w="820" w:type="dxa"/>
            <w:vAlign w:val="bottom"/>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7"/>
              </w:rPr>
              <w:t>0.1</w:t>
            </w:r>
          </w:p>
        </w:tc>
        <w:tc>
          <w:tcPr>
            <w:tcW w:w="1760" w:type="dxa"/>
            <w:vAlign w:val="bottom"/>
            <w:gridSpan w:val="3"/>
          </w:tcPr>
          <w:p>
            <w:pPr>
              <w:jc w:val="center"/>
              <w:ind w:left="453"/>
              <w:spacing w:after="0"/>
              <w:rPr>
                <w:sz w:val="20"/>
                <w:szCs w:val="20"/>
                <w:color w:val="auto"/>
              </w:rPr>
            </w:pPr>
            <w:r>
              <w:rPr>
                <w:rFonts w:ascii="Times New Roman" w:cs="Times New Roman" w:eastAsia="Times New Roman" w:hAnsi="Times New Roman"/>
                <w:sz w:val="18"/>
                <w:szCs w:val="18"/>
                <w:color w:val="auto"/>
                <w:w w:val="97"/>
              </w:rPr>
              <w:t>0.4</w:t>
            </w:r>
          </w:p>
        </w:tc>
      </w:tr>
      <w:tr>
        <w:trPr>
          <w:trHeight w:val="27"/>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level of promotional spending</w:t>
            </w:r>
          </w:p>
        </w:tc>
        <w:tc>
          <w:tcPr>
            <w:tcW w:w="820" w:type="dxa"/>
            <w:vAlign w:val="bottom"/>
            <w:tcBorders>
              <w:bottom w:val="single" w:sz="8" w:color="CCEEFF"/>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(0.4)</w:t>
            </w:r>
          </w:p>
        </w:tc>
        <w:tc>
          <w:tcPr>
            <w:tcW w:w="1760" w:type="dxa"/>
            <w:vAlign w:val="bottom"/>
            <w:tcBorders>
              <w:bottom w:val="single" w:sz="8" w:color="CCEEFF"/>
            </w:tcBorders>
            <w:gridSpan w:val="3"/>
            <w:shd w:val="clear" w:color="auto" w:fill="CCEEFF"/>
          </w:tcPr>
          <w:p>
            <w:pPr>
              <w:jc w:val="center"/>
              <w:ind w:left="453"/>
              <w:spacing w:after="0"/>
              <w:rPr>
                <w:sz w:val="20"/>
                <w:szCs w:val="20"/>
                <w:color w:val="auto"/>
              </w:rPr>
            </w:pPr>
            <w:r>
              <w:rPr>
                <w:rFonts w:ascii="Times New Roman" w:cs="Times New Roman" w:eastAsia="Times New Roman" w:hAnsi="Times New Roman"/>
                <w:sz w:val="18"/>
                <w:szCs w:val="18"/>
                <w:color w:val="auto"/>
                <w:w w:val="98"/>
              </w:rPr>
              <w:t>(0.2)</w:t>
            </w:r>
          </w:p>
        </w:tc>
      </w:tr>
      <w:tr>
        <w:trPr>
          <w:trHeight w:val="27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3"/>
                <w:szCs w:val="23"/>
                <w:color w:val="auto"/>
                <w:vertAlign w:val="superscript"/>
              </w:rPr>
              <w:t>(1)</w:t>
            </w:r>
          </w:p>
        </w:tc>
        <w:tc>
          <w:tcPr>
            <w:tcW w:w="820" w:type="dxa"/>
            <w:vAlign w:val="bottom"/>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(0.8)</w:t>
            </w:r>
          </w:p>
        </w:tc>
        <w:tc>
          <w:tcPr>
            <w:tcW w:w="1760" w:type="dxa"/>
            <w:vAlign w:val="bottom"/>
            <w:gridSpan w:val="3"/>
          </w:tcPr>
          <w:p>
            <w:pPr>
              <w:jc w:val="center"/>
              <w:ind w:left="453"/>
              <w:spacing w:after="0"/>
              <w:rPr>
                <w:sz w:val="20"/>
                <w:szCs w:val="20"/>
                <w:color w:val="auto"/>
              </w:rPr>
            </w:pPr>
            <w:r>
              <w:rPr>
                <w:rFonts w:ascii="Times New Roman" w:cs="Times New Roman" w:eastAsia="Times New Roman" w:hAnsi="Times New Roman"/>
                <w:sz w:val="18"/>
                <w:szCs w:val="18"/>
                <w:color w:val="auto"/>
                <w:w w:val="98"/>
              </w:rPr>
              <w:t>(3.0)</w:t>
            </w:r>
          </w:p>
        </w:tc>
      </w:tr>
      <w:tr>
        <w:trPr>
          <w:trHeight w:val="27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acquisitions</w:t>
            </w:r>
          </w:p>
        </w:tc>
        <w:tc>
          <w:tcPr>
            <w:tcW w:w="820" w:type="dxa"/>
            <w:vAlign w:val="bottom"/>
            <w:tcBorders>
              <w:bottom w:val="single" w:sz="8" w:color="CCEEFF"/>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760" w:type="dxa"/>
            <w:vAlign w:val="bottom"/>
            <w:tcBorders>
              <w:bottom w:val="single" w:sz="8" w:color="CCEEFF"/>
            </w:tcBorders>
            <w:gridSpan w:val="3"/>
            <w:shd w:val="clear" w:color="auto" w:fill="CCEEFF"/>
          </w:tcPr>
          <w:p>
            <w:pPr>
              <w:jc w:val="center"/>
              <w:ind w:left="453"/>
              <w:spacing w:after="0"/>
              <w:rPr>
                <w:sz w:val="20"/>
                <w:szCs w:val="20"/>
                <w:color w:val="auto"/>
              </w:rPr>
            </w:pPr>
            <w:r>
              <w:rPr>
                <w:rFonts w:ascii="Times New Roman" w:cs="Times New Roman" w:eastAsia="Times New Roman" w:hAnsi="Times New Roman"/>
                <w:sz w:val="18"/>
                <w:szCs w:val="18"/>
                <w:color w:val="auto"/>
                <w:w w:val="98"/>
              </w:rPr>
              <w:t>(1.5)</w:t>
            </w:r>
          </w:p>
        </w:tc>
      </w:tr>
      <w:tr>
        <w:trPr>
          <w:trHeight w:val="237"/>
        </w:trPr>
        <w:tc>
          <w:tcPr>
            <w:tcW w:w="8620" w:type="dxa"/>
            <w:vAlign w:val="bottom"/>
          </w:tcPr>
          <w:p>
            <w:pPr>
              <w:spacing w:after="0"/>
              <w:rPr>
                <w:sz w:val="20"/>
                <w:szCs w:val="20"/>
                <w:color w:val="auto"/>
              </w:rPr>
            </w:pPr>
          </w:p>
        </w:tc>
        <w:tc>
          <w:tcPr>
            <w:tcW w:w="820" w:type="dxa"/>
            <w:vAlign w:val="bottom"/>
            <w:tcBorders>
              <w:top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8"/>
              </w:rPr>
              <w:t>1.3%</w:t>
            </w:r>
          </w:p>
        </w:tc>
        <w:tc>
          <w:tcPr>
            <w:tcW w:w="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8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55" w:lineRule="exact"/>
        <w:rPr>
          <w:sz w:val="20"/>
          <w:szCs w:val="20"/>
          <w:color w:val="auto"/>
        </w:rPr>
      </w:pPr>
    </w:p>
    <w:p>
      <w:pPr>
        <w:jc w:val="both"/>
        <w:ind w:left="340" w:hanging="332"/>
        <w:spacing w:after="0" w:line="239"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2020 includes an estimated positive margin impact of 1.3 from the benefit of cost savings initiatives and operating leverage, which was more than offset by cost inflation and other factors, including the impact of COVID-19. 2019 includes a positive margin impact of 0.8 from cost savings initiatives, which was more than offset by cost inflation and other factors, including higher than expected distribution costs associated with the startup of a new distribution facility in Findlay, Ohio, operated by a third-party logistics provider.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Marketing and selling expenses as a percent of sales were 10.9% in 2020, 10.4% in 2019 and 11.0% in 2018. Marketing and selling expenses increased 12% in 2020 from 2019. The increase was primarily due to higher advertising and consumer promotion expenses (approximately 14 percentage points); higher selling expenses (approximately 2 percentage points); higher incentive compensation (approximately 1 percentage point); and higher costs related to marketing overhead (approximately 1 percentage point), partially offset by increased benefits from cost savings initiatives (approximately 5 percentage points) and lower costs associated with cost savings initiatives (approximately 1 percentage point). The increase in advertising and consumer promotion expenses was primarily in Meals &amp; Beverages due to increased support of U.S. soup, and in Snacks due to increased support of key brands.</w:t>
      </w:r>
    </w:p>
    <w:p>
      <w:pPr>
        <w:spacing w:after="0" w:line="6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Marketing and selling expenses increased 16% in 2019 from 2018. The increase was primarily due to the impact of acquisitions (approximately 19 percentage points); higher incentive compensation (approximately 2 percentage points) and higher costs related to costs savings initiatives (approximately 1 percentage point), partially offset by increased benefits from cost savings initiatives (approximately 3 percentage points) and lower advertising and consumer promotion expenses (approximately 3 percentage points). The reduction in advertising and consumer promotion expenses was primarily in Meals</w:t>
      </w:r>
    </w:p>
    <w:p>
      <w:pPr>
        <w:spacing w:after="0" w:line="3" w:lineRule="exact"/>
        <w:rPr>
          <w:sz w:val="20"/>
          <w:szCs w:val="20"/>
          <w:color w:val="auto"/>
        </w:rPr>
      </w:pPr>
    </w:p>
    <w:p>
      <w:pPr>
        <w:ind w:firstLine="8"/>
        <w:spacing w:after="0" w:line="260"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Beverages, reflecting a reallocation from advertising to promotional spending classified as revenue reductions, reduced support levels in light of distribution challenges faced in the first quarter and a later start to our U.S. soup campaign relative to 2018.</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Administrative expenses as a percent of sales were 7.2% in 2020, 7.5% in 2019 and 8.5% in 2018. Administrative expenses increased 2% in 2020 from 2019. The increase was primarily due to higher incentive compensation (approximately 4 percentage points); higher information technology costs (approximately 3 percentage points); higher inflation and general administrative costs (approximately 3 percentage points) and increases in charitable contributions (approximately 2 percentage points), partially offset by increased benefits from cost savings initiatives (approximately 8 percentage points) and lower costs associated with cost savings initiatives (approximately 2 percentage points).</w:t>
      </w:r>
    </w:p>
    <w:p>
      <w:pPr>
        <w:spacing w:after="0" w:line="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Administrative expenses increased 8% in 2019 from 2018. The increase was primarily due to the impact of acquisitions (approximately 10 percentage points); higher incentive compensation (approximately 7 percentage points); and costs associated with the proxy contest (approximately 1 percentage point), partially offset by lower costs associated with cost savings initiatives inclusive of acquisition integration costs (approximately 7 percentage points) and increased benefits from cost savings initiatives (approximately 3 percentage points).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expenses in 2020 included the following:</w:t>
      </w:r>
    </w:p>
    <w:p>
      <w:pPr>
        <w:spacing w:after="0" w:line="104" w:lineRule="exact"/>
        <w:rPr>
          <w:sz w:val="20"/>
          <w:szCs w:val="20"/>
          <w:color w:val="auto"/>
        </w:rPr>
      </w:pPr>
    </w:p>
    <w:p>
      <w:pPr>
        <w:ind w:left="660" w:right="20" w:hanging="166"/>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of net periodic benefit expense, including losses of $121 million on pension and postretirement benefit mark-to-market adjustments and pension settlement charges of $43 million associated with U.S. and Canadian pension plans;</w:t>
      </w:r>
    </w:p>
    <w:p>
      <w:pPr>
        <w:spacing w:after="0" w:line="2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million loss on the sale of the European chips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loss on Acre; and</w:t>
      </w:r>
    </w:p>
    <w:p>
      <w:pPr>
        <w:spacing w:after="0" w:line="90" w:lineRule="exact"/>
        <w:rPr>
          <w:rFonts w:ascii="Times New Roman" w:cs="Times New Roman" w:eastAsia="Times New Roman" w:hAnsi="Times New Roman"/>
          <w:sz w:val="18"/>
          <w:szCs w:val="18"/>
          <w:color w:val="auto"/>
        </w:rPr>
      </w:pPr>
    </w:p>
    <w:p>
      <w:pPr>
        <w:ind w:left="340" w:right="7140" w:firstLine="154"/>
        <w:spacing w:after="0" w:line="381" w:lineRule="auto"/>
        <w:tabs>
          <w:tab w:leader="none" w:pos="65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 million of amortization of intangible assets. Other expenses in 2019 included the following:</w:t>
      </w:r>
    </w:p>
    <w:p>
      <w:pPr>
        <w:ind w:left="660" w:right="20" w:hanging="166"/>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million of net periodic benefit expense, including losses of $122 million on pension and postretirement benefit mark-to-market adjustments and a pension settlement charge of $28 million associated with a U.S. pension plan;</w:t>
      </w:r>
    </w:p>
    <w:p>
      <w:pPr>
        <w:spacing w:after="0" w:line="2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million of amortization of intangible assets; and</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non-cash impairment charge related to the European chips business.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in 2018 included the following:</w:t>
      </w:r>
    </w:p>
    <w:p>
      <w:pPr>
        <w:spacing w:after="0" w:line="90" w:lineRule="exact"/>
        <w:rPr>
          <w:sz w:val="20"/>
          <w:szCs w:val="20"/>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million of net periodic benefit income, including gains of $131 million on pension and postretirement benefit mark-to-market adjustments;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amortization of intangible assets;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of expense related to the settlement of a legal claim;</w:t>
      </w:r>
    </w:p>
    <w:p>
      <w:pPr>
        <w:spacing w:after="0" w:line="90"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of transaction costs associated with the acquisition of Snyder's-Lance; and</w:t>
      </w:r>
    </w:p>
    <w:p>
      <w:pPr>
        <w:spacing w:after="0" w:line="10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$54 million non-cash impairment charge related to the </w:t>
      </w:r>
      <w:r>
        <w:rPr>
          <w:rFonts w:ascii="Times New Roman" w:cs="Times New Roman" w:eastAsia="Times New Roman" w:hAnsi="Times New Roman"/>
          <w:sz w:val="18"/>
          <w:szCs w:val="18"/>
          <w:i w:val="1"/>
          <w:iCs w:val="1"/>
          <w:color w:val="auto"/>
        </w:rPr>
        <w:t>Plum</w:t>
      </w:r>
      <w:r>
        <w:rPr>
          <w:rFonts w:ascii="Times New Roman" w:cs="Times New Roman" w:eastAsia="Times New Roman" w:hAnsi="Times New Roman"/>
          <w:sz w:val="18"/>
          <w:szCs w:val="18"/>
          <w:color w:val="auto"/>
        </w:rPr>
        <w:t xml:space="preserve"> trademark.</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on the impairment charges, see "Significant Accounting Estimates."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Segment operating earnings increased 8% in 2020 from 2019 and increased 3% in 2019 from 2018.</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8"/>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2020/2019</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2019/2018</w:t>
            </w:r>
          </w:p>
        </w:tc>
      </w:tr>
      <w:tr>
        <w:trPr>
          <w:trHeight w:val="249"/>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979</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5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1,371</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24"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to the Consolidated Financial Statements for additional information on restructuring charges.</w:t>
      </w:r>
    </w:p>
    <w:p>
      <w:pPr>
        <w:spacing w:after="0" w:line="8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Operating earnings from Meals &amp; Beverages increased 10% in 2020 versus 2019. The increase was primarily due to sales volume gains, including the benefit of the additional week, and improved gross profit performance, partially offset by increased marketing support and higher administrative expenses. Gross profit performance was impacted by the benefits of supply chain productivity improvements and cost savings initiatives, as well as improved operating leverage and favorable product mix, partially offset by cost inflation and other supply chain costs, including COVID-19 related costs incurred in the second half of 2020.</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earnings from Meals &amp; Beverages decreased 9% in 2019 versus 2018. The decrease was primarily due to higher levels of cost inflation and higher warehousing and transportation costs, as well as higher promotional spending and higher incentive compensation expenses, partly offset by supply chain productivity improvements, lower marketing and selling expenses and the benefits of cost savings initiatives.</w:t>
      </w:r>
    </w:p>
    <w:p>
      <w:pPr>
        <w:spacing w:after="0" w:line="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earnings from Snacks increased 6% in 2020 versus 2019. The increase primarily due to sales volume gains, including the benefit of the additional week, improved gross profit performance, partially offset by increased marketing support. Gross profit performance was impacted by the benefits of supply chain productivity improvements and cost savings initiatives, as well as favorable product mix and improved operating leverage, partially offset by cost inflation and other supply chain costs, including COVID-19 related costs incurred in the second half of 2020.</w:t>
      </w:r>
    </w:p>
    <w:p>
      <w:pPr>
        <w:spacing w:after="0" w:line="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Operating earnings from Snacks increased 33% in 2019 versus 2018. The increase reflects a 31-point benefit from the acquisition of Snyder’s-Lance. The remaining increase was primarily due to higher sales, supply chain productivity improvements and lower promotional spending, partly offset by higher marketing and selling expenses, higher levels of cost inflation and higher incentive compensation expenses. Operating earnings benefited from lapping the costs associated with the voluntary product recall of </w:t>
      </w:r>
      <w:r>
        <w:rPr>
          <w:rFonts w:ascii="Times New Roman" w:cs="Times New Roman" w:eastAsia="Times New Roman" w:hAnsi="Times New Roman"/>
          <w:sz w:val="18"/>
          <w:szCs w:val="18"/>
          <w:i w:val="1"/>
          <w:iCs w:val="1"/>
          <w:color w:val="auto"/>
        </w:rPr>
        <w:t>Flavor Blasted Goldfish</w:t>
      </w:r>
      <w:r>
        <w:rPr>
          <w:rFonts w:ascii="Times New Roman" w:cs="Times New Roman" w:eastAsia="Times New Roman" w:hAnsi="Times New Roman"/>
          <w:sz w:val="18"/>
          <w:szCs w:val="18"/>
          <w:color w:val="auto"/>
        </w:rPr>
        <w:t xml:space="preserve"> crackers in July 2018.</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color w:val="auto"/>
        </w:rPr>
        <w:t>Corporate in 2020 included the following:</w:t>
      </w:r>
    </w:p>
    <w:p>
      <w:pPr>
        <w:spacing w:after="0" w:line="90" w:lineRule="exact"/>
        <w:rPr>
          <w:sz w:val="20"/>
          <w:szCs w:val="20"/>
          <w:color w:val="auto"/>
        </w:rPr>
      </w:pPr>
    </w:p>
    <w:p>
      <w:pPr>
        <w:ind w:left="660" w:hanging="16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million of losses on pension and postretirement benefit mark-to-market adjustments;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$64 million from the sale of the European chips business;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$60 million related to the cost savings initiatives;</w:t>
      </w:r>
    </w:p>
    <w:p>
      <w:pPr>
        <w:spacing w:after="0" w:line="90"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$45 million on Acre; and</w:t>
      </w:r>
    </w:p>
    <w:p>
      <w:pPr>
        <w:spacing w:after="0" w:line="103" w:lineRule="exact"/>
        <w:rPr>
          <w:rFonts w:ascii="Times New Roman" w:cs="Times New Roman" w:eastAsia="Times New Roman" w:hAnsi="Times New Roman"/>
          <w:sz w:val="18"/>
          <w:szCs w:val="18"/>
          <w:color w:val="auto"/>
        </w:rPr>
      </w:pPr>
    </w:p>
    <w:p>
      <w:pPr>
        <w:ind w:left="340" w:right="3960" w:firstLine="154"/>
        <w:spacing w:after="0" w:line="352" w:lineRule="auto"/>
        <w:tabs>
          <w:tab w:leader="none" w:pos="6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 of $43 million associated with U.S. and Canadian pension plans. Corporate in 2019 included the following:</w:t>
      </w:r>
    </w:p>
    <w:p>
      <w:pPr>
        <w:ind w:left="660" w:hanging="16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million of losses on pension and postretirement benefit mark-to-market adjustments;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$90 million related to the cost savings initiatives;</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pension settlement charge of $28 million associated with a U.S. pension plan; and</w:t>
      </w:r>
    </w:p>
    <w:p>
      <w:pPr>
        <w:spacing w:after="0" w:line="90" w:lineRule="exact"/>
        <w:rPr>
          <w:rFonts w:ascii="Times New Roman" w:cs="Times New Roman" w:eastAsia="Times New Roman" w:hAnsi="Times New Roman"/>
          <w:sz w:val="18"/>
          <w:szCs w:val="18"/>
          <w:color w:val="auto"/>
        </w:rPr>
      </w:pPr>
    </w:p>
    <w:p>
      <w:pPr>
        <w:ind w:left="340" w:right="4620" w:firstLine="154"/>
        <w:spacing w:after="0" w:line="360" w:lineRule="auto"/>
        <w:tabs>
          <w:tab w:leader="none" w:pos="6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impairment charge of $16 million related to the European chips business. Corporate in 2018 included the following:</w:t>
      </w:r>
    </w:p>
    <w:p>
      <w:pPr>
        <w:ind w:left="660" w:hanging="16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$135 million related to the cost savings initiatives;</w:t>
      </w:r>
    </w:p>
    <w:p>
      <w:pPr>
        <w:spacing w:after="0" w:line="90"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costs of $107 million associated with the acquisition of Snyder's-Lance;</w:t>
      </w:r>
    </w:p>
    <w:p>
      <w:pPr>
        <w:spacing w:after="0" w:line="10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impairment charge of $54 million related to the </w:t>
      </w:r>
      <w:r>
        <w:rPr>
          <w:rFonts w:ascii="Times New Roman" w:cs="Times New Roman" w:eastAsia="Times New Roman" w:hAnsi="Times New Roman"/>
          <w:sz w:val="18"/>
          <w:szCs w:val="18"/>
          <w:i w:val="1"/>
          <w:iCs w:val="1"/>
          <w:color w:val="auto"/>
        </w:rPr>
        <w:t>Plum</w:t>
      </w:r>
      <w:r>
        <w:rPr>
          <w:rFonts w:ascii="Times New Roman" w:cs="Times New Roman" w:eastAsia="Times New Roman" w:hAnsi="Times New Roman"/>
          <w:sz w:val="18"/>
          <w:szCs w:val="18"/>
          <w:color w:val="auto"/>
        </w:rPr>
        <w:t xml:space="preserve"> trademark;</w:t>
      </w:r>
    </w:p>
    <w:p>
      <w:pPr>
        <w:spacing w:after="0" w:line="10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of expense related to the settlement of a legal claim; and</w:t>
      </w:r>
    </w:p>
    <w:p>
      <w:pPr>
        <w:spacing w:after="0" w:line="90"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million of gains on pension and postretirement benefit mark-to-market adjustments.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Excluding these amounts, the remaining decrease in costs in 2020 primarily reflects higher other income and lower administrative expenses.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Excluding these amounts, the remaining increase in costs in 2019 was primarily due to higher incentive compensation expenses.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decreased to $345 million in 2020 from $356 million in 2019. The decrease in interest expense was due to lower levels of debt and lower average interest rates on the debt portfolio, partially offset by a loss on extinguishment of debt of $75 million.</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increased to $356 million in 2019 from $183 million in 2018. The increase in interest expense was due to higher levels of debt associated with funding the acquisitions, higher average interest rates on the debt portfolio and a gain of $18 million on treasury rate lock contracts in 2018 used to hedge the planned financing of the Snyder's-Lance acquisition.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effective tax rate was 22.7% in 2020, 24.2% in 2019 and 12.8% in 2018.</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in the effective rate in 2020 from 2019 was primarily due to the tax benefit on the sale of the European chips business.</w:t>
      </w:r>
    </w:p>
    <w:p>
      <w:pPr>
        <w:spacing w:after="0" w:line="1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22, 2017, the Act was enacted into law and made significant changes to corporate taxation. As a result, the following items are reflected in 2018:</w:t>
      </w:r>
    </w:p>
    <w:p>
      <w:pPr>
        <w:spacing w:after="0" w:line="40" w:lineRule="exact"/>
        <w:rPr>
          <w:sz w:val="20"/>
          <w:szCs w:val="20"/>
          <w:color w:val="auto"/>
        </w:rPr>
      </w:pPr>
    </w:p>
    <w:p>
      <w:pPr>
        <w:ind w:left="660" w:hanging="16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rate reduction as of January 1, 2018, resulted in a blended U.S. statutory tax rate of approximately 27%;</w:t>
      </w:r>
    </w:p>
    <w:p>
      <w:pPr>
        <w:spacing w:after="0" w:line="90"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Remeasurement of deferred tax assets and liabilities resulted in a tax benefit of $179 million; and</w:t>
      </w:r>
    </w:p>
    <w:p>
      <w:pPr>
        <w:spacing w:after="0" w:line="10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transition tax on unremitted foreign earnings resulted in a tax charge of $53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166"/>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we recognized a tax benefit of $29 million on $122 million of pension and postretirement benefit mark-to-market losses. In 2018, we recognized tax expense of $31 million on $131 million of pension and postretirement benefit mark-to-market gains;</w:t>
      </w:r>
    </w:p>
    <w:p>
      <w:pPr>
        <w:spacing w:after="0" w:line="2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we recognized a $6 million tax benefit on $28 million of a pension settlement charge;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left="660" w:hanging="166"/>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we recognized a $29 million tax benefit on $121 million of restructuring charges, implementation costs and other related costs. In 2018, we recognized a $45 million tax benefit on $177 million of restructuring charges, implementation costs and other related costs;</w:t>
      </w:r>
    </w:p>
    <w:p>
      <w:pPr>
        <w:spacing w:after="0" w:line="26"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we recognized a transition tax on unremitted foreign earnings of $2 million related to the enactment of the Act. In 2018, we recognized a net tax benefit of $126 million related to the enactment of the Act on the remeasurement of deferred tax assets and liabilities and transition tax on unremitted foreign earnings described above;</w:t>
      </w:r>
    </w:p>
    <w:p>
      <w:pPr>
        <w:spacing w:after="0" w:line="54"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2019, we recognized a $3 million tax benefit on a $16 million impairment charge on the European chips business. In 2018, we recognized a $13 million tax benefit on a $54 million impairment charge on the </w:t>
      </w:r>
      <w:r>
        <w:rPr>
          <w:rFonts w:ascii="Times New Roman" w:cs="Times New Roman" w:eastAsia="Times New Roman" w:hAnsi="Times New Roman"/>
          <w:sz w:val="18"/>
          <w:szCs w:val="18"/>
          <w:i w:val="1"/>
          <w:iCs w:val="1"/>
          <w:color w:val="auto"/>
        </w:rPr>
        <w:t>Plum</w:t>
      </w:r>
      <w:r>
        <w:rPr>
          <w:rFonts w:ascii="Times New Roman" w:cs="Times New Roman" w:eastAsia="Times New Roman" w:hAnsi="Times New Roman"/>
          <w:sz w:val="18"/>
          <w:szCs w:val="18"/>
          <w:color w:val="auto"/>
        </w:rPr>
        <w:t xml:space="preserve"> trademark;</w:t>
      </w:r>
    </w:p>
    <w:p>
      <w:pPr>
        <w:spacing w:after="0" w:line="40"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we recognized a $29 million tax benefit on $102 million of transaction and integration costs associated with the acquisition of Snyder's-Lance; and</w:t>
      </w:r>
    </w:p>
    <w:p>
      <w:pPr>
        <w:spacing w:after="0" w:line="2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we recognized a $7 million tax benefit on the $22 million of expense related to the settlement of a legal claim.</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After adjusting for the items above, the remaining decrease in the effective rate in 2019 was primarily due to the ongoing benefit of the lower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tax rate resulting from the enactment of the Act.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and Cost Savings Initiatives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1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estimates, as well as timing for certain activities, are continuing to be developed.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pre-tax charges recorded in Earnings from continuing operations related to these initiatives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340" w:type="dxa"/>
            <w:vAlign w:val="bottom"/>
          </w:tcPr>
          <w:p>
            <w:pPr>
              <w:spacing w:after="0"/>
              <w:rPr>
                <w:sz w:val="13"/>
                <w:szCs w:val="13"/>
                <w:color w:val="auto"/>
              </w:rPr>
            </w:pPr>
          </w:p>
        </w:tc>
        <w:tc>
          <w:tcPr>
            <w:tcW w:w="10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95"/>
        </w:trPr>
        <w:tc>
          <w:tcPr>
            <w:tcW w:w="5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pre-tax charges recorded in Earnings (loss) from discontinued operations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3"/>
                <w:szCs w:val="13"/>
                <w:color w:val="auto"/>
              </w:rPr>
            </w:pP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August 2, 2020</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5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60"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$19 million of severance pay and benefits and $4 million of implementation costs and other related costs.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72"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April 28, 2019, we incurred substantially all of the costs for actions associated with discontinued operations. All of the costs were cash expenditures.</w:t>
      </w:r>
    </w:p>
    <w:p>
      <w:pPr>
        <w:sectPr>
          <w:pgSz w:w="11900" w:h="16838" w:orient="portrait"/>
          <w:cols w:equalWidth="0" w:num="1">
            <w:col w:w="11240"/>
          </w:cols>
          <w:pgMar w:left="320" w:top="985" w:right="339" w:bottom="1440" w:gutter="0" w:footer="0" w:header="0"/>
        </w:sectPr>
      </w:pP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 summary of the pre-tax costs in Earnings from continuing operations associated with the initiatives is as follows: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9803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180340"/>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9803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Recognized as of</w:t>
      </w:r>
    </w:p>
    <w:p>
      <w:pPr>
        <w:spacing w:after="0" w:line="6"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August 2, 2020</w:t>
      </w:r>
    </w:p>
    <w:p>
      <w:pPr>
        <w:spacing w:after="0" w:line="43" w:lineRule="exact"/>
        <w:rPr>
          <w:sz w:val="20"/>
          <w:szCs w:val="20"/>
          <w:color w:val="auto"/>
        </w:rPr>
      </w:pPr>
    </w:p>
    <w:p>
      <w:pPr>
        <w:ind w:left="1189" w:hanging="1189"/>
        <w:spacing w:after="0"/>
        <w:tabs>
          <w:tab w:leader="none" w:pos="118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214</w:t>
      </w:r>
    </w:p>
    <w:p>
      <w:pPr>
        <w:spacing w:after="0" w:line="74" w:lineRule="exact"/>
        <w:rPr>
          <w:rFonts w:ascii="Times New Roman" w:cs="Times New Roman" w:eastAsia="Times New Roman" w:hAnsi="Times New Roman"/>
          <w:sz w:val="17"/>
          <w:szCs w:val="17"/>
          <w:color w:val="auto"/>
        </w:rPr>
      </w:pPr>
    </w:p>
    <w:p>
      <w:pPr>
        <w:ind w:left="126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67</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9855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57" w:lineRule="exact"/>
        <w:rPr>
          <w:sz w:val="20"/>
          <w:szCs w:val="20"/>
          <w:color w:val="auto"/>
        </w:rPr>
      </w:pPr>
    </w:p>
    <w:p>
      <w:pPr>
        <w:ind w:left="1189" w:hanging="1189"/>
        <w:spacing w:after="0"/>
        <w:tabs>
          <w:tab w:leader="none" w:pos="118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41910</wp:posOffset>
            </wp:positionV>
            <wp:extent cx="9855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67310</wp:posOffset>
            </wp:positionV>
            <wp:extent cx="9855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8931" w:space="720"/>
            <w:col w:w="1589"/>
          </w:cols>
          <w:pgMar w:left="320" w:top="985" w:right="339" w:bottom="1440" w:gutter="0" w:footer="0" w:header="0"/>
          <w:type w:val="continuous"/>
        </w:sect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estimated pre-tax costs for actions associated with continuing operations that have been identified are approximately $665 million to $690 million. This estimate will be updated as costs for the expanded initiatives are developed.</w:t>
      </w:r>
    </w:p>
    <w:p>
      <w:pPr>
        <w:spacing w:after="0" w:line="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the costs for actions associated with continuing operations that have been identified to date to consist of the following: approximately $215 million to $220 million in severance pay and benefits; approximately $70 million in asset impairment and accelerated depreciation; and approximately $380 million to $400 million in implementation costs and other related costs. We expect these pre-tax costs to be associated with our segments as follows: Meals &amp; Beverages - approximately 33%; Snacks - approximately 42%; and Corporate - approximately 25%.</w:t>
      </w:r>
    </w:p>
    <w:p>
      <w:pPr>
        <w:spacing w:after="0" w:line="4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Of the aggregate $665 million to $690 million of pre-tax costs associated with continuing operations identified to date, we expect approximately $585 million to $610 million will be cash expenditures. In addition, we expect to invest approximately $420 million in capital expenditures through 2022, of which we invested $336 million as of August 2, 2020. The capital expenditures primarily relate to the U.S. warehouse optimization project, improvement of quality, safety and cost structure across the Snyder’s-Lance manufacturing network, implementation of an SAP enterprise-resource planning system for Snyder's-Lance, optimization of information technology infrastructure and applications, transition of production of the Toronto manufacturing facility to our U.S. thermal plants, insourcing of manufacturing for certain simple meal products, and optimization of the Snyder’s-Lance warehouse and distribution network.</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incur substantially all of the costs for the actions associated with continuing operations that have been identified to date through 2021 and to fund the costs through cash flows from operations and short-term borrowings.</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the initiatives for actions associated with continuing operations that have been identified to date to generate pre-tax savings of approximately $800 million to $810 million in 2021, and once all phases are implemented, to generate annual ongoing savings of approximately $850 million by the end of 2022. The annual pre-tax savings associated with continuing operations generated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savings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5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initiatives for actions associated with discontinued operations generated pre-tax savings of over $90 million in 2019 and $60 million in 2018.</w:t>
      </w:r>
    </w:p>
    <w:p>
      <w:pPr>
        <w:spacing w:after="0" w:line="104"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8 to the Consolidated Financial Statements for additional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25, 2019, we sold our U.S. refrigerated soup business, and on April 25, 2019, we sold our Garden Fresh Gourmet business. Proceeds were $55 million. On June 16, 2019, we sold our Bolthouse Farms business. Proceeds were $500 million. Beginning in the third quarter of 2019, we have reflected the results of these businesses as discontinued operations in the Consolidated Statements of Earnings for all periods presented. These businesses were historically included in the Campbell Fresh reportable segment.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0" w:name="page31"/>
    <w:bookmarkEnd w:id="3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completed the sale of our Kelsen business on September 23, 2019, for $322 million. We also completed the sale of the Arnott’s and other international operations on December 23, 2019, for $2,286 million. The purchase price was subject to certain post-closing adjustments, which resulted in $4 million of additional proceeds in the third quarter of 2020. Beginning in the fourth quarter of 2019, we have reflected the results of operations of the Kelsen business and the Arnott’s and other international operations, or Campbell International, as discontinued operations in the Consolidated Statements of Earnings for all periods presented. These businesses were historically included in the Snacks reportable segment.</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of discontinued operations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Campbell International</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Campbell Fresh</w:t>
            </w:r>
          </w:p>
        </w:tc>
      </w:tr>
      <w:tr>
        <w:trPr>
          <w:trHeight w:val="198"/>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93"/>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70"/>
        </w:trPr>
        <w:tc>
          <w:tcPr>
            <w:tcW w:w="5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taxes from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earnings (loss) from operations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sales of businesses / costs associated with selling the businesses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expense (benefit) on sales / costs associated with selling the businesses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9"/>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2020, Campbell International sales and earnings from operations decreased reflecting the sales of the businesses.</w:t>
      </w:r>
    </w:p>
    <w:p>
      <w:pPr>
        <w:spacing w:after="0" w:line="10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sale of the Arnott's and other international operations resulted in a substantial capital gain for tax purposes. We were able to utilize capital losses, which were offset with valuation allowances as of July 28, 2019, to offset the capital gain.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2019, Campbell International sales decreased reflecting the negative impact of currency translation and declines in Kelsen cookies in the U.S.</w:t>
      </w:r>
    </w:p>
    <w:p>
      <w:pPr>
        <w:spacing w:after="0" w:line="1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fourth quarter of 2019, as part of our annual review of intangible assets, we recognized an impairment charge of $7 million on a trademark and $10 million on goodwill in Kelsen due to a lower long-term outlook for sales and the pending sale of the business.</w:t>
      </w:r>
    </w:p>
    <w:p>
      <w:pPr>
        <w:spacing w:after="0" w:line="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2019, excluding items impacting comparability, earnings from Campbell International declined primarily due to a lower gross profit percentage, reflecting higher supply chain costs and higher promotional spending, as well as the negative impact of currency translation.</w:t>
      </w:r>
    </w:p>
    <w:p>
      <w:pPr>
        <w:spacing w:after="0" w:line="2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2019, Campbell Fresh sales decreased primarily due to the sale of the businesses, as well as declines in refrigerated soup, </w:t>
      </w:r>
      <w:r>
        <w:rPr>
          <w:rFonts w:ascii="Times New Roman" w:cs="Times New Roman" w:eastAsia="Times New Roman" w:hAnsi="Times New Roman"/>
          <w:sz w:val="18"/>
          <w:szCs w:val="18"/>
          <w:i w:val="1"/>
          <w:iCs w:val="1"/>
          <w:color w:val="auto"/>
        </w:rPr>
        <w:t>Bolthouse Farms</w:t>
      </w:r>
      <w:r>
        <w:rPr>
          <w:rFonts w:ascii="Times New Roman" w:cs="Times New Roman" w:eastAsia="Times New Roman" w:hAnsi="Times New Roman"/>
          <w:sz w:val="18"/>
          <w:szCs w:val="18"/>
          <w:color w:val="auto"/>
        </w:rPr>
        <w:t xml:space="preserve"> refrigerated beverages and Garden Fresh Gourmet.</w:t>
      </w:r>
    </w:p>
    <w:p>
      <w:pPr>
        <w:spacing w:after="0" w:line="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2019 and 2018, we recorded impairment charges on the reporting units in Campbell Fresh. See "Significant Accounting Estimates" for additional information. In 2019, we recorded non-cash impairment charges of $360 million ($275 million after tax, or $.91 per share). In 2018, the total non-cash impairment charges were $694 million ($571 million after tax, or $1.89 per share). In 2019, we incurred pre-tax expenses of $32 million associated with the sale process of the businesses, including transaction costs. In addition, we recorded tax expense of $29 million in the third quarter as deferred tax assets associated with Bolthouse Farms were not realizable. In 2018, loss from operations included a benefit from the favorable resolution of a tax matter.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generated cash flows from operations of $1,396 million in 2020, compared to $1,398 million in 2019. The decline in 2020 was primarily due to changes in working capital, mostly offset by higher cash earnings and lower other cash payments.</w:t>
      </w:r>
    </w:p>
    <w:p>
      <w:pPr>
        <w:spacing w:after="0" w:line="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generated cash flows from operations of $1,398 million in 2019, compared to $1,305 million in 2018. The increase in 2019 was primarily due to improvements in working capital management efforts and higher cash earnings.</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Current assets are less than current liabilities as a result of our level of current maturities of long-term debt and short-term borrowings and our focus to lower core working capital requirements. We had negative working capital of $690 million as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August 2, 2020, and $1,418 million as of July 28, 2019. Total debt maturing within one year was $1,202 million as of August 2, 2020, and $1,603 million as of July 28, 2019.</w:t>
      </w:r>
    </w:p>
    <w:p>
      <w:pPr>
        <w:spacing w:after="0" w:line="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Capital expenditures were $299 million in 2020, $384 million in 2019 and $407 million in 2018. Capital expenditures in 2020 were lower than 2019 reflecting delays in certain projects impacted by the spread of the COVID-19 pandemic. Capital expenditures are expected to total approximately $350 million in 2021. Capital expenditures in 2020 included the implementation of an SAP enterprise-resource planning system for Snyder's-Lance, a </w:t>
      </w:r>
      <w:r>
        <w:rPr>
          <w:rFonts w:ascii="Times New Roman" w:cs="Times New Roman" w:eastAsia="Times New Roman" w:hAnsi="Times New Roman"/>
          <w:sz w:val="18"/>
          <w:szCs w:val="18"/>
          <w:i w:val="1"/>
          <w:iCs w:val="1"/>
          <w:color w:val="auto"/>
        </w:rPr>
        <w:t>Milano</w:t>
      </w:r>
      <w:r>
        <w:rPr>
          <w:rFonts w:ascii="Times New Roman" w:cs="Times New Roman" w:eastAsia="Times New Roman" w:hAnsi="Times New Roman"/>
          <w:sz w:val="18"/>
          <w:szCs w:val="18"/>
          <w:color w:val="auto"/>
        </w:rPr>
        <w:t xml:space="preserve"> cookie capacity expansion project, chip capacity expansion projects, and a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 capacity expansion project. Capital expenditures in 2019 included a U.S. warehouse optimization project, replacement of a Pepperidge Farm refrigeration system, transition of production of the Toronto manufacturing facility to our U.S. thermal plants, a Snyder's-Lance regional distribution center, a </w:t>
      </w:r>
      <w:r>
        <w:rPr>
          <w:rFonts w:ascii="Times New Roman" w:cs="Times New Roman" w:eastAsia="Times New Roman" w:hAnsi="Times New Roman"/>
          <w:sz w:val="18"/>
          <w:szCs w:val="18"/>
          <w:i w:val="1"/>
          <w:iCs w:val="1"/>
          <w:color w:val="auto"/>
        </w:rPr>
        <w:t>Milano</w:t>
      </w:r>
      <w:r>
        <w:rPr>
          <w:rFonts w:ascii="Times New Roman" w:cs="Times New Roman" w:eastAsia="Times New Roman" w:hAnsi="Times New Roman"/>
          <w:sz w:val="18"/>
          <w:szCs w:val="18"/>
          <w:color w:val="auto"/>
        </w:rPr>
        <w:t xml:space="preserve"> cookie capacity expansion project, and a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 capacity expansion project. Capital expenditures in 2018 included a U.S. warehouse optimization project; transition of production of the Toronto manufacturing facility to our U.S. thermal plants; insourcing manufacturing for certain simple meal products; replacement of a Pepperidge Farm refrigeration system; and an Australian multi-pack biscuit capacity expansion project.</w:t>
      </w:r>
    </w:p>
    <w:p>
      <w:pPr>
        <w:spacing w:after="0" w:line="6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Pepperidge Farm and Snyder’s-Lance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4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Primarily in response to the impact of the COVID-19 outbreak and the ensuing uncertainty surrounding the operating environment and the commercial paper market, as well as favorable credit markets at the time, on April 24, 2020, we issued senior unsecured notes in an aggregate principal amount of $1,000 million, consisting of $500 million aggregate principal amount of notes bearing interest at a fixed rate of 2.375% per annum, due April 24, 2030, and $500 million aggregate principal amount of notes bearing interest at a fixed rate of 3.125% per annum, due April 24, 2050. On May 1, 2020, we used $300 million of the net proceeds to repay $300 million of borrowings outstanding under our revolving credit facility and we intend to use the remaining net proceeds to repay a portion of our outstanding commercial paper as it comes due and for general corporate purposes, thereby lessening our reliance on commercial paper. The 2.375% Senior Notes due 2030 and the 3.125% Senior Notes due 2050 may each be redeemed at the applicable redemption price, in whole or in part, at our option at any time and from time to time prior to January 24, 2030, and October 24, 2049, respectively. Interest on each of the notes is due semi-annually on April 24 and October 24, commencing on October 24, 2020. The notes contain customary covenants and events of default. If a change of control triggering event occurs, we will be required to offer to purchase the notes at a purchase price equal to 101% of the principal amount plus accrued and unpaid interest, if any, to the purchase date.</w:t>
      </w:r>
    </w:p>
    <w:p>
      <w:pPr>
        <w:spacing w:after="0" w:line="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25, 2019, we sold our U.S refrigerated soup business, and on April 25, 2019, we sold our Garden Fresh Gourmet business. Proceeds were $55 million. On June 16, 2019, we sold our Bolthouse Farms business. Proceeds were $500 million.</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completed the sale of our Kelsen business on September 23, 2019, for $322 million. On September 30, 2019, we repaid $399 million of our senior unsecured term loan facility using net proceeds from the Kelsen sale and the issuance of commercial paper. In addition, on October 11, 2019, we completed the sale of our European chips business for £63 million, or $77 million.</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completed the sale of the Arnott’s and other international operations on December 23, 2019, for $2,286 million. The purchase price was subject to certain post-closing adjustments, which resulted in $4 million of additional proceeds in the third quarter of 2020. We used the net proceeds from the sale to reduce our debt through a series of actions. On December 31, 2019, we repaid the $100 million outstanding balance on our senior unsecured term loan facility. On January 22, 2020, we completed the redemption of all $500 million outstanding aggregate principal amount of our 4.25% Senior Notes due 2021, which were issued in connection with our acquisition of Snyder’s-Lance. On January 24, 2020, we settled tender offers to purchase $1,200 million in aggregate principal amount of certain unsecured debt, comprising $329 million of 3.30% Senior Notes due 2021, $634 million of 3.65% Senior Notes due 2023, and $237 million of 3.80% Senior Notes due 2043. Except for the $237 million of 3.80% Senior Notes due 2043, the Senior Notes settled under the tender offer were issued in connection with our acquisition of Snyder’s-Lance. The consideration for the redemption and the tender offers was $1,765 million, including $65 million of premium. We recognized a loss of $75 million (including $65 million of premium, fees and other costs paid with the tender offers and unamortized debt issuance costs), which was recorded in Interest expense in the Consolidated Statement of Earnings. In addition, we paid accrued and unpaid interest on the purchased notes through the dates of settlement. The net divestiture proceeds remaining after these debt reduction activities were used to reduce commercial paper borrowings. See Note 14 to the Consolidated Financial Statements for additional information.</w:t>
      </w:r>
    </w:p>
    <w:p>
      <w:pPr>
        <w:spacing w:after="0" w:line="55"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Total consideration was $6,112 million, which included the payoff of approximately $1,100 million of Snyder's-Lance indebtedness. We borrowed $900 million under a single draw 3-year senior unsecured term loan facility on March 26, 2018, and issued $5,300 million in the aggregate principal amount of Senior Notes on March 16, 2018, to finance the acquisition. The senior unsecured term loan facility contained customary covenants and events of default for credit facilities of this type and a maximum leverage ratio covenant. During the fourth quarter of 2019, we prepaid $401 million of the facility. As a result of such prepayment, the maximum leverage ratio covenant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jc w:val="both"/>
        <w:spacing w:after="0" w:line="239" w:lineRule="auto"/>
        <w:rPr>
          <w:sz w:val="20"/>
          <w:szCs w:val="20"/>
          <w:color w:val="auto"/>
        </w:rPr>
      </w:pPr>
      <w:r>
        <w:rPr>
          <w:rFonts w:ascii="Times New Roman" w:cs="Times New Roman" w:eastAsia="Times New Roman" w:hAnsi="Times New Roman"/>
          <w:sz w:val="18"/>
          <w:szCs w:val="18"/>
          <w:color w:val="auto"/>
        </w:rPr>
        <w:t>in the senior unsecured term loan facility no longer applied. We repaid the remaining balance of the facility in 2020 in connection with the divestitures as disclosed above. The $5,300 million in the aggregate principal amount of Senior Notes were issued in various tenors in both fixed and floating rate formats. We issued 2 and 3-year floating rate Senior notes in the amount of $500 million and $400 million, respectively. We issued 3, 5, 7, 10, and 30-year fixed rate Senior Notes in the amount of $650 million, $1,200 million, $850 million, $1,000 million, and $700 million, respectively. The fixed rate Senior Notes may be redeemed, in whole or in part, at our option at any time at the applicable redemption price. The notes contain customary covenants and events of default. If change of control triggering events occur, we will be required to offer to purchase the Senior Notes at a purchase price equal to 101% of the principal amount plus accrued and unpaid interest, if any, to the purchase date. As described above, in 2020, a portion of the Senior Notes were included in the redemption and tender offers using the divestiture proceeds.</w:t>
      </w:r>
    </w:p>
    <w:p>
      <w:pPr>
        <w:spacing w:after="0" w:line="6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30, 2018, we purchased the remaining ownership interest in Yellow Chips Holdings B.V., and began consolidating the business. The purchase price was $18 million.</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12, 2017, we completed the acquisition of Pacific Foods. The purchase price was $688 million and was funded through the issuance of commercial paper.</w:t>
      </w:r>
    </w:p>
    <w:p>
      <w:pPr>
        <w:spacing w:after="0" w:line="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2018, we repaid a portion of our AUD notes outstanding and refinanced the remainder with a new AUD $400 million, or $296 million, single-draw syndicated facility that matured on September 11, 2019. As of July 28, 2019, the balance outstanding under this facility was AUD $335 million, or $232 million. The syndicated facility was repaid in August 2019 and was terminated. The repayment was funded through the issuance of commercial paper.</w:t>
      </w:r>
    </w:p>
    <w:p>
      <w:pPr>
        <w:spacing w:after="0" w:line="5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Dividend payments were $426 million in 2020, $423 million in 2019 and $426 million in 2018. Annual dividends declared were $1.40 per share in 2020, 2019, and 2018. The 2020 fourth quarter dividend was $.35 per share.</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repurchased approximately 2 million shares at a cost of $86 million in 2018. As a result of the acquisition of Snyder's-Lance, we suspended our share repurchases as of the second quarter of 2018. See Note 18 to the Consolidated Financial Statements for additional information.</w:t>
      </w:r>
    </w:p>
    <w:p>
      <w:pPr>
        <w:spacing w:after="0" w:line="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August 2, 2020, we had $1,202 million of short-term borrowings due within one year, of which $280 million was comprised of commercial paper borrowings. As of August 2, 2020, we issued $34 million of standby letters of credit. We have a committed revolving credit facility totaling $1,850 million that matures in December 2021. This U.S. facility remained unused at August 2, 2020, except for $1 million of standby letters of credit that we issued under it. In March 2020, we borrowed $300 million under this revolving credit facility and on May 1, 2020 we repaid the borrowings. The U.S. facility supports our commercial paper programs and other general corporate purposes. We expect to continue to access the commercial paper markets, bank credit lines and utilize cash flows from operations to support our short-term liquidity requirements.</w:t>
      </w:r>
    </w:p>
    <w:p>
      <w:pPr>
        <w:spacing w:after="0" w:line="66" w:lineRule="exact"/>
        <w:rPr>
          <w:sz w:val="20"/>
          <w:szCs w:val="20"/>
          <w:color w:val="auto"/>
        </w:rPr>
      </w:pPr>
    </w:p>
    <w:p>
      <w:pPr>
        <w:ind w:right="4200" w:firstLine="324"/>
        <w:spacing w:after="0" w:line="354" w:lineRule="auto"/>
        <w:rPr>
          <w:sz w:val="20"/>
          <w:szCs w:val="20"/>
          <w:color w:val="auto"/>
        </w:rPr>
      </w:pPr>
      <w:r>
        <w:rPr>
          <w:rFonts w:ascii="Times New Roman" w:cs="Times New Roman" w:eastAsia="Times New Roman" w:hAnsi="Times New Roman"/>
          <w:sz w:val="18"/>
          <w:szCs w:val="18"/>
          <w:color w:val="auto"/>
        </w:rPr>
        <w:t xml:space="preserve">We are in compliance with the covenants contained in our credit facilities and debt securities. </w:t>
      </w:r>
      <w:r>
        <w:rPr>
          <w:rFonts w:ascii="Times New Roman" w:cs="Times New Roman" w:eastAsia="Times New Roman" w:hAnsi="Times New Roman"/>
          <w:sz w:val="18"/>
          <w:szCs w:val="18"/>
          <w:b w:val="1"/>
          <w:bCs w:val="1"/>
          <w:color w:val="auto"/>
        </w:rPr>
        <w:t xml:space="preserve">CONTRACTUAL OBLIGATIONS AND OTHER COMMITMENTS </w:t>
      </w:r>
      <w:r>
        <w:rPr>
          <w:rFonts w:ascii="Times New Roman" w:cs="Times New Roman" w:eastAsia="Times New Roman" w:hAnsi="Times New Roman"/>
          <w:sz w:val="18"/>
          <w:szCs w:val="18"/>
          <w:b w:val="1"/>
          <w:bCs w:val="1"/>
          <w:i w:val="1"/>
          <w:iCs w:val="1"/>
          <w:color w:val="auto"/>
        </w:rPr>
        <w:t>Contractual Obligations</w:t>
      </w:r>
    </w:p>
    <w:p>
      <w:pPr>
        <w:spacing w:after="0" w:line="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obligations and commitments to make future payments under certain contractual obligations as of August 2, 2020. For additional information on debt, see Note 14 to the Consolidated Financial Statements. Purchase commitments represent purchase orders and long-term purchase arrangements related to the procurement of ingredients, supplies, machinery, equipment and services. These commitments are not expected to have a material impact on liquidity. Other long-term liabilities primarily represent payments related to deferred compensation obligations. For additional information on other long-term liabilities, see Note 21 to the Consolidated Financial Statements.</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Contractual Payments Due by Fiscal Year</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8"/>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7"/>
                <w:szCs w:val="17"/>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68"/>
        </w:trPr>
        <w:tc>
          <w:tcPr>
            <w:tcW w:w="51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6,240</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r>
      <w:tr>
        <w:trPr>
          <w:trHeight w:val="27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7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payments</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3"/>
                <w:szCs w:val="23"/>
                <w:color w:val="auto"/>
                <w:vertAlign w:val="superscript"/>
              </w:rPr>
              <w:t>(4)</w:t>
            </w:r>
          </w:p>
        </w:tc>
        <w:tc>
          <w:tcPr>
            <w:tcW w:w="2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0"/>
        </w:trPr>
        <w:tc>
          <w:tcPr>
            <w:tcW w:w="5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commitments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payments</w:t>
            </w:r>
            <w:r>
              <w:rPr>
                <w:rFonts w:ascii="Times New Roman" w:cs="Times New Roman" w:eastAsia="Times New Roman" w:hAnsi="Times New Roman"/>
                <w:sz w:val="23"/>
                <w:szCs w:val="23"/>
                <w:color w:val="auto"/>
                <w:vertAlign w:val="superscript"/>
              </w:rPr>
              <w:t>(5)</w:t>
            </w:r>
          </w:p>
        </w:tc>
        <w:tc>
          <w:tcPr>
            <w:tcW w:w="2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88"/>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cash obligations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63" w:lineRule="exact"/>
        <w:rPr>
          <w:sz w:val="20"/>
          <w:szCs w:val="20"/>
          <w:color w:val="auto"/>
        </w:rPr>
      </w:pPr>
    </w:p>
    <w:p>
      <w:pPr>
        <w:ind w:left="340" w:hanging="332"/>
        <w:spacing w:after="0" w:line="229" w:lineRule="auto"/>
        <w:tabs>
          <w:tab w:leader="none" w:pos="32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unamortized net discount/premium on debt issuances and debt issuance costs. For additional information on debt obligations, see Note 14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ind w:left="320" w:hanging="312"/>
        <w:spacing w:after="0"/>
        <w:tabs>
          <w:tab w:leader="none" w:pos="32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payments for short- and long-term borrowings are based on principal amounts and coupons or contractual rates at fiscal year end.</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payments of foreign exchange forward contracts and commodity contracts.</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additional information on operating leases, see Note 12 to the Consolidated Financial Statements.</w:t>
      </w:r>
    </w:p>
    <w:p>
      <w:pPr>
        <w:spacing w:after="0" w:line="2" w:lineRule="exact"/>
        <w:rPr>
          <w:rFonts w:ascii="Times New Roman" w:cs="Times New Roman" w:eastAsia="Times New Roman" w:hAnsi="Times New Roman"/>
          <w:sz w:val="23"/>
          <w:szCs w:val="23"/>
          <w:color w:val="auto"/>
          <w:vertAlign w:val="superscript"/>
        </w:rPr>
      </w:pPr>
    </w:p>
    <w:p>
      <w:pPr>
        <w:jc w:val="both"/>
        <w:ind w:left="340" w:hanging="332"/>
        <w:spacing w:after="0" w:line="228" w:lineRule="auto"/>
        <w:tabs>
          <w:tab w:leader="none" w:pos="32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long-term liabilities, excluding unrecognized tax benefits, postretirement benefits and payments related to pension plans. For additional information on pension and postretirement benefits, see Note 11 to the Consolidated Financial Statements. For additional information on unrecognized tax benefits, see Note 13 to the Consolidated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Other Commitments</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guarantee approximately 2,100 bank loans made to Pepperidge Farm independent contractor distributors by third-party financial institutions for the purchase of distribution routes. The maximum potential amount of the future payments under existing guarantees we could be required to make is $246 million. We guarantee approximately 2,500 bank loans made to Snyder's-Lance independent contractor distributors by third-party financial institutions for the purchase of distribution routes. The maximum potential amount of the future payments under existing guarantees we could be required to make is $199 million. Our guarantees are indirectly secured by the distribution routes. We do not expect that we will be required to make material guarantee payments as a result of defaults on the bank loans guaranteed.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exposed to the impact of inflation on our cost of products sold. We use a number of strategies to mitigate the effects of cost inflation including increasing prices, commodity hedging and pursuing cost productivity initiatives.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We manage our exposure to changes in interest rates by optimizing the use of variable-rate and fixed-rate debt and by utilizing interest rate swaps in order to maintain our variable-to-total debt ratio within targeted guidelines. Net sales of continuing operations outside of the U.S. are concentrated principally in Canada and represent approximately 6% of 2020 net sales. Within discontinued operations, international sales were concentrated principally in Australia. We manage our foreign currency exposures by utilizing foreign exchange forward contracts and borrowing in various foreign currencies. We enter into foreign exchange forward contracts for periods consistent with related underlying exposures, and the contracts do not constitute positions independent of those exposures. We do not enter into derivative contracts for speculative purposes and do not use leveraged instruments.</w:t>
      </w:r>
    </w:p>
    <w:p>
      <w:pPr>
        <w:spacing w:after="0" w:line="70"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soybean oil, diesel fuel, natural gas, cocoa, aluminum, soybean meal and corn.</w:t>
      </w:r>
    </w:p>
    <w:p>
      <w:pPr>
        <w:spacing w:after="0" w:line="4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below summarizes our market risks associated with debt obligations and other significant financial instruments as of August 2, 2020. Fair values included herein have been determined based on quoted market prices or pricing models using current market rates. The information presented below should be read in conjunction with Notes 14, 15 and 17 to the Consolidated Financial Statements.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principal cash flows and related interest rates by fiscal year of maturity for debt obligations. Interest rates disclosed on variable-rate debt represent the weighted-average rates at August 2, 2020.</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Expected Fiscal Year of Maturity</w:t>
            </w: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2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74"/>
        </w:trPr>
        <w:tc>
          <w:tcPr>
            <w:tcW w:w="2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Debt</w:t>
            </w:r>
            <w:r>
              <w:rPr>
                <w:rFonts w:ascii="Times New Roman" w:cs="Times New Roman" w:eastAsia="Times New Roman" w:hAnsi="Times New Roman"/>
                <w:sz w:val="20"/>
                <w:szCs w:val="20"/>
                <w:b w:val="1"/>
                <w:bCs w:val="1"/>
                <w:color w:val="auto"/>
                <w:vertAlign w:val="superscript"/>
              </w:rPr>
              <w:t>(1)</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rate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6,359</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rate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680</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33"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Expected maturities exclude unamortized net discount/premium on debt issuances and debt issuance costs.</w:t>
      </w:r>
    </w:p>
    <w:p>
      <w:pPr>
        <w:spacing w:after="0" w:line="82"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color w:val="auto"/>
        </w:rPr>
        <w:t>As of July 28, 2019, fixed-rate debt of approximately $6,260 million with an average interest rate of 3.99% and variable-rate debt of approximately $2,484 million with an average interest rate of 2.99% were outstanding.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34" w:name="page35"/>
    <w:bookmarkEnd w:id="3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foreign exchange risk related to third-party transactions and intercompany transactions, including intercompany debt. We utilize foreign exchange forward purchase and sale contracts to hedge these exposures. The following table summarizes the foreign exchange forward contracts outstanding and the related weighted-average contract exchange rates as of August 2, 2020.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Contractual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 Rate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5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Foreign Exchange Forward Contracts</w:t>
            </w:r>
          </w:p>
        </w:tc>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(currency paid/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tcBorders>
              <w:bottom w:val="single" w:sz="8" w:color="auto"/>
            </w:tcBorders>
            <w:vMerge w:val="continue"/>
          </w:tcPr>
          <w:p>
            <w:pPr>
              <w:spacing w:after="0"/>
              <w:rPr>
                <w:sz w:val="11"/>
                <w:szCs w:val="11"/>
                <w:color w:val="auto"/>
              </w:rPr>
            </w:pPr>
          </w:p>
        </w:tc>
        <w:tc>
          <w:tcPr>
            <w:tcW w:w="5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Notional Value</w:t>
            </w:r>
          </w:p>
        </w:tc>
        <w:tc>
          <w:tcPr>
            <w:tcW w:w="15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currency received)</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920" w:type="dxa"/>
            <w:vAlign w:val="bottom"/>
            <w:tcBorders>
              <w:bottom w:val="single" w:sz="8" w:color="CCEEFF"/>
            </w:tcBorders>
          </w:tcPr>
          <w:p>
            <w:pPr>
              <w:spacing w:after="0"/>
              <w:rPr>
                <w:sz w:val="4"/>
                <w:szCs w:val="4"/>
                <w:color w:val="auto"/>
              </w:rPr>
            </w:pPr>
          </w:p>
        </w:tc>
        <w:tc>
          <w:tcPr>
            <w:tcW w:w="50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Receive USD/Pay CAD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Receive CHF/Pay USD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fair value of all contracts was a loss of $1 million as of August 2, 2020. As of July 28, 2019, the total notional value of foreign exchange forward contracts outstanding was $323 million, including $83 million associated with discontinued operations, and the aggregate fair value was a loss of $3 million.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enter into commodity futures, options and swap contracts to reduce the volatility of price fluctuations for commodities. As of August 2, 2020, the notional value of these contracts was $137 million, and the aggregate fair value of these contracts was a loss of $2 million. As of July 28, 2019, the notional value of these contracts was $183 million, and the aggregate fair value of these contracts was a loss of $3 million.</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certain deferred compensation obligations linked to the total return of our capital stock, the total return of the Vanguard Institutional Index Institutional Plus Shares,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Institutional Plus Shares; or the total return of the iShares MSCI EAFE Index, which is expected to approximate the total return of the Vanguard Total International Stock Index. The notional value of the contract that is linked to the total return on our capital stock was $6 million at August 2, 2020, and $7 million at July 28, 2019. The average forward interest rate applicable to this contract, which expires in June 2021, was 0.93% at August 2, 2020. The notional value of the contract that is linked to the return on the Standard &amp; Poor's 500 Index was $13 million at August 2, 2020, and $17 million at July 28, 2019. The average forward interest rate applicable to this contract, which expires in March 2021, was 0.53% at August 2, 2020. The notional value of the contract that is linked to the total return of the iShares MSCI EAFE Index was $3 million at August 2, 2020, and $7 million at July 28, 2019. The average forward interest rate applicable to this contract, which expires in March 2021, was 0.63% at August 2, 2020. The fair value of these contracts was a gain of $4 million as of August 2, 2020, and a gain of $1 million as of July 28, 2019.</w:t>
      </w:r>
    </w:p>
    <w:p>
      <w:pPr>
        <w:spacing w:after="0" w:line="5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utilization of financial instruments in managing market risk exposures described above is consistent with the prior year. Changes in the portfolio of financial instruments are a function of the results of operations, debt repayment and debt issuances, market effects on debt and foreign currency, and our acquisition and divestiture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ESTIMATES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Note 1 to the Consolidated Financial Statements for a discussion of significant accounting policies. The following areas all require the use of subjective or complex judgments, estimates and assumptions:</w:t>
      </w:r>
    </w:p>
    <w:p>
      <w:pPr>
        <w:spacing w:after="0" w:line="4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Trade and consumer promotion programs — </w:t>
      </w:r>
      <w:r>
        <w:rPr>
          <w:rFonts w:ascii="Times New Roman" w:cs="Times New Roman" w:eastAsia="Times New Roman" w:hAnsi="Times New Roman"/>
          <w:sz w:val="18"/>
          <w:szCs w:val="18"/>
          <w:color w:val="auto"/>
        </w:rPr>
        <w:t>We offer various sales incentive programs to customers and consumers, such as feature price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in-store display incentives, cooperative advertising programs, new product introduction fees, and coupons. The mix between these forms of variable consideration, which are classified as reductions in revenue and recognized upon sale, and advertising or other marketing activities, which are classified as marketing and selling expenses, fluctuates between periods based on our overall marketing plans. The measurement and recognition of the costs for trade and consumer promotion programs involves the use of judgment related to performance and redemption estimates. Estimates are made based on historical experience and other factors, including expected volume. Typically, programs that are offered have a very short duration.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However, actual expenses may differ if the level of redemption rates and performance were to vary from estimates. We adopted revised guidance on the recognition of revenue in the first quarter of 2019. See Notes 1 and 2 to the Consolidated Financial Statements for additional information.</w:t>
      </w:r>
    </w:p>
    <w:p>
      <w:pPr>
        <w:spacing w:after="0" w:line="6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Valuation of long-lived assets — </w:t>
      </w:r>
      <w:r>
        <w:rPr>
          <w:rFonts w:ascii="Times New Roman" w:cs="Times New Roman" w:eastAsia="Times New Roman" w:hAnsi="Times New Roman"/>
          <w:sz w:val="18"/>
          <w:szCs w:val="18"/>
          <w:color w:val="auto"/>
        </w:rPr>
        <w:t>Fixed assets and amortizable intangible assets are reviewed for impairment as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indicating that the carrying value of the asset may not be recoverable. Undiscounted cash flow</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analyses are used to determine if impairment exists. If impairment is determined to exist, the loss is calculated based on estimated fair value.</w:t>
      </w:r>
    </w:p>
    <w:p>
      <w:pPr>
        <w:spacing w:after="0" w:line="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Goodwill and intangible assets deemed to have indefinite lives are not amortized but rather are tested at least annually for impairment, or more often if events or changes in circumstances indicate that more likely than not the carrying amount of the asset may not be recoverable. 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and an impairment charge will be recorded to reduce the reporting unit to fair value.</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are tested for impairment by comparing the fair value of the asset to the carrying value. Fair value is determined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2018 Assessments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second quarter of 2018, we performed an interim impairment assessment on the intangible assets of the Bolthouse Farms carrot and carrot ingredients reporting unit as operating performance was below expectations. The business was impacted by adverse weather conditions and the implementation of enhanced quality protocols, which impacted crop yields and resulted in higher costs. This cost volatility continued to be higher than expected and caused us to reassess our short- and long-term margin expectations for this business. Based on this performance, we reduced our outlook for future operating margins and discounted cash flows, which resulted in a $75 million impairment charge, representing a write-down of the remaining goodwill in the reporting unit. The fair value of the trademark exceeded the carrying value, which was $48 million.</w:t>
      </w:r>
    </w:p>
    <w:p>
      <w:pPr>
        <w:spacing w:after="0" w:line="12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third quarter of 2018, we performed an interim impairment assessment on the intangible assets of the deli reporting unit, which includes Garden Fresh Gourmet and the U.S. refrigerated soup business. During the third quarter of 2018, certain of our private label refrigerated soup customers, which represented a majority of the business, informed us of their intention to in-source production beginning in 2019, and the sales and operating profit outlook of the Garden Fresh Gourmet business was reduced. Due to the anticipated loss of refrigerated soup business with these customers, as well as the performance of the Garden Fresh Gourmet business, we revised the long-term outlook for future sales, operating margins and discounted cash flows for this reporting unit, which resulted in an $81 million impairment charge on goodwill, representing a write-down of the remaining goodwill in the reporting unit, $13 million on a trademark, and $11 million on plant assets in the reporting unit.</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performed an interim impairment assessment on the intangible assets of the Bolthouse Farms refrigerated beverages and salad dressings reporting unit as the operating performance in the third quarter was below expectations. We assessed sales performance of refrigerated beverages and key drivers impacting gross profit for the unit. We revised our long-term outlook for future earnings and discounted cash flows to reflect reduced sales expectations to modest growth and decreased our gross profit outlook to reflect the inflation and manufacturing efficiency pressures that remained with the unit. This revised outlook resulted in a $384 million impairment charge on goodwill, representing a write-down of the remaining goodwill in the reporting unit, and $130 million on a trademark in the reporting unit.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Continuing Operations</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the fourth quarter of 2018, as part of our annual review of intangible assets, we recognized an impairment charge of $54 million on the </w:t>
      </w:r>
      <w:r>
        <w:rPr>
          <w:rFonts w:ascii="Times New Roman" w:cs="Times New Roman" w:eastAsia="Times New Roman" w:hAnsi="Times New Roman"/>
          <w:sz w:val="18"/>
          <w:szCs w:val="18"/>
          <w:i w:val="1"/>
          <w:iCs w:val="1"/>
          <w:color w:val="auto"/>
        </w:rPr>
        <w:t>Plum</w:t>
      </w:r>
      <w:r>
        <w:rPr>
          <w:rFonts w:ascii="Times New Roman" w:cs="Times New Roman" w:eastAsia="Times New Roman" w:hAnsi="Times New Roman"/>
          <w:sz w:val="18"/>
          <w:szCs w:val="18"/>
          <w:color w:val="auto"/>
        </w:rPr>
        <w:t xml:space="preserve"> trademark. In 2018, sales and operating performance were well below expectations due in part to competitive pressure and reduced margins. In the fourth quarter of 2018, as part of a strategic review initiated by a new leadership team and based on recent performance, we lowered our long-term outlook for future sales.</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2019 Assessments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30, 2018, we announced plans to pursue the divestiture of our international biscuits and snacks operating segment and the Campbell Fresh operating segment. As we continued to pursue the divestiture of these businesses and as we received initial indications of value, in the second quarter of 2019, we performed interim impairment assessments on the intangible and tangible assets within Campbell Fresh, which included Garden Fresh Gourmet, Bolthouse Farms carrot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carrot ingredients, and Bolthouse Farms refrigerated beverages and salad dressings. As a result, we revised our future outlook for earnings and cash flows for each of these businesses.</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Within Bolthouse Farms carrot and carrot ingredients, we recorded impairment charges of $18 million on the trademark, and $159 million on the plant assets and amortizable intangible assets. Within Bolthouse Farms refrigerated beverages and salad dressings, we recorded impairment charges of $74 million on the trademark, and $31 million on the plant assets and amortizable intangible assets. On Garden Fresh Gourmet, we recorded impairment charges of $23 million on the trademark and $39 million on customer relationships, which eliminated the carrying value of these assets, and $2 million on plant assets.</w:t>
      </w:r>
    </w:p>
    <w:p>
      <w:pPr>
        <w:spacing w:after="0" w:line="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fourth quarter of 2019, as part of our annual review of intangible assets, we recognized an impairment charge of $7 million on a trademark and $10 million on goodwill in Kelsen due to a lower long-term outlook for sales and the pending sale of the business. On July 12, 2019, we signed a definitive agreement for the sale of our Kelsen business. We sold the business on September 23, 2019.</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to the Consolidated Financial Statements for additional information on discontinued operations.</w:t>
      </w:r>
    </w:p>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Continuing Operations</w:t>
      </w:r>
    </w:p>
    <w:p>
      <w:pPr>
        <w:spacing w:after="0" w:line="1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fourth quarter of 2019, we performed an assessment on the assets within our European chips business and recorded an impairment charge of $16 million on intangible assets. This business was included in the Snacks segment and reporting unit.</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2020 Assessments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Continuing Operations</w:t>
      </w:r>
    </w:p>
    <w:p>
      <w:pPr>
        <w:spacing w:after="0" w:line="1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August 2, 2020, the carrying value of goodwill was $3,986 million. Based on our assessments, all of our reporting units had an excess fair value well over the carrying value.</w:t>
      </w:r>
    </w:p>
    <w:p>
      <w:pPr>
        <w:spacing w:after="0" w:line="40"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 xml:space="preserve">As of August 2, 2020, the carrying value of indefinite-lived trademarks was $2,611 million, including $1,978 million associated with Snyder's-Lance. Of the carrying value of all indefinite-lived trademarks, $620 million related to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trademark, $292 million related to the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trademark, $280 million related to the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trademark and $61 million related to the </w:t>
      </w:r>
      <w:r>
        <w:rPr>
          <w:rFonts w:ascii="Times New Roman" w:cs="Times New Roman" w:eastAsia="Times New Roman" w:hAnsi="Times New Roman"/>
          <w:sz w:val="18"/>
          <w:szCs w:val="18"/>
          <w:i w:val="1"/>
          <w:iCs w:val="1"/>
          <w:color w:val="auto"/>
        </w:rPr>
        <w:t>Plum</w:t>
      </w:r>
      <w:r>
        <w:rPr>
          <w:rFonts w:ascii="Times New Roman" w:cs="Times New Roman" w:eastAsia="Times New Roman" w:hAnsi="Times New Roman"/>
          <w:sz w:val="18"/>
          <w:szCs w:val="18"/>
          <w:color w:val="auto"/>
        </w:rPr>
        <w:t xml:space="preserve"> trademark. Holding all other assumptions constant, changes in the assumptions below would reduce fair value of these trademarks and result in impairment charges of approximately:</w:t>
      </w:r>
    </w:p>
    <w:p>
      <w:pPr>
        <w:spacing w:after="0" w:line="8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Various Snyder's-</w:t>
            </w:r>
          </w:p>
        </w:tc>
        <w:tc>
          <w:tcPr>
            <w:tcW w:w="300" w:type="dxa"/>
            <w:vAlign w:val="bottom"/>
          </w:tcPr>
          <w:p>
            <w:pPr>
              <w:spacing w:after="0"/>
              <w:rPr>
                <w:sz w:val="13"/>
                <w:szCs w:val="13"/>
                <w:color w:val="auto"/>
              </w:rPr>
            </w:pP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Pacific Foods</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Plum</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Lance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 increase in the weighted-average cost of capital</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1% reduction in revenue growth</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estimates of future cash flows involve considerable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assumptions are not achieved or market conditions decline, potential additional impairment charges could result. We will continue to monitor the valuation of our long-lived assets.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also Note 6 to the Consolidated Financial Statements for additional information on goodwill and intangible assets.</w:t>
      </w:r>
    </w:p>
    <w:p>
      <w:pPr>
        <w:spacing w:after="0" w:line="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Pension and postretirement benefits — </w:t>
      </w:r>
      <w:r>
        <w:rPr>
          <w:rFonts w:ascii="Times New Roman" w:cs="Times New Roman" w:eastAsia="Times New Roman" w:hAnsi="Times New Roman"/>
          <w:sz w:val="18"/>
          <w:szCs w:val="18"/>
          <w:color w:val="auto"/>
        </w:rPr>
        <w:t>We provide certain pension and postretirement benefits to employees and retirees. Determining the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such benefits is dependent on various actuarial assumptions, including discount rates, expected return on plan assets, compensation increases, turnover rates and health care trend rates. Independent actuaries, in accordance with accounting principles generally accepted in the United States, perform the required calculations to determine expense.</w:t>
      </w:r>
    </w:p>
    <w:p>
      <w:pPr>
        <w:spacing w:after="0" w:line="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Beginning in 2018, we changed the method we used to estimate the service and interest cost components of the net periodic benefit expense (income). We elected to use a full yield curve approach to estimate service cost and interest cost by applying the specific spot rates along the yield curve used to determine the benefit obligation of the relevant projected cash flows. Previously, we estimated service cost and interest cost using a single weighted-average discount rate derived from the yield curve used to measure the benefit obligation at the beginning of the period. We made this change to provide a more precise measurement of service cost and interest cost by improving the correlation between projected benefit cash flows and the corresponding spot yield curve rates. This change does not affect the measurement of our benefit obligations. We accounted for this change prospectively in 2018 as a change 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jc w:val="both"/>
        <w:spacing w:after="0" w:line="289" w:lineRule="auto"/>
        <w:rPr>
          <w:sz w:val="20"/>
          <w:szCs w:val="20"/>
          <w:color w:val="auto"/>
        </w:rPr>
      </w:pPr>
      <w:r>
        <w:rPr>
          <w:rFonts w:ascii="Times New Roman" w:cs="Times New Roman" w:eastAsia="Times New Roman" w:hAnsi="Times New Roman"/>
          <w:sz w:val="18"/>
          <w:szCs w:val="18"/>
          <w:color w:val="auto"/>
        </w:rPr>
        <w:t>accounting estimate</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a result of this change, net periodic benefit income increased by approximately $17 million in 2018, compared to what the net periodic benefit income would have been under the previous method.</w:t>
      </w:r>
    </w:p>
    <w:p>
      <w:pPr>
        <w:spacing w:after="0" w:line="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 Within any given fiscal period, significant differences may arise between the actual return and the expected return on plan assets. Gains and losses resulting from differences between actual experience and the assumptions are determined at each measurement date.</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periodic pension and postretirement expense (income) was $93 million in 2020, $103 million in 2019 and ($185) million in 2018.</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weighted-average assumptions as of the end of the year were as follows: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5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580" w:type="dxa"/>
            <w:vAlign w:val="bottom"/>
            <w:tcBorders>
              <w:bottom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w w:val="98"/>
              </w:rPr>
              <w:t>Pension</w:t>
            </w:r>
          </w:p>
        </w:tc>
        <w:tc>
          <w:tcPr>
            <w:tcW w:w="8060" w:type="dxa"/>
            <w:vAlign w:val="bottom"/>
            <w:tcBorders>
              <w:bottom w:val="single" w:sz="8" w:color="CCEEFF"/>
            </w:tcBorders>
            <w:gridSpan w:val="2"/>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Discount rate for benefit obligations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2.47%</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3.46%</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r>
      <w:tr>
        <w:trPr>
          <w:trHeight w:val="27"/>
        </w:trPr>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6.86%</w:t>
            </w:r>
          </w:p>
        </w:tc>
      </w:tr>
      <w:tr>
        <w:trPr>
          <w:trHeight w:val="203"/>
        </w:trPr>
        <w:tc>
          <w:tcPr>
            <w:tcW w:w="86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Postretirement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8"/>
        </w:trPr>
        <w:tc>
          <w:tcPr>
            <w:tcW w:w="5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7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8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for obligations</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4.06%</w:t>
            </w:r>
          </w:p>
        </w:tc>
      </w:tr>
      <w:tr>
        <w:trPr>
          <w:trHeight w:val="243"/>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 health care trend rate</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6.25%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6.75%</w:t>
            </w:r>
          </w:p>
        </w:tc>
      </w:tr>
      <w:tr>
        <w:trPr>
          <w:trHeight w:val="27"/>
        </w:trPr>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8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Ultimate health care trend rate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4.50%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r>
      <w:tr>
        <w:trPr>
          <w:trHeight w:val="27"/>
        </w:trPr>
        <w:tc>
          <w:tcPr>
            <w:tcW w:w="5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Estimated sensitivities to annual net periodic pension cost are as follows: a 50-basis-point decline in the discount rate would decrease expense by approximately $9 million and would result in an immediate loss recognition of approximately $120 million. A 50-basis-point reduction in the estimated return on assets assumption would increase expense by approximately $10 million. A one-percentage-point increase in assumed health care costs would have no impact on postretirement service and interest cost and would not result in an immediate loss.</w:t>
      </w:r>
    </w:p>
    <w:p>
      <w:pPr>
        <w:spacing w:after="0" w:line="4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Contributions to pension plans were $2 million in 2020, and $5 million in 2019 and 2018. Contributions to pension plans are not expected to be material in 2021.</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also Note 11 to the Consolidated Financial Statements for additional information on pension and postretirement benefits.</w:t>
      </w:r>
    </w:p>
    <w:p>
      <w:pPr>
        <w:spacing w:after="0" w:line="1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The effective tax rate reflects statutory tax rates, tax planning opportunities available in the various jurisdictions in which we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management’s estimate of the ultimate outcome of various tax audits and issues. Significant judgment is required in determining the effective tax rate and in evaluating tax positions. Income taxes are recorded based on amounts refundable or payable in the current year and include the effect of deferred taxes. Deferred tax assets and liabilities are recognized for the future impact of differences between the financial statement carrying amounts of assets and liabilities and their respective tax bases, as well as for operating loss and tax credit carryforwards. Deferred tax assets and liabilities are measured using enacted tax rates expected to apply to taxable income in the years in which those differences are expected to be recovered or settled. Valuation allowances are established for deferred tax assets when it is more likely than not that a tax benefit will not be realized.</w:t>
      </w:r>
    </w:p>
    <w:p>
      <w:pPr>
        <w:spacing w:after="0" w:line="5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22, 2017, the Act was enacted into law and made significant changes to corporate taxation, including reducing the corporate tax rate from 35% to 21% effective January 1, 2018, and transitioning to a territorial system for taxation on foreign earnings along with the imposition of a transition tax in 2018 on the deemed repatriation of unremitted foreign earnings.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also Notes 1 and 13 to the Consolidated Financial Statements for further discussion on income taxes.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FACTORS THAT MAY AFFECT FUTURE RESULTS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Part 1, Item 1A and elsewhere in this Report, or in our other Securities and Exchange Commission filings, could affect our actual results and could cause such results to vary materially from those expressed in any forward-looking statements made by, or on behalf of, us:</w:t>
      </w:r>
    </w:p>
    <w:p>
      <w:pPr>
        <w:spacing w:after="0" w:line="41" w:lineRule="exact"/>
        <w:rPr>
          <w:sz w:val="20"/>
          <w:szCs w:val="20"/>
          <w:color w:val="auto"/>
        </w:rPr>
      </w:pPr>
    </w:p>
    <w:p>
      <w:pPr>
        <w:ind w:left="660" w:right="18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growing sales in snacks and maintaining our market share position in soup;</w:t>
      </w:r>
    </w:p>
    <w:p>
      <w:pPr>
        <w:spacing w:after="0" w:line="40"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4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ability to pay such indebtedness;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and associated responses to the COVID-19 pandemic on our business, suppliers, customers, consumers and employees;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9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 including the impacts of the COVID-19 pandemic, as well as fluctuations in the supply of and inflation in energy and raw and packaging materials cost;</w:t>
      </w:r>
    </w:p>
    <w:p>
      <w:pPr>
        <w:spacing w:after="0" w:line="40"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103"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90"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failure in or breach of our or our vendors' information technology systems;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9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exchange rates, tax rates, interest rates, debt and equity markets, inflation rates, economic conditions, law, regulation and other external factors; and</w:t>
      </w:r>
    </w:p>
    <w:p>
      <w:pPr>
        <w:spacing w:after="0" w:line="4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presented in the section entitled "Management’s Discussion and Analysis of Financial Condition and Results of Operations — Market Risk Sensitivity" is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7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20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00" w:type="dxa"/>
            <w:vAlign w:val="bottom"/>
          </w:tcPr>
          <w:p>
            <w:pPr>
              <w:spacing w:after="0"/>
              <w:rPr>
                <w:sz w:val="17"/>
                <w:szCs w:val="17"/>
                <w:color w:val="auto"/>
              </w:rPr>
            </w:pPr>
          </w:p>
        </w:tc>
        <w:tc>
          <w:tcPr>
            <w:tcW w:w="9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52 weeks</w:t>
            </w:r>
          </w:p>
        </w:tc>
      </w:tr>
      <w:tr>
        <w:trPr>
          <w:trHeight w:val="273"/>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r>
      <w:tr>
        <w:trPr>
          <w:trHeight w:val="237"/>
        </w:trPr>
        <w:tc>
          <w:tcPr>
            <w:tcW w:w="7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43"/>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43"/>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 / (income)</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7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r>
      <w:tr>
        <w:trPr>
          <w:trHeight w:val="237"/>
        </w:trPr>
        <w:tc>
          <w:tcPr>
            <w:tcW w:w="7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7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7"/>
        </w:trPr>
        <w:tc>
          <w:tcPr>
            <w:tcW w:w="7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7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Basic</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7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1"/>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7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7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64"/>
        </w:trPr>
        <w:tc>
          <w:tcPr>
            <w:tcW w:w="7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r>
              <w:rPr>
                <w:rFonts w:ascii="Times New Roman" w:cs="Times New Roman" w:eastAsia="Times New Roman" w:hAnsi="Times New Roman"/>
                <w:sz w:val="23"/>
                <w:szCs w:val="23"/>
                <w:b w:val="1"/>
                <w:bCs w:val="1"/>
                <w:color w:val="auto"/>
                <w:vertAlign w:val="superscript"/>
              </w:rPr>
              <w:t>(1)</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7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8"/>
          <w:szCs w:val="18"/>
          <w:color w:val="auto"/>
        </w:rPr>
        <w:t xml:space="preserve"> Sum of the individual amounts may not add due to rounding</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12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12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2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12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20" w:type="dxa"/>
            <w:vAlign w:val="bottom"/>
          </w:tcPr>
          <w:p>
            <w:pPr>
              <w:spacing w:after="0"/>
              <w:rPr>
                <w:sz w:val="12"/>
                <w:szCs w:val="12"/>
                <w:color w:val="auto"/>
              </w:rPr>
            </w:pPr>
          </w:p>
        </w:tc>
        <w:tc>
          <w:tcPr>
            <w:tcW w:w="74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6"/>
                <w:szCs w:val="16"/>
                <w:color w:val="auto"/>
              </w:rPr>
            </w:pP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5"/>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24"/>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of currency translation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adjustments realized upon disposal of</w:t>
            </w: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business</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2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w:t>
            </w:r>
          </w:p>
        </w:tc>
        <w:tc>
          <w:tcPr>
            <w:tcW w:w="12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during period</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6"/>
        </w:trPr>
        <w:tc>
          <w:tcPr>
            <w:tcW w:w="2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(gains)</w:t>
            </w:r>
          </w:p>
        </w:tc>
        <w:tc>
          <w:tcPr>
            <w:tcW w:w="120" w:type="dxa"/>
            <w:vAlign w:val="bottom"/>
          </w:tcPr>
          <w:p>
            <w:pPr>
              <w:spacing w:after="0"/>
              <w:rPr>
                <w:sz w:val="18"/>
                <w:szCs w:val="18"/>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losses included in net earnings</w:t>
            </w: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Pension and other postretirement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Prior service credit arising during the</w:t>
            </w:r>
          </w:p>
        </w:tc>
        <w:tc>
          <w:tcPr>
            <w:tcW w:w="120" w:type="dxa"/>
            <w:vAlign w:val="bottom"/>
          </w:tcPr>
          <w:p>
            <w:pPr>
              <w:spacing w:after="0"/>
              <w:rPr>
                <w:sz w:val="18"/>
                <w:szCs w:val="18"/>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period</w:t>
            </w: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w:t>
            </w:r>
          </w:p>
        </w:tc>
        <w:tc>
          <w:tcPr>
            <w:tcW w:w="12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included in net earnings</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7"/>
        </w:trPr>
        <w:tc>
          <w:tcPr>
            <w:tcW w:w="2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180</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33"/>
        </w:trPr>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attributable to noncontrolling interests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attributable to Campbell Soup</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1,816</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
        </w:trPr>
        <w:tc>
          <w:tcPr>
            <w:tcW w:w="2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1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340" w:type="dxa"/>
            <w:vAlign w:val="bottom"/>
          </w:tcPr>
          <w:p>
            <w:pPr>
              <w:spacing w:after="0"/>
              <w:rPr>
                <w:sz w:val="13"/>
                <w:szCs w:val="13"/>
                <w:color w:val="auto"/>
              </w:rPr>
            </w:pPr>
          </w:p>
        </w:tc>
        <w:tc>
          <w:tcPr>
            <w:tcW w:w="10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July 28,</w:t>
            </w:r>
          </w:p>
        </w:tc>
      </w:tr>
      <w:tr>
        <w:trPr>
          <w:trHeight w:val="195"/>
        </w:trPr>
        <w:tc>
          <w:tcPr>
            <w:tcW w:w="68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859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6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575</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43"/>
        </w:trPr>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7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871</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7"/>
        </w:trPr>
        <w:tc>
          <w:tcPr>
            <w:tcW w:w="6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80</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17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7"/>
        </w:trPr>
        <w:tc>
          <w:tcPr>
            <w:tcW w:w="6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7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2,385</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37"/>
        </w:trPr>
        <w:tc>
          <w:tcPr>
            <w:tcW w:w="6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7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2,368</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7"/>
        </w:trPr>
        <w:tc>
          <w:tcPr>
            <w:tcW w:w="6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3,986</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r>
      <w:tr>
        <w:trPr>
          <w:trHeight w:val="24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7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3,350</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r>
      <w:tr>
        <w:trPr>
          <w:trHeight w:val="27"/>
        </w:trPr>
        <w:tc>
          <w:tcPr>
            <w:tcW w:w="6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($76 as of 2019 attributable to variable interest entity)</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283</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17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7"/>
        </w:trPr>
        <w:tc>
          <w:tcPr>
            <w:tcW w:w="6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12,372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w:t>
            </w:r>
          </w:p>
        </w:tc>
      </w:tr>
      <w:tr>
        <w:trPr>
          <w:trHeight w:val="20"/>
        </w:trPr>
        <w:tc>
          <w:tcPr>
            <w:tcW w:w="68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
        </w:trPr>
        <w:tc>
          <w:tcPr>
            <w:tcW w:w="6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borrowings</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1,202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43"/>
        </w:trPr>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Payable to suppliers and others</w:t>
            </w:r>
          </w:p>
        </w:tc>
        <w:tc>
          <w:tcPr>
            <w:tcW w:w="17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1,049</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7"/>
        </w:trPr>
        <w:tc>
          <w:tcPr>
            <w:tcW w:w="6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693</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43"/>
        </w:trPr>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payable</w:t>
            </w:r>
          </w:p>
        </w:tc>
        <w:tc>
          <w:tcPr>
            <w:tcW w:w="17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107</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6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income taxes</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7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7"/>
        </w:trPr>
        <w:tc>
          <w:tcPr>
            <w:tcW w:w="6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7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3,075</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37"/>
        </w:trPr>
        <w:tc>
          <w:tcPr>
            <w:tcW w:w="6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7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4,994</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7,103</w:t>
            </w:r>
          </w:p>
        </w:tc>
      </w:tr>
      <w:tr>
        <w:trPr>
          <w:trHeight w:val="27"/>
        </w:trPr>
        <w:tc>
          <w:tcPr>
            <w:tcW w:w="6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914</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4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7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820</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7"/>
        </w:trPr>
        <w:tc>
          <w:tcPr>
            <w:tcW w:w="6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17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7"/>
        </w:trPr>
        <w:tc>
          <w:tcPr>
            <w:tcW w:w="6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9,803</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w:t>
            </w:r>
          </w:p>
        </w:tc>
      </w:tr>
      <w:tr>
        <w:trPr>
          <w:trHeight w:val="27"/>
        </w:trPr>
        <w:tc>
          <w:tcPr>
            <w:tcW w:w="6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Campbell Soup Company shareholders' equity</w:t>
            </w:r>
          </w:p>
        </w:tc>
        <w:tc>
          <w:tcPr>
            <w:tcW w:w="1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7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394</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43"/>
        </w:trPr>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7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3,190</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7"/>
        </w:trPr>
        <w:tc>
          <w:tcPr>
            <w:tcW w:w="6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43"/>
        </w:trPr>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6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Campbell Soup Company shareholders' equity</w:t>
            </w:r>
          </w:p>
        </w:tc>
        <w:tc>
          <w:tcPr>
            <w:tcW w:w="17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2,563</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36"/>
        </w:trPr>
        <w:tc>
          <w:tcPr>
            <w:tcW w:w="6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6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7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2,569</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36"/>
        </w:trPr>
        <w:tc>
          <w:tcPr>
            <w:tcW w:w="6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7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12,372</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13,148</w:t>
            </w:r>
          </w:p>
        </w:tc>
      </w:tr>
      <w:tr>
        <w:trPr>
          <w:trHeight w:val="27"/>
        </w:trPr>
        <w:tc>
          <w:tcPr>
            <w:tcW w:w="6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
        </w:trPr>
        <w:tc>
          <w:tcPr>
            <w:tcW w:w="68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7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18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80" w:type="dxa"/>
            <w:vAlign w:val="bottom"/>
          </w:tcPr>
          <w:p>
            <w:pPr>
              <w:spacing w:after="0"/>
              <w:rPr>
                <w:sz w:val="17"/>
                <w:szCs w:val="17"/>
                <w:color w:val="auto"/>
              </w:rPr>
            </w:pPr>
          </w:p>
        </w:tc>
        <w:tc>
          <w:tcPr>
            <w:tcW w:w="9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52 weeks</w:t>
            </w:r>
          </w:p>
        </w:tc>
      </w:tr>
      <w:tr>
        <w:trPr>
          <w:trHeight w:val="187"/>
        </w:trPr>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r>
      <w:tr>
        <w:trPr>
          <w:trHeight w:val="198"/>
        </w:trPr>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earnings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1,628</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w:t>
            </w:r>
          </w:p>
        </w:tc>
      </w:tr>
      <w:tr>
        <w:trPr>
          <w:trHeight w:val="207"/>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earnings to operating cash flow</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8"/>
        </w:trPr>
        <w:tc>
          <w:tcPr>
            <w:tcW w:w="7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Impairment charges</w:t>
            </w:r>
          </w:p>
        </w:tc>
        <w:tc>
          <w:tcPr>
            <w:tcW w:w="1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748</w:t>
            </w:r>
          </w:p>
        </w:tc>
      </w:tr>
      <w:tr>
        <w:trPr>
          <w:trHeight w:val="207"/>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Restructuring charges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r>
      <w:tr>
        <w:trPr>
          <w:trHeight w:val="198"/>
        </w:trPr>
        <w:tc>
          <w:tcPr>
            <w:tcW w:w="7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r>
      <w:tr>
        <w:trPr>
          <w:trHeight w:val="207"/>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Amortization of inventory fair value adjustment from acquisition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r>
      <w:tr>
        <w:trPr>
          <w:trHeight w:val="198"/>
        </w:trPr>
        <w:tc>
          <w:tcPr>
            <w:tcW w:w="7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Pension and postretirement benefit expense (income)</w:t>
            </w: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20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394</w:t>
            </w:r>
          </w:p>
        </w:tc>
      </w:tr>
      <w:tr>
        <w:trPr>
          <w:trHeight w:val="198"/>
        </w:trPr>
        <w:tc>
          <w:tcPr>
            <w:tcW w:w="7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20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(gain) loss on sales of businesses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7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Investment losses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r>
      <w:tr>
        <w:trPr>
          <w:trHeight w:val="198"/>
        </w:trPr>
        <w:tc>
          <w:tcPr>
            <w:tcW w:w="7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r>
      <w:tr>
        <w:trPr>
          <w:trHeight w:val="208"/>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working capital, net of acquisitions and divestitures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8"/>
        </w:trPr>
        <w:tc>
          <w:tcPr>
            <w:tcW w:w="7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r>
      <w:tr>
        <w:trPr>
          <w:trHeight w:val="20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98"/>
        </w:trPr>
        <w:tc>
          <w:tcPr>
            <w:tcW w:w="7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Prepaid assets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r>
      <w:tr>
        <w:trPr>
          <w:trHeight w:val="20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r>
      <w:tr>
        <w:trPr>
          <w:trHeight w:val="198"/>
        </w:trPr>
        <w:tc>
          <w:tcPr>
            <w:tcW w:w="7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6"/>
        </w:trPr>
        <w:tc>
          <w:tcPr>
            <w:tcW w:w="76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1,396</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1,398</w:t>
            </w: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1,305</w:t>
            </w:r>
          </w:p>
        </w:tc>
      </w:tr>
      <w:tr>
        <w:trPr>
          <w:trHeight w:val="196"/>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8"/>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plant 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r>
      <w:tr>
        <w:trPr>
          <w:trHeight w:val="198"/>
        </w:trPr>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Purchases of route businesses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8"/>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 of route businesses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r>
      <w:tr>
        <w:trPr>
          <w:trHeight w:val="198"/>
        </w:trPr>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Businesses acquired, net of cash acquired</w:t>
            </w:r>
          </w:p>
        </w:tc>
        <w:tc>
          <w:tcPr>
            <w:tcW w:w="1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(6,772)</w:t>
            </w:r>
          </w:p>
        </w:tc>
      </w:tr>
      <w:tr>
        <w:trPr>
          <w:trHeight w:val="208"/>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 of businesses, net of cash divested</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 of investment</w:t>
            </w: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6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6"/>
        </w:trPr>
        <w:tc>
          <w:tcPr>
            <w:tcW w:w="76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2,272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(7,197)</w:t>
            </w:r>
          </w:p>
        </w:tc>
      </w:tr>
      <w:tr>
        <w:trPr>
          <w:trHeight w:val="20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8"/>
        </w:trPr>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Short-term borrowings, including commercial paper and revolving line of credit</w:t>
            </w: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10,222</w:t>
            </w:r>
          </w:p>
        </w:tc>
      </w:tr>
      <w:tr>
        <w:trPr>
          <w:trHeight w:val="207"/>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Short-term repayments, including commercial paper and revolving line of credit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(9,944)</w:t>
            </w:r>
          </w:p>
        </w:tc>
      </w:tr>
      <w:tr>
        <w:trPr>
          <w:trHeight w:val="198"/>
        </w:trPr>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Long-term borrowings</w:t>
            </w: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6,224</w:t>
            </w:r>
          </w:p>
        </w:tc>
      </w:tr>
      <w:tr>
        <w:trPr>
          <w:trHeight w:val="207"/>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Long-term repayments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8"/>
        </w:trPr>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 paid</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r>
      <w:tr>
        <w:trPr>
          <w:trHeight w:val="207"/>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Treasury stock purchases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98"/>
        </w:trPr>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 issuances</w:t>
            </w: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related to tax withholding for stock-based compensation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8"/>
        </w:trPr>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related to extinguishment of debt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Repurchase of noncontrolling interest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8"/>
        </w:trPr>
        <w:tc>
          <w:tcPr>
            <w:tcW w:w="7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6"/>
        </w:trPr>
        <w:tc>
          <w:tcPr>
            <w:tcW w:w="76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(2,987)</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5,807</w:t>
            </w:r>
          </w:p>
        </w:tc>
      </w:tr>
      <w:tr>
        <w:trPr>
          <w:trHeight w:val="196"/>
        </w:trPr>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98"/>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 beginning of period</w:t>
            </w: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r>
      <w:tr>
        <w:trPr>
          <w:trHeight w:val="20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discontinued operations — beginning of period</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w:t>
            </w:r>
          </w:p>
        </w:tc>
      </w:tr>
      <w:tr>
        <w:trPr>
          <w:trHeight w:val="198"/>
        </w:trPr>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discontinued operations — end of period</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221"/>
        </w:trPr>
        <w:tc>
          <w:tcPr>
            <w:tcW w:w="7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 end of period</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859</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r>
      <w:tr>
        <w:trPr>
          <w:trHeight w:val="20"/>
        </w:trPr>
        <w:tc>
          <w:tcPr>
            <w:tcW w:w="7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restart"/>
          </w:tcPr>
          <w:p>
            <w:pPr>
              <w:jc w:val="right"/>
              <w:ind w:right="129"/>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4"/>
                <w:szCs w:val="4"/>
                <w:color w:val="auto"/>
              </w:rPr>
            </w:pPr>
          </w:p>
        </w:tc>
        <w:tc>
          <w:tcPr>
            <w:tcW w:w="88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34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1580" w:type="dxa"/>
            <w:vAlign w:val="bottom"/>
            <w:gridSpan w:val="3"/>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vMerge w:val="restart"/>
          </w:tcPr>
          <w:p>
            <w:pPr>
              <w:spacing w:after="0"/>
              <w:rPr>
                <w:sz w:val="6"/>
                <w:szCs w:val="6"/>
                <w:color w:val="auto"/>
              </w:rPr>
            </w:pPr>
          </w:p>
        </w:tc>
        <w:tc>
          <w:tcPr>
            <w:tcW w:w="158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9"/>
                <w:szCs w:val="9"/>
                <w:color w:val="auto"/>
              </w:rPr>
            </w:pPr>
          </w:p>
        </w:tc>
        <w:tc>
          <w:tcPr>
            <w:tcW w:w="1580" w:type="dxa"/>
            <w:vAlign w:val="bottom"/>
            <w:tcBorders>
              <w:bottom w:val="single" w:sz="8" w:color="auto"/>
            </w:tcBorders>
            <w:gridSpan w:val="3"/>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80" w:type="dxa"/>
            <w:vAlign w:val="bottom"/>
            <w:tcBorders>
              <w:bottom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jc w:val="right"/>
              <w:ind w:right="229"/>
              <w:spacing w:after="0" w:line="114" w:lineRule="exact"/>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9"/>
                <w:szCs w:val="9"/>
                <w:color w:val="auto"/>
              </w:rPr>
            </w:pPr>
          </w:p>
        </w:tc>
        <w:tc>
          <w:tcPr>
            <w:tcW w:w="880" w:type="dxa"/>
            <w:vAlign w:val="bottom"/>
          </w:tcPr>
          <w:p>
            <w:pPr>
              <w:jc w:val="center"/>
              <w:ind w:right="68"/>
              <w:spacing w:after="0" w:line="114" w:lineRule="exact"/>
              <w:rPr>
                <w:sz w:val="20"/>
                <w:szCs w:val="20"/>
                <w:color w:val="auto"/>
              </w:rPr>
            </w:pPr>
            <w:r>
              <w:rPr>
                <w:rFonts w:ascii="Times New Roman" w:cs="Times New Roman" w:eastAsia="Times New Roman" w:hAnsi="Times New Roman"/>
                <w:sz w:val="13"/>
                <w:szCs w:val="13"/>
                <w:b w:val="1"/>
                <w:bCs w:val="1"/>
                <w:color w:val="auto"/>
              </w:rPr>
              <w:t>the</w:t>
            </w:r>
          </w:p>
        </w:tc>
        <w:tc>
          <w:tcPr>
            <w:tcW w:w="180" w:type="dxa"/>
            <w:vAlign w:val="bottom"/>
          </w:tcPr>
          <w:p>
            <w:pPr>
              <w:spacing w:after="0"/>
              <w:rPr>
                <w:sz w:val="9"/>
                <w:szCs w:val="9"/>
                <w:color w:val="auto"/>
              </w:rPr>
            </w:pPr>
          </w:p>
        </w:tc>
        <w:tc>
          <w:tcPr>
            <w:tcW w:w="1160" w:type="dxa"/>
            <w:vAlign w:val="bottom"/>
          </w:tcPr>
          <w:p>
            <w:pPr>
              <w:jc w:val="right"/>
              <w:ind w:right="89"/>
              <w:spacing w:after="0" w:line="114"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40" w:type="dxa"/>
            <w:vAlign w:val="bottom"/>
          </w:tcPr>
          <w:p>
            <w:pPr>
              <w:spacing w:after="0"/>
              <w:rPr>
                <w:sz w:val="9"/>
                <w:szCs w:val="9"/>
                <w:color w:val="auto"/>
              </w:rPr>
            </w:pPr>
          </w:p>
        </w:tc>
        <w:tc>
          <w:tcPr>
            <w:tcW w:w="1140" w:type="dxa"/>
            <w:vAlign w:val="bottom"/>
          </w:tcPr>
          <w:p>
            <w:pPr>
              <w:jc w:val="right"/>
              <w:ind w:right="128"/>
              <w:spacing w:after="0" w:line="114"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260" w:type="dxa"/>
            <w:vAlign w:val="bottom"/>
          </w:tcPr>
          <w:p>
            <w:pPr>
              <w:spacing w:after="0"/>
              <w:rPr>
                <w:sz w:val="9"/>
                <w:szCs w:val="9"/>
                <w:color w:val="auto"/>
              </w:rPr>
            </w:pPr>
          </w:p>
        </w:tc>
        <w:tc>
          <w:tcPr>
            <w:tcW w:w="840" w:type="dxa"/>
            <w:vAlign w:val="bottom"/>
          </w:tcPr>
          <w:p>
            <w:pPr>
              <w:jc w:val="right"/>
              <w:ind w:right="288"/>
              <w:spacing w:after="0" w:line="114"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10"/>
        </w:trPr>
        <w:tc>
          <w:tcPr>
            <w:tcW w:w="2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2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30, 2017</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2,385</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1,645</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 acquired</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26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8"/>
        </w:trPr>
        <w:tc>
          <w:tcPr>
            <w:tcW w:w="20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Repurchase of noncontrolling</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261</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58"/>
        </w:trPr>
        <w:tc>
          <w:tcPr>
            <w:tcW w:w="20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Other comprehensive income</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($1.40 per share)</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(422)</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20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53"/>
        </w:trPr>
        <w:tc>
          <w:tcPr>
            <w:tcW w:w="20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Treasury stock issued under</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management incentive and stock</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3"/>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option plans</w:t>
            </w: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29, 2018</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323</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349</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2,224</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00" w:type="dxa"/>
            <w:vAlign w:val="bottom"/>
          </w:tcPr>
          <w:p>
            <w:pPr>
              <w:ind w:left="20"/>
              <w:spacing w:after="0" w:line="132" w:lineRule="exact"/>
              <w:rPr>
                <w:sz w:val="20"/>
                <w:szCs w:val="20"/>
                <w:color w:val="auto"/>
              </w:rPr>
            </w:pPr>
            <w:r>
              <w:rPr>
                <w:rFonts w:ascii="Times New Roman" w:cs="Times New Roman" w:eastAsia="Times New Roman" w:hAnsi="Times New Roman"/>
                <w:sz w:val="14"/>
                <w:szCs w:val="14"/>
                <w:color w:val="auto"/>
              </w:rPr>
              <w:t>Cumulative effect of changes in</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accounting principle:</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9"/>
                <w:szCs w:val="9"/>
                <w:color w:val="auto"/>
              </w:rPr>
              <w:t>(1)</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Stranded tax effects</w:t>
            </w:r>
            <w:r>
              <w:rPr>
                <w:rFonts w:ascii="Times New Roman" w:cs="Times New Roman" w:eastAsia="Times New Roman" w:hAnsi="Times New Roman"/>
                <w:sz w:val="9"/>
                <w:szCs w:val="9"/>
                <w:color w:val="auto"/>
              </w:rPr>
              <w:t>(1)</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53"/>
        </w:trPr>
        <w:tc>
          <w:tcPr>
            <w:tcW w:w="20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Other comprehensive income</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40" w:type="dxa"/>
            <w:vAlign w:val="bottom"/>
          </w:tcPr>
          <w:p>
            <w:pPr>
              <w:spacing w:after="0"/>
              <w:rPr>
                <w:sz w:val="13"/>
                <w:szCs w:val="13"/>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3"/>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$1.40 per share)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(425)</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0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Treasury stock issued under</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management incentive and stock</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3"/>
        </w:trPr>
        <w:tc>
          <w:tcPr>
            <w:tcW w:w="2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plans</w:t>
            </w:r>
          </w:p>
        </w:tc>
        <w:tc>
          <w:tcPr>
            <w:tcW w:w="7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at July 28, 2019</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323</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372</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1,993</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1,112</w:t>
            </w:r>
          </w:p>
        </w:tc>
        <w:tc>
          <w:tcPr>
            <w:tcW w:w="0" w:type="dxa"/>
            <w:vAlign w:val="bottom"/>
          </w:tcPr>
          <w:p>
            <w:pPr>
              <w:spacing w:after="0"/>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1,628</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1,628</w:t>
            </w: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Divestiture</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156"/>
        </w:trPr>
        <w:tc>
          <w:tcPr>
            <w:tcW w:w="20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188</w:t>
            </w:r>
          </w:p>
        </w:tc>
        <w:tc>
          <w:tcPr>
            <w:tcW w:w="2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w:t>
            </w: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189</w:t>
            </w:r>
          </w:p>
        </w:tc>
        <w:tc>
          <w:tcPr>
            <w:tcW w:w="0" w:type="dxa"/>
            <w:vAlign w:val="bottom"/>
          </w:tcPr>
          <w:p>
            <w:pPr>
              <w:spacing w:after="0"/>
              <w:rPr>
                <w:sz w:val="1"/>
                <w:szCs w:val="1"/>
                <w:color w:val="auto"/>
              </w:rPr>
            </w:pPr>
          </w:p>
        </w:tc>
      </w:tr>
      <w:tr>
        <w:trPr>
          <w:trHeight w:val="20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($1.40 per share)</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(428)</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(428)</w:t>
            </w:r>
          </w:p>
        </w:tc>
        <w:tc>
          <w:tcPr>
            <w:tcW w:w="0" w:type="dxa"/>
            <w:vAlign w:val="bottom"/>
          </w:tcPr>
          <w:p>
            <w:pPr>
              <w:spacing w:after="0"/>
              <w:rPr>
                <w:sz w:val="1"/>
                <w:szCs w:val="1"/>
                <w:color w:val="auto"/>
              </w:rPr>
            </w:pPr>
          </w:p>
        </w:tc>
      </w:tr>
      <w:tr>
        <w:trPr>
          <w:trHeight w:val="20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1"/>
        </w:trPr>
        <w:tc>
          <w:tcPr>
            <w:tcW w:w="200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management incentive and</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w:t>
            </w:r>
          </w:p>
        </w:tc>
        <w:tc>
          <w:tcPr>
            <w:tcW w:w="2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22</w:t>
            </w:r>
          </w:p>
        </w:tc>
        <w:tc>
          <w:tcPr>
            <w:tcW w:w="16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72</w:t>
            </w:r>
          </w:p>
        </w:tc>
        <w:tc>
          <w:tcPr>
            <w:tcW w:w="0" w:type="dxa"/>
            <w:vAlign w:val="bottom"/>
          </w:tcPr>
          <w:p>
            <w:pPr>
              <w:spacing w:after="0"/>
              <w:rPr>
                <w:sz w:val="1"/>
                <w:szCs w:val="1"/>
                <w:color w:val="auto"/>
              </w:rPr>
            </w:pPr>
          </w:p>
        </w:tc>
      </w:tr>
      <w:tr>
        <w:trPr>
          <w:trHeight w:val="195"/>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 plans</w:t>
            </w: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2, 2020</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3,190</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2,569</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60" w:hanging="152"/>
        <w:spacing w:after="0"/>
        <w:tabs>
          <w:tab w:leader="none" w:pos="160"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Note 2 for additional detail.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(currency in millions, except per share amounts)</w:t>
      </w:r>
    </w:p>
    <w:p>
      <w:pPr>
        <w:spacing w:after="0" w:line="81"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this Report, unless otherwise stated, the terms "we," "us," "our" and the "company" refer to Campbell Soup Company and its consolidated subsidiaries.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w:t>
      </w:r>
    </w:p>
    <w:p>
      <w:pPr>
        <w:spacing w:after="0" w:line="1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consolidated financial statements include our accounts and entities in which we maintain a controlling financial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variable interest entity (VIE) for which we were the primary beneficiary. Intercompany transactions are eliminated in consolidation. Certain amounts in prior-year financial statements were reclassified to conform to the current-year presentation. Our fiscal year ends on the Sunday nearest July 31. There were 53 weeks in 2020 and 52 weeks in 2019, and 2018.</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 We present discontinued operations when there is a disposal of a component group or a group of components that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represents a strategic shift that will have a major effect on our operations and financial results. We aggregate the results of operations for discontinued operations into a single line item in the Consolidated Statements of Earnings for all periods presented. General corporate overhead is not allocated to discontinued operations. See Note 3 for additional information.</w:t>
      </w:r>
    </w:p>
    <w:p>
      <w:pPr>
        <w:spacing w:after="0" w:line="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Generally accepted accounting principles require management to make estimates and assumptions that affect assets,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and expenses. Actual results could differ from those estimates.</w:t>
      </w:r>
    </w:p>
    <w:p>
      <w:pPr>
        <w:spacing w:after="0" w:line="3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Our revenues primarily consist of the sale of food and beverage products through our own sales force and/or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brokers and distribution partners. Revenues are recognized when our performance obligation has been satisfied and control of the product passes to our customers, which typically occurs when products are delivered or accepted by customers in accordance with terms of agreements. We make shipments promptly after acceptance of orders. Shipping and handling costs incurred to deliver the product are recorded within Cost of products sold. Amounts billed and due from our customers are classified as Accounts receivable in the Consolidated Balance Sheets and require payment on a short-term basis. Revenues are recognized net of provisions for returns, discounts and certain sales promotion expenses, such as feature price discounts, in-store display incentives, cooperative advertising programs, new product introduction fees and coupon redemption costs. These forms of variable consideration are recognized upon sale. The recognition of costs for promotion programs involves the use of judgment related to performance and redemption estimates. Estimates are made based on historical experience and other factors, including expected volume.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Revenues are presented on a net basis for arrangements under which suppliers perform certain additional services. See Note 7 for additional information on disaggregation of revenue. In 2019, we adopted revised guidance on the recognition of revenue from contracts with customers. See Note 2 for additional information.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All highly liquid debt instruments purchased with a maturity of three months or less are classified as cash equivalents.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All inventories are valued at the lower of average cost or net realizable value.</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Property, plant and equipment are recorded at historical cost and are depreciated over estimated useful lives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straight-line method. Buildings and machinery and equipment are depreciated over periods not exceeding 45 years and 20 years, respectively. Assets are evaluated for impairment when conditions indicate that the carrying value may not be recoverable. Such conditions include significant adverse changes in business climate or a plan of disposal. Repairs and maintenance are charged to expense as incurred.</w:t>
      </w:r>
    </w:p>
    <w:p>
      <w:pPr>
        <w:spacing w:after="0" w:line="4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 Goodwill and intangible assets deemed to have indefinite lives are not amortized but rather are tested at least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annually for impairment, or when circumstances indicate that the carrying amount of the asset may not be recoverable. Goodwill is tested for impairment at the reporting unit level. A reporting unit is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and an impairment charge will be recorded to reduce the reporting unit to fair value.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are tested for impairment by comparing the fair value of the asset to the carrying value. Fair value is determined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3 and 6 for information on intangible assets and impairment charges.</w:t>
      </w:r>
    </w:p>
    <w:p>
      <w:pPr>
        <w:spacing w:after="0" w:line="1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Leases — </w:t>
      </w:r>
      <w:r>
        <w:rPr>
          <w:rFonts w:ascii="Times New Roman" w:cs="Times New Roman" w:eastAsia="Times New Roman" w:hAnsi="Times New Roman"/>
          <w:sz w:val="18"/>
          <w:szCs w:val="18"/>
          <w:color w:val="auto"/>
        </w:rPr>
        <w:t>At the beginning of the first quarter of 2020, we adopted new guidance on accounting for leases. We determine if an agreement is or contains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lease at inception by evaluating if an identified asset exists that we control for a period of time. When a lease exists, we record a right-of-use (ROU) asset and a corresponding lease liability on our Consolidated Balance Sheet. ROU assets represent our right to use an underlying asset for the lease term and the corresponding liabilities represent an obligation to make lease payments during the term. We have elected not to record leases with a term of 12 months or less on our Consolidated Balance Sheet.</w:t>
      </w:r>
    </w:p>
    <w:p>
      <w:pPr>
        <w:spacing w:after="0" w:line="6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ROU assets are recorded on our Consolidated Balance Sheet at lease commencement based on the present value of the corresponding liabilities and are adjusted for any prepayments, lease incentives received, or initial direct costs incurred. To calculate the present value of our lease liabilities, we use a country-specific collateralized incremental borrowing rate based on the lease term at commencement. The measurement of our ROU assets and liabilities includes all fixed payments and any variable payments based on an index or rate.</w:t>
      </w:r>
    </w:p>
    <w:p>
      <w:pPr>
        <w:spacing w:after="0" w:line="4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leases generally include options to extend or terminate use of the underlying assets. These options are included in the lease term used to determine ROU assets and corresponding liabilities when we are reasonably certain we will exercise.</w:t>
      </w:r>
    </w:p>
    <w:p>
      <w:pPr>
        <w:spacing w:after="0" w:line="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lease arrangements typically include non-lease components, such as common area maintenance and labor. We account for each lease and any non-lease components associated with that lease as a single lease component for all underlying asset classes with the exception of certain production assets. Accordingly, all costs associated with a lease contract are disclosed as lease costs. This includes any variable payments that are not dependent on an index or a rate and which are expensed as incurred.</w:t>
      </w:r>
    </w:p>
    <w:p>
      <w:pPr>
        <w:spacing w:after="0" w:line="5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leases expense is recognized on a straight-line basis over the lease term with the expense recorded in Cost of products sold, Marketing and selling expenses, or Administrative expenses depending on the nature of the leased item.</w:t>
      </w:r>
    </w:p>
    <w:p>
      <w:pPr>
        <w:spacing w:after="0" w:line="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finance leases, the amortization of ROU lease assets is recognized on a straight-line basis over the shorter of the estimated useful life of the underlying asset or the lease term in Cost of products sold, Marketing and selling expenses, or Administrative expenses depending on the nature of the leased item. Interest expense on finance lease obligations is recorded over the lease term and is recorded in Interest expense (based on a front-loaded interest expense pattern).</w:t>
      </w:r>
    </w:p>
    <w:p>
      <w:pPr>
        <w:spacing w:after="0" w:line="5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operating lease cash payments and interest on finance leases are recorded within Net cash provided by operating activities and all finance lease principal payments are recorded within Net cash used in financing activities in our Consolidated Statements of Cash Flows.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2 and 12 for more information.</w:t>
      </w:r>
    </w:p>
    <w:p>
      <w:pPr>
        <w:spacing w:after="0" w:line="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We use derivative financial instruments primarily for purposes of hedging exposures to fluctuations 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exchange rates, interest rates, commodities and equity-linked employee benefit obligations.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w:t>
      </w:r>
    </w:p>
    <w:p>
      <w:pPr>
        <w:spacing w:after="0" w:line="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derivatives are recognized on the balance sheet at fair value. For derivatives that qualify for hedge accounting, we designate the derivative as a hedge of the fair value of a recognized asset or liability or a firm commitment (fair-value hedge) or a hedge of a forecasted transaction or of the variability of cash flows to be received or paid related to a recognized asset or liability (cash-flow hedge). Some derivatives may also be considered natural hedging instruments (changes in fair value act as economic offsets to changes in fair value of the underlying hedged item) and are not designated for hedge accounting.</w:t>
      </w:r>
    </w:p>
    <w:p>
      <w:pPr>
        <w:spacing w:after="0" w:line="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Changes in the fair value on the portion of the derivative included in the assessment of hedge effectiveness of a fair-value hedge, along with the gain or loss on the underlying hedged asset or liability (including losses or gains on firm commitments), are recorded in current-period earnings.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effectiveness and the amounts recognized in earnings is recorded as a component of other comprehensive income (loss). Changes in the fair value of derivatives that are not designated for hedge accounting are recognized in current-period earnings.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flows from derivative contracts are included in Net cash provided by operating activities.</w:t>
      </w:r>
    </w:p>
    <w:p>
      <w:pPr>
        <w:spacing w:after="0" w:line="10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Production Costs </w:t>
      </w:r>
      <w:r>
        <w:rPr>
          <w:rFonts w:ascii="Times New Roman" w:cs="Times New Roman" w:eastAsia="Times New Roman" w:hAnsi="Times New Roman"/>
          <w:sz w:val="18"/>
          <w:szCs w:val="18"/>
          <w:color w:val="auto"/>
        </w:rPr>
        <w:t>— Advertising production costs are expensed in the period that the advertisement first takes place or when a decision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not to use an advertisement.</w:t>
      </w:r>
    </w:p>
    <w:p>
      <w:pPr>
        <w:spacing w:after="0" w:line="3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Costs </w:t>
      </w:r>
      <w:r>
        <w:rPr>
          <w:rFonts w:ascii="Times New Roman" w:cs="Times New Roman" w:eastAsia="Times New Roman" w:hAnsi="Times New Roman"/>
          <w:sz w:val="18"/>
          <w:szCs w:val="18"/>
          <w:color w:val="auto"/>
        </w:rPr>
        <w:t>— The costs of research and development are expensed as incurred. Costs include expenditures for new product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process innovation, and improvements to existing products and processes. Costs primarily consist of salaries, wages, consulting, and depreciation and maintenance of research facilities and equipment.</w:t>
      </w:r>
    </w:p>
    <w:p>
      <w:pPr>
        <w:spacing w:after="0" w:line="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Deferred tax assets and liabilities are recognized for the future impact of differences between the financial statement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of assets and liabilities and their respective tax bases,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revised guidance on the recognition of revenue from contracts with customers. We adopted the guidance in the first quarter of 2019, effective on July 30, 2018, using the modified retrospective method and recorded a cumulative effect adjustment of $8, net of tax, to decrease the opening balance of Earnings retained in the business, an increase of $10 to Accrued liabilities, an increase of $1 to Accounts payable, a decrease of $2 to Deferred taxes and an increase of $1 to Other assets.</w:t>
      </w:r>
    </w:p>
    <w:p>
      <w:pPr>
        <w:spacing w:after="0" w:line="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after December 15, 2017, and interim periods within those years. In 2019, we adopted the guidance. The adoption did not have an impact on our consolidated financial statements.</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guidance that amends accounting for leases. Under the new guidance, a lessee will recognize most leases on the balance sheet but will recognize expenses similar to current lease accounting. The guidance is effective for fiscal years, and interim periods within those years, beginning after December 15, 2018. In July 2018, the FASB issued an adoption approach that allows entities to apply the new guidance and recognize a cumulative-effect adjustment to the opening balance of retained earnings in the period of adoption without restating prior periods. We adopted the new guidance at the beginning of 2020 using this transition method. We elected to apply a package of practical expedients, which allowed us to not reassess prior conclusions related to contracts containing leases, lease classification, and initial direct costs. Adoption of the new guidance resulted in the recognition of operating lease ROU assets of $259 and operating lease liabilities of $254, with the difference between the assets and liabilities primarily due to below market assets, deferred rent and prepaid rent. In addition, we derecognized $20 of an asset and liability associated with a build-to-suit lease arrangement. The adoption did not have a material impact on consolidated net earnings or cash flows. See Note 12 for additional information.</w:t>
      </w:r>
    </w:p>
    <w:p>
      <w:pPr>
        <w:spacing w:after="0" w:line="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In 2019, we adopted the guidance. The adoption did not have a material impact on our consolidated financial statements.</w:t>
      </w:r>
    </w:p>
    <w:p>
      <w:pPr>
        <w:spacing w:after="0" w:line="5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2016, the FASB issued guidance on tax accounting for intra-entity asset transfers. Under previous guidance, the tax effects of intra-entity asset transfers (intercompany sales) are deferred until the transferred asset is sold to a third party or otherwise recognized. The new guidance requires companies to account for the income tax effects on intercompany transfers of assets other than inventory when the transfer occurs. The new guidance is effective for fiscal years beginning after December 15, 2017, and interim periods within those years. Early adoption is permitted in the first interim period of a fiscal year. The modified retrospective approach is required upon adoption, with a cumulative-effect adjustment recorded in retained earnings as of the beginning of the period of adoption. In 2019, we adopted the guidance. The adoption did not have an impact on our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January 2017, the FASB issued guidance that revises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this threshold is met, the set of transferred assets and activities is not a business. If it is not met, the entity then evaluates whether the set meets the requirement that a business include, at a minimum, an input and a substantive process that together significantly contribute to the ability to create outputs. The guidance is effective for fiscal years beginning after December 15, 2017, and interim periods within those years. Early adoption is permitted. In 2019, we adopted the guidance. The adoption did not have an impact on our consolidated financial statements.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May 2017, the FASB issued guidance that clarifies when changes to the terms or conditions of a share-based payment award must be accounted for as modifications. Under the new guidance, modification accounting is required only if the value, the vesting conditions, or the classification of the award (as equity or liability) changes as a result of the change in terms or conditions. The guidance is effective prospectively for fiscal years beginning after December 15, 2017. Early adoption is permitted. We will apply the guidance in evaluating future changes to terms or conditions of share-based payment awards.</w:t>
      </w:r>
    </w:p>
    <w:p>
      <w:pPr>
        <w:spacing w:after="0" w:line="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In October 2018, the FASB issued guidance which permits an entity to designate the overnight index swap rate based on the Secured Overnight Financing Rate Fed Funds as a benchmark interest rate in a hedge accounting relationship. The guidance is effective for fiscal years beginning after December 15, 2018, and interim periods within those years. We adopted the new guidance at the beginning of the first quarter of 2020. The adoption did not have a material impact on our consolidated financial statements.</w:t>
      </w:r>
    </w:p>
    <w:p>
      <w:pPr>
        <w:spacing w:after="0" w:line="6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2018, the FASB issued guidance that provides entities an option to reclassify the stranded tax effects of the Tax Cuts and Jobs Act of 2017 on items within accumulated other comprehensive income to retained earnings. The guidance is effective for fiscal years beginning after December 15, 2018, and interim periods within those years. We adopted the guidance in the first quarter of 2019, effective on July 30, 2018, and elected not to reclassify prior periods. The adoption resulted in a cumulative effect adjustment of $9 to decrease the opening balance of Earnings retained in the business and a corresponding net decrease to the components of Accumulated other comprehensive income (loss). See Note 5 for additional information.</w:t>
      </w:r>
    </w:p>
    <w:p>
      <w:pPr>
        <w:spacing w:after="0" w:line="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Pronouncements Not Yet Adopted</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August 2018, the FASB issued guidance that changes the disclosure requirements related to defined benefit pension and postretirement plans. The guidance is effective for fiscal years beginning after December 15, 2020. The guidance is to be applied on a retrospective basis. Early adoption is permitted. We are currently evaluating the impact that the new guidance will have on our disclosures.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August 2018, the FASB issued guidance that eliminates, adds, and modifies certain disclosure requirements for fair value measurements. The guidance is effective for fiscal years beginning after December 15, 2019, and interim periods within those years. We will adopt the new guidance in 2021, and do not expect a material impact on our consolidated financial statements.</w:t>
      </w:r>
    </w:p>
    <w:p>
      <w:pPr>
        <w:spacing w:after="0" w:line="4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2018, the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will adopt the new guidance prospectively in 2021, and do not expect a material impact on our consolidated financial statements.</w:t>
      </w:r>
    </w:p>
    <w:p>
      <w:pPr>
        <w:spacing w:after="0" w:line="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2019, the FASB issued guidance on simplifying the accounting for income taxes. The guidance removes certain exceptions to the general principles of accounting for income taxes and also improves consistent application of accounting by clarifying or amending existing guidance. The guidance is effective for fiscal years beginning after December 15, 2020, and interim periods within those years. Early adoption is permitted. We are currently evaluating the impact that the new guidance will have on our consolidated financial statements.</w:t>
      </w:r>
    </w:p>
    <w:p>
      <w:pPr>
        <w:spacing w:after="0" w:line="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2020, the FASB issued guidance that provides optional expedients and exceptions for a limited period of time for accounting for contracts, hedging relationships, and other transactions affected by the London Interbank Offered Rate (LIBOR) or another reference rate expected to be discontinued. Optional expedients can be applied from March 12, 2020 through December 31, 2022. We are currently evaluating the impact that the new guidance will have on our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ind w:right="9420" w:firstLine="8"/>
        <w:spacing w:after="0" w:line="354" w:lineRule="auto"/>
        <w:tabs>
          <w:tab w:leader="none" w:pos="1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Divestitures </w:t>
      </w:r>
      <w:r>
        <w:rPr>
          <w:rFonts w:ascii="Times New Roman" w:cs="Times New Roman" w:eastAsia="Times New Roman" w:hAnsi="Times New Roman"/>
          <w:sz w:val="18"/>
          <w:szCs w:val="18"/>
          <w:i w:val="1"/>
          <w:iCs w:val="1"/>
          <w:color w:val="auto"/>
        </w:rPr>
        <w:t>Discontinued Operations</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25, 2019, we sold our U.S. refrigerated soup business, and on April 25, 2019, we sold our Garden Fresh Gourmet business. Proceeds were $55. On June 16, 2019, we sold our Bolthouse Farms business. Proceeds were $500. Beginning in the third quarter of 2019, we have reflected the results of these businesses as discontinued operations in the Consolidated Statements of Earnings for all periods presented. These businesses were historically included in the Campbell Fresh reportable segment.</w:t>
      </w:r>
    </w:p>
    <w:p>
      <w:pPr>
        <w:spacing w:after="0" w:line="5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completed the sale of our Kelsen business on September 23, 2019, for $322. We also completed the sale of our Arnott’s business and certain other international operations, including the simple meals and shelf-stable beverages businesses in Australia and Asia Pacific (the Arnott's and other international operations), on December 23, 2019, for $2,286. The purchase price was subject to certain post-closing adjustments, which resulted in $4 of additional proceeds in the third quarter of 2020. Beginning in the fourth quarter of 2019, we have reflected the results of operations of the Kelsen business and the Arnott’s and other international operations (collectively referred to as Campbell International) as discontinued operations in the Consolidated Statements of Earnings for all periods presented. These businesses were historically included in the Snacks reportable segment.</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of discontinued operations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Campbell International</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Campbell Fresh</w:t>
            </w:r>
          </w:p>
        </w:tc>
      </w:tr>
      <w:tr>
        <w:trPr>
          <w:trHeight w:val="196"/>
        </w:trPr>
        <w:tc>
          <w:tcPr>
            <w:tcW w:w="58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93"/>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70"/>
        </w:trPr>
        <w:tc>
          <w:tcPr>
            <w:tcW w:w="5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taxes from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earnings (loss) from operations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sales of businesses / costs associated with selling the businesses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expense (benefit) on sales / costs associated with selling the businesses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9"/>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sale of the Arnott's and other international operations resulted in a substantial capital gain for tax purposes. We were able to utilize capital losses, which were offset with valuation allowances as of July 28, 2019, to offset the capital gain.</w:t>
      </w:r>
    </w:p>
    <w:p>
      <w:pPr>
        <w:spacing w:after="0" w:line="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fourth quarter of 2019, as part of our annual review of intangible assets, we recognized an impairment charge of $7 on a trademark and $10 on goodwill in Kelsen due to a lower long-term outlook for sales and the pending sale of the business.</w:t>
      </w: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second quarter of 2019, we performed interim impairment assessments on the intangible and tangible assets of the Campbell Fresh businesses. We revised our future outlook for earnings and cash flows for each of these businesses as the divestiture process progressed and we received initial indications of value. In Bolthouse Farms carrot and carrot ingredients, we recorded impairment charges of $18 on the trademark, $40 on customer relationships, $15 on technology and $104 on plant assets. In Bolthouse Farms refrigerated beverages and salad dressings, we recorded impairment charges of $74 on the trademark, $22 on customer relationships, and $9 on plant assets. In Garden Fresh Gourmet, we recorded impairment charges of $23 on the trademark, $39 on customer relationships, and $2 on plant assets. In the first quarter of 2019, we recorded an impairment charge of $14 on the U.S refrigerated soup plant assets in Campbell Fresh. In addition, we recorded tax expense of $29 in 2019, as deferred tax assets were not realizable.</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terms of the sale of the Arnott's and other international operations, we entered into a long-term licensing arrangement for the exclusive rights to certain Campbell brands in certain non-U.S. markets. We provide certain transition services to support the divested businesses.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ind w:firstLine="324"/>
        <w:spacing w:after="0" w:line="282" w:lineRule="auto"/>
        <w:rPr>
          <w:sz w:val="20"/>
          <w:szCs w:val="20"/>
          <w:color w:val="auto"/>
        </w:rPr>
      </w:pPr>
      <w:r>
        <w:rPr>
          <w:rFonts w:ascii="Times New Roman" w:cs="Times New Roman" w:eastAsia="Times New Roman" w:hAnsi="Times New Roman"/>
          <w:sz w:val="18"/>
          <w:szCs w:val="18"/>
          <w:color w:val="auto"/>
        </w:rPr>
        <w:t>The assets and liabilities of Campbell International have been reflected as assets and liabilities of discontinued operations in the Consolidated Balance Sheet as of July 28, 2019. The assets and liabilities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July 28,</w:t>
            </w:r>
          </w:p>
        </w:tc>
      </w:tr>
      <w:tr>
        <w:trPr>
          <w:trHeight w:val="195"/>
        </w:trPr>
        <w:tc>
          <w:tcPr>
            <w:tcW w:w="9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9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6"/>
        </w:trPr>
        <w:tc>
          <w:tcPr>
            <w:tcW w:w="99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50"/>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4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7"/>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9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9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9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0"/>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4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suppliers and others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9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9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7"/>
        </w:trPr>
        <w:tc>
          <w:tcPr>
            <w:tcW w:w="99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50"/>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9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7"/>
        </w:trPr>
        <w:tc>
          <w:tcPr>
            <w:tcW w:w="9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firstLine="324"/>
        <w:spacing w:after="0" w:line="278" w:lineRule="auto"/>
        <w:rPr>
          <w:sz w:val="20"/>
          <w:szCs w:val="20"/>
          <w:color w:val="auto"/>
        </w:rPr>
      </w:pPr>
      <w:r>
        <w:rPr>
          <w:rFonts w:ascii="Times New Roman" w:cs="Times New Roman" w:eastAsia="Times New Roman" w:hAnsi="Times New Roman"/>
          <w:sz w:val="18"/>
          <w:szCs w:val="18"/>
          <w:color w:val="auto"/>
        </w:rPr>
        <w:t>The depreciation and amortization, capital expenditures, sale proceeds and significant operating noncash items of Campbell Fresh and Campbell International were as follows:</w:t>
      </w:r>
    </w:p>
    <w:tbl>
      <w:tblPr>
        <w:tblLayout w:type="fixed"/>
        <w:tblInd w:w="0" w:type="dxa"/>
        <w:tblCellMar>
          <w:top w:w="0" w:type="dxa"/>
          <w:left w:w="0" w:type="dxa"/>
          <w:bottom w:w="0" w:type="dxa"/>
          <w:right w:w="0" w:type="dxa"/>
        </w:tblCellMar>
      </w:tblPr>
      <w:tr>
        <w:trPr>
          <w:trHeight w:val="195"/>
        </w:trPr>
        <w:tc>
          <w:tcPr>
            <w:tcW w:w="6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discontinued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(gain) loss on sales of discontinued operations businesses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discontinued investing activities: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of discontinued operations businesses, net of cash divested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1"/>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2" w:lineRule="exact"/>
        <w:rPr>
          <w:sz w:val="20"/>
          <w:szCs w:val="20"/>
          <w:color w:val="auto"/>
        </w:rPr>
      </w:pPr>
    </w:p>
    <w:p>
      <w:pPr>
        <w:ind w:right="1780" w:firstLine="8"/>
        <w:spacing w:after="0" w:line="293" w:lineRule="auto"/>
        <w:tabs>
          <w:tab w:leader="none" w:pos="312"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Depreciation and amortization are no longer recognized once businesses are classified as held for sale/discontinued operations. </w:t>
      </w:r>
      <w:r>
        <w:rPr>
          <w:rFonts w:ascii="Times New Roman" w:cs="Times New Roman" w:eastAsia="Times New Roman" w:hAnsi="Times New Roman"/>
          <w:sz w:val="18"/>
          <w:szCs w:val="18"/>
          <w:i w:val="1"/>
          <w:iCs w:val="1"/>
          <w:color w:val="auto"/>
        </w:rPr>
        <w:t>Other Divestitures</w:t>
      </w:r>
    </w:p>
    <w:p>
      <w:pPr>
        <w:spacing w:after="0" w:line="1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11, 2019, we completed the sale of our European chips business for £63, or $77. The pre-tax loss recognized in the first quarter of 2020 on the sale was $64, which included the impact of allocated goodwill and foreign currency translation adjustments. For tax purposes, we were able to use the capital loss on this sale to offset a portion of the capital gain from the sale of the Arnott's and other international operations. The European chips business had net sales of $25 in 2020, $129 in 2019, and $44 in 2018. Earnings from the business, which included a pre-tax impairment charge on intangible assets of $16 recognized in the fourth quarter of 2019, were not material. The results of the European chips business through the date of sale were reflected in continuing operations within the Snacks reportable segment.</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March 26, 2018, we completed the acquisition of Snyder's-Lance, Inc. (Snyder's-Lance) for $50.00 per share. Total consideration was $6,112, which included the payoff of approximately $1,100 of Snyder's-Lance indebtedness. The acquisition was financed through a single draw 3-year senior unsecured term loan facility and the issuance of senior notes. Snyder's-Lance is a snack food company that manufactures, distributes, markets and sells snack food products in North America and Europe. Its primary brands include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Snack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Factory Pretzel Crisps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Pop Secret, Emerald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Late July</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excess of the purchase price over the estimated fair values of identifiable net assets was recorded as $3,006 of goodwill. The goodwill is included in the Snacks segment. In the first quarter of 2019, we made measurement period adjustments to reflect facts and circumstances in existence as of the date of the Snyder's-Lance acquisition. These adjustments included a $134 decrease to indefinite-lived trademarks, a $52 decrease to customer relationships, a $43 decrease to Deferred taxes and a $140 increase to Goodwill.</w:t>
      </w:r>
    </w:p>
    <w:p>
      <w:pPr>
        <w:spacing w:after="0" w:line="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12, 2017, we completed the acquisition of Pacific Foods of Oregon, LLC (Pacific Foods). The purchase price was $688. Pacific Foods produces broth, soups and non-dairy beverages. The excess of the purchase price over the estimated fair values of identifiable net assets was recorded as $202 of goodwill. The goodwill is included in the Meals &amp; Beverages segment.</w:t>
      </w:r>
    </w:p>
    <w:p>
      <w:pPr>
        <w:spacing w:after="0" w:line="41"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In 2019, the acquisition of Snyder's-Lance contributed $2,192 to Net sales. The contribution to Earnings from continuing operations was a loss of $36 including expenses associated with restructuring charges and cost savings initiatives, as well as interest expense on the debt to finance the acquisition.</w:t>
      </w:r>
    </w:p>
    <w:p>
      <w:pPr>
        <w:spacing w:after="0" w:line="2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2018, we recognized transaction costs and integration costs of $102, associated with the Snyder's-Lance acquisition. Approximately $53 represented transactions costs, including bridge financing costs and outside advisory costs, and were recorded in Other expenses / (income). Integration costs included the following:</w:t>
      </w:r>
    </w:p>
    <w:p>
      <w:pPr>
        <w:spacing w:after="0" w:line="5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acquisition date fair value adjustment to inventories of $42 that was recorded in Cost of products sold;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Restructuring charges;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of Administrative expenses;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gain in Interest expense on treasury rate lock contracts used to hedge the planned financing of the acquisition.</w:t>
      </w:r>
    </w:p>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acquisition of Snyder's-Lance contributed $772 to Net sales from March 26, 2018, through July 29, 2018. The contribution to Earnings from continuing operations was a loss of $84 from March 26, 2018, through July 29, 2018, including the effect of the transaction and integration costs, and interest expense on the debt to finance the acquisition.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2019, the acquisition of Pacific Foods contributed $222 to Net sales. The contribution to Earnings from continuing operations was a loss of $12. The acquisition of Pacific Foods contributed $123 to Net sales from December 12, 2017, through July 29, 2018. The contribution to Earnings from continuing operations was a loss of $13 from December 12, 2017, through July 29, 2018.</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unaudited summary information is presented on a consolidated pro forma basis as if the Snyder's-Lance and Pacific Foods acquisitions had occurred on August 1, 2016:</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10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r>
      <w:tr>
        <w:trPr>
          <w:trHeight w:val="243"/>
        </w:trPr>
        <w:tc>
          <w:tcPr>
            <w:tcW w:w="10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7"/>
        </w:trPr>
        <w:tc>
          <w:tcPr>
            <w:tcW w:w="10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per share attributable to Campbell Soup Company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43"/>
        </w:trPr>
        <w:tc>
          <w:tcPr>
            <w:tcW w:w="10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per share attributable to Campbell Soup Company - assuming dilution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bl>
    <w:p>
      <w:pPr>
        <w:spacing w:after="0" w:line="1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 forma amounts include additional interest expense on the debt issued to finance the purchases, amortization and depreciation expense based on the estimated fair value and useful lives of intangible assets and plant assets, and related tax effects. The pro forma results are not necessarily indicative of the combined results had the Snyder's-Lance and Pacific Foods acquisitions been completed on August 1, 2016, nor are they indicative of future combined results.</w:t>
      </w:r>
    </w:p>
    <w:p>
      <w:pPr>
        <w:spacing w:after="0" w:line="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the acquisition of Snyder's-Lance, we acquired an investment in Yellow Chips Holdings B.V. (Yellow Chips), and accounted for the investment under the equity method of accounting. On October 30, 2018, we purchased the remaining ownership interest in Yellow Chips, and began consolidating the business. The purchase price was $18. The pro forma results for 2019 and 2018 were not material. This business was subsequently sold on October 11, 2019. See Note 3 for additional information.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5. Accumulated Other Comprehensive Income (Loss)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5"/>
                <w:szCs w:val="15"/>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(Losses) on</w:t>
            </w: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20" w:type="dxa"/>
            <w:vAlign w:val="bottom"/>
          </w:tcPr>
          <w:p>
            <w:pPr>
              <w:spacing w:after="0"/>
              <w:rPr>
                <w:sz w:val="15"/>
                <w:szCs w:val="15"/>
                <w:color w:val="auto"/>
              </w:rPr>
            </w:pPr>
          </w:p>
        </w:tc>
        <w:tc>
          <w:tcPr>
            <w:tcW w:w="13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20" w:type="dxa"/>
            <w:vAlign w:val="bottom"/>
          </w:tcPr>
          <w:p>
            <w:pPr>
              <w:spacing w:after="0"/>
              <w:rPr>
                <w:sz w:val="11"/>
                <w:szCs w:val="11"/>
                <w:color w:val="auto"/>
              </w:rPr>
            </w:pPr>
          </w:p>
        </w:tc>
        <w:tc>
          <w:tcPr>
            <w:tcW w:w="134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9"/>
                <w:szCs w:val="9"/>
                <w:b w:val="1"/>
                <w:bCs w:val="1"/>
                <w:color w:val="auto"/>
              </w:rPr>
              <w:t>(1)</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 Flow Hedges</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 Adjustments</w:t>
            </w:r>
            <w:r>
              <w:rPr>
                <w:rFonts w:ascii="Times New Roman" w:cs="Times New Roman" w:eastAsia="Times New Roman" w:hAnsi="Times New Roman"/>
                <w:sz w:val="9"/>
                <w:szCs w:val="9"/>
                <w:b w:val="1"/>
                <w:bCs w:val="1"/>
                <w:color w:val="auto"/>
              </w:rPr>
              <w:t>(3)</w:t>
            </w:r>
          </w:p>
        </w:tc>
        <w:tc>
          <w:tcPr>
            <w:tcW w:w="120" w:type="dxa"/>
            <w:vAlign w:val="bottom"/>
          </w:tcPr>
          <w:p>
            <w:pPr>
              <w:spacing w:after="0"/>
              <w:rPr>
                <w:sz w:val="16"/>
                <w:szCs w:val="16"/>
                <w:color w:val="auto"/>
              </w:rPr>
            </w:pPr>
          </w:p>
        </w:tc>
        <w:tc>
          <w:tcPr>
            <w:tcW w:w="13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63"/>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30, 2017</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7"/>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29,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64"/>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effect of a change in accounting principle</w:t>
            </w:r>
            <w:r>
              <w:rPr>
                <w:rFonts w:ascii="Times New Roman" w:cs="Times New Roman" w:eastAsia="Times New Roman" w:hAnsi="Times New Roman"/>
                <w:sz w:val="23"/>
                <w:szCs w:val="23"/>
                <w:color w:val="auto"/>
                <w:vertAlign w:val="superscript"/>
              </w:rPr>
              <w:t>(4)</w:t>
            </w: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75"/>
        </w:trPr>
        <w:tc>
          <w:tcPr>
            <w:tcW w:w="51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1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income (loss)</w:t>
            </w:r>
            <w:r>
              <w:rPr>
                <w:rFonts w:ascii="Times New Roman" w:cs="Times New Roman" w:eastAsia="Times New Roman" w:hAnsi="Times New Roman"/>
                <w:sz w:val="23"/>
                <w:szCs w:val="23"/>
                <w:color w:val="auto"/>
                <w:vertAlign w:val="superscript"/>
              </w:rPr>
              <w:t>(5)</w:t>
            </w: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July 28, 2019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6"/>
        </w:trPr>
        <w:tc>
          <w:tcPr>
            <w:tcW w:w="51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Amounts reclassified from accumulated other comprehensive</w:t>
            </w: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0" w:type="dxa"/>
            <w:vAlign w:val="bottom"/>
          </w:tcPr>
          <w:p>
            <w:pPr>
              <w:spacing w:after="0"/>
              <w:rPr>
                <w:sz w:val="1"/>
                <w:szCs w:val="1"/>
                <w:color w:val="auto"/>
              </w:rPr>
            </w:pPr>
          </w:p>
        </w:tc>
      </w:tr>
      <w:tr>
        <w:trPr>
          <w:trHeight w:val="229"/>
        </w:trPr>
        <w:tc>
          <w:tcPr>
            <w:tcW w:w="51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b w:val="1"/>
                <w:bCs w:val="1"/>
                <w:color w:val="auto"/>
              </w:rPr>
              <w:t>income (loss)</w:t>
            </w:r>
            <w:r>
              <w:rPr>
                <w:rFonts w:ascii="Times New Roman" w:cs="Times New Roman" w:eastAsia="Times New Roman" w:hAnsi="Times New Roman"/>
                <w:sz w:val="23"/>
                <w:szCs w:val="23"/>
                <w:b w:val="1"/>
                <w:bCs w:val="1"/>
                <w:color w:val="auto"/>
                <w:vertAlign w:val="superscript"/>
              </w:rPr>
              <w:t>(5)</w:t>
            </w: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0" w:type="dxa"/>
            <w:vAlign w:val="bottom"/>
          </w:tcPr>
          <w:p>
            <w:pPr>
              <w:spacing w:after="0"/>
              <w:rPr>
                <w:sz w:val="1"/>
                <w:szCs w:val="1"/>
                <w:color w:val="auto"/>
              </w:rPr>
            </w:pPr>
          </w:p>
        </w:tc>
      </w:tr>
      <w:tr>
        <w:trPr>
          <w:trHeight w:val="26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August 2, 2020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ind w:left="320" w:hanging="312"/>
        <w:spacing w:after="0" w:line="222" w:lineRule="auto"/>
        <w:tabs>
          <w:tab w:leader="none" w:pos="32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August 2, 2020, a tax expense of $4 as of July 28, 2019, and $6 as of July 29, 2018, and July 31, 2017.</w:t>
      </w:r>
    </w:p>
    <w:p>
      <w:pPr>
        <w:ind w:left="320" w:hanging="312"/>
        <w:spacing w:after="0" w:line="183" w:lineRule="auto"/>
        <w:tabs>
          <w:tab w:leader="none" w:pos="320"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Included a tax benefit of $1 as of August 2, 2020, $2 as of July 28, 2019, $4 as of July 29, 2018, and $12 as of July 31, 2017.</w:t>
      </w:r>
    </w:p>
    <w:p>
      <w:pPr>
        <w:ind w:left="320" w:hanging="312"/>
        <w:spacing w:after="0" w:line="183" w:lineRule="auto"/>
        <w:tabs>
          <w:tab w:leader="none" w:pos="320"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Included a tax expense of $2 as of August 2, 2020, $8 as of July 28, 2019, $25 as of July 29, 2018, and $30 as of July 31, 2017.</w:t>
      </w:r>
    </w:p>
    <w:p>
      <w:pPr>
        <w:ind w:left="320" w:hanging="312"/>
        <w:spacing w:after="0" w:line="183" w:lineRule="auto"/>
        <w:tabs>
          <w:tab w:leader="none" w:pos="320"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Reflects the adoption of the FASB guidance on stranded tax effects. See Note 2 for additional information.</w:t>
      </w:r>
    </w:p>
    <w:p>
      <w:pPr>
        <w:ind w:left="340" w:right="4380" w:hanging="332"/>
        <w:spacing w:after="0" w:line="270" w:lineRule="auto"/>
        <w:tabs>
          <w:tab w:leader="none" w:pos="32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reclassification from sale of businesses. See Note 3 for additional information. Amounts related to noncontrolling interests were not material.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 Income (Loss)</w:t>
            </w:r>
          </w:p>
        </w:tc>
        <w:tc>
          <w:tcPr>
            <w:tcW w:w="280" w:type="dxa"/>
            <w:vAlign w:val="bottom"/>
          </w:tcPr>
          <w:p>
            <w:pPr>
              <w:spacing w:after="0"/>
              <w:rPr>
                <w:sz w:val="13"/>
                <w:szCs w:val="13"/>
                <w:color w:val="auto"/>
              </w:rPr>
            </w:pPr>
          </w:p>
        </w:tc>
        <w:tc>
          <w:tcPr>
            <w:tcW w:w="8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Loss Recognized in</w:t>
            </w:r>
          </w:p>
        </w:tc>
        <w:tc>
          <w:tcPr>
            <w:tcW w:w="0" w:type="dxa"/>
            <w:vAlign w:val="bottom"/>
          </w:tcPr>
          <w:p>
            <w:pPr>
              <w:spacing w:after="0"/>
              <w:rPr>
                <w:sz w:val="1"/>
                <w:szCs w:val="1"/>
                <w:color w:val="auto"/>
              </w:rPr>
            </w:pPr>
          </w:p>
        </w:tc>
      </w:tr>
      <w:tr>
        <w:trPr>
          <w:trHeight w:val="19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Currency translation (gains) losses realized upon disposal of</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businesses</w:t>
            </w:r>
          </w:p>
        </w:tc>
        <w:tc>
          <w:tcPr>
            <w:tcW w:w="2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Other expenses / (income)</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Currency translation (gains) losses realized upon disposal of</w:t>
            </w:r>
          </w:p>
        </w:tc>
        <w:tc>
          <w:tcPr>
            <w:tcW w:w="2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w:t>
            </w:r>
          </w:p>
        </w:tc>
        <w:tc>
          <w:tcPr>
            <w:tcW w:w="0" w:type="dxa"/>
            <w:vAlign w:val="bottom"/>
          </w:tcPr>
          <w:p>
            <w:pPr>
              <w:spacing w:after="0"/>
              <w:rPr>
                <w:sz w:val="1"/>
                <w:szCs w:val="1"/>
                <w:color w:val="auto"/>
              </w:rPr>
            </w:pPr>
          </w:p>
        </w:tc>
      </w:tr>
      <w:tr>
        <w:trPr>
          <w:trHeight w:val="261"/>
        </w:trPr>
        <w:tc>
          <w:tcPr>
            <w:tcW w:w="49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businesses</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operations</w:t>
            </w:r>
          </w:p>
        </w:tc>
        <w:tc>
          <w:tcPr>
            <w:tcW w:w="0" w:type="dxa"/>
            <w:vAlign w:val="bottom"/>
          </w:tcPr>
          <w:p>
            <w:pPr>
              <w:spacing w:after="0"/>
              <w:rPr>
                <w:sz w:val="1"/>
                <w:szCs w:val="1"/>
                <w:color w:val="auto"/>
              </w:rPr>
            </w:pPr>
          </w:p>
        </w:tc>
      </w:tr>
      <w:tr>
        <w:trPr>
          <w:trHeight w:val="237"/>
        </w:trPr>
        <w:tc>
          <w:tcPr>
            <w:tcW w:w="4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Total before tax</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30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(Gain) loss, net of tax</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00"/>
          </w:cols>
          <w:pgMar w:left="320" w:top="985" w:right="379" w:bottom="1440" w:gutter="0" w:footer="0" w:header="0"/>
        </w:sectPr>
      </w:pPr>
    </w:p>
    <w:p>
      <w:pPr>
        <w:ind w:left="120" w:hanging="102"/>
        <w:spacing w:after="0" w:line="328" w:lineRule="auto"/>
        <w:rPr>
          <w:sz w:val="20"/>
          <w:szCs w:val="20"/>
          <w:color w:val="auto"/>
        </w:rPr>
      </w:pPr>
      <w:r>
        <w:rPr>
          <w:rFonts w:ascii="Times New Roman" w:cs="Times New Roman" w:eastAsia="Times New Roman" w:hAnsi="Times New Roman"/>
          <w:sz w:val="18"/>
          <w:szCs w:val="18"/>
          <w:color w:val="auto"/>
        </w:rPr>
        <w:t>(Gains) losses on cash flow hedges: Foreign exchange forward contracts Foreign exchange forward contracts</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Forward starting interest rate swaps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5</w:t>
            </w: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0" w:type="dxa"/>
            <w:vAlign w:val="bottom"/>
          </w:tcPr>
          <w:p>
            <w:pPr>
              <w:spacing w:after="0"/>
              <w:rPr>
                <w:sz w:val="1"/>
                <w:szCs w:val="1"/>
                <w:color w:val="auto"/>
              </w:rPr>
            </w:pPr>
          </w:p>
        </w:tc>
      </w:tr>
      <w:tr>
        <w:trPr>
          <w:trHeight w:val="252"/>
        </w:trPr>
        <w:tc>
          <w:tcPr>
            <w:tcW w:w="1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Earnings (loss) from discontinued</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5"/>
              </w:rPr>
              <w:t>(4)</w:t>
            </w: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2</w:t>
            </w: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Total before tax</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6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3</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8"/>
              </w:rPr>
              <w:t>Tax expense (benefit)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6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5"/>
              </w:rPr>
              <w:t>(1)</w:t>
            </w: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xml:space="preserve">(Gain) loss, net of tax  </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2</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-1216660</wp:posOffset>
            </wp:positionV>
            <wp:extent cx="710628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-736600</wp:posOffset>
            </wp:positionV>
            <wp:extent cx="710628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-385445</wp:posOffset>
            </wp:positionV>
            <wp:extent cx="710628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-16510</wp:posOffset>
            </wp:positionV>
            <wp:extent cx="710628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500"/>
            <w:col w:w="7980"/>
          </w:cols>
          <w:pgMar w:left="320" w:top="985" w:right="379" w:bottom="1440" w:gutter="0" w:footer="0" w:header="0"/>
          <w:type w:val="continuous"/>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adjustments: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00" w:type="dxa"/>
            <w:vAlign w:val="bottom"/>
            <w:shd w:val="clear" w:color="auto" w:fill="CCEEFF"/>
          </w:tcPr>
          <w:p>
            <w:pPr>
              <w:jc w:val="right"/>
              <w:ind w:right="3310"/>
              <w:spacing w:after="0"/>
              <w:rPr>
                <w:sz w:val="20"/>
                <w:szCs w:val="20"/>
                <w:color w:val="auto"/>
              </w:rPr>
            </w:pPr>
            <w:r>
              <w:rPr>
                <w:rFonts w:ascii="Times New Roman" w:cs="Times New Roman" w:eastAsia="Times New Roman" w:hAnsi="Times New Roman"/>
                <w:sz w:val="18"/>
                <w:szCs w:val="18"/>
                <w:color w:val="auto"/>
              </w:rPr>
              <w:t>Prior service credit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r>
      <w:tr>
        <w:trPr>
          <w:trHeight w:val="243"/>
        </w:trPr>
        <w:tc>
          <w:tcPr>
            <w:tcW w:w="4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Tax expense (benefit)</w:t>
            </w: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760" w:type="dxa"/>
            <w:vAlign w:val="bottom"/>
          </w:tcPr>
          <w:p>
            <w:pPr>
              <w:spacing w:after="0"/>
              <w:rPr>
                <w:sz w:val="21"/>
                <w:szCs w:val="2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r>
      <w:tr>
        <w:trPr>
          <w:trHeight w:val="288"/>
        </w:trPr>
        <w:tc>
          <w:tcPr>
            <w:tcW w:w="4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(Gain) loss, net of tax</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760" w:type="dxa"/>
            <w:vAlign w:val="bottom"/>
            <w:tcBorders>
              <w:bottom w:val="single" w:sz="8" w:color="CCEEFF"/>
            </w:tcBorders>
            <w:shd w:val="clear" w:color="auto" w:fill="CCEEFF"/>
          </w:tcPr>
          <w:p>
            <w:pPr>
              <w:spacing w:after="0"/>
              <w:rPr>
                <w:sz w:val="24"/>
                <w:szCs w:val="24"/>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r>
    </w:tbl>
    <w:p>
      <w:pPr>
        <w:spacing w:after="0" w:line="221" w:lineRule="exact"/>
        <w:rPr>
          <w:sz w:val="20"/>
          <w:szCs w:val="20"/>
          <w:color w:val="auto"/>
        </w:rPr>
      </w:pPr>
    </w:p>
    <w:p>
      <w:pPr>
        <w:ind w:right="8620" w:firstLine="8"/>
        <w:spacing w:after="0" w:line="354" w:lineRule="auto"/>
        <w:tabs>
          <w:tab w:leader="none" w:pos="1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changes in the carrying amount of goodwill by business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6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28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July 29, 2018</w:t>
            </w:r>
          </w:p>
        </w:tc>
        <w:tc>
          <w:tcPr>
            <w:tcW w:w="560" w:type="dxa"/>
            <w:vAlign w:val="bottom"/>
            <w:tcBorders>
              <w:top w:val="single" w:sz="8" w:color="auto"/>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preliminary purchase price allocation</w:t>
            </w:r>
            <w:r>
              <w:rPr>
                <w:rFonts w:ascii="Times New Roman" w:cs="Times New Roman" w:eastAsia="Times New Roman" w:hAnsi="Times New Roman"/>
                <w:sz w:val="23"/>
                <w:szCs w:val="23"/>
                <w:color w:val="auto"/>
                <w:vertAlign w:val="superscript"/>
              </w:rPr>
              <w:t>(1)</w:t>
            </w:r>
          </w:p>
        </w:tc>
        <w:tc>
          <w:tcPr>
            <w:tcW w:w="5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9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July 28, 2019</w:t>
            </w:r>
          </w:p>
        </w:tc>
        <w:tc>
          <w:tcPr>
            <w:tcW w:w="56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Divestiture</w:t>
            </w:r>
            <w:r>
              <w:rPr>
                <w:rFonts w:ascii="Times New Roman" w:cs="Times New Roman" w:eastAsia="Times New Roman" w:hAnsi="Times New Roman"/>
                <w:sz w:val="23"/>
                <w:szCs w:val="23"/>
                <w:b w:val="1"/>
                <w:bCs w:val="1"/>
                <w:color w:val="auto"/>
                <w:vertAlign w:val="superscript"/>
              </w:rPr>
              <w:t>(2)</w:t>
            </w:r>
          </w:p>
        </w:tc>
        <w:tc>
          <w:tcPr>
            <w:tcW w:w="5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August 2, 2020</w:t>
            </w:r>
          </w:p>
        </w:tc>
        <w:tc>
          <w:tcPr>
            <w:tcW w:w="56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3,011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3,986</w:t>
            </w:r>
          </w:p>
        </w:tc>
      </w:tr>
      <w:tr>
        <w:trPr>
          <w:trHeight w:val="27"/>
        </w:trPr>
        <w:tc>
          <w:tcPr>
            <w:tcW w:w="69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60"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4 for additional information.</w:t>
      </w:r>
    </w:p>
    <w:p>
      <w:pPr>
        <w:spacing w:after="0" w:line="1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3 for additional information.</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94"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The following table sets forth balance sheet information for intangible assets, excluding goodwill, subject to amortization and intangible assets not subject to amortization:</w:t>
      </w:r>
    </w:p>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8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8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Non-amortizable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Non-amortizable intangible assets consist of trademarks. As of August 2, 2020, trademarks primarily included $1,978 associated with Snyder's-Lance. Of the carrying value of all indefinite-lived trademarks, $620 related to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trademark, $292 related to the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trademark and $280 related to the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trademark. Other amortizable intangible assets consist of recipes and non-compete agreements.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in Earnings from continuing operations was $43 for 2020, $48 for 2019 and $20 for 2018. As of August 2, 2020, amortizable intangible assets had a weighted-average remaining useful life of 18.1 years. Amortization expense for the next 5 years is estimated to be approximately $42 per year.</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 discontinued operations was $9 for 2019 and $14 for 2018. See Note 3 to the Consolidated Financial Statements for additional information on discontinued operations.</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fourth quarter of 2019, we performed an assessment on the assets within the European chips business and recorded an impairment charge of $16 on customer relationships intangible assets. This business was included in the Snacks segment.</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impairment charge was recorded in Other expenses / (income) in the Consolidated Statements of Earnings.</w:t>
      </w:r>
    </w:p>
    <w:p>
      <w:pPr>
        <w:spacing w:after="0" w:line="1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recorded impairment charges on goodwill and intangible assets included in the 2019 Noncurrent assets of discontinued operations. See Note 3 for additional information.</w:t>
      </w:r>
    </w:p>
    <w:p>
      <w:pPr>
        <w:spacing w:after="0" w:line="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54" w:lineRule="exact"/>
        <w:rPr>
          <w:sz w:val="20"/>
          <w:szCs w:val="20"/>
          <w:color w:val="auto"/>
        </w:rPr>
      </w:pPr>
    </w:p>
    <w:p>
      <w:pPr>
        <w:ind w:left="340" w:right="7420" w:hanging="332"/>
        <w:spacing w:after="0" w:line="375" w:lineRule="auto"/>
        <w:tabs>
          <w:tab w:leader="none" w:pos="196"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and Geographic Segment Information </w:t>
      </w:r>
      <w:r>
        <w:rPr>
          <w:rFonts w:ascii="Times New Roman" w:cs="Times New Roman" w:eastAsia="Times New Roman" w:hAnsi="Times New Roman"/>
          <w:sz w:val="17"/>
          <w:szCs w:val="17"/>
          <w:color w:val="auto"/>
        </w:rPr>
        <w:t>Our reportable segments are as follows:</w:t>
      </w:r>
    </w:p>
    <w:p>
      <w:pPr>
        <w:jc w:val="both"/>
        <w:ind w:left="660" w:hanging="328"/>
        <w:spacing w:after="0" w:line="261" w:lineRule="auto"/>
        <w:tabs>
          <w:tab w:leader="none" w:pos="65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Meals &amp; Beverages, which includes the retail and foodservice businesses in the U.S. and Canada. The segment includes the following products: </w:t>
      </w:r>
      <w:r>
        <w:rPr>
          <w:rFonts w:ascii="Times New Roman" w:cs="Times New Roman" w:eastAsia="Times New Roman" w:hAnsi="Times New Roman"/>
          <w:sz w:val="18"/>
          <w:szCs w:val="18"/>
          <w:i w:val="1"/>
          <w:iCs w:val="1"/>
          <w:color w:val="auto"/>
        </w:rPr>
        <w:t xml:space="preserve">Campbell’s </w:t>
      </w:r>
      <w:r>
        <w:rPr>
          <w:rFonts w:ascii="Times New Roman" w:cs="Times New Roman" w:eastAsia="Times New Roman" w:hAnsi="Times New Roman"/>
          <w:sz w:val="18"/>
          <w:szCs w:val="18"/>
          <w:color w:val="auto"/>
        </w:rPr>
        <w:t>condensed and ready-to-serve soups;</w:t>
      </w:r>
      <w:r>
        <w:rPr>
          <w:rFonts w:ascii="Times New Roman" w:cs="Times New Roman" w:eastAsia="Times New Roman" w:hAnsi="Times New Roman"/>
          <w:sz w:val="18"/>
          <w:szCs w:val="18"/>
          <w:i w:val="1"/>
          <w:iCs w:val="1"/>
          <w:color w:val="auto"/>
        </w:rPr>
        <w:t xml:space="preserve"> Swanson </w:t>
      </w:r>
      <w:r>
        <w:rPr>
          <w:rFonts w:ascii="Times New Roman" w:cs="Times New Roman" w:eastAsia="Times New Roman" w:hAnsi="Times New Roman"/>
          <w:sz w:val="18"/>
          <w:szCs w:val="18"/>
          <w:color w:val="auto"/>
        </w:rPr>
        <w:t>broth and stocks;</w:t>
      </w:r>
      <w:r>
        <w:rPr>
          <w:rFonts w:ascii="Times New Roman" w:cs="Times New Roman" w:eastAsia="Times New Roman" w:hAnsi="Times New Roman"/>
          <w:sz w:val="18"/>
          <w:szCs w:val="18"/>
          <w:i w:val="1"/>
          <w:iCs w:val="1"/>
          <w:color w:val="auto"/>
        </w:rPr>
        <w:t xml:space="preserve"> Pacific Foods </w:t>
      </w:r>
      <w:r>
        <w:rPr>
          <w:rFonts w:ascii="Times New Roman" w:cs="Times New Roman" w:eastAsia="Times New Roman" w:hAnsi="Times New Roman"/>
          <w:sz w:val="18"/>
          <w:szCs w:val="18"/>
          <w:color w:val="auto"/>
        </w:rPr>
        <w:t>broth, soups and non-dairy beverages;</w:t>
      </w:r>
      <w:r>
        <w:rPr>
          <w:rFonts w:ascii="Times New Roman" w:cs="Times New Roman" w:eastAsia="Times New Roman" w:hAnsi="Times New Roman"/>
          <w:sz w:val="18"/>
          <w:szCs w:val="18"/>
          <w:i w:val="1"/>
          <w:iCs w:val="1"/>
          <w:color w:val="auto"/>
        </w:rPr>
        <w:t xml:space="preserve"> Prego </w:t>
      </w:r>
      <w:r>
        <w:rPr>
          <w:rFonts w:ascii="Times New Roman" w:cs="Times New Roman" w:eastAsia="Times New Roman" w:hAnsi="Times New Roman"/>
          <w:sz w:val="18"/>
          <w:szCs w:val="18"/>
          <w:color w:val="auto"/>
        </w:rPr>
        <w:t>pasta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pasta,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Plum</w:t>
      </w:r>
      <w:r>
        <w:rPr>
          <w:rFonts w:ascii="Times New Roman" w:cs="Times New Roman" w:eastAsia="Times New Roman" w:hAnsi="Times New Roman"/>
          <w:sz w:val="18"/>
          <w:szCs w:val="18"/>
          <w:color w:val="auto"/>
        </w:rPr>
        <w:t xml:space="preserve"> baby food and snacks;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and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w:t>
      </w:r>
    </w:p>
    <w:p>
      <w:pPr>
        <w:spacing w:after="0" w:line="5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Snacks, which consists of Pepperidge Farm cookies, crackers, fresh bakery and frozen products in U.S. retail, including </w:t>
      </w:r>
      <w:r>
        <w:rPr>
          <w:rFonts w:ascii="Times New Roman" w:cs="Times New Roman" w:eastAsia="Times New Roman" w:hAnsi="Times New Roman"/>
          <w:sz w:val="18"/>
          <w:szCs w:val="18"/>
          <w:i w:val="1"/>
          <w:iCs w:val="1"/>
          <w:color w:val="auto"/>
        </w:rPr>
        <w:t>Milano</w:t>
      </w:r>
      <w:r>
        <w:rPr>
          <w:rFonts w:ascii="Times New Roman" w:cs="Times New Roman" w:eastAsia="Times New Roman" w:hAnsi="Times New Roman"/>
          <w:sz w:val="18"/>
          <w:szCs w:val="18"/>
          <w:color w:val="auto"/>
        </w:rPr>
        <w:t xml:space="preserve"> cookies and </w:t>
      </w:r>
      <w:r>
        <w:rPr>
          <w:rFonts w:ascii="Times New Roman" w:cs="Times New Roman" w:eastAsia="Times New Roman" w:hAnsi="Times New Roman"/>
          <w:sz w:val="18"/>
          <w:szCs w:val="18"/>
          <w:i w:val="1"/>
          <w:iCs w:val="1"/>
          <w:color w:val="auto"/>
        </w:rPr>
        <w:t xml:space="preserve">Goldfish </w:t>
      </w:r>
      <w:r>
        <w:rPr>
          <w:rFonts w:ascii="Times New Roman" w:cs="Times New Roman" w:eastAsia="Times New Roman" w:hAnsi="Times New Roman"/>
          <w:sz w:val="18"/>
          <w:szCs w:val="18"/>
          <w:color w:val="auto"/>
        </w:rPr>
        <w:t>crackers; and</w:t>
      </w:r>
      <w:r>
        <w:rPr>
          <w:rFonts w:ascii="Times New Roman" w:cs="Times New Roman" w:eastAsia="Times New Roman" w:hAnsi="Times New Roman"/>
          <w:sz w:val="18"/>
          <w:szCs w:val="18"/>
          <w:i w:val="1"/>
          <w:iCs w:val="1"/>
          <w:color w:val="auto"/>
        </w:rPr>
        <w:t xml:space="preserve"> Snyder’s of Hanover </w:t>
      </w:r>
      <w:r>
        <w:rPr>
          <w:rFonts w:ascii="Times New Roman" w:cs="Times New Roman" w:eastAsia="Times New Roman" w:hAnsi="Times New Roman"/>
          <w:sz w:val="18"/>
          <w:szCs w:val="18"/>
          <w:color w:val="auto"/>
        </w:rPr>
        <w:t>pretzels,</w:t>
      </w:r>
      <w:r>
        <w:rPr>
          <w:rFonts w:ascii="Times New Roman" w:cs="Times New Roman" w:eastAsia="Times New Roman" w:hAnsi="Times New Roman"/>
          <w:sz w:val="18"/>
          <w:szCs w:val="18"/>
          <w:i w:val="1"/>
          <w:iCs w:val="1"/>
          <w:color w:val="auto"/>
        </w:rPr>
        <w:t xml:space="preserve"> Lance </w:t>
      </w:r>
      <w:r>
        <w:rPr>
          <w:rFonts w:ascii="Times New Roman" w:cs="Times New Roman" w:eastAsia="Times New Roman" w:hAnsi="Times New Roman"/>
          <w:sz w:val="18"/>
          <w:szCs w:val="18"/>
          <w:color w:val="auto"/>
        </w:rPr>
        <w:t>sandwich crackers,</w:t>
      </w:r>
      <w:r>
        <w:rPr>
          <w:rFonts w:ascii="Times New Roman" w:cs="Times New Roman" w:eastAsia="Times New Roman" w:hAnsi="Times New Roman"/>
          <w:sz w:val="18"/>
          <w:szCs w:val="18"/>
          <w:i w:val="1"/>
          <w:iCs w:val="1"/>
          <w:color w:val="auto"/>
        </w:rPr>
        <w:t xml:space="preserve"> Cape Cod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Kettle Brand </w:t>
      </w:r>
      <w:r>
        <w:rPr>
          <w:rFonts w:ascii="Times New Roman" w:cs="Times New Roman" w:eastAsia="Times New Roman" w:hAnsi="Times New Roman"/>
          <w:sz w:val="18"/>
          <w:szCs w:val="18"/>
          <w:color w:val="auto"/>
        </w:rPr>
        <w:t>potato chips,</w:t>
      </w:r>
      <w:r>
        <w:rPr>
          <w:rFonts w:ascii="Times New Roman" w:cs="Times New Roman" w:eastAsia="Times New Roman" w:hAnsi="Times New Roman"/>
          <w:sz w:val="18"/>
          <w:szCs w:val="18"/>
          <w:i w:val="1"/>
          <w:iCs w:val="1"/>
          <w:color w:val="auto"/>
        </w:rPr>
        <w:t xml:space="preserve"> Late July </w:t>
      </w:r>
      <w:r>
        <w:rPr>
          <w:rFonts w:ascii="Times New Roman" w:cs="Times New Roman" w:eastAsia="Times New Roman" w:hAnsi="Times New Roman"/>
          <w:sz w:val="18"/>
          <w:szCs w:val="18"/>
          <w:color w:val="auto"/>
        </w:rPr>
        <w:t>snacks,</w:t>
      </w:r>
      <w:r>
        <w:rPr>
          <w:rFonts w:ascii="Times New Roman" w:cs="Times New Roman" w:eastAsia="Times New Roman" w:hAnsi="Times New Roman"/>
          <w:sz w:val="18"/>
          <w:szCs w:val="18"/>
          <w:i w:val="1"/>
          <w:iCs w:val="1"/>
          <w:color w:val="auto"/>
        </w:rPr>
        <w:t xml:space="preserve"> Snack Factory Pretzel Crisps, Pop Secret </w:t>
      </w:r>
      <w:r>
        <w:rPr>
          <w:rFonts w:ascii="Times New Roman" w:cs="Times New Roman" w:eastAsia="Times New Roman" w:hAnsi="Times New Roman"/>
          <w:sz w:val="18"/>
          <w:szCs w:val="18"/>
          <w:color w:val="auto"/>
        </w:rPr>
        <w:t>popcorn,</w:t>
      </w:r>
      <w:r>
        <w:rPr>
          <w:rFonts w:ascii="Times New Roman" w:cs="Times New Roman" w:eastAsia="Times New Roman" w:hAnsi="Times New Roman"/>
          <w:sz w:val="18"/>
          <w:szCs w:val="18"/>
          <w:i w:val="1"/>
          <w:iCs w:val="1"/>
          <w:color w:val="auto"/>
        </w:rPr>
        <w:t xml:space="preserve"> Emerald </w:t>
      </w:r>
      <w:r>
        <w:rPr>
          <w:rFonts w:ascii="Times New Roman" w:cs="Times New Roman" w:eastAsia="Times New Roman" w:hAnsi="Times New Roman"/>
          <w:sz w:val="18"/>
          <w:szCs w:val="18"/>
          <w:color w:val="auto"/>
        </w:rPr>
        <w:t>nuts, and other snacking products in the U.S. and Canada. The segment includes the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in Latin America. The segment also includes the results of our European chips business, which was sold on October 11, 2019.</w:t>
      </w:r>
    </w:p>
    <w:p>
      <w:pPr>
        <w:spacing w:after="0" w:line="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Through the fourth quarter of 2019, our retail business in Latin America was managed as part of the Meals &amp; Beverages segment. Beginning in 2020, it is managed as part of the Snacks segment. Segment results have been adjusted retrospectively to reflect this change.</w:t>
      </w:r>
    </w:p>
    <w:p>
      <w:pPr>
        <w:spacing w:after="0" w:line="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evaluate segment performance before interest, taxes and costs associated with restructuring activities and impairment charges.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 Therefore, only geographic segment asset information is provided.</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largest customer, Wal-Mart Stores, Inc. and its affiliates, accounted for approximately 21% of consolidated net sales from continuing operations in 2020, 20% in 2019, and 22% in 2018. The Kroger Co. and its affiliates accounted for approximately 9% of consolidated net sales from continuing operations in 2020 and 2019, and 10% in 2018. Both of our reportable segments sold products to Wal-Mart Stores, Inc. or its affiliates and The Kroger Co. or its affiliates.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CCEEFF"/>
            </w:tcBorders>
          </w:tcPr>
          <w:p>
            <w:pPr>
              <w:spacing w:after="0"/>
              <w:rPr>
                <w:sz w:val="16"/>
                <w:szCs w:val="16"/>
                <w:color w:val="auto"/>
              </w:rPr>
            </w:pPr>
          </w:p>
        </w:tc>
        <w:tc>
          <w:tcPr>
            <w:tcW w:w="69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6"/>
                <w:szCs w:val="16"/>
                <w:color w:val="auto"/>
              </w:rPr>
            </w:pPr>
          </w:p>
        </w:tc>
      </w:tr>
      <w:tr>
        <w:trPr>
          <w:trHeight w:val="235"/>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Meals &amp; Beverages</w:t>
            </w:r>
          </w:p>
        </w:tc>
        <w:tc>
          <w:tcPr>
            <w:tcW w:w="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4,646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4,252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Snacks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4,045</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3,854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88"/>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8,691</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8,107</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40" w:type="dxa"/>
            <w:vAlign w:val="bottom"/>
          </w:tcPr>
          <w:p>
            <w:pPr>
              <w:spacing w:after="0"/>
              <w:rPr>
                <w:sz w:val="24"/>
                <w:szCs w:val="24"/>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6"/>
        </w:trPr>
        <w:tc>
          <w:tcPr>
            <w:tcW w:w="40" w:type="dxa"/>
            <w:vAlign w:val="bottom"/>
            <w:tcBorders>
              <w:bottom w:val="single" w:sz="8" w:color="CCEEFF"/>
            </w:tcBorders>
          </w:tcPr>
          <w:p>
            <w:pPr>
              <w:spacing w:after="0"/>
              <w:rPr>
                <w:sz w:val="24"/>
                <w:szCs w:val="24"/>
                <w:color w:val="auto"/>
              </w:rPr>
            </w:pPr>
          </w:p>
        </w:tc>
        <w:tc>
          <w:tcPr>
            <w:tcW w:w="6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24"/>
                <w:szCs w:val="24"/>
                <w:color w:val="auto"/>
              </w:rPr>
            </w:pPr>
          </w:p>
        </w:tc>
      </w:tr>
      <w:tr>
        <w:trPr>
          <w:trHeight w:val="235"/>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Meals &amp; Beverages</w:t>
            </w: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Snacks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Borders>
              <w:left w:val="single" w:sz="8" w:color="CCEEFF"/>
              <w:bottom w:val="single" w:sz="8" w:color="auto"/>
            </w:tcBorders>
            <w:shd w:val="clear" w:color="auto" w:fill="CCEEFF"/>
          </w:tcPr>
          <w:p>
            <w:pPr>
              <w:spacing w:after="0"/>
              <w:rPr>
                <w:sz w:val="23"/>
                <w:szCs w:val="23"/>
                <w:color w:val="auto"/>
              </w:rPr>
            </w:pPr>
          </w:p>
        </w:tc>
      </w:tr>
      <w:tr>
        <w:trPr>
          <w:trHeight w:val="237"/>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
        </w:trPr>
        <w:tc>
          <w:tcPr>
            <w:tcW w:w="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55"/>
        </w:trPr>
        <w:tc>
          <w:tcPr>
            <w:tcW w:w="40" w:type="dxa"/>
            <w:vAlign w:val="bottom"/>
          </w:tcPr>
          <w:p>
            <w:pPr>
              <w:spacing w:after="0"/>
              <w:rPr>
                <w:sz w:val="24"/>
                <w:szCs w:val="24"/>
                <w:color w:val="auto"/>
              </w:rPr>
            </w:pPr>
          </w:p>
        </w:tc>
        <w:tc>
          <w:tcPr>
            <w:tcW w:w="6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24"/>
                <w:szCs w:val="24"/>
                <w:color w:val="auto"/>
              </w:rPr>
            </w:pPr>
          </w:p>
        </w:tc>
      </w:tr>
      <w:tr>
        <w:trPr>
          <w:trHeight w:val="235"/>
        </w:trPr>
        <w:tc>
          <w:tcPr>
            <w:tcW w:w="4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Meals &amp; Beverages</w:t>
            </w:r>
          </w:p>
        </w:tc>
        <w:tc>
          <w:tcPr>
            <w:tcW w:w="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Snacks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Borders>
              <w:left w:val="single" w:sz="8" w:color="CCEEFF"/>
            </w:tcBorders>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r>
              <w:rPr>
                <w:rFonts w:ascii="Times New Roman" w:cs="Times New Roman" w:eastAsia="Times New Roman" w:hAnsi="Times New Roman"/>
                <w:sz w:val="23"/>
                <w:szCs w:val="23"/>
                <w:color w:val="auto"/>
                <w:vertAlign w:val="superscript"/>
              </w:rPr>
              <w:t>(4)</w:t>
            </w:r>
          </w:p>
        </w:tc>
        <w:tc>
          <w:tcPr>
            <w:tcW w:w="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Borders>
              <w:left w:val="single" w:sz="8" w:color="CCEEFF"/>
            </w:tcBorders>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2"/>
        </w:trPr>
        <w:tc>
          <w:tcPr>
            <w:tcW w:w="40" w:type="dxa"/>
            <w:vAlign w:val="bottom"/>
          </w:tcPr>
          <w:p>
            <w:pPr>
              <w:spacing w:after="0"/>
              <w:rPr>
                <w:sz w:val="24"/>
                <w:szCs w:val="24"/>
                <w:color w:val="auto"/>
              </w:rPr>
            </w:pPr>
          </w:p>
        </w:tc>
        <w:tc>
          <w:tcPr>
            <w:tcW w:w="6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24"/>
                <w:szCs w:val="24"/>
                <w:color w:val="auto"/>
              </w:rPr>
            </w:pPr>
          </w:p>
        </w:tc>
      </w:tr>
      <w:tr>
        <w:trPr>
          <w:trHeight w:val="235"/>
        </w:trPr>
        <w:tc>
          <w:tcPr>
            <w:tcW w:w="4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Meals &amp; Beverages</w:t>
            </w:r>
          </w:p>
        </w:tc>
        <w:tc>
          <w:tcPr>
            <w:tcW w:w="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Snacks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Borders>
              <w:left w:val="single" w:sz="8" w:color="CCEEFF"/>
            </w:tcBorders>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Borders>
              <w:left w:val="single" w:sz="8" w:color="CCEEFF"/>
            </w:tcBorders>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63" w:lineRule="exact"/>
        <w:rPr>
          <w:sz w:val="20"/>
          <w:szCs w:val="20"/>
          <w:color w:val="auto"/>
        </w:rPr>
      </w:pPr>
    </w:p>
    <w:p>
      <w:pPr>
        <w:jc w:val="both"/>
        <w:ind w:left="340" w:hanging="332"/>
        <w:spacing w:after="0" w:line="242" w:lineRule="auto"/>
        <w:tabs>
          <w:tab w:leader="none" w:pos="32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unallocated items. Pension and postretirement benefit settlement and mark-to-market adjustments are included in Corporate. There were settlement charges of $43 and losses of $121 in 2020, settlement charges of $28 and losses of $122 in 2019, and gains of $131 in 2018, respectively. A loss of $45 on Acre Venture Partners, L.P. (Acre) was included in 2020. See Note 16 for additional information on Acre. A loss of $64 on the sale of our European chips business was included in 2020. Costs related to the cost savings initiatives were $60, $90 and $135 in 2020, 2019 and 2018, respectively. Transaction and integration costs associated with the acquisition of Snyder's-Lance were $107 in 2018. Intangible asset impairment charges were $16 in 2019 and $54 in 2018. A charge of $22 related to the settlement of a legal claim was included in 2018.</w:t>
      </w:r>
    </w:p>
    <w:p>
      <w:pPr>
        <w:spacing w:after="0" w:line="4"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for additional information.</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5" w:name="page56"/>
    <w:bookmarkEnd w:id="55"/>
    <w:p>
      <w:pPr>
        <w:ind w:left="320" w:hanging="312"/>
        <w:spacing w:after="0"/>
        <w:tabs>
          <w:tab w:leader="none" w:pos="32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primarily corporate offices and enterprise-wide information technology systems.</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are no longer recognized once businesses are classified as held for sale/discontinued operations.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global net sales based on product categories are as follows: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9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Soup</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2,653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7"/>
        </w:trPr>
        <w:tc>
          <w:tcPr>
            <w:tcW w:w="6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Snacks</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4,099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43"/>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simple meals</w:t>
            </w: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1,184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7"/>
        </w:trPr>
        <w:tc>
          <w:tcPr>
            <w:tcW w:w="6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Beverages</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43"/>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9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8,691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202"/>
        <w:spacing w:after="0" w:line="282" w:lineRule="auto"/>
        <w:rPr>
          <w:sz w:val="20"/>
          <w:szCs w:val="20"/>
          <w:color w:val="auto"/>
        </w:rPr>
      </w:pPr>
      <w:r>
        <w:rPr>
          <w:rFonts w:ascii="Times New Roman" w:cs="Times New Roman" w:eastAsia="Times New Roman" w:hAnsi="Times New Roman"/>
          <w:sz w:val="18"/>
          <w:szCs w:val="18"/>
          <w:color w:val="auto"/>
        </w:rPr>
        <w:t>Soup includes various soup, broths and stock products. Snacks include cookies, pretzels, crackers, popcorn, nuts, potato chips, tortilla chips and other salty snacks and baked products. Other simple meals include sauces and Plum products.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Area Information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continuing operations in different geographic areas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CCEEFF"/>
            </w:tcBorders>
          </w:tcPr>
          <w:p>
            <w:pPr>
              <w:spacing w:after="0"/>
              <w:rPr>
                <w:sz w:val="16"/>
                <w:szCs w:val="16"/>
                <w:color w:val="auto"/>
              </w:rPr>
            </w:pPr>
          </w:p>
        </w:tc>
        <w:tc>
          <w:tcPr>
            <w:tcW w:w="69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6"/>
                <w:szCs w:val="16"/>
                <w:color w:val="auto"/>
              </w:rPr>
            </w:pPr>
          </w:p>
        </w:tc>
      </w:tr>
      <w:tr>
        <w:trPr>
          <w:trHeight w:val="235"/>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3"/>
              </w:rPr>
              <w:t>8,165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7,492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countries</w:t>
            </w:r>
          </w:p>
        </w:tc>
        <w:tc>
          <w:tcPr>
            <w:tcW w:w="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Pr>
          <w:p>
            <w:pPr>
              <w:spacing w:after="0"/>
              <w:rPr>
                <w:sz w:val="23"/>
                <w:szCs w:val="23"/>
                <w:color w:val="auto"/>
              </w:rPr>
            </w:pPr>
          </w:p>
        </w:tc>
      </w:tr>
      <w:tr>
        <w:trPr>
          <w:trHeight w:val="237"/>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3"/>
              </w:rPr>
              <w:t>8,691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top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8,107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
        </w:trPr>
        <w:tc>
          <w:tcPr>
            <w:tcW w:w="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2"/>
        </w:trPr>
        <w:tc>
          <w:tcPr>
            <w:tcW w:w="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24"/>
                <w:szCs w:val="24"/>
                <w:color w:val="auto"/>
              </w:rPr>
            </w:pPr>
          </w:p>
        </w:tc>
      </w:tr>
      <w:tr>
        <w:trPr>
          <w:trHeight w:val="235"/>
        </w:trPr>
        <w:tc>
          <w:tcPr>
            <w:tcW w:w="40" w:type="dxa"/>
            <w:vAlign w:val="bottom"/>
          </w:tcPr>
          <w:p>
            <w:pPr>
              <w:spacing w:after="0"/>
              <w:rPr>
                <w:sz w:val="20"/>
                <w:szCs w:val="20"/>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2,361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countries</w:t>
            </w:r>
          </w:p>
        </w:tc>
        <w:tc>
          <w:tcPr>
            <w:tcW w:w="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2,368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2,455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Restructuring Charges and Cost Savings Initiatives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estimates, as well as timing for certain activities, are continuing to be developed.</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pre-tax charges recorded in Earnings from continuing operations related to these initiatives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94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89"/>
        </w:trPr>
        <w:tc>
          <w:tcPr>
            <w:tcW w:w="53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94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61" w:right="33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type w:val="continuous"/>
        </w:sectPr>
      </w:pPr>
    </w:p>
    <w:bookmarkStart w:id="56" w:name="page57"/>
    <w:bookmarkEnd w:id="56"/>
    <w:p>
      <w:pPr>
        <w:ind w:left="340"/>
        <w:spacing w:after="0"/>
        <w:rPr>
          <w:sz w:val="20"/>
          <w:szCs w:val="20"/>
          <w:color w:val="auto"/>
        </w:rPr>
      </w:pPr>
      <w:r>
        <w:rPr>
          <w:rFonts w:ascii="Times New Roman" w:cs="Times New Roman" w:eastAsia="Times New Roman" w:hAnsi="Times New Roman"/>
          <w:sz w:val="18"/>
          <w:szCs w:val="18"/>
          <w:color w:val="auto"/>
        </w:rPr>
        <w:t>A summary of the pre-tax charges recorded in Earnings (loss) from discontinued operations is as follows: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August 2, 2020</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5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60"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$19 of severance pay and benefits and $4 of implementation costs and other related costs.</w:t>
      </w:r>
    </w:p>
    <w:p>
      <w:pPr>
        <w:spacing w:after="0" w:line="82"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As of April 28, 2019, we incurred substantially all of the costs for actions associated with discontinued operations. All of the costs were cash expenditures.</w:t>
      </w:r>
    </w:p>
    <w:p>
      <w:pPr>
        <w:spacing w:after="0" w:line="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pre-tax costs in Earnings from continuing operations associated with the initiatives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Recognized as of</w:t>
            </w:r>
          </w:p>
        </w:tc>
      </w:tr>
      <w:tr>
        <w:trPr>
          <w:trHeight w:val="195"/>
        </w:trPr>
        <w:tc>
          <w:tcPr>
            <w:tcW w:w="9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August 2, 2020</w:t>
            </w:r>
          </w:p>
        </w:tc>
      </w:tr>
      <w:tr>
        <w:trPr>
          <w:trHeight w:val="268"/>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9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6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1"/>
        </w:trPr>
        <w:tc>
          <w:tcPr>
            <w:tcW w:w="9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total estimated pre-tax costs for actions associated with continuing operations that have been identified are approximately $665 to $690 and we expect to incur substantially all of the costs through 2021. This estimate will be updated as costs for the expanded initiatives are developed.</w:t>
      </w:r>
    </w:p>
    <w:p>
      <w:pPr>
        <w:spacing w:after="0" w:line="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the costs for actions associated with continuing operations that have been identified to date to consist of the following: approximately $215 to $220 in severance pay and benefits; approximately $70 in asset impairment and accelerated depreciation; and approximately $380 to $400 in implementation costs and other related costs. We expect these pre-tax costs to be associated with our segments as follows: Meals &amp; Beverages - approximately 33%; Snacks - approximately 42%; and Corporate - approximately 25%.</w:t>
      </w:r>
    </w:p>
    <w:p>
      <w:pPr>
        <w:spacing w:after="0" w:line="4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Of the aggregate $665 to $690 of pre-tax costs associated with continuing operations identified to date, we expect approximately $585 to $610 will be cash expenditures. In addition, we expect to invest approximately $420 in capital expenditures through 2022, of which we invested $336 as of August 2, 2020. The capital expenditures primarily relate to the U.S. warehouse optimization project, improvement of quality, safety and cost structure across the Snyder’s-Lance manufacturing network, implementation of an SAP enterprise-resource planning system for Snyder's-Lance, optimization of information technology infrastructure and applications, transition of production of the Toronto manufacturing facility to our U.S. thermal plants, insourcing of manufacturing for certain simple meal products, and optimization of the Snyder’s-Lance warehouse and distribution network.</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associated with continuing operations at August 2, 2020, is as follows:</w:t>
      </w:r>
    </w:p>
    <w:p>
      <w:pPr>
        <w:sectPr>
          <w:pgSz w:w="11900" w:h="16838" w:orient="portrait"/>
          <w:cols w:equalWidth="0" w:num="1">
            <w:col w:w="11240"/>
          </w:cols>
          <w:pgMar w:left="320" w:top="891" w:right="339" w:bottom="1440" w:gutter="0" w:footer="0" w:header="0"/>
        </w:sectPr>
      </w:pP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08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Severance Pay</w:t>
            </w:r>
          </w:p>
        </w:tc>
        <w:tc>
          <w:tcPr>
            <w:tcW w:w="100" w:type="dxa"/>
            <w:vAlign w:val="bottom"/>
          </w:tcPr>
          <w:p>
            <w:pPr>
              <w:spacing w:after="0"/>
              <w:rPr>
                <w:sz w:val="13"/>
                <w:szCs w:val="13"/>
                <w:color w:val="auto"/>
              </w:rPr>
            </w:pPr>
          </w:p>
        </w:tc>
        <w:tc>
          <w:tcPr>
            <w:tcW w:w="13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0" w:type="dxa"/>
            <w:vAlign w:val="bottom"/>
          </w:tcPr>
          <w:p>
            <w:pPr>
              <w:spacing w:after="0"/>
              <w:rPr>
                <w:sz w:val="1"/>
                <w:szCs w:val="1"/>
                <w:color w:val="auto"/>
              </w:rPr>
            </w:pPr>
          </w:p>
        </w:tc>
      </w:tr>
      <w:tr>
        <w:trPr>
          <w:trHeight w:val="135"/>
        </w:trPr>
        <w:tc>
          <w:tcPr>
            <w:tcW w:w="59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0" w:type="dxa"/>
            <w:vAlign w:val="bottom"/>
          </w:tcPr>
          <w:p>
            <w:pPr>
              <w:spacing w:after="0"/>
              <w:rPr>
                <w:sz w:val="1"/>
                <w:szCs w:val="1"/>
                <w:color w:val="auto"/>
              </w:rPr>
            </w:pPr>
          </w:p>
        </w:tc>
      </w:tr>
      <w:tr>
        <w:trPr>
          <w:trHeight w:val="189"/>
        </w:trPr>
        <w:tc>
          <w:tcPr>
            <w:tcW w:w="5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100" w:type="dxa"/>
            <w:vAlign w:val="bottom"/>
          </w:tcPr>
          <w:p>
            <w:pPr>
              <w:spacing w:after="0"/>
              <w:rPr>
                <w:sz w:val="16"/>
                <w:szCs w:val="16"/>
                <w:color w:val="auto"/>
              </w:rPr>
            </w:pPr>
          </w:p>
        </w:tc>
        <w:tc>
          <w:tcPr>
            <w:tcW w:w="1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Related Costs</w:t>
            </w: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27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balance at July 29, 2018</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2019 charges</w:t>
            </w:r>
          </w:p>
        </w:tc>
        <w:tc>
          <w:tcPr>
            <w:tcW w:w="1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14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0"/>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2019 cash payments</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balance at July 28, 2019</w:t>
            </w:r>
            <w:r>
              <w:rPr>
                <w:rFonts w:ascii="Times New Roman" w:cs="Times New Roman" w:eastAsia="Times New Roman" w:hAnsi="Times New Roman"/>
                <w:sz w:val="23"/>
                <w:szCs w:val="23"/>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2020 charges</w:t>
            </w:r>
          </w:p>
        </w:tc>
        <w:tc>
          <w:tcPr>
            <w:tcW w:w="1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w:t>
            </w:r>
          </w:p>
        </w:tc>
        <w:tc>
          <w:tcPr>
            <w:tcW w:w="14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r>
        <w:trPr>
          <w:trHeight w:val="270"/>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2020 cash payments</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balance at August 2, 2020</w:t>
            </w:r>
            <w:r>
              <w:rPr>
                <w:rFonts w:ascii="Times New Roman" w:cs="Times New Roman" w:eastAsia="Times New Roman" w:hAnsi="Times New Roman"/>
                <w:sz w:val="23"/>
                <w:szCs w:val="23"/>
                <w:b w:val="1"/>
                <w:bCs w:val="1"/>
                <w:color w:val="auto"/>
                <w:vertAlign w:val="superscript"/>
              </w:rPr>
              <w:t>(3)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-1431290</wp:posOffset>
            </wp:positionV>
            <wp:extent cx="713232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33"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$24 of severance pay and benefits recorded in Other liabilities in the Consolidated Balance Sheet.</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$8 of severance pay and benefits recorded in Other liabilities in the Consolidated Balance Sheet.</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$3 of severance pay and benefits recorded in Other liabilities in the Consolidated Balance Sheet.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Impairment/Accelerated</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Charges</w:t>
            </w:r>
          </w:p>
        </w:tc>
        <w:tc>
          <w:tcPr>
            <w:tcW w:w="0" w:type="dxa"/>
            <w:vAlign w:val="bottom"/>
          </w:tcPr>
          <w:p>
            <w:pPr>
              <w:spacing w:after="0"/>
              <w:rPr>
                <w:sz w:val="1"/>
                <w:szCs w:val="1"/>
                <w:color w:val="auto"/>
              </w:rPr>
            </w:pPr>
          </w:p>
        </w:tc>
      </w:tr>
      <w:tr>
        <w:trPr>
          <w:trHeight w:val="195"/>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1"/>
        </w:trPr>
        <w:tc>
          <w:tcPr>
            <w:tcW w:w="15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80"/>
        <w:spacing w:after="0"/>
        <w:tabs>
          <w:tab w:leader="none" w:pos="1660" w:val="left"/>
          <w:tab w:leader="none" w:pos="2360" w:val="left"/>
        </w:tabs>
        <w:rPr>
          <w:sz w:val="20"/>
          <w:szCs w:val="20"/>
          <w:color w:val="auto"/>
        </w:rPr>
      </w:pPr>
      <w:r>
        <w:rPr>
          <w:rFonts w:ascii="Times New Roman" w:cs="Times New Roman" w:eastAsia="Times New Roman" w:hAnsi="Times New Roman"/>
          <w:sz w:val="18"/>
          <w:szCs w:val="18"/>
          <w:b w:val="1"/>
          <w:bCs w:val="1"/>
          <w:color w:val="auto"/>
        </w:rPr>
        <w:t>4</w:t>
        <w:tab/>
        <w:t>$</w:t>
      </w:r>
      <w:r>
        <w:rPr>
          <w:sz w:val="20"/>
          <w:szCs w:val="20"/>
          <w:color w:val="auto"/>
        </w:rPr>
        <w:tab/>
      </w:r>
      <w:r>
        <w:rPr>
          <w:rFonts w:ascii="Times New Roman" w:cs="Times New Roman" w:eastAsia="Times New Roman" w:hAnsi="Times New Roman"/>
          <w:sz w:val="18"/>
          <w:szCs w:val="18"/>
          <w:b w:val="1"/>
          <w:bCs w:val="1"/>
          <w:color w:val="auto"/>
        </w:rPr>
        <w:t>69</w:t>
      </w:r>
    </w:p>
    <w:p>
      <w:pPr>
        <w:spacing w:after="0" w:line="1985" w:lineRule="exact"/>
        <w:rPr>
          <w:sz w:val="20"/>
          <w:szCs w:val="20"/>
          <w:color w:val="auto"/>
        </w:rPr>
      </w:pPr>
    </w:p>
    <w:p>
      <w:pPr>
        <w:sectPr>
          <w:pgSz w:w="11900" w:h="16838" w:orient="portrait"/>
          <w:cols w:equalWidth="0" w:num="2">
            <w:col w:w="8480" w:space="120"/>
            <w:col w:w="2640"/>
          </w:cols>
          <w:pgMar w:left="320" w:top="891"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7" w:name="page58"/>
    <w:bookmarkEnd w:id="57"/>
    <w:p>
      <w:pPr>
        <w:jc w:val="both"/>
        <w:ind w:left="340" w:hanging="332"/>
        <w:spacing w:after="0" w:line="235" w:lineRule="auto"/>
        <w:tabs>
          <w:tab w:leader="none" w:pos="328"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spacing w:after="0" w:line="78"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Restructuring reserves included in Current liabilities of discontinued operations were $1 at July 28, 2019, and $3 at July 29, 2018.</w:t>
      </w:r>
    </w:p>
    <w:p>
      <w:pPr>
        <w:spacing w:after="0" w:line="90"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7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1"/>
        </w:trPr>
        <w:tc>
          <w:tcPr>
            <w:tcW w:w="7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 (EPS)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2020 and 2018 excludes approximately 1 million stock options and for 2019 excludes approximately 2 million stock options that would have been antidilutive.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Noncontrolling Interests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own a 60% controlling interest in a joint venture formed with Swire Pacific Limited in China. We also owned a 99.8% interest in Acre, a limited partnership formed to make venture capital investments in innovative new companies in food and food-related industries. This business was sold in May 2020. See Note 16 for additional information.</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March 26, 2018, we acquired Snyder's-Lance, including an 80% interest in one of its subsidiaries. In April 2018, we purchased the remaining 20% interest for $47.</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and Postretirement Benefits</w:t>
      </w:r>
    </w:p>
    <w:p>
      <w:pPr>
        <w:spacing w:after="0" w:line="1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Pension Benefits — </w:t>
      </w:r>
      <w:r>
        <w:rPr>
          <w:rFonts w:ascii="Times New Roman" w:cs="Times New Roman" w:eastAsia="Times New Roman" w:hAnsi="Times New Roman"/>
          <w:sz w:val="18"/>
          <w:szCs w:val="18"/>
          <w:color w:val="auto"/>
        </w:rPr>
        <w:t>We sponsor a number of noncontributory defined benefit pension plans to provide retirement benefits to eligible U.S. and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The benefits provided under these plans are based primarily on years of service and compensation levels. Benefits are paid from funds previously provided to trustees or are paid directly by us from general funds. In 1999, we implemented significant amendments to certain U.S. pension plans. Under a new formula, retirement benefits are determined based on percentages of annual pay and age. To minimize the impact of converting to the new formula, service and earnings credit continued to accrue for fifteen years for certain active employees participating in the plans under the old formula prior to the amendments. Employees will receive the benefit from either the new or old formula, whichever is higher. Effective as of January 1, 2011, our U.S. pension plans were amended so that employees hired or rehired on or after that date and who are not covered by collective bargaining agreements will not be eligible to participate in the plans. All collective bargaining units adopted this amendment by December 31, 2011.</w:t>
      </w:r>
    </w:p>
    <w:p>
      <w:pPr>
        <w:spacing w:after="0" w:line="6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Postretirement Benefits — </w:t>
      </w:r>
      <w:r>
        <w:rPr>
          <w:rFonts w:ascii="Times New Roman" w:cs="Times New Roman" w:eastAsia="Times New Roman" w:hAnsi="Times New Roman"/>
          <w:sz w:val="18"/>
          <w:szCs w:val="18"/>
          <w:color w:val="auto"/>
        </w:rPr>
        <w:t>We provide postretirement benefits, including health care and life insurance, to substantially all retired U.S. employees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dependents. We established retiree medical account benefits for eligible U.S. retirees. The accounts were intended to provide reimbursement for eligible health care expenses on a tax-favored basis. Effective as of January 1, 2011, the retirement medical program was amended to eliminate the retiree medical account benefit for employees not covered by collective bargaining agreements. To preserve the benefit for employees close to retirement age, the retiree medical account will be available to employees who were at least age 50 with at least 10 years of service as of December 31, 2010, and who satisfy the other eligibility requirements for the retiree medical program. In July 2016, the retirement medical program was amended and effective as of January 1, 2017, we no longer sponsor our own medical coverage for certain Medicare-eligible retirees. In July 2017, the retirement medical program was once again amended and beginning on January 1, 2018, we no longer sponsor our own medical coverage for certain Medicare-eligible retirees covered by one of our collective bargaining agreements. In July 2018, the retirement medical program was once again amended and beginning on January 1, 2019, we no longer sponsor our own medical coverage for certain Medicare-eligible retirees covered by our remaining collective bargaining agreement. Instead, in connection with these amendments, we offer these Medicare-eligible retirees access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to health care coverage through a private exchange and offer a health reimbursement account to subsidize benefits for a select group of such retirees.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use the fiscal year end as the measurement date for the benefit plans.</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Components of net benefit expense (income)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70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7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84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84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 gains</w:t>
            </w:r>
          </w:p>
        </w:tc>
        <w:tc>
          <w:tcPr>
            <w:tcW w:w="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charges</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expense (income)</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expense (income) other than the service cost component associated with continuing operations are included in Other expenses / (income) in the Consolidated Statements of Earnings.</w:t>
      </w:r>
    </w:p>
    <w:p>
      <w:pPr>
        <w:spacing w:after="0" w:line="4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settlement charges of $43 in 2020 resulted from the level of lump sum distributions associated with a U.S. pension plan and a Canadian pension plan. The settlement charge of $28 in 2019 resulted from the level of lump sum distributions associated with a U.S. pension plan.</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special termination benefits of $2 related to the planned closure of the manufacturing facility in Toronto, Ontario, and were included in Restructuring charges.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periodic benefit expense (income) associated with discontinued operations was not material in 2020, $13 in 2019, and ($4) in 2018.</w:t>
      </w:r>
    </w:p>
    <w:p>
      <w:pPr>
        <w:spacing w:after="0" w:line="10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Beginning in 2018, we changed the method we use to estimate the service and interest cost components of net periodic benefit expense (income). We elected to use a full yield curve approach to estimate service cost and interest cost by applying the specific spot rates along the yield curve used to determine the benefit obligation of the relevant projected cash flows. Previously, we estimated service cost and interest cost using a single weighted-average discount rate derived from the yield curve used to measure the benefit obligation at the beginning of the period. We made this change to provide a more precise measurement of service cost and interest cost by improving the correlation between projected benefit cash flows and the corresponding spot yield curve rates. This change does not affect the measurement of our benefit obligations. We accounted for this change prospectively in 2018 as a change in accounting estimate. As a result of this change, net periodic benefit income increased by approximately $17 in 2018, compared to what the net periodic benefit income would have been under the previous method.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6"/>
        </w:trPr>
        <w:tc>
          <w:tcPr>
            <w:tcW w:w="7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7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8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expense (income)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expense (income) other than the service cost component associated with continuing operations are included in Other expenses / (income) in the Consolidated Statements of Earnings.</w:t>
      </w:r>
    </w:p>
    <w:p>
      <w:pPr>
        <w:spacing w:after="0" w:line="4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estimated prior service credit that will be amortized from Accumulated other comprehensive loss into net periodic postretirement expense during 2021 is $5. The prior service credit is primarily related to the amendments in July 2016, July 2017, and July 2018.</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 in benefit obligation:</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 at beginning of year</w:t>
            </w: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3"/>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8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 (gain)</w:t>
            </w:r>
          </w:p>
        </w:tc>
        <w:tc>
          <w:tcPr>
            <w:tcW w:w="78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237</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7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 subsidies</w:t>
            </w:r>
          </w:p>
        </w:tc>
        <w:tc>
          <w:tcPr>
            <w:tcW w:w="7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adjustment</w:t>
            </w:r>
          </w:p>
        </w:tc>
        <w:tc>
          <w:tcPr>
            <w:tcW w:w="7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3"/>
              </w:rPr>
              <w:t>2,366</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2,345</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 in the fair value of pension plan assets: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7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71995"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71995" cy="17970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Fair value at beginning of year</w:t>
      </w:r>
    </w:p>
    <w:p>
      <w:pPr>
        <w:spacing w:after="0" w:line="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Actual return on plan assets</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Employer contributions</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Benefits paid</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Settlements</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Divestitures</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Foreign currency adjustment</w:t>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Fair value at end of year</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Net amounts recognized in the Consolidated Balance Sheets: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1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2,153</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2,154</w:t>
            </w:r>
          </w:p>
        </w:tc>
      </w:tr>
      <w:tr>
        <w:trPr>
          <w:trHeight w:val="270"/>
        </w:trPr>
        <w:tc>
          <w:tcPr>
            <w:tcW w:w="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230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r>
      <w:tr>
        <w:trPr>
          <w:trHeight w:val="270"/>
        </w:trPr>
        <w:tc>
          <w:tcPr>
            <w:tcW w:w="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70"/>
        </w:trPr>
        <w:tc>
          <w:tcPr>
            <w:tcW w:w="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spacing w:after="0"/>
              <w:rPr>
                <w:sz w:val="20"/>
                <w:szCs w:val="20"/>
                <w:color w:val="auto"/>
              </w:rPr>
            </w:pPr>
          </w:p>
        </w:tc>
        <w:tc>
          <w:tcPr>
            <w:tcW w:w="21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2,120</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2,153</w:t>
            </w:r>
          </w:p>
        </w:tc>
      </w:tr>
      <w:tr>
        <w:trPr>
          <w:trHeight w:val="27"/>
        </w:trPr>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15"/>
        </w:trPr>
        <w:tc>
          <w:tcPr>
            <w:tcW w:w="980" w:type="dxa"/>
            <w:vAlign w:val="bottom"/>
          </w:tcPr>
          <w:p>
            <w:pPr>
              <w:spacing w:after="0"/>
              <w:rPr>
                <w:sz w:val="24"/>
                <w:szCs w:val="24"/>
                <w:color w:val="auto"/>
              </w:rPr>
            </w:pPr>
          </w:p>
        </w:tc>
        <w:tc>
          <w:tcPr>
            <w:tcW w:w="2180" w:type="dxa"/>
            <w:vAlign w:val="bottom"/>
            <w:gridSpan w:val="4"/>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880" w:type="dxa"/>
            <w:vAlign w:val="bottom"/>
          </w:tcPr>
          <w:p>
            <w:pPr>
              <w:spacing w:after="0"/>
              <w:rPr>
                <w:sz w:val="24"/>
                <w:szCs w:val="24"/>
                <w:color w:val="auto"/>
              </w:rPr>
            </w:pPr>
          </w:p>
        </w:tc>
      </w:tr>
      <w:tr>
        <w:trPr>
          <w:trHeight w:val="191"/>
        </w:trPr>
        <w:tc>
          <w:tcPr>
            <w:tcW w:w="9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7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-1536065</wp:posOffset>
            </wp:positionV>
            <wp:extent cx="707199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-1193165</wp:posOffset>
            </wp:positionV>
            <wp:extent cx="707199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-850265</wp:posOffset>
            </wp:positionV>
            <wp:extent cx="707199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40" w:space="720"/>
            <w:col w:w="5680"/>
          </w:cols>
          <w:pgMar w:left="320" w:top="887" w:right="339" w:bottom="1440" w:gutter="0" w:footer="0" w:header="0"/>
          <w:type w:val="continuous"/>
        </w:sectPr>
      </w:pPr>
    </w:p>
    <w:tbl>
      <w:tblPr>
        <w:tblLayout w:type="fixed"/>
        <w:tblInd w:w="40" w:type="dxa"/>
        <w:tblCellMar>
          <w:top w:w="0" w:type="dxa"/>
          <w:left w:w="0" w:type="dxa"/>
          <w:bottom w:w="0" w:type="dxa"/>
          <w:right w:w="0" w:type="dxa"/>
        </w:tblCellMar>
      </w:tblPr>
      <w:tr>
        <w:trPr>
          <w:trHeight w:val="273"/>
        </w:trPr>
        <w:tc>
          <w:tcPr>
            <w:tcW w:w="20" w:type="dxa"/>
            <w:vAlign w:val="bottom"/>
          </w:tcPr>
          <w:p>
            <w:pPr>
              <w:spacing w:after="0"/>
              <w:rPr>
                <w:sz w:val="23"/>
                <w:szCs w:val="23"/>
                <w:color w:val="auto"/>
              </w:rPr>
            </w:pPr>
          </w:p>
        </w:tc>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amounts recognized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 (loss)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5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consist of:</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5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amounts recognized in accumulated other comprehensive income (loss) associated with postretirement benefits was due to amortization in 2020.</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for pension plans with accumulated benefit obligations in excess of plan assets: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7"/>
        </w:trPr>
        <w:tc>
          <w:tcPr>
            <w:tcW w:w="8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accumulated benefit obligation for all pension plans was $2,338 at August 2, 2020, and $2,317 at July 28, 2019.</w:t>
      </w:r>
    </w:p>
    <w:p>
      <w:pPr>
        <w:sectPr>
          <w:pgSz w:w="11900" w:h="16838" w:orient="portrait"/>
          <w:cols w:equalWidth="0" w:num="1">
            <w:col w:w="11240"/>
          </w:cols>
          <w:pgMar w:left="320" w:top="887"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0" w:name="page61"/>
    <w:bookmarkEnd w:id="60"/>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Weighted-average assumptions used to determine benefit obligations at the end of the year:</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1680" w:type="dxa"/>
            <w:vAlign w:val="bottom"/>
            <w:tcBorders>
              <w:bottom w:val="single" w:sz="8" w:color="auto"/>
            </w:tcBorders>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196"/>
        </w:trPr>
        <w:tc>
          <w:tcPr>
            <w:tcW w:w="55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2.47%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155"/>
              <w:spacing w:after="0"/>
              <w:rPr>
                <w:sz w:val="20"/>
                <w:szCs w:val="20"/>
                <w:color w:val="auto"/>
              </w:rPr>
            </w:pPr>
            <w:r>
              <w:rPr>
                <w:rFonts w:ascii="Times New Roman" w:cs="Times New Roman" w:eastAsia="Times New Roman" w:hAnsi="Times New Roman"/>
                <w:sz w:val="18"/>
                <w:szCs w:val="18"/>
                <w:color w:val="auto"/>
                <w:w w:val="98"/>
              </w:rPr>
              <w:t>3.46%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6"/>
              </w:rPr>
              <w:t>2.15%</w:t>
            </w:r>
          </w:p>
        </w:tc>
        <w:tc>
          <w:tcPr>
            <w:tcW w:w="1820" w:type="dxa"/>
            <w:vAlign w:val="bottom"/>
            <w:tcBorders>
              <w:bottom w:val="single" w:sz="8" w:color="CCEEFF"/>
            </w:tcBorders>
            <w:gridSpan w:val="4"/>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rPr>
              <w:t>3.28%</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3.23%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98"/>
              </w:rPr>
              <w:t>3.20%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6"/>
              </w:rPr>
              <w:t>3.25%</w:t>
            </w:r>
          </w:p>
        </w:tc>
        <w:tc>
          <w:tcPr>
            <w:tcW w:w="1820" w:type="dxa"/>
            <w:vAlign w:val="bottom"/>
            <w:gridSpan w:val="4"/>
          </w:tcPr>
          <w:p>
            <w:pPr>
              <w:jc w:val="center"/>
              <w:ind w:left="413"/>
              <w:spacing w:after="0"/>
              <w:rPr>
                <w:sz w:val="20"/>
                <w:szCs w:val="20"/>
                <w:color w:val="auto"/>
              </w:rPr>
            </w:pPr>
            <w:r>
              <w:rPr>
                <w:rFonts w:ascii="Times New Roman" w:cs="Times New Roman" w:eastAsia="Times New Roman" w:hAnsi="Times New Roman"/>
                <w:sz w:val="18"/>
                <w:szCs w:val="18"/>
                <w:color w:val="auto"/>
              </w:rPr>
              <w:t>3.25%</w:t>
            </w:r>
          </w:p>
        </w:tc>
      </w:tr>
      <w:tr>
        <w:trPr>
          <w:trHeight w:val="324"/>
        </w:trPr>
        <w:tc>
          <w:tcPr>
            <w:tcW w:w="72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Weighted-average assumptions used to determine net periodic benefit cost for the years ended:</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4"/>
        </w:trPr>
        <w:tc>
          <w:tcPr>
            <w:tcW w:w="5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6"/>
        </w:trPr>
        <w:tc>
          <w:tcPr>
            <w:tcW w:w="55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gridSpan w:val="2"/>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235"/>
              <w:spacing w:after="0"/>
              <w:rPr>
                <w:sz w:val="20"/>
                <w:szCs w:val="20"/>
                <w:color w:val="auto"/>
              </w:rPr>
            </w:pPr>
            <w:r>
              <w:rPr>
                <w:rFonts w:ascii="Times New Roman" w:cs="Times New Roman" w:eastAsia="Times New Roman" w:hAnsi="Times New Roman"/>
                <w:sz w:val="18"/>
                <w:szCs w:val="18"/>
                <w:b w:val="1"/>
                <w:bCs w:val="1"/>
                <w:color w:val="auto"/>
              </w:rPr>
              <w:t>3.46%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257"/>
              <w:spacing w:after="0"/>
              <w:rPr>
                <w:sz w:val="20"/>
                <w:szCs w:val="20"/>
                <w:color w:val="auto"/>
              </w:rPr>
            </w:pPr>
            <w:r>
              <w:rPr>
                <w:rFonts w:ascii="Times New Roman" w:cs="Times New Roman" w:eastAsia="Times New Roman" w:hAnsi="Times New Roman"/>
                <w:sz w:val="18"/>
                <w:szCs w:val="18"/>
                <w:color w:val="auto"/>
              </w:rPr>
              <w:t>4.15%</w:t>
            </w:r>
          </w:p>
        </w:tc>
        <w:tc>
          <w:tcPr>
            <w:tcW w:w="1820" w:type="dxa"/>
            <w:vAlign w:val="bottom"/>
            <w:tcBorders>
              <w:bottom w:val="single" w:sz="8" w:color="CCEEFF"/>
            </w:tcBorders>
            <w:gridSpan w:val="4"/>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8"/>
              </w:rPr>
              <w:t>3.74%</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center"/>
              <w:ind w:right="235"/>
              <w:spacing w:after="0"/>
              <w:rPr>
                <w:sz w:val="20"/>
                <w:szCs w:val="20"/>
                <w:color w:val="auto"/>
              </w:rPr>
            </w:pPr>
            <w:r>
              <w:rPr>
                <w:rFonts w:ascii="Times New Roman" w:cs="Times New Roman" w:eastAsia="Times New Roman" w:hAnsi="Times New Roman"/>
                <w:sz w:val="18"/>
                <w:szCs w:val="18"/>
                <w:b w:val="1"/>
                <w:bCs w:val="1"/>
                <w:color w:val="auto"/>
              </w:rPr>
              <w:t>6.85%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jc w:val="center"/>
              <w:ind w:left="257"/>
              <w:spacing w:after="0"/>
              <w:rPr>
                <w:sz w:val="20"/>
                <w:szCs w:val="20"/>
                <w:color w:val="auto"/>
              </w:rPr>
            </w:pPr>
            <w:r>
              <w:rPr>
                <w:rFonts w:ascii="Times New Roman" w:cs="Times New Roman" w:eastAsia="Times New Roman" w:hAnsi="Times New Roman"/>
                <w:sz w:val="18"/>
                <w:szCs w:val="18"/>
                <w:color w:val="auto"/>
              </w:rPr>
              <w:t>6.86%</w:t>
            </w:r>
          </w:p>
        </w:tc>
        <w:tc>
          <w:tcPr>
            <w:tcW w:w="1820" w:type="dxa"/>
            <w:vAlign w:val="bottom"/>
            <w:gridSpan w:val="4"/>
          </w:tcPr>
          <w:p>
            <w:pPr>
              <w:jc w:val="center"/>
              <w:ind w:left="393"/>
              <w:spacing w:after="0"/>
              <w:rPr>
                <w:sz w:val="20"/>
                <w:szCs w:val="20"/>
                <w:color w:val="auto"/>
              </w:rPr>
            </w:pPr>
            <w:r>
              <w:rPr>
                <w:rFonts w:ascii="Times New Roman" w:cs="Times New Roman" w:eastAsia="Times New Roman" w:hAnsi="Times New Roman"/>
                <w:sz w:val="18"/>
                <w:szCs w:val="18"/>
                <w:color w:val="auto"/>
                <w:w w:val="98"/>
              </w:rPr>
              <w:t>6.84%</w:t>
            </w:r>
          </w:p>
        </w:tc>
      </w:tr>
      <w:tr>
        <w:trPr>
          <w:trHeight w:val="27"/>
        </w:trPr>
        <w:tc>
          <w:tcPr>
            <w:tcW w:w="5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right="235"/>
              <w:spacing w:after="0"/>
              <w:rPr>
                <w:sz w:val="20"/>
                <w:szCs w:val="20"/>
                <w:color w:val="auto"/>
              </w:rPr>
            </w:pPr>
            <w:r>
              <w:rPr>
                <w:rFonts w:ascii="Times New Roman" w:cs="Times New Roman" w:eastAsia="Times New Roman" w:hAnsi="Times New Roman"/>
                <w:sz w:val="18"/>
                <w:szCs w:val="18"/>
                <w:b w:val="1"/>
                <w:bCs w:val="1"/>
                <w:color w:val="auto"/>
              </w:rPr>
              <w:t>3.20%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left="257"/>
              <w:spacing w:after="0"/>
              <w:rPr>
                <w:sz w:val="20"/>
                <w:szCs w:val="20"/>
                <w:color w:val="auto"/>
              </w:rPr>
            </w:pPr>
            <w:r>
              <w:rPr>
                <w:rFonts w:ascii="Times New Roman" w:cs="Times New Roman" w:eastAsia="Times New Roman" w:hAnsi="Times New Roman"/>
                <w:sz w:val="18"/>
                <w:szCs w:val="18"/>
                <w:color w:val="auto"/>
              </w:rPr>
              <w:t>3.21%</w:t>
            </w:r>
          </w:p>
        </w:tc>
        <w:tc>
          <w:tcPr>
            <w:tcW w:w="1820" w:type="dxa"/>
            <w:vAlign w:val="bottom"/>
            <w:gridSpan w:val="4"/>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8"/>
              </w:rPr>
              <w:t>3.24%</w:t>
            </w:r>
          </w:p>
        </w:tc>
      </w:tr>
      <w:tr>
        <w:trPr>
          <w:trHeight w:val="27"/>
        </w:trPr>
        <w:tc>
          <w:tcPr>
            <w:tcW w:w="55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discount rate used to determine net periodic postretirement expense was 3.28% in 2020, 4.06% in 2019, and 3.45% in 2018.</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Assumed health care cost trend rates at the end of the year:</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3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r>
      <w:tr>
        <w:trPr>
          <w:trHeight w:val="24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(ultimate trend rate)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4.50%</w:t>
            </w: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r>
      <w:tr>
        <w:trPr>
          <w:trHeight w:val="27"/>
        </w:trPr>
        <w:tc>
          <w:tcPr>
            <w:tcW w:w="8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7"/>
        </w:trPr>
        <w:tc>
          <w:tcPr>
            <w:tcW w:w="8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one-percentage-point increase or decrease in assumed health care costs would not significantly impact 2020 reported service and interest cost nor the 2020 accumulated benefit obligation.</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Pension Plan Assets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fundamental goal underlying the investment policy is to ensure that the assets of the plans are invested in a prudent manner to meet the obligations of the plans as these obligations come due. The primary investment objectives include providing a total return which will promote the goal of benefit security by attaining an appropriate ratio of plan assets to plan obligations, to provide for real asset growth while also tracking plan obligations, to diversify investments across and within asset classes, to reduce the impact of losses in single investments, and to follow investment practices that comply with applicable laws and regulations.</w:t>
      </w:r>
    </w:p>
    <w:p>
      <w:pPr>
        <w:spacing w:after="0" w:line="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primary policy objectives will be met by investing assets to achieve a reasonable tradeoff between return and risk relative to plan obligations. This includes investing a portion of the assets in funds selected in part to hedge the interest rate sensitivity to plan obligations.</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portfolio includes investments in the following asset classes: fixed income, equity, real estate and alternatives. Fixed income will provide a moderate expected return and partially hedge the exposure to interest rate risk of the plans’ obligations. Equities are used for their high expected return. Additional asset classes are used to provide diversification.</w:t>
      </w:r>
    </w:p>
    <w:p>
      <w:pPr>
        <w:spacing w:after="0" w:line="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Asset allocation is monitored on an ongoing basis relative to the established asset class targets. The interaction between plan assets and benefit obligations is periodically studied to assist in the establishment of strategic asset allocation targets. The investment policy permits variances from the targets within certain parameters. Asset rebalancing occurs when the underlying asset class allocations move outside these parameters, at which time the asset allocation is rebalanced back to the policy target weight.</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year-end pension plan weighted-average asset allocations by category were: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Strategic Target</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4820" w:type="dxa"/>
            <w:vAlign w:val="bottom"/>
            <w:tcBorders>
              <w:bottom w:val="single" w:sz="8" w:color="CCEEFF"/>
            </w:tcBorders>
            <w:gridSpan w:val="2"/>
            <w:shd w:val="clear" w:color="auto" w:fill="CCEEFF"/>
          </w:tcPr>
          <w:p>
            <w:pPr>
              <w:jc w:val="center"/>
              <w:ind w:left="3410"/>
              <w:spacing w:after="0"/>
              <w:rPr>
                <w:sz w:val="20"/>
                <w:szCs w:val="20"/>
                <w:color w:val="auto"/>
              </w:rPr>
            </w:pPr>
            <w:r>
              <w:rPr>
                <w:rFonts w:ascii="Times New Roman" w:cs="Times New Roman" w:eastAsia="Times New Roman" w:hAnsi="Times New Roman"/>
                <w:sz w:val="18"/>
                <w:szCs w:val="18"/>
                <w:color w:val="auto"/>
                <w:w w:val="96"/>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4820" w:type="dxa"/>
            <w:vAlign w:val="bottom"/>
            <w:gridSpan w:val="2"/>
          </w:tcPr>
          <w:p>
            <w:pPr>
              <w:jc w:val="center"/>
              <w:ind w:left="3410"/>
              <w:spacing w:after="0"/>
              <w:rPr>
                <w:sz w:val="20"/>
                <w:szCs w:val="20"/>
                <w:color w:val="auto"/>
              </w:rPr>
            </w:pPr>
            <w:r>
              <w:rPr>
                <w:rFonts w:ascii="Times New Roman" w:cs="Times New Roman" w:eastAsia="Times New Roman" w:hAnsi="Times New Roman"/>
                <w:sz w:val="18"/>
                <w:szCs w:val="18"/>
                <w:color w:val="auto"/>
                <w:w w:val="96"/>
              </w:rPr>
              <w:t>53%</w:t>
            </w: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53%</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and other</w:t>
            </w:r>
          </w:p>
        </w:tc>
        <w:tc>
          <w:tcPr>
            <w:tcW w:w="35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50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9A9A9A"/>
            </w:tcBorders>
          </w:tcPr>
          <w:p>
            <w:pPr>
              <w:spacing w:after="0"/>
              <w:rPr>
                <w:sz w:val="18"/>
                <w:szCs w:val="18"/>
                <w:color w:val="auto"/>
              </w:rPr>
            </w:pPr>
          </w:p>
        </w:tc>
        <w:tc>
          <w:tcPr>
            <w:tcW w:w="3500" w:type="dxa"/>
            <w:vAlign w:val="bottom"/>
            <w:tcBorders>
              <w:bottom w:val="single" w:sz="8" w:color="9A9A9A"/>
            </w:tcBorders>
          </w:tcPr>
          <w:p>
            <w:pPr>
              <w:spacing w:after="0"/>
              <w:rPr>
                <w:sz w:val="18"/>
                <w:szCs w:val="18"/>
                <w:color w:val="auto"/>
              </w:rPr>
            </w:pPr>
          </w:p>
        </w:tc>
        <w:tc>
          <w:tcPr>
            <w:tcW w:w="35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ind w:left="340"/>
        <w:spacing w:after="0"/>
        <w:rPr>
          <w:sz w:val="20"/>
          <w:szCs w:val="20"/>
          <w:color w:val="auto"/>
        </w:rPr>
      </w:pPr>
      <w:r>
        <w:rPr>
          <w:rFonts w:ascii="Times New Roman" w:cs="Times New Roman" w:eastAsia="Times New Roman" w:hAnsi="Times New Roman"/>
          <w:sz w:val="18"/>
          <w:szCs w:val="18"/>
          <w:color w:val="auto"/>
        </w:rPr>
        <w:t>Pension plan assets are categorized based on the following fair value hierarchy:</w:t>
      </w:r>
    </w:p>
    <w:p>
      <w:pPr>
        <w:spacing w:after="0" w:line="90"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pension plan assets by asset category at August 2, 2020, and July 28, 2019:</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7"/>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7"/>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gridSpan w:val="6"/>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August 2, 2020 Using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July 28, 2019 Using</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540" w:type="dxa"/>
            <w:vAlign w:val="bottom"/>
            <w:gridSpan w:val="6"/>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540" w:type="dxa"/>
            <w:vAlign w:val="bottom"/>
            <w:gridSpan w:val="6"/>
            <w:vMerge w:val="restart"/>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271"/>
              <w:spacing w:after="0" w:line="127"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6"/>
            <w:vMerge w:val="continue"/>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51"/>
              <w:spacing w:after="0" w:line="127"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6"/>
            <w:vMerge w:val="continue"/>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July 28, 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8"/>
        </w:trPr>
        <w:tc>
          <w:tcPr>
            <w:tcW w:w="2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Non-U.S.</w:t>
            </w: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Non-U.S.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 and agency bonds: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Non-U.S.</w:t>
            </w: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Mortgage and asset backed</w:t>
            </w:r>
          </w:p>
        </w:tc>
        <w:tc>
          <w:tcPr>
            <w:tcW w:w="120" w:type="dxa"/>
            <w:vAlign w:val="bottom"/>
          </w:tcPr>
          <w:p>
            <w:pPr>
              <w:spacing w:after="0"/>
              <w:rPr>
                <w:sz w:val="15"/>
                <w:szCs w:val="15"/>
                <w:color w:val="auto"/>
              </w:rPr>
            </w:pPr>
          </w:p>
        </w:tc>
        <w:tc>
          <w:tcPr>
            <w:tcW w:w="8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8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Hedge funds</w:t>
            </w: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1,618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Times New Roman" w:cs="Times New Roman" w:eastAsia="Times New Roman" w:hAnsi="Times New Roman"/>
                <w:sz w:val="18"/>
                <w:szCs w:val="18"/>
                <w:color w:val="auto"/>
              </w:rPr>
              <w:t>Investments measured at net</w:t>
            </w: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asset value:</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Commingled funds: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income</w:t>
            </w: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Blended</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Hedge funds</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56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investments measured at</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568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net asset value:</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Other items to reconcile to fair</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value of plan assets</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56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pension plan assets at fair</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6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value</w:t>
            </w:r>
          </w:p>
        </w:tc>
        <w:tc>
          <w:tcPr>
            <w:tcW w:w="1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 </w:t>
      </w:r>
      <w:r>
        <w:rPr>
          <w:rFonts w:ascii="Times New Roman" w:cs="Times New Roman" w:eastAsia="Times New Roman" w:hAnsi="Times New Roman"/>
          <w:sz w:val="18"/>
          <w:szCs w:val="18"/>
          <w:color w:val="auto"/>
        </w:rPr>
        <w:t>Investments include cash and cash equivalents, and various short-term debt instruments and short-term investment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Institutional short-term investment vehicles valued daily are classified as Level 1 at cost which approximates market value. Short-term debt instruments are classified at Level 2 and are valued based on bid quotations and</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2" w:name="page63"/>
    <w:bookmarkEnd w:id="6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recent trade data for identical or similar obligations. Other investments valued based upon net asset value are included as a reconciling item to the fair value table.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Equities — </w:t>
      </w:r>
      <w:r>
        <w:rPr>
          <w:rFonts w:ascii="Times New Roman" w:cs="Times New Roman" w:eastAsia="Times New Roman" w:hAnsi="Times New Roman"/>
          <w:sz w:val="18"/>
          <w:szCs w:val="18"/>
          <w:color w:val="auto"/>
        </w:rPr>
        <w:t>Common stocks and preferred stocks are classified as Level 1 and are valued using quoted market prices in active markets.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Corporate bonds — </w:t>
      </w:r>
      <w:r>
        <w:rPr>
          <w:rFonts w:ascii="Times New Roman" w:cs="Times New Roman" w:eastAsia="Times New Roman" w:hAnsi="Times New Roman"/>
          <w:sz w:val="18"/>
          <w:szCs w:val="18"/>
          <w:color w:val="auto"/>
        </w:rPr>
        <w:t>These investments are valued based on quoted market prices, yield curves and pricing models using current market rates.</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Government and agency bonds — </w:t>
      </w:r>
      <w:r>
        <w:rPr>
          <w:rFonts w:ascii="Times New Roman" w:cs="Times New Roman" w:eastAsia="Times New Roman" w:hAnsi="Times New Roman"/>
          <w:sz w:val="18"/>
          <w:szCs w:val="18"/>
          <w:color w:val="auto"/>
        </w:rPr>
        <w:t>These investments are generally valued based on bid quotations and recent trade data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Municipal bonds — </w:t>
      </w:r>
      <w:r>
        <w:rPr>
          <w:rFonts w:ascii="Times New Roman" w:cs="Times New Roman" w:eastAsia="Times New Roman" w:hAnsi="Times New Roman"/>
          <w:sz w:val="18"/>
          <w:szCs w:val="18"/>
          <w:color w:val="auto"/>
        </w:rPr>
        <w:t>These investments are valued based on quoted market prices, yield curves and pricing models using current market rates.</w:t>
      </w:r>
    </w:p>
    <w:p>
      <w:pPr>
        <w:spacing w:after="0" w:line="10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Mortgage and asset backed securities — </w:t>
      </w:r>
      <w:r>
        <w:rPr>
          <w:rFonts w:ascii="Times New Roman" w:cs="Times New Roman" w:eastAsia="Times New Roman" w:hAnsi="Times New Roman"/>
          <w:sz w:val="18"/>
          <w:szCs w:val="18"/>
          <w:color w:val="auto"/>
        </w:rPr>
        <w:t>These investments are valued based on prices obtained from third party pricing sources. The prices from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pricing sources may be based on bid quotes from dealers and recent trade data. Mortgage backed securities are traded in the over-the-counter market.</w:t>
      </w:r>
    </w:p>
    <w:p>
      <w:pPr>
        <w:spacing w:after="0" w:line="3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Real estate — </w:t>
      </w:r>
      <w:r>
        <w:rPr>
          <w:rFonts w:ascii="Times New Roman" w:cs="Times New Roman" w:eastAsia="Times New Roman" w:hAnsi="Times New Roman"/>
          <w:sz w:val="18"/>
          <w:szCs w:val="18"/>
          <w:color w:val="auto"/>
        </w:rPr>
        <w:t>Real estate investments consist of real estate investment trusts, property funds and limited partnerships. Real estate investment trusts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Level 1 and are valued based on quoted market prices. Property funds are classified as either Level 2 or Level 3 depending upon whether liquidity is limited or there are few observable market participant transactions. Property funds are valued based on third party appraisals. Limited partnerships are valued based upon valuations provided by the general partners of the funds. The values of limited partnerships are based upon an assessment of each underlying investment, incorporating valuations that consider the evaluation of financing and sales transactions with third parties, expected cash flows, and market-based information, including comparable transactions and performance multiples among other factors. The investments are classified as Level 3 since the valuation is determined using unobservable inputs. Real estate investments valued at net asset value are included as a reconciling item to the fair value table.</w:t>
      </w:r>
    </w:p>
    <w:p>
      <w:pPr>
        <w:spacing w:after="0" w:line="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Hedge funds — </w:t>
      </w:r>
      <w:r>
        <w:rPr>
          <w:rFonts w:ascii="Times New Roman" w:cs="Times New Roman" w:eastAsia="Times New Roman" w:hAnsi="Times New Roman"/>
          <w:sz w:val="18"/>
          <w:szCs w:val="18"/>
          <w:color w:val="auto"/>
        </w:rPr>
        <w:t>Hedge fund investments include hedge funds valued based upon a net asset value derived from the fair value of underlying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Hedge fund investments that are subject to liquidity restrictions or that are based on unobservable inputs are classified as Level 3. Hedge fund investments may include long and short positions in equity and fixed income securities, derivative instruments such as futures and options, commodities and other types of securities. Hedge fund investments valued at net asset value are included as a reconciling item to the fair value table.</w:t>
      </w:r>
    </w:p>
    <w:p>
      <w:pPr>
        <w:spacing w:after="0" w:line="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Derivatives — </w:t>
      </w:r>
      <w:r>
        <w:rPr>
          <w:rFonts w:ascii="Times New Roman" w:cs="Times New Roman" w:eastAsia="Times New Roman" w:hAnsi="Times New Roman"/>
          <w:sz w:val="18"/>
          <w:szCs w:val="18"/>
          <w:color w:val="auto"/>
        </w:rPr>
        <w:t>Derivative financial instruments include forward currency contracts, futures contracts, options contracts, interest rate swaps and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swaps. Derivative financial instruments are classified as Level 2 and are valued based on observable market transactions or prices.</w:t>
      </w:r>
    </w:p>
    <w:p>
      <w:pPr>
        <w:spacing w:after="0" w:line="3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Commingled funds — </w:t>
      </w:r>
      <w:r>
        <w:rPr>
          <w:rFonts w:ascii="Times New Roman" w:cs="Times New Roman" w:eastAsia="Times New Roman" w:hAnsi="Times New Roman"/>
          <w:sz w:val="18"/>
          <w:szCs w:val="18"/>
          <w:color w:val="auto"/>
        </w:rPr>
        <w:t>Investments in commingled funds are not traded in active markets. Blended commingled funds are invested in both equities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 income securities. Commingled funds are valued based on the net asset values of such funds and are included as a reconciling item to the fair value table.</w:t>
      </w:r>
    </w:p>
    <w:p>
      <w:pPr>
        <w:spacing w:after="0" w:line="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items to reconcile to fair value of plan assets included amounts due for securities sold, amounts payable for securities purchased, and other payables.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Level 3 investments for the years ended August 2, 2020, and July 28, 2019:</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Hedge Funds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July 28, 2019</w:t>
            </w:r>
          </w:p>
        </w:tc>
        <w:tc>
          <w:tcPr>
            <w:tcW w:w="3840" w:type="dxa"/>
            <w:vAlign w:val="bottom"/>
            <w:tcBorders>
              <w:bottom w:val="single" w:sz="8" w:color="CCEEFF"/>
            </w:tcBorders>
            <w:gridSpan w:val="2"/>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Actual return on plan assets</w:t>
            </w:r>
          </w:p>
        </w:tc>
        <w:tc>
          <w:tcPr>
            <w:tcW w:w="2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Purchases, sales and settlements, net</w:t>
            </w:r>
          </w:p>
        </w:tc>
        <w:tc>
          <w:tcPr>
            <w:tcW w:w="28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Transfers out of Level 3</w:t>
            </w:r>
          </w:p>
        </w:tc>
        <w:tc>
          <w:tcPr>
            <w:tcW w:w="2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August 2, 2020</w:t>
            </w:r>
          </w:p>
        </w:tc>
        <w:tc>
          <w:tcPr>
            <w:tcW w:w="28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4180" w:type="dxa"/>
            <w:vAlign w:val="bottom"/>
            <w:tcBorders>
              <w:bottom w:val="single" w:sz="8" w:color="CCEEFF"/>
            </w:tcBorders>
          </w:tcPr>
          <w:p>
            <w:pPr>
              <w:spacing w:after="0"/>
              <w:rPr>
                <w:sz w:val="24"/>
                <w:szCs w:val="24"/>
                <w:color w:val="auto"/>
              </w:rPr>
            </w:pPr>
          </w:p>
        </w:tc>
        <w:tc>
          <w:tcPr>
            <w:tcW w:w="28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Hedge Funds</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July 29, 2018</w:t>
            </w:r>
          </w:p>
        </w:tc>
        <w:tc>
          <w:tcPr>
            <w:tcW w:w="3840" w:type="dxa"/>
            <w:vAlign w:val="bottom"/>
            <w:tcBorders>
              <w:bottom w:val="single" w:sz="8" w:color="CCEEFF"/>
            </w:tcBorders>
            <w:gridSpan w:val="2"/>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28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2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July 28, 2019</w:t>
            </w:r>
          </w:p>
        </w:tc>
        <w:tc>
          <w:tcPr>
            <w:tcW w:w="3840" w:type="dxa"/>
            <w:vAlign w:val="bottom"/>
            <w:tcBorders>
              <w:bottom w:val="single" w:sz="8" w:color="CCEEFF"/>
            </w:tcBorders>
            <w:gridSpan w:val="2"/>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63</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1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9A9A9A"/>
            </w:tcBorders>
          </w:tcPr>
          <w:p>
            <w:pPr>
              <w:spacing w:after="0"/>
              <w:rPr>
                <w:sz w:val="18"/>
                <w:szCs w:val="18"/>
                <w:color w:val="auto"/>
              </w:rPr>
            </w:pPr>
          </w:p>
        </w:tc>
        <w:tc>
          <w:tcPr>
            <w:tcW w:w="28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ind w:right="20" w:firstLine="324"/>
        <w:spacing w:after="0" w:line="278" w:lineRule="auto"/>
        <w:rPr>
          <w:sz w:val="20"/>
          <w:szCs w:val="20"/>
          <w:color w:val="auto"/>
        </w:rPr>
      </w:pPr>
      <w:r>
        <w:rPr>
          <w:rFonts w:ascii="Times New Roman" w:cs="Times New Roman" w:eastAsia="Times New Roman" w:hAnsi="Times New Roman"/>
          <w:sz w:val="18"/>
          <w:szCs w:val="18"/>
          <w:color w:val="auto"/>
        </w:rPr>
        <w:t>The following tables present additional information about the pension plan assets valued using net asset value as a practical expedient within the fair value hierarchy table:</w:t>
      </w: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Notice</w:t>
            </w:r>
          </w:p>
        </w:tc>
        <w:tc>
          <w:tcPr>
            <w:tcW w:w="0" w:type="dxa"/>
            <w:vAlign w:val="bottom"/>
          </w:tcPr>
          <w:p>
            <w:pPr>
              <w:spacing w:after="0"/>
              <w:rPr>
                <w:sz w:val="1"/>
                <w:szCs w:val="1"/>
                <w:color w:val="auto"/>
              </w:rPr>
            </w:pPr>
          </w:p>
        </w:tc>
      </w:tr>
      <w:tr>
        <w:trPr>
          <w:trHeight w:val="198"/>
        </w:trPr>
        <w:tc>
          <w:tcPr>
            <w:tcW w:w="5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Period Range</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funds: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Daily, Monthly</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60 days</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income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Daily, Quarterly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50 days</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Blended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Primarily Daily</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 days</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funds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3"/>
                <w:szCs w:val="23"/>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Quarterly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90 days</w:t>
            </w:r>
          </w:p>
        </w:tc>
        <w:tc>
          <w:tcPr>
            <w:tcW w:w="0" w:type="dxa"/>
            <w:vAlign w:val="bottom"/>
          </w:tcPr>
          <w:p>
            <w:pPr>
              <w:spacing w:after="0"/>
              <w:rPr>
                <w:sz w:val="1"/>
                <w:szCs w:val="1"/>
                <w:color w:val="auto"/>
              </w:rPr>
            </w:pPr>
          </w:p>
        </w:tc>
      </w:tr>
      <w:tr>
        <w:trPr>
          <w:trHeight w:val="27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 funds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Monthly</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 days</w:t>
            </w:r>
          </w:p>
        </w:tc>
        <w:tc>
          <w:tcPr>
            <w:tcW w:w="0" w:type="dxa"/>
            <w:vAlign w:val="bottom"/>
          </w:tcPr>
          <w:p>
            <w:pPr>
              <w:spacing w:after="0"/>
              <w:rPr>
                <w:sz w:val="1"/>
                <w:szCs w:val="1"/>
                <w:color w:val="auto"/>
              </w:rPr>
            </w:pPr>
          </w:p>
        </w:tc>
      </w:tr>
      <w:tr>
        <w:trPr>
          <w:trHeight w:val="26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40" w:hanging="332"/>
        <w:spacing w:after="0" w:line="229" w:lineRule="auto"/>
        <w:tabs>
          <w:tab w:leader="none" w:pos="328"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real estate investments valued at $35 as of August 2, 2020, for which redemption queues existed. Investor redemption payments are made subject to cash availability.</w:t>
      </w:r>
    </w:p>
    <w:p>
      <w:pPr>
        <w:spacing w:after="0" w:line="76"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unfunded commitments in 2020 or 2019.</w:t>
      </w:r>
    </w:p>
    <w:p>
      <w:pPr>
        <w:spacing w:after="0" w:line="103"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do not expect contributions to pension plans to be material in 2021.</w:t>
      </w:r>
    </w:p>
    <w:p>
      <w:pPr>
        <w:spacing w:after="0" w:line="86"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Estimated future benefit payments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6"/>
                <w:szCs w:val="16"/>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248"/>
        </w:trPr>
        <w:tc>
          <w:tcPr>
            <w:tcW w:w="8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2026-2030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37"/>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estimated future benefit payments include payments from funded and unfunded plans.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Defined Contribution Plans — </w:t>
      </w:r>
      <w:r>
        <w:rPr>
          <w:rFonts w:ascii="Times New Roman" w:cs="Times New Roman" w:eastAsia="Times New Roman" w:hAnsi="Times New Roman"/>
          <w:sz w:val="18"/>
          <w:szCs w:val="18"/>
          <w:color w:val="auto"/>
        </w:rPr>
        <w:t>We sponsor a 401(k) Retirement Plan that covers substantially all U.S. employees and provide a matching contribution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100% of employee contributions up to 4% of eligible compensation. In addition, for employees not eligible to participate in defined benefit plans that we sponsor, we provide a contribution equal to 3% of compensation regardless of their participation in the 401(k) Retirement Plan. Through December 31, 2019, all Snyder's-Lance U.S. employees were eligible to participate in a 401(k) retirement plan sponsored by Snyder's-Lance that provided participants with matching contributions equal to 100% of the first 4% and 50% of the next 1% of eligible compensation. As of January 1, 2020, Snyder's-Lance employees were transitioned to the 401(k) Retirement Plan and receive the same contributions under the 401(k) Retirement Plan noted above. Amounts charged to Costs and expenses of continuing operations were $62 in 2020, $52 in 2019 and $42 in 2018. Amounts charged to discontinued operations were $4 in 2019 and $3 in 2018.</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lease warehouse and distribution facilities, office space, manufacturing facilities, equipment and vehicles, primarily through operating leases.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Leases recorded on our Consolidated Balance Sheet have remaining terms primarily from 1 to 15 years.</w:t>
      </w:r>
    </w:p>
    <w:p>
      <w:pPr>
        <w:spacing w:after="0" w:line="9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fleet leases generally include residual value guarantees that are assessed at lease inception in determining ROU assets and corresponding liabilities. No other significant restrictions or covenants are included in our leases.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ind w:left="34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57" w:lineRule="exact"/>
        <w:rPr>
          <w:sz w:val="20"/>
          <w:szCs w:val="20"/>
          <w:color w:val="auto"/>
        </w:rPr>
      </w:pPr>
    </w:p>
    <w:p>
      <w:pPr>
        <w:jc w:val="center"/>
        <w:ind w:left="9700"/>
        <w:spacing w:after="0"/>
        <w:rPr>
          <w:sz w:val="20"/>
          <w:szCs w:val="20"/>
          <w:color w:val="auto"/>
        </w:rPr>
      </w:pP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24765</wp:posOffset>
            </wp:positionV>
            <wp:extent cx="9683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5" w:lineRule="exact"/>
        <w:rPr>
          <w:sz w:val="20"/>
          <w:szCs w:val="20"/>
          <w:color w:val="auto"/>
        </w:rPr>
      </w:pPr>
    </w:p>
    <w:p>
      <w:pPr>
        <w:jc w:val="center"/>
        <w:ind w:left="9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 amortization of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Sublease income</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55" w:lineRule="exact"/>
        <w:rPr>
          <w:sz w:val="20"/>
          <w:szCs w:val="20"/>
          <w:color w:val="auto"/>
        </w:rPr>
      </w:pPr>
    </w:p>
    <w:p>
      <w:pPr>
        <w:ind w:left="340" w:right="1420" w:hanging="332"/>
        <w:spacing w:after="0" w:line="316" w:lineRule="auto"/>
        <w:tabs>
          <w:tab w:leader="none" w:pos="328"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labor and other overhead included in our service contracts with embedded leases. Total lease cost includes $4 related to discontinued operations.</w:t>
      </w: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following table summarizes the lease amounts recorded in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020" w:hanging="1248"/>
        <w:spacing w:after="0"/>
        <w:tabs>
          <w:tab w:leader="none" w:pos="2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63" w:lineRule="exact"/>
        <w:rPr>
          <w:rFonts w:ascii="Times New Roman" w:cs="Times New Roman" w:eastAsia="Times New Roman" w:hAnsi="Times New Roman"/>
          <w:sz w:val="18"/>
          <w:szCs w:val="18"/>
          <w:color w:val="auto"/>
        </w:rPr>
      </w:pPr>
    </w:p>
    <w:p>
      <w:pPr>
        <w:ind w:left="2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39</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172</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34290</wp:posOffset>
            </wp:positionV>
            <wp:extent cx="9683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7" w:lineRule="exact"/>
        <w:rPr>
          <w:sz w:val="20"/>
          <w:szCs w:val="20"/>
          <w:color w:val="auto"/>
        </w:rPr>
      </w:pPr>
    </w:p>
    <w:p>
      <w:pPr>
        <w:ind w:left="1920" w:hanging="1148"/>
        <w:spacing w:after="0"/>
        <w:tabs>
          <w:tab w:leader="none" w:pos="1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34290</wp:posOffset>
            </wp:positionV>
            <wp:extent cx="9683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60325</wp:posOffset>
            </wp:positionV>
            <wp:extent cx="9683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August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24765</wp:posOffset>
            </wp:positionV>
            <wp:extent cx="16541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Operating</w:t>
      </w:r>
      <w:r>
        <w:rPr>
          <w:sz w:val="20"/>
          <w:szCs w:val="20"/>
          <w:color w:val="auto"/>
        </w:rPr>
        <w:tab/>
      </w:r>
      <w:r>
        <w:rPr>
          <w:rFonts w:ascii="Times New Roman" w:cs="Times New Roman" w:eastAsia="Times New Roman" w:hAnsi="Times New Roman"/>
          <w:sz w:val="14"/>
          <w:szCs w:val="14"/>
          <w:b w:val="1"/>
          <w:bCs w:val="1"/>
          <w:color w:val="auto"/>
        </w:rPr>
        <w:t>Finance</w:t>
      </w:r>
    </w:p>
    <w:p>
      <w:pPr>
        <w:spacing w:after="0" w:line="44" w:lineRule="exact"/>
        <w:rPr>
          <w:sz w:val="20"/>
          <w:szCs w:val="20"/>
          <w:color w:val="auto"/>
        </w:rPr>
      </w:pPr>
    </w:p>
    <w:p>
      <w:pPr>
        <w:sectPr>
          <w:pgSz w:w="11900" w:h="16838" w:orient="portrait"/>
          <w:cols w:equalWidth="0" w:num="2">
            <w:col w:w="8240" w:space="720"/>
            <w:col w:w="2280"/>
          </w:cols>
          <w:pgMar w:left="320" w:top="985"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26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Weighted-average lease terms and discount rates were as follows: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6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7"/>
                <w:szCs w:val="17"/>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248"/>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term in years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338"/>
        </w:trPr>
        <w:tc>
          <w:tcPr>
            <w:tcW w:w="8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8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24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reported lease liability</w:t>
            </w:r>
          </w:p>
        </w:tc>
        <w:tc>
          <w:tcPr>
            <w:tcW w:w="2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5" w:name="page66"/>
    <w:bookmarkEnd w:id="65"/>
    <w:p>
      <w:pPr>
        <w:ind w:left="340"/>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leases was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28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1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c>
          <w:tcPr>
            <w:tcW w:w="1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lef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ROU assets divested with businesses sold:</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derecognized upon adoption:</w:t>
            </w:r>
          </w:p>
        </w:tc>
        <w:tc>
          <w:tcPr>
            <w:tcW w:w="1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Build-to-suit lease commitment</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13. Taxes on Earnings</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The provision for income taxes on earnings from continuing operations consists of the following:</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Currently payable:</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08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Borders>
              <w:bottom w:val="single" w:sz="8" w:color="CCEEFF"/>
            </w:tcBorders>
            <w:gridSpan w:val="5"/>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16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1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Borders>
              <w:top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174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0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5"/>
        </w:trPr>
        <w:tc>
          <w:tcPr>
            <w:tcW w:w="40" w:type="dxa"/>
            <w:vAlign w:val="bottom"/>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28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30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w:t>
            </w:r>
          </w:p>
        </w:tc>
        <w:tc>
          <w:tcPr>
            <w:tcW w:w="16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660" w:type="dxa"/>
            <w:vAlign w:val="bottom"/>
            <w:gridSpan w:val="2"/>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0" w:type="dxa"/>
            <w:vAlign w:val="bottom"/>
            <w:tcBorders>
              <w:top w:val="single" w:sz="8" w:color="auto"/>
            </w:tcBorders>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64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28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effective income tax rate on continuing operations to the U.S. federal statutory income tax rate: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80" w:type="dxa"/>
            <w:vAlign w:val="bottom"/>
            <w:gridSpan w:val="2"/>
          </w:tcPr>
          <w:p>
            <w:pPr>
              <w:ind w:left="718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6"/>
                <w:szCs w:val="16"/>
                <w:color w:val="auto"/>
              </w:rPr>
            </w:pP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21.0</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5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international items</w:t>
            </w:r>
          </w:p>
        </w:tc>
        <w:tc>
          <w:tcPr>
            <w:tcW w:w="5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8"/>
              </w:rPr>
              <w:t>(0.3)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manufacturing deduction</w:t>
            </w:r>
          </w:p>
        </w:tc>
        <w:tc>
          <w:tcPr>
            <w:tcW w:w="156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Reform - impact on U.S. deferred tax assets and liabilities</w:t>
            </w:r>
            <w:r>
              <w:rPr>
                <w:rFonts w:ascii="Times New Roman" w:cs="Times New Roman" w:eastAsia="Times New Roman" w:hAnsi="Times New Roman"/>
                <w:sz w:val="23"/>
                <w:szCs w:val="23"/>
                <w:color w:val="auto"/>
                <w:vertAlign w:val="superscript"/>
              </w:rPr>
              <w:t>(1)</w:t>
            </w:r>
          </w:p>
        </w:tc>
        <w:tc>
          <w:tcPr>
            <w:tcW w:w="1560" w:type="dxa"/>
            <w:vAlign w:val="bottom"/>
            <w:gridSpan w:val="3"/>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shd w:val="clear" w:color="auto" w:fill="CCEEFF"/>
          </w:tcPr>
          <w:p>
            <w:pPr>
              <w:spacing w:after="0"/>
              <w:rPr>
                <w:sz w:val="23"/>
                <w:szCs w:val="23"/>
                <w:color w:val="auto"/>
              </w:rPr>
            </w:pPr>
          </w:p>
        </w:tc>
      </w:tr>
      <w:tr>
        <w:trPr>
          <w:trHeight w:val="27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Reform - transition tax</w:t>
            </w:r>
            <w:r>
              <w:rPr>
                <w:rFonts w:ascii="Times New Roman" w:cs="Times New Roman" w:eastAsia="Times New Roman" w:hAnsi="Times New Roman"/>
                <w:sz w:val="23"/>
                <w:szCs w:val="23"/>
                <w:color w:val="auto"/>
                <w:vertAlign w:val="superscript"/>
              </w:rPr>
              <w:t>(1)</w:t>
            </w:r>
          </w:p>
        </w:tc>
        <w:tc>
          <w:tcPr>
            <w:tcW w:w="156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23"/>
                <w:szCs w:val="23"/>
                <w:color w:val="auto"/>
              </w:rPr>
            </w:pPr>
          </w:p>
        </w:tc>
      </w:tr>
      <w:tr>
        <w:trPr>
          <w:trHeight w:val="27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higher U.S. federal statutory tax rate</w:t>
            </w:r>
            <w:r>
              <w:rPr>
                <w:rFonts w:ascii="Times New Roman" w:cs="Times New Roman" w:eastAsia="Times New Roman" w:hAnsi="Times New Roman"/>
                <w:sz w:val="23"/>
                <w:szCs w:val="23"/>
                <w:color w:val="auto"/>
                <w:vertAlign w:val="superscript"/>
              </w:rPr>
              <w:t>(1)</w:t>
            </w:r>
          </w:p>
        </w:tc>
        <w:tc>
          <w:tcPr>
            <w:tcW w:w="1560" w:type="dxa"/>
            <w:vAlign w:val="bottom"/>
            <w:gridSpan w:val="3"/>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23"/>
                <w:szCs w:val="23"/>
                <w:color w:val="auto"/>
              </w:rPr>
            </w:pP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Divestiture impact on deferred taxes</w:t>
            </w:r>
          </w:p>
        </w:tc>
        <w:tc>
          <w:tcPr>
            <w:tcW w:w="156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on sale of the European chips business</w:t>
            </w:r>
          </w:p>
        </w:tc>
        <w:tc>
          <w:tcPr>
            <w:tcW w:w="5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8"/>
              </w:rPr>
              <w:t>(1.3)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8"/>
              </w:rPr>
              <w:t>(0.2)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21"/>
                <w:szCs w:val="2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22.7 %</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63" w:lineRule="exact"/>
        <w:rPr>
          <w:sz w:val="20"/>
          <w:szCs w:val="20"/>
          <w:color w:val="auto"/>
        </w:rPr>
      </w:pPr>
    </w:p>
    <w:p>
      <w:pPr>
        <w:ind w:left="340" w:right="660" w:hanging="332"/>
        <w:spacing w:after="0" w:line="229" w:lineRule="auto"/>
        <w:tabs>
          <w:tab w:leader="none" w:pos="328" w:val="left"/>
        </w:tabs>
        <w:numPr>
          <w:ilvl w:val="0"/>
          <w:numId w:val="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Tax Cuts and Jobs Act of 2017 (the Act) was enacted into law on December 22, 2017, and made significant changes to corporate taxation. Changes under the Act included:</w:t>
      </w:r>
    </w:p>
    <w:p>
      <w:pPr>
        <w:spacing w:after="0" w:line="36" w:lineRule="exact"/>
        <w:rPr>
          <w:rFonts w:ascii="Times New Roman" w:cs="Times New Roman" w:eastAsia="Times New Roman" w:hAnsi="Times New Roman"/>
          <w:sz w:val="23"/>
          <w:szCs w:val="23"/>
          <w:color w:val="auto"/>
          <w:vertAlign w:val="superscript"/>
        </w:rPr>
      </w:pPr>
    </w:p>
    <w:p>
      <w:pPr>
        <w:jc w:val="both"/>
        <w:ind w:left="660" w:hanging="328"/>
        <w:spacing w:after="0" w:line="266" w:lineRule="auto"/>
        <w:tabs>
          <w:tab w:leader="none" w:pos="65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federal corporate tax rate from 35% to 21% effective January 1, 2018. A blended rate applied for fiscal 2018 non-calendar year end companies for the fiscal periods that included the effective date of the rate change. The impact of this is shown as "Effect of higher U.S. federal statutory tax rate;"</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Repealing the exception for deductibility of performance-based compensation to covered employees, which impacted us beginning in 2019, along with expanding the number of covered employees;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Transitioning to a territorial system for taxation on foreign earnings along with the imposition of a transition tax in 2018 on the deemed repatriation of unremitted foreign earnings;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expensing of machinery and equipment placed into service after September 27, 2017;</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deduction for domestic manufacturing activities, which impacted us beginning in 2019;</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taxation of multinational companies, including a new minimum tax on Global Intangible Low-Taxed Income, a new Base Erosion Anti-Abuse Tax, and a new U.S. corporate deduction for Foreign-Derived Intangible Income, all of which were effective for us beginning in 2019; and</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deductibility of interest expense to 30% of adjusted taxable income, which was effective for us beginning in 2019.</w:t>
      </w:r>
    </w:p>
    <w:p>
      <w:pPr>
        <w:spacing w:after="0" w:line="10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a result of the Act, we recognized a benefit of $179 in 2018 on the remeasurement of deferred tax assets and liabilities and expenses of $2 in 2019 and $53 in 2018 on the transition tax on unremitted foreign earnings.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7" w:name="page68"/>
    <w:bookmarkEnd w:id="67"/>
    <w:p>
      <w:pPr>
        <w:ind w:left="340"/>
        <w:spacing w:after="0"/>
        <w:rPr>
          <w:sz w:val="20"/>
          <w:szCs w:val="20"/>
          <w:color w:val="auto"/>
        </w:rPr>
      </w:pPr>
      <w:r>
        <w:rPr>
          <w:rFonts w:ascii="Times New Roman" w:cs="Times New Roman" w:eastAsia="Times New Roman" w:hAnsi="Times New Roman"/>
          <w:sz w:val="18"/>
          <w:szCs w:val="18"/>
          <w:color w:val="auto"/>
        </w:rPr>
        <w:t>Deferred tax liabilities and assets of continuing operations and discontinued operations are comprised of the following:</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3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w:t>
            </w: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877</w:t>
            </w:r>
          </w:p>
        </w:tc>
      </w:tr>
      <w:tr>
        <w:trPr>
          <w:trHeight w:val="27"/>
        </w:trPr>
        <w:tc>
          <w:tcPr>
            <w:tcW w:w="8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1,184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1,229</w:t>
            </w:r>
          </w:p>
        </w:tc>
      </w:tr>
      <w:tr>
        <w:trPr>
          <w:trHeight w:val="27"/>
        </w:trPr>
        <w:tc>
          <w:tcPr>
            <w:tcW w:w="8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and compensation</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benefits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8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loss carryforwards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8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basis difference</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8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731</w:t>
            </w: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7"/>
        </w:trPr>
        <w:tc>
          <w:tcPr>
            <w:tcW w:w="8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8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w:t>
            </w:r>
          </w:p>
        </w:tc>
      </w:tr>
      <w:tr>
        <w:trPr>
          <w:trHeight w:val="23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84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925</w:t>
            </w:r>
          </w:p>
        </w:tc>
      </w:tr>
      <w:tr>
        <w:trPr>
          <w:trHeight w:val="27"/>
        </w:trPr>
        <w:tc>
          <w:tcPr>
            <w:tcW w:w="8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8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August 2, 2020, our U.S. and non-U.S. subsidiaries had tax loss carryforwards of approximately $361. Of these carryforwards, $39 may be carried forward indefinitely, and $322 expire between 2021 and 2037, with the majority expiring after 2028. At August 2, 2020, deferred tax asset valuation allowances have been established to offset $134 of these tax loss carryforwards. Additionally, as of August 2, 2020, our U.S. and non-U.S. subsidiaries had capital loss carryforwards of approximately $382, all of which were offset by valuation allowances. The decrease in the total capital loss carryforwards for 2020 was primarily due to the sale of the Arnott's and other international operations.</w:t>
      </w:r>
    </w:p>
    <w:p>
      <w:pPr>
        <w:spacing w:after="0" w:line="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net change in the deferred tax asset valuation allowance in 2020 was a decrease of $305. The decrease was primarily due to the sale of the Arnott's and other international operations. The net change in the deferred tax asset valuation allowance in 2019 was an increase of $294. The increase was primarily due to the sale of Bolthouse Farms and the pending sale of the Arnott's and other international operations. The net change in the deferred tax asset valuation allowance in 2018 was an increase of $13. The increase was primarily due to the acquisition of Snyder's-Lance and the impact of currency.</w:t>
      </w:r>
    </w:p>
    <w:p>
      <w:pPr>
        <w:spacing w:after="0" w:line="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August 2, 2020, and July 28, 2019, other deferred tax assets included $13 of state tax credit carryforwards related to various states that expire between 2021 and 2031. As of August 2, 2020, and July 28, 2019, deferred tax asset valuation allowances have been established to offset the $13 of state credit carryforwards.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August 2, 2020, we had approximately $18 of undistributed earnings of foreign subsidiaries. Consistent with prior years, these unremitted earnings and the investment in our foreign subsidiaries are deemed to be permanently reinvested and no additional tax has been provided. It is not practical to estimate the tax liability that might be incurred if such earnings were remitted to the U.S.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activity related to unrecognized tax benefits follows:</w:t>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9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Increases related to prior-year tax positions</w:t>
            </w:r>
          </w:p>
        </w:tc>
        <w:tc>
          <w:tcPr>
            <w:tcW w:w="92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Decreases related to prior-year tax positions</w:t>
            </w: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Increases related to current-year tax positions</w:t>
            </w:r>
          </w:p>
        </w:tc>
        <w:tc>
          <w:tcPr>
            <w:tcW w:w="9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Lapse of statute</w:t>
            </w: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due to acquisitions</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2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69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amount of unrecognized tax benefits that, if recognized, would impact the annual effective tax rate was $18 as of August 2, 2020, $17 as of July 28, 2019, and $23 as of July 29, 2018. The total amount of unrecognized tax benefits can change due to audit settlements, tax examination activities, statute expirations and the recognition and measurement criteria under accounting for uncertainty in income taxes.</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accounting policy with respect to interest and penalties attributable to income taxes is to reflect any expense or benefit as a component of our income tax provision. The total amount of interest and penalties recognized in the Consolidated</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Statements of Earnings were earnings were not material in 2020, 2019, and 2018. The total amount of interest and penalties recognized in the Consolidated Balance Sheets in Other liabilities was $4 as of August 2, 2020, and as of July 28, 2019.</w:t>
      </w:r>
    </w:p>
    <w:p>
      <w:pPr>
        <w:spacing w:after="0" w:line="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business internationally and, as a result, file income tax returns in the U.S. federal jurisdiction and various state and non-U.S. jurisdictions. In the normal course of business, we are subject to examination by taxing authorities throughout the world, including such major jurisdictions as the U.S. and Canada. The 2019 and 2020 tax years are currently under audit by the Internal Revenue Service. In addition, several state income tax examinations are in progress for the years 2015 to 2018.</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limited exceptions, we have been audited for income tax purposes in Canada through 2015.</w:t>
      </w:r>
    </w:p>
    <w:p>
      <w:pPr>
        <w:spacing w:after="0" w:line="100" w:lineRule="exact"/>
        <w:rPr>
          <w:sz w:val="20"/>
          <w:szCs w:val="20"/>
          <w:color w:val="auto"/>
        </w:rPr>
      </w:pPr>
    </w:p>
    <w:p>
      <w:pPr>
        <w:ind w:left="340" w:right="7460" w:hanging="332"/>
        <w:spacing w:after="0" w:line="346" w:lineRule="auto"/>
        <w:tabs>
          <w:tab w:leader="none" w:pos="286"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Short-term Borrowings and Long-term Debt </w:t>
      </w:r>
      <w:r>
        <w:rPr>
          <w:rFonts w:ascii="Times New Roman" w:cs="Times New Roman" w:eastAsia="Times New Roman" w:hAnsi="Times New Roman"/>
          <w:sz w:val="17"/>
          <w:szCs w:val="17"/>
          <w:color w:val="auto"/>
        </w:rPr>
        <w:t>Short-term borrowings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Build-to-suit lease commitment</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8"/>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33" w:lineRule="exact"/>
        <w:rPr>
          <w:sz w:val="20"/>
          <w:szCs w:val="20"/>
          <w:color w:val="auto"/>
        </w:rPr>
      </w:pPr>
    </w:p>
    <w:p>
      <w:pPr>
        <w:ind w:left="320" w:hanging="312"/>
        <w:spacing w:after="0"/>
        <w:tabs>
          <w:tab w:leader="none" w:pos="320"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unamortized net discount/premium on debt issuances and debt issuance costs.</w:t>
      </w:r>
    </w:p>
    <w:p>
      <w:pPr>
        <w:spacing w:after="0" w:line="82"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As of August 2, 2020, the weighted-average interest rate of commercial paper, which consisted of U.S. borrowings, was 2.10%. As of July 28, 2019, the weighted-average interest rate was 2.97%.</w:t>
      </w:r>
    </w:p>
    <w:p>
      <w:pPr>
        <w:spacing w:after="0" w:line="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August 2, 2020, we issued $34 of standby letters of credit. We have a committed revolving credit facility totaling $1,850 that matures in December 2021. This U.S. facility remained unused at August 2, 2020, except for $1 of standby letters of credit that we issued under it. The U.S. facility supports our commercial paper programs and other general corporate purposes. In March 2020, we borrowed $300 under this revolving credit facility and on May 1, 2020 we repaid the borrowings.</w:t>
      </w:r>
    </w:p>
    <w:p>
      <w:pPr>
        <w:spacing w:after="0" w:line="5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July 28, 2019, we had short-term borrowings of $232 reflected in Current liabilities of discontinued operations. The borrowings were repaid in August 2019.</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p>
      <w:pPr>
        <w:ind w:left="34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of</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300" w:type="dxa"/>
            <w:vAlign w:val="bottom"/>
          </w:tcPr>
          <w:p>
            <w:pPr>
              <w:spacing w:after="0"/>
              <w:rPr>
                <w:sz w:val="13"/>
                <w:szCs w:val="13"/>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40" w:type="dxa"/>
            <w:vAlign w:val="bottom"/>
            <w:gridSpan w:val="2"/>
            <w:vMerge w:val="continue"/>
          </w:tcPr>
          <w:p>
            <w:pPr>
              <w:spacing w:after="0"/>
              <w:rPr>
                <w:sz w:val="13"/>
                <w:szCs w:val="13"/>
                <w:color w:val="auto"/>
              </w:rPr>
            </w:pPr>
          </w:p>
        </w:tc>
        <w:tc>
          <w:tcPr>
            <w:tcW w:w="13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9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1"/>
                <w:szCs w:val="21"/>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Term Loan</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Debentures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2048</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2050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5,915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33"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unamortized net discount/premium on debt issuances and debt issuance costs.</w:t>
      </w:r>
    </w:p>
    <w:p>
      <w:pPr>
        <w:spacing w:after="0" w:line="8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January 22, 2020, we completed the redemption of all $500 outstanding aggregate principal amount of our 4.25% Senior Notes due 2021. On January 24, 2020, we settled tender offers to purchase $1,200 in aggregate principal amount of certain senior unsecured debt, comprising $329 of 3.30% Senior Notes due 2021, $634 of 3.65% Senior Notes due 2023, and $237 of 3.80% Senior Notes due 2043. The consideration for the redemption and the tender offers was $1,765, including $65 of premium. We recognized a loss of $75 (including $65 of premium, fees and other costs paid with the tender offers and unamortized debt issuance costs), which was recorded in Interest expense in the Consolidated Statement of Earnings. In addition, we paid accrued and unpaid interest on the purchased notes through the dates of settlement.</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2020, we also repaid our $499 Senior Term Loan due 2021.</w:t>
      </w:r>
    </w:p>
    <w:p>
      <w:pPr>
        <w:spacing w:after="0" w:line="10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24, 2020, we issued senior notes in an aggregate principal amount of $1,000, consisting of $500 aggregate principal amount of notes bearing interest at a fixed rate of 2.375% per annum, due April 24, 2030, and $500 aggregate principal amount of notes bearing interest at a fixed rate of 3.125% per annum, due April 24, 2050. On May 1, 2020, we used $300 of the net proceeds to repay $300 of borrowings outstanding under our revolving credit facility. The 2.375% Senior Notes due 2030 and the 3.125% Senior Notes due 2050 may each be redeemed at the applicable redemption price, in whole or in part, at our option at any time and from time to time prior to January 24, 2030, and October 24, 2049, respectively. Interest on each of the notes is due semi-annually on April 24 and October 24, commencing on October 24, 2020. The notes contain customary covenants and events of default. If a change of control triggering event occurs, we will be required to offer to purchase the notes at a purchase price equal to 101% of the principal amount plus accrued and unpaid interest, if any, to the purchase date.</w:t>
      </w:r>
    </w:p>
    <w:p>
      <w:pPr>
        <w:spacing w:after="0" w:line="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Principal amounts of long-term debt mature as follows: $4 in 2022; $1,019 in 2023; $0 in 2024; $1,150 in 2025; and a total of $2,863 in periods thereafter.</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28, 2019, we had long-term debt of $6 reflected in Noncurrent liabilities of discontinued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Instruments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18"/>
          <w:szCs w:val="18"/>
          <w:color w:val="auto"/>
        </w:rPr>
        <w:t>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August 2, 2020, or July 28, 2019.</w:t>
      </w:r>
    </w:p>
    <w:p>
      <w:pPr>
        <w:spacing w:after="0" w:line="5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also exposed to credit risk from our customers. During 2020, our largest customer accounted for approximately 21% of consolidated net sales from continuing operations. Our five largest customers accounted for approximately 44% of our consolidated net sales from continuing operations in 2020.</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exposed to foreign currency exchange risk related to third-party transactions and intercompany transactions, including intercompany debt. Principal currencies hedged include the Canadian dollar and, prior to the sale of Arnott's and other international operations, the Australian dollar.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for periods consistent with the underlying debt. The notional amount of foreign exchange forward contracts accounted for as cash-flow hedges was $164 at August 2, 2020, and $146 at July 28, 2019, of which $80 at July 28, 2019, related to discontinued operations.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$19 at August 2, 2020, and $177 at July 28, 2019, of which $3 at July 28, 2019, related to discontinued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 The effective portion of the changes in fair value on designated instruments is recorded in other comprehensive income (loss) and reclassified into interest expense over the life of the debt. The change in fair value on undesignated instruments is recorded in interest expense. In conjunction with the debt redemption and tender offer, we entered into $900 of undesignated treasury rate lock agreements in the three-month period ended January 26, 2020, which resulted in a gain of $3. There were no forward starting interest rate swaps or treasury rate lock contracts outstanding as of August 2, 2020, or July 28, 2019.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soybean oil, diesel fuel, natural gas, cocoa, aluminum, soybean meal and corn. Commodity futures, options, and swap contracts are either designated as cash-flow hedging instruments or are undesignated. We hedge a portion of commodity requirements for periods typically up to 18 months. There were no commodity contracts accounted for as cash-flow hedges as of August 2, 2020, or July 28, 2019. The notional amount of commodity contracts not designated as accounting hedges was $137 at August 2, 2020, and $183 at July 28, 2019, of which $3 at July 28, 2019, related to discontinued operations.</w:t>
      </w:r>
    </w:p>
    <w:p>
      <w:pPr>
        <w:spacing w:after="0" w:line="67"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$34 as of August 2, 2020, and $27 as of July 28, 2019.</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Unrealized gains (losses) and settlements are included in Cost of products sold in the Consolidated Statements of Earnings.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certain deferred compensation obligations linked to the total return of our capital stock, the total return of the Vanguard Institutional Index Institutional Plus Shares,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Institutional Plus Shares; or the total return of the iShares MSCI EAFE Index, which is expected to approximate the total return of the Vanguard Total International Stock Index. These contracts were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as of August 2, 2020, and July 28, 2019, were $22 and $31, respectively.</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 of derivative instruments on a gross basis as recorded in the Consolidated Balance Sheets as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2020, and July 28,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30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r>
      <w:tr>
        <w:trPr>
          <w:trHeight w:val="235"/>
        </w:trPr>
        <w:tc>
          <w:tcPr>
            <w:tcW w:w="4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42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4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r>
      <w:tr>
        <w:trPr>
          <w:trHeight w:val="23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4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compensation derivative contracts</w:t>
            </w:r>
          </w:p>
        </w:tc>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4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2"/>
                <w:szCs w:val="22"/>
                <w:color w:val="auto"/>
              </w:rPr>
            </w:pPr>
          </w:p>
        </w:tc>
      </w:tr>
      <w:tr>
        <w:trPr>
          <w:trHeight w:val="23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7"/>
        </w:trPr>
        <w:tc>
          <w:tcPr>
            <w:tcW w:w="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30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24"/>
                <w:szCs w:val="24"/>
                <w:color w:val="auto"/>
              </w:rPr>
            </w:pPr>
          </w:p>
        </w:tc>
      </w:tr>
      <w:tr>
        <w:trPr>
          <w:trHeight w:val="235"/>
        </w:trPr>
        <w:tc>
          <w:tcPr>
            <w:tcW w:w="40" w:type="dxa"/>
            <w:vAlign w:val="bottom"/>
          </w:tcPr>
          <w:p>
            <w:pPr>
              <w:spacing w:after="0"/>
              <w:rPr>
                <w:sz w:val="20"/>
                <w:szCs w:val="20"/>
                <w:color w:val="auto"/>
              </w:rPr>
            </w:pPr>
          </w:p>
        </w:tc>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42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4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40" w:type="dxa"/>
            <w:vAlign w:val="bottom"/>
          </w:tcPr>
          <w:p>
            <w:pPr>
              <w:spacing w:after="0"/>
              <w:rPr>
                <w:sz w:val="22"/>
                <w:szCs w:val="22"/>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4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4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40" w:type="dxa"/>
            <w:vAlign w:val="bottom"/>
          </w:tcPr>
          <w:p>
            <w:pPr>
              <w:spacing w:after="0"/>
              <w:rPr>
                <w:sz w:val="22"/>
                <w:szCs w:val="22"/>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4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August 2, 2020, and July 28, 2019, would be adjusted as detailed in the following table:</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2"/>
                <w:szCs w:val="12"/>
                <w:color w:val="auto"/>
              </w:rPr>
            </w:pPr>
          </w:p>
        </w:tc>
        <w:tc>
          <w:tcPr>
            <w:tcW w:w="11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200" w:type="dxa"/>
            <w:vAlign w:val="bottom"/>
          </w:tcPr>
          <w:p>
            <w:pPr>
              <w:spacing w:after="0"/>
              <w:rPr>
                <w:sz w:val="12"/>
                <w:szCs w:val="12"/>
                <w:color w:val="auto"/>
              </w:rPr>
            </w:pPr>
          </w:p>
        </w:tc>
        <w:tc>
          <w:tcPr>
            <w:tcW w:w="11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At August 2, 2020, and July 28, 2019, a cash margin account balance of $8 and $7, respectively, was included in Other current assets in the Consolidated Balance Sheets.</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show the effect of our derivative instruments designated as cash-flow hedges for the years ended August 2, 2020, July 28, 2019, and July 29, 2018 in other comprehensive income (loss) (OCI) and the Consolidated Statements of Earnings:</w:t>
      </w:r>
    </w:p>
    <w:p>
      <w:pPr>
        <w:spacing w:after="0" w:line="88"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Total Cash-Flow Hedge</w:t>
      </w:r>
    </w:p>
    <w:p>
      <w:pPr>
        <w:spacing w:after="0" w:line="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OCI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13335</wp:posOffset>
            </wp:positionV>
            <wp:extent cx="20313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Cash-Flow Hedges</w:t>
            </w:r>
          </w:p>
        </w:tc>
        <w:tc>
          <w:tcPr>
            <w:tcW w:w="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year</w:t>
            </w:r>
          </w:p>
        </w:tc>
        <w:tc>
          <w:tcPr>
            <w:tcW w:w="27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Location in Earnings</w:t>
            </w:r>
          </w:p>
        </w:tc>
        <w:tc>
          <w:tcPr>
            <w:tcW w:w="1140" w:type="dxa"/>
            <w:vAlign w:val="bottom"/>
            <w:tcBorders>
              <w:bottom w:val="single" w:sz="8" w:color="CCEEFF"/>
            </w:tcBorders>
            <w:gridSpan w:val="2"/>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from</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year</w:t>
            </w:r>
          </w:p>
        </w:tc>
        <w:tc>
          <w:tcPr>
            <w:tcW w:w="27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loss of $2.</w:t>
      </w:r>
    </w:p>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total amounts of line items presented in the Consolidated Statements of Earnings for the years ended August 2, 2020, July 28, 2019, and July 29, 2018 in which the effects of derivative instruments designated as cash-flow hedges are recorded and the total effect of hedge activity on these line items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2"/>
                <w:szCs w:val="12"/>
                <w:color w:val="auto"/>
              </w:rPr>
            </w:pPr>
          </w:p>
        </w:tc>
        <w:tc>
          <w:tcPr>
            <w:tcW w:w="9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0" w:type="dxa"/>
            <w:vAlign w:val="bottom"/>
          </w:tcPr>
          <w:p>
            <w:pPr>
              <w:spacing w:after="0"/>
              <w:rPr>
                <w:sz w:val="1"/>
                <w:szCs w:val="1"/>
                <w:color w:val="auto"/>
              </w:rPr>
            </w:pPr>
          </w:p>
        </w:tc>
      </w:tr>
      <w:tr>
        <w:trPr>
          <w:trHeight w:val="195"/>
        </w:trPr>
        <w:tc>
          <w:tcPr>
            <w:tcW w:w="2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223"/>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5,692</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6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Cash Flow</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 of (gain) loss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reclassified from OCI to</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 excluded from</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effectiveness testing recognized</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earnings using an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approach</w:t>
            </w: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78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70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06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70"/>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3" w:name="page74"/>
    <w:bookmarkEnd w:id="73"/>
    <w:p>
      <w:pPr>
        <w:ind w:left="34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0" w:type="dxa"/>
            <w:vAlign w:val="bottom"/>
            <w:gridSpan w:val="7"/>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Amount of (Gain) Loss Recognized in Earnings on</w:t>
            </w:r>
          </w:p>
        </w:tc>
        <w:tc>
          <w:tcPr>
            <w:tcW w:w="0" w:type="dxa"/>
            <w:vAlign w:val="bottom"/>
          </w:tcPr>
          <w:p>
            <w:pPr>
              <w:spacing w:after="0"/>
              <w:rPr>
                <w:sz w:val="1"/>
                <w:szCs w:val="1"/>
                <w:color w:val="auto"/>
              </w:rPr>
            </w:pPr>
          </w:p>
        </w:tc>
      </w:tr>
      <w:tr>
        <w:trPr>
          <w:trHeight w:val="194"/>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Hedges</w:t>
            </w:r>
          </w:p>
        </w:tc>
        <w:tc>
          <w:tcPr>
            <w:tcW w:w="100" w:type="dxa"/>
            <w:vAlign w:val="bottom"/>
            <w:vMerge w:val="restart"/>
          </w:tcPr>
          <w:p>
            <w:pPr>
              <w:spacing w:after="0"/>
              <w:rPr>
                <w:sz w:val="11"/>
                <w:szCs w:val="11"/>
                <w:color w:val="auto"/>
              </w:rPr>
            </w:pPr>
          </w:p>
        </w:tc>
        <w:tc>
          <w:tcPr>
            <w:tcW w:w="3220" w:type="dxa"/>
            <w:vAlign w:val="bottom"/>
            <w:gridSpan w:val="2"/>
          </w:tcPr>
          <w:p>
            <w:pPr>
              <w:ind w:left="840"/>
              <w:spacing w:after="0" w:line="137" w:lineRule="exact"/>
              <w:rPr>
                <w:sz w:val="20"/>
                <w:szCs w:val="20"/>
                <w:color w:val="auto"/>
              </w:rPr>
            </w:pPr>
            <w:r>
              <w:rPr>
                <w:rFonts w:ascii="Times New Roman" w:cs="Times New Roman" w:eastAsia="Times New Roman" w:hAnsi="Times New Roman"/>
                <w:sz w:val="14"/>
                <w:szCs w:val="14"/>
                <w:b w:val="1"/>
                <w:bCs w:val="1"/>
                <w:color w:val="auto"/>
              </w:rPr>
              <w:t>Location of (Gain) Loss</w:t>
            </w:r>
          </w:p>
        </w:tc>
        <w:tc>
          <w:tcPr>
            <w:tcW w:w="180" w:type="dxa"/>
            <w:vAlign w:val="bottom"/>
          </w:tcPr>
          <w:p>
            <w:pPr>
              <w:spacing w:after="0"/>
              <w:rPr>
                <w:sz w:val="11"/>
                <w:szCs w:val="11"/>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5"/>
        </w:trPr>
        <w:tc>
          <w:tcPr>
            <w:tcW w:w="4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w:t>
            </w:r>
          </w:p>
        </w:tc>
        <w:tc>
          <w:tcPr>
            <w:tcW w:w="180" w:type="dxa"/>
            <w:vAlign w:val="bottom"/>
          </w:tcPr>
          <w:p>
            <w:pPr>
              <w:spacing w:after="0"/>
              <w:rPr>
                <w:sz w:val="19"/>
                <w:szCs w:val="19"/>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 contracts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rate lock contracts</w:t>
            </w: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Variable Interest Entity</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2016, we agreed to make a capital commitment subject to certain qualifications of up to $125 to Acre, a limited partnership formed to make venture capital investments in innovative new companies in food and food-related industries. Acre is managed by its general partner, Acre Ventures GP, LLC, which is independent of us. We were the sole limited partner of Acre and owned a 99.8% interest. Acre was a VIE. We entered into an agreement to sell our interest in Acre on April 26, 2020, and completed the sale on May 8, 2020, for $30 resulting in a loss of $45 recognized in the third quarter as a result of the pending sale. We consolidated Acre and accounted for the third party ownership as a noncontrolling interest. Through the date of the sale, we funded $86 of the capital commitment.</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Acre elected the fair value option to account for qualifying investments to more appropriately reflect the value of the investments in the financial statements. The investments were $76 as of July 28, 2019, and are included in Other assets on the Consolidated Balance Sheet. Changes in the fair values of investments for which the fair value option was elected were included in Other expenses / (income) on the Consolidated Statements of Earnings. Current assets and liabilities of Acre were not material as of July 28, 2019.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90"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10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40"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94" w:lineRule="exact"/>
        <w:rPr>
          <w:sz w:val="20"/>
          <w:szCs w:val="20"/>
          <w:color w:val="auto"/>
        </w:rPr>
      </w:pPr>
    </w:p>
    <w:p>
      <w:pPr>
        <w:ind w:firstLine="324"/>
        <w:spacing w:after="0" w:line="278" w:lineRule="auto"/>
        <w:rPr>
          <w:sz w:val="20"/>
          <w:szCs w:val="20"/>
          <w:color w:val="auto"/>
        </w:rPr>
      </w:pPr>
      <w:r>
        <w:rPr>
          <w:rFonts w:ascii="Times New Roman" w:cs="Times New Roman" w:eastAsia="Times New Roman" w:hAnsi="Times New Roman"/>
          <w:sz w:val="18"/>
          <w:szCs w:val="18"/>
          <w:color w:val="auto"/>
        </w:rPr>
        <w:t>The following table presents our financial assets and liabilities that are measured at fair value on a recurring basis as of August 2, 2020, and July 28, 2019, consistent with the fair value hierarchy:</w:t>
      </w: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gridSpan w:val="9"/>
          </w:tcPr>
          <w:p>
            <w:pPr>
              <w:jc w:val="center"/>
              <w:ind w:left="515"/>
              <w:spacing w:after="0" w:line="149" w:lineRule="exact"/>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2460" w:type="dxa"/>
            <w:vAlign w:val="bottom"/>
            <w:gridSpan w:val="10"/>
          </w:tcPr>
          <w:p>
            <w:pPr>
              <w:jc w:val="center"/>
              <w:ind w:left="515"/>
              <w:spacing w:after="0" w:line="149" w:lineRule="exact"/>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gridSpan w:val="6"/>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August 2, 2020 Using</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6"/>
            <w:vMerge w:val="restart"/>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July 28, 2019 Using</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3"/>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320" w:type="dxa"/>
            <w:vAlign w:val="bottom"/>
            <w:gridSpan w:val="6"/>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3"/>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6"/>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6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6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7"/>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July 28,</w:t>
            </w: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8"/>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9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5"/>
        </w:trPr>
        <w:tc>
          <w:tcPr>
            <w:tcW w:w="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w w:val="93"/>
              </w:rPr>
              <w:t>Assets</w:t>
            </w:r>
          </w:p>
        </w:tc>
        <w:tc>
          <w:tcPr>
            <w:tcW w:w="12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2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forward contracts</w:t>
            </w:r>
            <w:r>
              <w:rPr>
                <w:rFonts w:ascii="Times New Roman" w:cs="Times New Roman" w:eastAsia="Times New Roman" w:hAnsi="Times New Roman"/>
                <w:sz w:val="23"/>
                <w:szCs w:val="23"/>
                <w:color w:val="auto"/>
                <w:vertAlign w:val="superscript"/>
              </w:rPr>
              <w:t>(1)</w:t>
            </w:r>
          </w:p>
        </w:tc>
        <w:tc>
          <w:tcPr>
            <w:tcW w:w="1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60" w:type="dxa"/>
            <w:vAlign w:val="bottom"/>
            <w:gridSpan w:val="4"/>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60" w:type="dxa"/>
            <w:vAlign w:val="bottom"/>
            <w:gridSpan w:val="5"/>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shd w:val="clear" w:color="auto" w:fill="CCEEFF"/>
          </w:tcPr>
          <w:p>
            <w:pPr>
              <w:spacing w:after="0"/>
              <w:rPr>
                <w:sz w:val="15"/>
                <w:szCs w:val="15"/>
                <w:color w:val="auto"/>
              </w:rPr>
            </w:pPr>
          </w:p>
        </w:tc>
        <w:tc>
          <w:tcPr>
            <w:tcW w:w="172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Commodity</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172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2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2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color w:val="auto"/>
              </w:rPr>
              <w:t>compensation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2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72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Deferred</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shd w:val="clear" w:color="auto" w:fill="CCEEFF"/>
          </w:tcPr>
          <w:p>
            <w:pPr>
              <w:spacing w:after="0"/>
              <w:rPr>
                <w:sz w:val="15"/>
                <w:szCs w:val="15"/>
                <w:color w:val="auto"/>
              </w:rPr>
            </w:pPr>
          </w:p>
        </w:tc>
        <w:tc>
          <w:tcPr>
            <w:tcW w:w="172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compensation</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172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2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color w:val="auto"/>
              </w:rPr>
              <w:t>Fair value option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vMerge w:val="restart"/>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3"/>
                <w:szCs w:val="23"/>
                <w:color w:val="auto"/>
                <w:vertAlign w:val="superscript"/>
              </w:rPr>
              <w:t>(5)</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0" w:type="dxa"/>
            <w:vAlign w:val="bottom"/>
            <w:tcBorders>
              <w:right w:val="single" w:sz="8" w:color="CCEEFF"/>
            </w:tcBorders>
            <w:shd w:val="clear" w:color="auto" w:fill="CCEEFF"/>
          </w:tcPr>
          <w:p>
            <w:pPr>
              <w:spacing w:after="0"/>
              <w:rPr>
                <w:sz w:val="17"/>
                <w:szCs w:val="17"/>
                <w:color w:val="auto"/>
              </w:rPr>
            </w:pPr>
          </w:p>
        </w:tc>
        <w:tc>
          <w:tcPr>
            <w:tcW w:w="1720" w:type="dxa"/>
            <w:vAlign w:val="bottom"/>
            <w:gridSpan w:val="3"/>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assets at fair</w:t>
            </w: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restart"/>
            <w:shd w:val="clear" w:color="auto" w:fill="CCEEFF"/>
          </w:tcPr>
          <w:p>
            <w:pPr>
              <w:spacing w:after="0"/>
              <w:rPr>
                <w:sz w:val="17"/>
                <w:szCs w:val="17"/>
                <w:color w:val="auto"/>
              </w:rPr>
            </w:pPr>
          </w:p>
        </w:tc>
        <w:tc>
          <w:tcPr>
            <w:tcW w:w="120" w:type="dxa"/>
            <w:vAlign w:val="bottom"/>
            <w:gridSpan w:val="2"/>
            <w:vMerge w:val="restart"/>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4"/>
        </w:trPr>
        <w:tc>
          <w:tcPr>
            <w:tcW w:w="40" w:type="dxa"/>
            <w:vAlign w:val="bottom"/>
            <w:tcBorders>
              <w:bottom w:val="single" w:sz="8" w:color="CCEEFF"/>
              <w:right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Borders>
              <w:bottom w:val="single" w:sz="8" w:color="auto"/>
            </w:tcBorders>
            <w:gridSpan w:val="2"/>
            <w:vMerge w:val="continue"/>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vMerge w:val="continue"/>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vMerge w:val="continue"/>
            <w:shd w:val="clear" w:color="auto" w:fill="CCEEFF"/>
          </w:tcPr>
          <w:p>
            <w:pPr>
              <w:spacing w:after="0"/>
              <w:rPr>
                <w:sz w:val="22"/>
                <w:szCs w:val="22"/>
                <w:color w:val="auto"/>
              </w:rPr>
            </w:pPr>
          </w:p>
        </w:tc>
        <w:tc>
          <w:tcPr>
            <w:tcW w:w="220" w:type="dxa"/>
            <w:vAlign w:val="bottom"/>
            <w:tcBorders>
              <w:bottom w:val="single" w:sz="8" w:color="auto"/>
            </w:tcBorders>
            <w:gridSpan w:val="2"/>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gridSpan w:val="2"/>
            <w:vMerge w:val="continue"/>
            <w:shd w:val="clear" w:color="auto" w:fill="CCEEFF"/>
          </w:tcPr>
          <w:p>
            <w:pPr>
              <w:spacing w:after="0"/>
              <w:rPr>
                <w:sz w:val="22"/>
                <w:szCs w:val="22"/>
                <w:color w:val="auto"/>
              </w:rPr>
            </w:pPr>
          </w:p>
        </w:tc>
        <w:tc>
          <w:tcPr>
            <w:tcW w:w="220" w:type="dxa"/>
            <w:vAlign w:val="bottom"/>
            <w:tcBorders>
              <w:bottom w:val="single" w:sz="8" w:color="auto"/>
            </w:tcBorders>
            <w:gridSpan w:val="2"/>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9"/>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24"/>
                <w:szCs w:val="24"/>
                <w:color w:val="auto"/>
              </w:rPr>
            </w:pPr>
          </w:p>
        </w:tc>
        <w:tc>
          <w:tcPr>
            <w:tcW w:w="2460" w:type="dxa"/>
            <w:vAlign w:val="bottom"/>
            <w:gridSpan w:val="10"/>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gridSpan w:val="6"/>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August 2, 2020 Using</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6"/>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July 28, 2019 Using</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3"/>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320" w:type="dxa"/>
            <w:vAlign w:val="bottom"/>
            <w:gridSpan w:val="6"/>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3"/>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6"/>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6"/>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July 28,</w:t>
            </w: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7"/>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9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8"/>
        </w:trPr>
        <w:tc>
          <w:tcPr>
            <w:tcW w:w="40" w:type="dxa"/>
            <w:vAlign w:val="bottom"/>
            <w:tcBorders>
              <w:right w:val="single" w:sz="8" w:color="CCEEFF"/>
            </w:tcBorders>
          </w:tcPr>
          <w:p>
            <w:pPr>
              <w:spacing w:after="0"/>
              <w:rPr>
                <w:sz w:val="16"/>
                <w:szCs w:val="16"/>
                <w:color w:val="auto"/>
              </w:rPr>
            </w:pPr>
          </w:p>
        </w:tc>
        <w:tc>
          <w:tcPr>
            <w:tcW w:w="1720" w:type="dxa"/>
            <w:vAlign w:val="bottom"/>
            <w:tcBorders>
              <w:top w:val="single" w:sz="8" w:color="CCEEFF"/>
            </w:tcBorders>
            <w:gridSpan w:val="3"/>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2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forward contracts</w:t>
            </w:r>
            <w:r>
              <w:rPr>
                <w:rFonts w:ascii="Times New Roman" w:cs="Times New Roman" w:eastAsia="Times New Roman" w:hAnsi="Times New Roman"/>
                <w:sz w:val="23"/>
                <w:szCs w:val="23"/>
                <w:color w:val="auto"/>
                <w:vertAlign w:val="superscript"/>
              </w:rPr>
              <w:t>(1)</w:t>
            </w:r>
          </w:p>
        </w:tc>
        <w:tc>
          <w:tcPr>
            <w:tcW w:w="1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60" w:type="dxa"/>
            <w:vAlign w:val="bottom"/>
            <w:gridSpan w:val="4"/>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60" w:type="dxa"/>
            <w:vAlign w:val="bottom"/>
            <w:gridSpan w:val="5"/>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tcPr>
          <w:p>
            <w:pPr>
              <w:spacing w:after="0"/>
              <w:rPr>
                <w:sz w:val="15"/>
                <w:szCs w:val="15"/>
                <w:color w:val="auto"/>
              </w:rPr>
            </w:pPr>
          </w:p>
        </w:tc>
        <w:tc>
          <w:tcPr>
            <w:tcW w:w="172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Commodity</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172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w w:val="99"/>
              </w:rPr>
              <w:t>derivative contracts</w:t>
            </w:r>
            <w:r>
              <w:rPr>
                <w:rFonts w:ascii="Times New Roman" w:cs="Times New Roman" w:eastAsia="Times New Roman" w:hAnsi="Times New Roman"/>
                <w:sz w:val="23"/>
                <w:szCs w:val="23"/>
                <w:color w:val="auto"/>
                <w:w w:val="99"/>
                <w:vertAlign w:val="superscript"/>
              </w:rPr>
              <w:t>(2)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2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2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compensation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tcBorders>
              <w:bottom w:val="single" w:sz="8" w:color="CCEEFF"/>
            </w:tcBorders>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3"/>
                <w:szCs w:val="23"/>
                <w:color w:val="auto"/>
                <w:vertAlign w:val="superscript"/>
              </w:rPr>
              <w:t>(4)</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0" w:type="dxa"/>
            <w:vAlign w:val="bottom"/>
            <w:tcBorders>
              <w:right w:val="single" w:sz="8" w:color="CCEEFF"/>
            </w:tcBorders>
          </w:tcPr>
          <w:p>
            <w:pPr>
              <w:spacing w:after="0"/>
              <w:rPr>
                <w:sz w:val="17"/>
                <w:szCs w:val="17"/>
                <w:color w:val="auto"/>
              </w:rPr>
            </w:pPr>
          </w:p>
        </w:tc>
        <w:tc>
          <w:tcPr>
            <w:tcW w:w="1720" w:type="dxa"/>
            <w:vAlign w:val="bottom"/>
            <w:gridSpan w:val="3"/>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liabilities at fair</w:t>
            </w: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36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gridSpan w:val="5"/>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40" w:type="dxa"/>
            <w:vAlign w:val="bottom"/>
            <w:tcBorders>
              <w:right w:val="single" w:sz="8" w:color="CCEEFF"/>
            </w:tcBorders>
          </w:tcPr>
          <w:p>
            <w:pPr>
              <w:spacing w:after="0"/>
              <w:rPr>
                <w:sz w:val="22"/>
                <w:szCs w:val="22"/>
                <w:color w:val="auto"/>
              </w:rPr>
            </w:pPr>
          </w:p>
        </w:tc>
        <w:tc>
          <w:tcPr>
            <w:tcW w:w="1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gridSpan w:val="2"/>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vMerge w:val="continue"/>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360" w:type="dxa"/>
            <w:vAlign w:val="bottom"/>
            <w:gridSpan w:val="4"/>
            <w:vMerge w:val="continue"/>
            <w:shd w:val="clear" w:color="auto" w:fill="CCEEFF"/>
          </w:tcPr>
          <w:p>
            <w:pPr>
              <w:spacing w:after="0"/>
              <w:rPr>
                <w:sz w:val="22"/>
                <w:szCs w:val="22"/>
                <w:color w:val="auto"/>
              </w:rPr>
            </w:pPr>
          </w:p>
        </w:tc>
        <w:tc>
          <w:tcPr>
            <w:tcW w:w="88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vMerge w:val="continue"/>
            <w:shd w:val="clear" w:color="auto" w:fill="CCEEFF"/>
          </w:tcPr>
          <w:p>
            <w:pPr>
              <w:spacing w:after="0"/>
              <w:rPr>
                <w:sz w:val="22"/>
                <w:szCs w:val="22"/>
                <w:color w:val="auto"/>
              </w:rPr>
            </w:pPr>
          </w:p>
        </w:tc>
        <w:tc>
          <w:tcPr>
            <w:tcW w:w="920" w:type="dxa"/>
            <w:vAlign w:val="bottom"/>
            <w:gridSpan w:val="2"/>
            <w:vMerge w:val="continue"/>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360" w:type="dxa"/>
            <w:vAlign w:val="bottom"/>
            <w:gridSpan w:val="5"/>
            <w:vMerge w:val="continue"/>
            <w:shd w:val="clear" w:color="auto" w:fill="CCEEFF"/>
          </w:tcPr>
          <w:p>
            <w:pPr>
              <w:spacing w:after="0"/>
              <w:rPr>
                <w:sz w:val="22"/>
                <w:szCs w:val="22"/>
                <w:color w:val="auto"/>
              </w:rPr>
            </w:pPr>
          </w:p>
        </w:tc>
        <w:tc>
          <w:tcPr>
            <w:tcW w:w="88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vMerge w:val="continue"/>
            <w:shd w:val="clear" w:color="auto" w:fill="CCEEFF"/>
          </w:tcPr>
          <w:p>
            <w:pPr>
              <w:spacing w:after="0"/>
              <w:rPr>
                <w:sz w:val="22"/>
                <w:szCs w:val="22"/>
                <w:color w:val="auto"/>
              </w:rPr>
            </w:pPr>
          </w:p>
        </w:tc>
        <w:tc>
          <w:tcPr>
            <w:tcW w:w="82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38" w:lineRule="exact"/>
        <w:rPr>
          <w:sz w:val="20"/>
          <w:szCs w:val="20"/>
          <w:color w:val="auto"/>
        </w:rPr>
      </w:pPr>
    </w:p>
    <w:p>
      <w:pPr>
        <w:ind w:left="320" w:hanging="312"/>
        <w:spacing w:after="0"/>
        <w:tabs>
          <w:tab w:leader="none" w:pos="32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spacing w:after="0" w:line="1" w:lineRule="exact"/>
        <w:rPr>
          <w:rFonts w:ascii="Times New Roman" w:cs="Times New Roman" w:eastAsia="Times New Roman" w:hAnsi="Times New Roman"/>
          <w:sz w:val="23"/>
          <w:szCs w:val="23"/>
          <w:color w:val="auto"/>
          <w:vertAlign w:val="superscript"/>
        </w:rPr>
      </w:pPr>
    </w:p>
    <w:p>
      <w:pPr>
        <w:jc w:val="both"/>
        <w:ind w:left="340" w:hanging="332"/>
        <w:spacing w:after="0" w:line="230" w:lineRule="auto"/>
        <w:tabs>
          <w:tab w:leader="none" w:pos="328" w:val="left"/>
        </w:tabs>
        <w:numPr>
          <w:ilvl w:val="0"/>
          <w:numId w:val="6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ind w:left="320" w:hanging="312"/>
        <w:spacing w:after="0" w:line="196" w:lineRule="auto"/>
        <w:tabs>
          <w:tab w:leader="none" w:pos="32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LIBOR and equity index swap rates.</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spacing w:after="0" w:line="2" w:lineRule="exact"/>
        <w:rPr>
          <w:rFonts w:ascii="Times New Roman" w:cs="Times New Roman" w:eastAsia="Times New Roman" w:hAnsi="Times New Roman"/>
          <w:sz w:val="23"/>
          <w:szCs w:val="23"/>
          <w:color w:val="auto"/>
          <w:vertAlign w:val="superscript"/>
        </w:rPr>
      </w:pPr>
    </w:p>
    <w:p>
      <w:pPr>
        <w:jc w:val="both"/>
        <w:ind w:left="340" w:hanging="332"/>
        <w:spacing w:after="0" w:line="236" w:lineRule="auto"/>
        <w:tabs>
          <w:tab w:leader="none" w:pos="328"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represented investments in equity securities that were not readily marketable and were accounted for under the fair value option. The investments were funded by Acre. Fair value was based on analyzing recent transactions and transactions of comparable companies, and the discounted cash flow method. In addition, allocation methods, including the option pricing method, were used in distributing fair value among various equity holders according to rights and preferences. We entered into an agreement to sell our interest in Acre on April 26, 2020, and completed the sale on May 8, 2020. See Note 16 for additional information.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Level 3 investments for the years ended August 2, 2020, and July 28,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year</w:t>
            </w:r>
          </w:p>
        </w:tc>
        <w:tc>
          <w:tcPr>
            <w:tcW w:w="860" w:type="dxa"/>
            <w:vAlign w:val="bottom"/>
            <w:tcBorders>
              <w:top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84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8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Items Measured at Fair Value on a Nonrecurring Basis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we are also required to measure certain items at fair value on a nonrecurring basis.</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recognized impairment charges on goodwill, trademarks, other intangible assets and plant assets in connection with interim and annual assessments in recent years. See also Notes 3 and 6 for additional information on the impairment charges.</w:t>
      </w:r>
    </w:p>
    <w:p>
      <w:pPr>
        <w:spacing w:after="0" w:line="4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was determined based on unobservable Level 3 inputs. The fair value of plant assets was determined based on cash flows associated with the asset group that include significant management assumptions, including expected proceeds. The fair values of trademarks was determined based on discounted cash flow analyses that include significant management assumptions such as revenue growth rates, weighted average costs of capital and assumed royalty rates. The fair value in testing goodwill was determined based on discounted cash flow analyses that include significant management assumptions such as revenue growth rates, operating margins, weighted average costs of capital, and future economic and market conditions.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fair value measurements: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Plant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Amortizable</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Trademark</w:t>
            </w:r>
          </w:p>
        </w:tc>
        <w:tc>
          <w:tcPr>
            <w:tcW w:w="12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Plant Assets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Amortizable</w:t>
            </w:r>
          </w:p>
        </w:tc>
        <w:tc>
          <w:tcPr>
            <w:tcW w:w="160" w:type="dxa"/>
            <w:vAlign w:val="bottom"/>
          </w:tcPr>
          <w:p>
            <w:pPr>
              <w:spacing w:after="0"/>
              <w:rPr>
                <w:sz w:val="12"/>
                <w:szCs w:val="12"/>
                <w:color w:val="auto"/>
              </w:rPr>
            </w:pPr>
          </w:p>
        </w:tc>
        <w:tc>
          <w:tcPr>
            <w:tcW w:w="9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Trademark</w:t>
            </w:r>
          </w:p>
        </w:tc>
        <w:tc>
          <w:tcPr>
            <w:tcW w:w="0" w:type="dxa"/>
            <w:vAlign w:val="bottom"/>
          </w:tcPr>
          <w:p>
            <w:pPr>
              <w:spacing w:after="0"/>
              <w:rPr>
                <w:sz w:val="1"/>
                <w:szCs w:val="1"/>
                <w:color w:val="auto"/>
              </w:rPr>
            </w:pPr>
          </w:p>
        </w:tc>
      </w:tr>
      <w:tr>
        <w:trPr>
          <w:trHeight w:val="194"/>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Intangibles</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Intangibles</w:t>
            </w: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27, 2019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Bolthouse Farms carrot and carrot ingredients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Bolthouse Farms refrigerated beverages and salad</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dressings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Garden Fresh Gourmet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1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28, 2018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Refrigerated soup</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the fourth quarter of 2019, we recorded an impairment charge of $16 on customer relationships intangible assets within the European chips business.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was not material.</w:t>
      </w:r>
    </w:p>
    <w:p>
      <w:pPr>
        <w:spacing w:after="0" w:line="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fourth quarter of 2019, as part of our annual review of intangible assets, we recognized an impairment charge of $7 on a trademark and $10 on goodwill in discontinued operations on Kelsen due to a lower long-term outlook for sales and the pending sale of the business.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w:t>
      </w:r>
    </w:p>
    <w:p>
      <w:pPr>
        <w:spacing w:after="0" w:line="1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equivalents were $157 at August 2, 2020. At July 28, 2019, discontinued operations included cash equivalents of $19. Cash equivalents represent fair value as these highly liquid investments have an original maturity of three months or less. Fair value of cash equivalents is based on Level 2 inputs.</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short- and long-term debt was $6,995 at August 2, 2020, and $8,642 at July 28, 2019. The carrying value was $6,196 at August 2, 2020, and $8,474 at July 28, 2019. The fair value and carrying value of short- and long-term debt of discontinued operations was $238 at July 28, 2019. The fair value of long-term debt is principally estimated using Level 2 inputs based on quoted market prices or pricing models using current market rates.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18. Shareholders' Equity</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authorized 560 million shares of Capital stock with $.0375 par value and 40 million shares of Preferred stock, issuable in one or more classes, with or without par as may be authorized by the Board of Directors. No Preferred stock has been issued.</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2017, the Board authorized a share repurchase program to purchase up to $1,500. The program has no expiration date, but it may be suspended or discontinued at any time. In addition to this publicly announced program, we have a separate Board authorization to purchase shares to offset the impact of dilution from shares issued under our stock compensation plans. We suspended our share repurchases as of the second quarter of 2018. Approximately $1,296 remained available under the March 2017 program as of August 2, 2020. In 2018, we repurchased 2 million shares at a cost of $86.</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Stock-based Compensation</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2003, shareholders approved the 2003 Long-Term Incentive Plan, which authorized the issuance of an aggregate of 31.2 million shares to satisfy awards of stock options, stock appreciation rights, unrestricted stock, restricted stock/units (including performance restricted stock) and performance units. In 2005, shareholders approved the 2005 Long-Term Incentive Plan, which authorized the issuance of an additional 6 million shares to satisfy the same types of awards. In 2008, shareholders approved an amendment to the 2005 Long-Term Incentive Plan to increase the number of authorized shares to 10.5 million and in 2010, shareholders approved another amendment to the 2005 Long-Term Incentive Plan to increase the number of authorized shares to 17.5 million. In 2015, shareholders approved the 2015 Long-Term Incentive Plan, which authorized the issuance of 13 million shares. Approximately 6 million of these shares were shares that were currently available under the 2005 plan and were incorporated into the 2015 Plan upon approval by shareholders.</w:t>
      </w:r>
    </w:p>
    <w:p>
      <w:pPr>
        <w:spacing w:after="0" w:line="6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Awards under Long-Term Incentive Plans may be granted to employees and directors. Pursuant to the Long-Term Incentive Plan, we adopted a long-term incentive compensation program which provides for grants of total shareholder return (TSR) performance restricted stock/units, EPS performance restricted stock/units, strategic performance restricted stock/units, time-lapse restricted stock/units, special performance restricted stock/units, free cash flow (FCF) performance restricted stock/units and unrestricted stock. Under the program, awards of TSR performance restricted stock/units will be earned by comparing our total shareholder return during a three-year period to the respective total shareholder returns of companies in a performance peer group. Based upon our ranking in the performance peer group, a recipient of TSR performance restricted stock/units may earn a total award ranging from 0% to 200% of the initial grant. Awards of EPS performance restricted stock/units will be earned based upon our achievement of annual earnings per share goals. During the three-year vesting period, a recipient of EPS performance restricted stock/units may earn a total award of either 0% or 100% of the initial grant. Awards of the strategic performance restricted stock units were earned based upon the achievement of two key metrics, net sales and EPS growth, compared to strategic plan objectives during a three-year period. A recipient of strategic performance restricted stock units earned a total award ranging from 0% to 200% of the initial grant. Awards of FCF performance restricted stock units will be earned based upon the achievement of free cash flow (defined as Net cash provided by operating activities less capital expenditures and certain investing and financing activities) compared to annual operating plan objectives over a three-year period. An annual objective will be established each fiscal year for three consecutive years. Performance against these objectives will be averaged at the end of the three-year period to determine the number of underlying units that will vest at the end of the three years. A recipient of FCF performance restricted stock units may earn a total award ranging from 0% to 200% of the initial grant. Awards of time-lapse restricted stock/units will vest ratably over the three-year period. In addition, we may issue special grants of restricted stock/units to attract and retain executives which vest over various periods. Awards are generally granted annually in October.</w:t>
      </w:r>
    </w:p>
    <w:p>
      <w:pPr>
        <w:spacing w:after="0" w:line="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Annual stock option grants were granted in 2019 and 2018. Stock options are granted on a selective basis under the Long-Term Incentive Plans. The term of a stock option granted under these plans may not exceed ten years from the date of grant. Options granted in 2019 and 2018 under these plans vest ratably over a three-year period. In 2019, we also granted options under these plans that vest at the end of a three-year period. The option price may not be less than the fair market value of a share of common stock on the date of the grant.</w:t>
      </w:r>
    </w:p>
    <w:p>
      <w:pPr>
        <w:spacing w:after="0" w:line="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2020, we issued time-lapse restricted stock units, unrestricted stock and TSR performance restricted stock units. We did not issue stock options, FCF performance restricted stock units, EPS performance restricted stock units, strategic performance restricted stock units or special performance restricted units in 2020.</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Earnings from continuing operations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20" w:type="dxa"/>
            <w:vAlign w:val="bottom"/>
            <w:tcBorders>
              <w:bottom w:val="single" w:sz="8" w:color="CCEEFF"/>
            </w:tcBorders>
          </w:tcPr>
          <w:p>
            <w:pPr>
              <w:spacing w:after="0"/>
              <w:rPr>
                <w:sz w:val="16"/>
                <w:szCs w:val="16"/>
                <w:color w:val="auto"/>
              </w:rPr>
            </w:pPr>
          </w:p>
        </w:tc>
        <w:tc>
          <w:tcPr>
            <w:tcW w:w="29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6"/>
                <w:szCs w:val="16"/>
                <w:color w:val="auto"/>
              </w:rPr>
            </w:pPr>
          </w:p>
        </w:tc>
      </w:tr>
      <w:tr>
        <w:trPr>
          <w:trHeight w:val="249"/>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3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1"/>
                <w:szCs w:val="2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3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r>
      <w:tr>
        <w:trPr>
          <w:trHeight w:val="796"/>
        </w:trPr>
        <w:tc>
          <w:tcPr>
            <w:tcW w:w="4520" w:type="dxa"/>
            <w:vAlign w:val="bottom"/>
          </w:tcPr>
          <w:p>
            <w:pPr>
              <w:spacing w:after="0"/>
              <w:rPr>
                <w:sz w:val="24"/>
                <w:szCs w:val="24"/>
                <w:color w:val="auto"/>
              </w:rPr>
            </w:pPr>
          </w:p>
        </w:tc>
        <w:tc>
          <w:tcPr>
            <w:tcW w:w="29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4520" w:type="dxa"/>
            <w:vAlign w:val="bottom"/>
            <w:tcBorders>
              <w:bottom w:val="single" w:sz="8" w:color="9A9A9A"/>
            </w:tcBorders>
          </w:tcPr>
          <w:p>
            <w:pPr>
              <w:spacing w:after="0"/>
              <w:rPr>
                <w:sz w:val="18"/>
                <w:szCs w:val="18"/>
                <w:color w:val="auto"/>
              </w:rPr>
            </w:pPr>
          </w:p>
        </w:tc>
        <w:tc>
          <w:tcPr>
            <w:tcW w:w="29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ind w:left="340"/>
        <w:spacing w:after="0"/>
        <w:rPr>
          <w:sz w:val="20"/>
          <w:szCs w:val="20"/>
          <w:color w:val="auto"/>
        </w:rPr>
      </w:pPr>
      <w:r>
        <w:rPr>
          <w:rFonts w:ascii="Times New Roman" w:cs="Times New Roman" w:eastAsia="Times New Roman" w:hAnsi="Times New Roman"/>
          <w:sz w:val="18"/>
          <w:szCs w:val="18"/>
          <w:color w:val="auto"/>
        </w:rPr>
        <w:t>Total pre-tax stock-based compensation expense and tax-related benefits recognized in Earnings (loss) from discontinued operations were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4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Tax-related benefits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as of August 2, 2020:</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80" w:type="dxa"/>
            <w:vAlign w:val="bottom"/>
            <w:vMerge w:val="restart"/>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vMerge w:val="restart"/>
          </w:tcPr>
          <w:p>
            <w:pPr>
              <w:spacing w:after="0"/>
              <w:rPr>
                <w:sz w:val="12"/>
                <w:szCs w:val="12"/>
                <w:color w:val="auto"/>
              </w:rPr>
            </w:pPr>
          </w:p>
        </w:tc>
        <w:tc>
          <w:tcPr>
            <w:tcW w:w="1040" w:type="dxa"/>
            <w:vAlign w:val="bottom"/>
          </w:tcPr>
          <w:p>
            <w:pPr>
              <w:jc w:val="center"/>
              <w:ind w:left="43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8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in</w:t>
            </w: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28, 2019</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46.17</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47.33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49.46</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August 2, 2020</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45.42</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August 2, 2020</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vMerge w:val="continue"/>
          </w:tcPr>
          <w:p>
            <w:pPr>
              <w:spacing w:after="0"/>
              <w:rPr>
                <w:sz w:val="18"/>
                <w:szCs w:val="18"/>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8"/>
                <w:szCs w:val="18"/>
                <w:color w:val="auto"/>
              </w:rPr>
            </w:pP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50.23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total intrinsic value of options exercised during 2020 was $2. No options were exercised during 2019 or 2018.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assumptions and grant-date fair values for grants in 2019 and 2018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2.06%</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3.84%</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2.95%</w:t>
            </w:r>
          </w:p>
        </w:tc>
      </w:tr>
      <w:tr>
        <w:trPr>
          <w:trHeight w:val="27"/>
        </w:trPr>
        <w:tc>
          <w:tcPr>
            <w:tcW w:w="8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25.28%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19.60%</w:t>
            </w:r>
          </w:p>
        </w:tc>
      </w:tr>
      <w:tr>
        <w:trPr>
          <w:trHeight w:val="24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6.1 years</w:t>
            </w:r>
          </w:p>
        </w:tc>
        <w:tc>
          <w:tcPr>
            <w:tcW w:w="1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6.0 years</w:t>
            </w:r>
          </w:p>
        </w:tc>
      </w:tr>
      <w:tr>
        <w:trPr>
          <w:trHeight w:val="27"/>
        </w:trPr>
        <w:tc>
          <w:tcPr>
            <w:tcW w:w="8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r>
      <w:tr>
        <w:trPr>
          <w:trHeight w:val="27"/>
        </w:trPr>
        <w:tc>
          <w:tcPr>
            <w:tcW w:w="86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expense stock options on a straight-line basis over the vesting period, except for awards issued to retirement eligible participants, which we expense on an accelerated basis. As of August 2, 2020, total remaining unearned compensation related to nonvested stock options was $1, which will be amortized over the weighted-average remaining service period of 1.4 years.</w:t>
      </w:r>
    </w:p>
    <w:p>
      <w:pPr>
        <w:spacing w:after="0" w:line="41"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The following table summarizes time-lapse restricted stock units, EPS performance restricted stock units and FCF performance restricted stock units as of August 2, 2020:</w:t>
      </w: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28, 2019</w:t>
            </w:r>
          </w:p>
        </w:tc>
        <w:tc>
          <w:tcPr>
            <w:tcW w:w="55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40.57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46.82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42.80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5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41.64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August 2, 2020</w:t>
            </w:r>
          </w:p>
        </w:tc>
        <w:tc>
          <w:tcPr>
            <w:tcW w:w="55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43.18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78</w:t>
            </w: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82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9A9A9A"/>
            </w:tcBorders>
          </w:tcPr>
          <w:p>
            <w:pPr>
              <w:spacing w:after="0"/>
              <w:rPr>
                <w:sz w:val="18"/>
                <w:szCs w:val="18"/>
                <w:color w:val="auto"/>
              </w:rPr>
            </w:pPr>
          </w:p>
        </w:tc>
        <w:tc>
          <w:tcPr>
            <w:tcW w:w="374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8" w:name="page79"/>
    <w:bookmarkEnd w:id="7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EPS performance restricted stock units, strategic performance restricted stock units, special performance restricted stock units and FCF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23 thousand EPS performance target grants outstanding at August 2, 2020, with a grant-date fair value of $46.82. We will expense FCF performance restricted stock units over the requisite service period of each objective. In 2019, we issued approximately 388 thousand FCF performance restricted stock units. As of August 2, 2020, we have granted 258 thousand of the issued FCF performance restricted stock units, which are included in the table above. There were 166 thousand FCF performance target grants outstanding at August 2, 2020, with a weighted-average grant date fair value of $42.16. The actual number of EPS performance restricted stock units, strategic performance restricted stock units, and FCF performance restricted stock units that vest will depend on actual performance achieved. We estimate expense based on the number of awards expected to vest.</w:t>
      </w:r>
    </w:p>
    <w:p>
      <w:pPr>
        <w:spacing w:after="0" w:line="5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August 2, 2020, total remaining unearned compensation related to nonvested time-lapse restricted stock units, EPS performance restricted stock units and FCF performance restricted units was $35, which will be amortized over the weighted-average remaining service period of 1.7 years. The fair value of restricted stock units vested during 2020, 2019 and 2018 was $41, $26 and $30, respectively. The weighted-average grant-date fair value of the restricted stock units granted during 2019 and 2018 was $36.51 and $44.18, respectively.</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TSR performance restricted stock units as of August 2, 2020: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76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28, 2019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August 2, 2020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estimated the fair value of TSR performance restricted stock units at the grant date using a Monte Carlo simulation. Weighted-average assumptions used in the Monte Carlo simulation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1.58%</w:t>
            </w: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2.95%</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2.95%</w:t>
            </w:r>
          </w:p>
        </w:tc>
      </w:tr>
      <w:tr>
        <w:trPr>
          <w:trHeight w:val="27"/>
        </w:trPr>
        <w:tc>
          <w:tcPr>
            <w:tcW w:w="8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27.01%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19.07%</w:t>
            </w: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 years</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03"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We recognize compensation expense on a straight-line basis over the service period, except for awards issued to retirement eligible participants, which we expense on an accelerated basis. As of August 2, 2020, total remaining unearned compensation related to TSR performance restricted stock units was $22, which will be amortized over the weighted-average remaining service period of 1.8 years. In the first quarter of 2020, recipients of TSR performance restricted stock units earned 0% of the initial grants based upon our TSR ranking in a performance peer group during a three-year period ended July 26, 2019. In the first quarter of 2019, recipients of TSR performance restricted stock units earned 0% of the initial grants based upon our TSR ranking in a performance peer group during a three-year period ended July 27, 2018. In the first quarter of 2018, recipients of TSR performance restricted stock units earned 125% of the initial grants based upon our TSR ranking in a performance peer group during a three-year period ended July 28, 2017. As a result, approximately 160 thousand additional shares were awarded. The fair value of TSR performance restricted stock units vested during 2018 was $38. The weighted-average grant-date fair value of the TSR performance restricted stock units granted during 2019 and 2018 was $31.29 and $39.39, respectively. In the first quarter of 2021, recipients of TSR performance restricted stock units will receive a 50% payout based upon our TSR ranking in a performance peer group during a three-year period ended July 31, 2020.</w:t>
      </w:r>
    </w:p>
    <w:p>
      <w:pPr>
        <w:spacing w:after="0" w:line="6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excess tax benefits of $1 in 2020, and the excess tax deficiencies of $6 in 2019 and $3 in 2018, on the exercise of stock options and vested restricted stock were presented as cash flows from operating activities. Cash received from the exercise of stock options was $23 for 2020, and is reflected in cash flows from financing activities in the Consolidated Statements of Cash Flows.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9" w:name="page80"/>
    <w:bookmarkEnd w:id="79"/>
    <w:p>
      <w:pPr>
        <w:ind w:right="8420" w:firstLine="8"/>
        <w:spacing w:after="0" w:line="375" w:lineRule="auto"/>
        <w:tabs>
          <w:tab w:leader="none" w:pos="27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7, 2019, three purported shareholder class action lawsuits pending in the United States District Court for the District of New Jersey were consolidated under the caption, </w:t>
      </w:r>
      <w:r>
        <w:rPr>
          <w:rFonts w:ascii="Times New Roman" w:cs="Times New Roman" w:eastAsia="Times New Roman" w:hAnsi="Times New Roman"/>
          <w:sz w:val="18"/>
          <w:szCs w:val="18"/>
          <w:i w:val="1"/>
          <w:iCs w:val="1"/>
          <w:color w:val="auto"/>
        </w:rPr>
        <w:t>In re Campbell Soup Company Securities Litigation</w:t>
      </w:r>
      <w:r>
        <w:rPr>
          <w:rFonts w:ascii="Times New Roman" w:cs="Times New Roman" w:eastAsia="Times New Roman" w:hAnsi="Times New Roman"/>
          <w:sz w:val="18"/>
          <w:szCs w:val="18"/>
          <w:color w:val="auto"/>
        </w:rPr>
        <w:t>, 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former Senior Vice President and Chief Financial Officer) are defendants in the Action. The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consolidated complaint seeks unspecified monetary damages and other relief. On April 30, 2019, the defendants filed a motion to dismiss the consolidated complaint. We are vigorously defending against the Action.</w:t>
      </w:r>
    </w:p>
    <w:p>
      <w:pPr>
        <w:spacing w:after="0" w:line="6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August 2, 2020.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 In the third quarter of 2018, we recorded expense of $22 from a settlement of a claim.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guarantee approximately 2,100 bank loans made to Pepperidge Farm independent contractor distributors by third-party financial institutions for the purchase of distribution routes. The maximum potential amount of the future payments under existing guarantees we could be required to make is $246. We guarantee approximately 2,500 bank loans made to Snyder's-Lance independent contractor distributors by third-party financial institutions for the purchase of distribution routes. The maximum potential amount of the future payments under existing guarantees we could be required to make is $199. Our guarantees are indirectly secured by the distribution routes. We do not expect that we will be required to make material guarantee payments as a result of defaults on the bank loans guaranteed. The amounts recognized as of August 2, 2020, and July 28, 2019, were not material.</w:t>
      </w:r>
    </w:p>
    <w:p>
      <w:pPr>
        <w:spacing w:after="0" w:line="6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provided certain standard indemnifications in connection with divestitures, contracts and other transactions. Certain indemnifications have finite expiration dates. Liabilities recognized based on known exposures related to such matters were not material at August 2, 2020, and July 28, 2019.</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21. Supplemental Financial Statement Data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accounts receivable</w:t>
            </w: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7"/>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6"/>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960" w:type="dxa"/>
            <w:vAlign w:val="bottom"/>
            <w:tcBorders>
              <w:top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7"/>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7"/>
        </w:trPr>
        <w:tc>
          <w:tcPr>
            <w:tcW w:w="7980" w:type="dxa"/>
            <w:vAlign w:val="bottom"/>
          </w:tcPr>
          <w:p>
            <w:pPr>
              <w:spacing w:after="0"/>
              <w:rPr>
                <w:sz w:val="20"/>
                <w:szCs w:val="20"/>
                <w:color w:val="auto"/>
              </w:rPr>
            </w:pPr>
          </w:p>
        </w:tc>
        <w:tc>
          <w:tcPr>
            <w:tcW w:w="960" w:type="dxa"/>
            <w:vAlign w:val="bottom"/>
            <w:tcBorders>
              <w:top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7"/>
        </w:trPr>
        <w:tc>
          <w:tcPr>
            <w:tcW w:w="7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Finished products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7"/>
        </w:trPr>
        <w:tc>
          <w:tcPr>
            <w:tcW w:w="7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Machinery and equipment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r>
      <w:tr>
        <w:trPr>
          <w:trHeight w:val="27"/>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Projects in progress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7"/>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w:t>
            </w:r>
          </w:p>
        </w:tc>
        <w:tc>
          <w:tcPr>
            <w:tcW w:w="960" w:type="dxa"/>
            <w:vAlign w:val="bottom"/>
            <w:tcBorders>
              <w:top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w:t>
            </w:r>
          </w:p>
        </w:tc>
      </w:tr>
      <w:tr>
        <w:trPr>
          <w:trHeight w:val="27"/>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37"/>
        </w:trPr>
        <w:tc>
          <w:tcPr>
            <w:tcW w:w="7980" w:type="dxa"/>
            <w:vAlign w:val="bottom"/>
          </w:tcPr>
          <w:p>
            <w:pPr>
              <w:spacing w:after="0"/>
              <w:rPr>
                <w:sz w:val="20"/>
                <w:szCs w:val="20"/>
                <w:color w:val="auto"/>
              </w:rPr>
            </w:pP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7"/>
        </w:trPr>
        <w:tc>
          <w:tcPr>
            <w:tcW w:w="7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 of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7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of derivatives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trade and consumer promotion programs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interest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benefits</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Postretirement benefits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95" w:lineRule="exact"/>
        <w:rPr>
          <w:sz w:val="20"/>
          <w:szCs w:val="20"/>
          <w:color w:val="auto"/>
        </w:rPr>
      </w:pPr>
    </w:p>
    <w:p>
      <w:pPr>
        <w:jc w:val="both"/>
        <w:ind w:left="340" w:hanging="332"/>
        <w:spacing w:after="0" w:line="235" w:lineRule="auto"/>
        <w:tabs>
          <w:tab w:leader="none" w:pos="328"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expense was $285 in 2020, $389 in 2019 and $360 in 2018. Depreciation expense of continuing operations was $285 in 2020, $315 in 2019 and $259 in 2018. Buildings are depreciated over periods ranging from 7 to 45 years. Machinery and equipment are depreciated over periods generally ranging from 2 to 20 years.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8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0" w:type="dxa"/>
            <w:vAlign w:val="bottom"/>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21"/>
                <w:szCs w:val="21"/>
                <w:color w:val="auto"/>
              </w:rPr>
            </w:pP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7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intangible assets</w:t>
            </w:r>
            <w:r>
              <w:rPr>
                <w:rFonts w:ascii="Times New Roman" w:cs="Times New Roman" w:eastAsia="Times New Roman" w:hAnsi="Times New Roman"/>
                <w:sz w:val="23"/>
                <w:szCs w:val="23"/>
                <w:color w:val="auto"/>
                <w:vertAlign w:val="superscript"/>
              </w:rPr>
              <w:t>(1)</w:t>
            </w:r>
          </w:p>
        </w:tc>
        <w:tc>
          <w:tcPr>
            <w:tcW w:w="8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periodic benefit expense (income) other than the service cost</w:t>
            </w:r>
          </w:p>
        </w:tc>
        <w:tc>
          <w:tcPr>
            <w:tcW w:w="8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7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Pension settlement charges</w:t>
            </w: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losses</w:t>
            </w:r>
            <w:r>
              <w:rPr>
                <w:rFonts w:ascii="Times New Roman" w:cs="Times New Roman" w:eastAsia="Times New Roman" w:hAnsi="Times New Roman"/>
                <w:sz w:val="23"/>
                <w:szCs w:val="23"/>
                <w:color w:val="auto"/>
                <w:vertAlign w:val="superscript"/>
              </w:rPr>
              <w:t>(2)</w:t>
            </w:r>
          </w:p>
        </w:tc>
        <w:tc>
          <w:tcPr>
            <w:tcW w:w="80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sale of business</w:t>
            </w:r>
            <w:r>
              <w:rPr>
                <w:rFonts w:ascii="Times New Roman" w:cs="Times New Roman" w:eastAsia="Times New Roman" w:hAnsi="Times New Roman"/>
                <w:sz w:val="23"/>
                <w:szCs w:val="23"/>
                <w:color w:val="auto"/>
                <w:vertAlign w:val="superscript"/>
              </w:rPr>
              <w:t>(3)</w:t>
            </w:r>
          </w:p>
        </w:tc>
        <w:tc>
          <w:tcPr>
            <w:tcW w:w="8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Transition services fees</w:t>
            </w: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3"/>
                <w:szCs w:val="23"/>
                <w:color w:val="auto"/>
                <w:vertAlign w:val="superscript"/>
              </w:rPr>
              <w:t>(4)</w:t>
            </w:r>
          </w:p>
        </w:tc>
        <w:tc>
          <w:tcPr>
            <w:tcW w:w="8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settlements</w:t>
            </w:r>
          </w:p>
        </w:tc>
        <w:tc>
          <w:tcPr>
            <w:tcW w:w="80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7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6"/>
        </w:trPr>
        <w:tc>
          <w:tcPr>
            <w:tcW w:w="7260" w:type="dxa"/>
            <w:vAlign w:val="bottom"/>
          </w:tcPr>
          <w:p>
            <w:pPr>
              <w:spacing w:after="0"/>
              <w:rPr>
                <w:sz w:val="20"/>
                <w:szCs w:val="20"/>
                <w:color w:val="auto"/>
              </w:rPr>
            </w:pPr>
          </w:p>
        </w:tc>
        <w:tc>
          <w:tcPr>
            <w:tcW w:w="800" w:type="dxa"/>
            <w:vAlign w:val="bottom"/>
            <w:tcBorders>
              <w:top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221</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7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7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7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and consumer promotion expense</w:t>
            </w:r>
            <w:r>
              <w:rPr>
                <w:rFonts w:ascii="Times New Roman" w:cs="Times New Roman" w:eastAsia="Times New Roman" w:hAnsi="Times New Roman"/>
                <w:sz w:val="23"/>
                <w:szCs w:val="23"/>
                <w:color w:val="auto"/>
                <w:vertAlign w:val="superscript"/>
              </w:rPr>
              <w:t>(5)</w:t>
            </w:r>
          </w:p>
        </w:tc>
        <w:tc>
          <w:tcPr>
            <w:tcW w:w="800" w:type="dxa"/>
            <w:vAlign w:val="bottom"/>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463</w:t>
            </w:r>
          </w:p>
        </w:tc>
        <w:tc>
          <w:tcPr>
            <w:tcW w:w="100" w:type="dxa"/>
            <w:vAlign w:val="bottom"/>
          </w:tcPr>
          <w:p>
            <w:pPr>
              <w:spacing w:after="0"/>
              <w:rPr>
                <w:sz w:val="23"/>
                <w:szCs w:val="23"/>
                <w:color w:val="auto"/>
              </w:rPr>
            </w:pP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70"/>
        </w:trPr>
        <w:tc>
          <w:tcPr>
            <w:tcW w:w="7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Interest capitalized</w:t>
            </w:r>
          </w:p>
        </w:tc>
        <w:tc>
          <w:tcPr>
            <w:tcW w:w="8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72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345</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w:t>
      </w:r>
    </w:p>
    <w:p>
      <w:pPr>
        <w:sectPr>
          <w:pgSz w:w="11900" w:h="16838" w:orient="portrait"/>
          <w:cols w:equalWidth="0" w:num="1">
            <w:col w:w="11240"/>
          </w:cols>
          <w:pgMar w:left="320" w:top="93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type w:val="continuous"/>
        </w:sectPr>
      </w:pPr>
    </w:p>
    <w:bookmarkStart w:id="82" w:name="page83"/>
    <w:bookmarkEnd w:id="82"/>
    <w:p>
      <w:pPr>
        <w:ind w:left="320" w:hanging="312"/>
        <w:spacing w:after="0"/>
        <w:tabs>
          <w:tab w:leader="none" w:pos="32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for additional information.</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2020 includes a loss of $45 related to Acre. See Note 16 for additional information.</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2020, we recognized a loss of $64 on the sale of the European chips business. See Note 3 for additional information.</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2018, we recognized transaction costs of $53 related to the acquisition of Snyder's-Lance. See Note 4 for additional information.</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Marketing and selling expenses.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Statements of Cash Flows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6"/>
                <w:szCs w:val="16"/>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920" w:type="dxa"/>
            <w:vAlign w:val="bottom"/>
            <w:tcBorders>
              <w:top w:val="single" w:sz="8" w:color="CCEEFF"/>
              <w:bottom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Cash Flows from Operating Activities</w:t>
            </w:r>
          </w:p>
        </w:tc>
        <w:tc>
          <w:tcPr>
            <w:tcW w:w="1680" w:type="dxa"/>
            <w:vAlign w:val="bottom"/>
            <w:tcBorders>
              <w:top w:val="single" w:sz="8" w:color="CCEEFF"/>
              <w:bottom w:val="single" w:sz="8" w:color="CCEEFF"/>
            </w:tcBorders>
            <w:shd w:val="clear" w:color="auto" w:fill="CCEEFF"/>
          </w:tcPr>
          <w:p>
            <w:pPr>
              <w:spacing w:after="0"/>
              <w:rPr>
                <w:sz w:val="20"/>
                <w:szCs w:val="20"/>
                <w:color w:val="auto"/>
              </w:rPr>
            </w:pPr>
          </w:p>
        </w:tc>
        <w:tc>
          <w:tcPr>
            <w:tcW w:w="264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non-cash charges to net earnings</w:t>
            </w:r>
          </w:p>
        </w:tc>
        <w:tc>
          <w:tcPr>
            <w:tcW w:w="2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expense</w:t>
            </w:r>
          </w:p>
        </w:tc>
        <w:tc>
          <w:tcPr>
            <w:tcW w:w="344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 of debt issuance costs/debt discount</w:t>
            </w:r>
          </w:p>
        </w:tc>
        <w:tc>
          <w:tcPr>
            <w:tcW w:w="2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Benefit related expense</w:t>
            </w:r>
          </w:p>
        </w:tc>
        <w:tc>
          <w:tcPr>
            <w:tcW w:w="2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344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70"/>
        </w:trPr>
        <w:tc>
          <w:tcPr>
            <w:tcW w:w="2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Benefit related payments</w:t>
            </w:r>
          </w:p>
        </w:tc>
        <w:tc>
          <w:tcPr>
            <w:tcW w:w="344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344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Cash Flow Information</w:t>
            </w:r>
          </w:p>
        </w:tc>
        <w:tc>
          <w:tcPr>
            <w:tcW w:w="2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paid</w:t>
            </w:r>
          </w:p>
        </w:tc>
        <w:tc>
          <w:tcPr>
            <w:tcW w:w="3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received</w:t>
            </w:r>
          </w:p>
        </w:tc>
        <w:tc>
          <w:tcPr>
            <w:tcW w:w="344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taxes paid</w:t>
            </w:r>
          </w:p>
        </w:tc>
        <w:tc>
          <w:tcPr>
            <w:tcW w:w="3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Activity</w:t>
            </w:r>
          </w:p>
        </w:tc>
        <w:tc>
          <w:tcPr>
            <w:tcW w:w="2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Build-to-suit lease commitment</w:t>
            </w:r>
          </w:p>
        </w:tc>
        <w:tc>
          <w:tcPr>
            <w:tcW w:w="344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101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40" w:type="dxa"/>
            <w:vAlign w:val="bottom"/>
          </w:tcPr>
          <w:p>
            <w:pPr>
              <w:jc w:val="right"/>
              <w:ind w:right="1452"/>
              <w:spacing w:after="0"/>
              <w:rPr>
                <w:sz w:val="20"/>
                <w:szCs w:val="20"/>
                <w:color w:val="auto"/>
              </w:rPr>
            </w:pPr>
            <w:r>
              <w:rPr>
                <w:rFonts w:ascii="Times New Roman" w:cs="Times New Roman" w:eastAsia="Times New Roman" w:hAnsi="Times New Roman"/>
                <w:sz w:val="18"/>
                <w:szCs w:val="18"/>
                <w:color w:val="auto"/>
              </w:rPr>
              <w:t>83</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0" w:type="dxa"/>
            <w:vAlign w:val="bottom"/>
            <w:tcBorders>
              <w:bottom w:val="single" w:sz="8" w:color="9A9A9A"/>
            </w:tcBorders>
          </w:tcPr>
          <w:p>
            <w:pPr>
              <w:spacing w:after="0"/>
              <w:rPr>
                <w:sz w:val="17"/>
                <w:szCs w:val="17"/>
                <w:color w:val="auto"/>
              </w:rPr>
            </w:pPr>
          </w:p>
        </w:tc>
        <w:tc>
          <w:tcPr>
            <w:tcW w:w="292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264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22. Quarterly Data (unaudited)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6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248"/>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2,108</w:t>
            </w:r>
          </w:p>
        </w:tc>
        <w:tc>
          <w:tcPr>
            <w:tcW w:w="40" w:type="dxa"/>
            <w:vAlign w:val="bottom"/>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4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40" w:type="dxa"/>
            <w:vAlign w:val="bottom"/>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40" w:type="dxa"/>
            <w:vAlign w:val="bottom"/>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 basic</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40" w:type="dxa"/>
            <w:vAlign w:val="bottom"/>
          </w:tcPr>
          <w:p>
            <w:pPr>
              <w:spacing w:after="0"/>
              <w:rPr>
                <w:sz w:val="21"/>
                <w:szCs w:val="21"/>
                <w:color w:val="auto"/>
              </w:rPr>
            </w:pP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40" w:type="dxa"/>
            <w:vAlign w:val="bottom"/>
          </w:tcPr>
          <w:p>
            <w:pPr>
              <w:spacing w:after="0"/>
              <w:rPr>
                <w:sz w:val="21"/>
                <w:szCs w:val="21"/>
                <w:color w:val="auto"/>
              </w:rPr>
            </w:pP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4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 assuming dilution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4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1"/>
                <w:szCs w:val="21"/>
                <w:color w:val="auto"/>
              </w:rPr>
            </w:pPr>
          </w:p>
        </w:tc>
      </w:tr>
      <w:tr>
        <w:trPr>
          <w:trHeight w:val="312"/>
        </w:trPr>
        <w:tc>
          <w:tcPr>
            <w:tcW w:w="6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40" w:type="dxa"/>
            <w:vAlign w:val="bottom"/>
          </w:tcPr>
          <w:p>
            <w:pPr>
              <w:spacing w:after="0"/>
              <w:rPr>
                <w:sz w:val="24"/>
                <w:szCs w:val="24"/>
                <w:color w:val="auto"/>
              </w:rPr>
            </w:pPr>
          </w:p>
        </w:tc>
      </w:tr>
      <w:tr>
        <w:trPr>
          <w:trHeight w:val="26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99"/>
        </w:trPr>
        <w:tc>
          <w:tcPr>
            <w:tcW w:w="6820" w:type="dxa"/>
            <w:vAlign w:val="bottom"/>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The sum of individual per share amounts may not add due to rounding.</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6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2020, the following charges (gains) were recorded in Earnings from continuing operations</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 Campbell Soup Company:</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4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Charges (gains) associated with divestiture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1"/>
                <w:szCs w:val="21"/>
                <w:color w:val="auto"/>
              </w:rPr>
            </w:pP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Pension settlement charge (gain)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1"/>
                <w:szCs w:val="21"/>
                <w:color w:val="auto"/>
              </w:rPr>
            </w:pP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losses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Pension and postretirement benefit mark-to-market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40" w:type="dxa"/>
            <w:vAlign w:val="bottom"/>
          </w:tcPr>
          <w:p>
            <w:pPr>
              <w:spacing w:after="0"/>
              <w:rPr>
                <w:sz w:val="21"/>
                <w:szCs w:val="21"/>
                <w:color w:val="auto"/>
              </w:rPr>
            </w:pPr>
          </w:p>
        </w:tc>
      </w:tr>
      <w:tr>
        <w:trPr>
          <w:trHeight w:val="243"/>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 share - assuming dilution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40" w:type="dxa"/>
            <w:vAlign w:val="bottom"/>
          </w:tcPr>
          <w:p>
            <w:pPr>
              <w:spacing w:after="0"/>
              <w:rPr>
                <w:sz w:val="21"/>
                <w:szCs w:val="21"/>
                <w:color w:val="auto"/>
              </w:rPr>
            </w:pP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Charges (gains) associated with divestiture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1"/>
                <w:szCs w:val="21"/>
                <w:color w:val="auto"/>
              </w:rPr>
            </w:pP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Pension settlement charge (gain)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 losses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1"/>
                <w:szCs w:val="21"/>
                <w:color w:val="auto"/>
              </w:rPr>
            </w:pP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Pension and postretirement benefit mark-to-market adjustments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4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2020, the following charges (gains) were recorded in Earnings (loss) from discontinued</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Charges (gains) associated with divestitures</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 share - assuming dilution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Charges (gains) associated with divestitures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796"/>
        </w:trPr>
        <w:tc>
          <w:tcPr>
            <w:tcW w:w="68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68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96"/>
        </w:trPr>
        <w:tc>
          <w:tcPr>
            <w:tcW w:w="6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00" w:type="dxa"/>
            <w:vAlign w:val="bottom"/>
          </w:tcPr>
          <w:p>
            <w:pPr>
              <w:spacing w:after="0"/>
              <w:rPr>
                <w:sz w:val="17"/>
                <w:szCs w:val="17"/>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248"/>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attributable to Campbell Soup Company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Campbell Soup Company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 basic</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Earnings (loss) from continuing operations attributable to Campbell Soup Company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(loss) from discontinued operations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earnings (loss) attributable to Campbell Soup Company</w:t>
            </w:r>
            <w:r>
              <w:rPr>
                <w:rFonts w:ascii="Times New Roman" w:cs="Times New Roman" w:eastAsia="Times New Roman" w:hAnsi="Times New Roman"/>
                <w:sz w:val="23"/>
                <w:szCs w:val="23"/>
                <w:color w:val="auto"/>
                <w:vertAlign w:val="superscript"/>
              </w:rPr>
              <w:t>(1)</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assuming dilution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continuing operations attributable to Campbell Soup Company</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312"/>
        </w:trPr>
        <w:tc>
          <w:tcPr>
            <w:tcW w:w="6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attributable to Campbell Soup Company</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5"/>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99"/>
        </w:trPr>
        <w:tc>
          <w:tcPr>
            <w:tcW w:w="6820" w:type="dxa"/>
            <w:vAlign w:val="bottom"/>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The sum of individual per share amounts may not add due to rounding.</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5"/>
        </w:trPr>
        <w:tc>
          <w:tcPr>
            <w:tcW w:w="6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96"/>
        </w:trPr>
        <w:tc>
          <w:tcPr>
            <w:tcW w:w="6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00" w:type="dxa"/>
            <w:vAlign w:val="bottom"/>
          </w:tcPr>
          <w:p>
            <w:pPr>
              <w:spacing w:after="0"/>
              <w:rPr>
                <w:sz w:val="17"/>
                <w:szCs w:val="17"/>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2019, the following charges (gains) were recorded in Earnings (loss) from continuing</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41"/>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attributable to Campbell Soup Company:</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Tax reform</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Pension and postretirement benefit mark-to-market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Impairment charges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 share - assuming dilution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Tax reform</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Impairment charges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Pension and postretirement benefit mark-to-market adjustments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2019, the following charges (gains) were recorded in Earnings (loss) from discontinued</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1"/>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Impairment charges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Charges associated with divestitures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Pension benefit mark-to-market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 share - assuming dilution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Impairment charges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Charges associated with divestitures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Pension benefit mark-to-market adjustments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bl>
    <w:p>
      <w:pPr>
        <w:spacing w:after="0" w:line="200" w:lineRule="exact"/>
        <w:rPr>
          <w:sz w:val="20"/>
          <w:szCs w:val="20"/>
          <w:color w:val="auto"/>
        </w:rPr>
      </w:pPr>
    </w:p>
    <w:p>
      <w:pPr>
        <w:sectPr>
          <w:pgSz w:w="11900" w:h="16838" w:orient="portrait"/>
          <w:cols w:equalWidth="0" w:num="1">
            <w:col w:w="11200"/>
          </w:cols>
          <w:pgMar w:left="320" w:top="127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76" w:right="37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management of Campbell Soup Company (the Company) is responsible for establishing and maintaining adequate internal control over financial reporting (as such term is defined in Rule 13a-15(e) under the Securities Exchange Act of 1934, as amended).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internal control over financial reporting includes those policies and procedures that:</w:t>
      </w:r>
    </w:p>
    <w:p>
      <w:pPr>
        <w:spacing w:after="0" w:line="90" w:lineRule="exact"/>
        <w:rPr>
          <w:sz w:val="20"/>
          <w:szCs w:val="20"/>
          <w:color w:val="auto"/>
        </w:rPr>
      </w:pPr>
    </w:p>
    <w:p>
      <w:pPr>
        <w:ind w:left="6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August 2, 2020.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 Integrated Framework (2013)</w:t>
      </w:r>
      <w:r>
        <w:rPr>
          <w:rFonts w:ascii="Times New Roman" w:cs="Times New Roman" w:eastAsia="Times New Roman" w:hAnsi="Times New Roman"/>
          <w:sz w:val="18"/>
          <w:szCs w:val="18"/>
          <w:color w:val="auto"/>
        </w:rPr>
        <w:t>. Based on this assessment using those criteria, management concluded that the Company’s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 as of August 2, 2020.</w:t>
      </w:r>
    </w:p>
    <w:p>
      <w:pPr>
        <w:spacing w:after="0" w:line="5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August 2, 2020 has been audited by PricewaterhouseCoopers LLP, an independent registered public accounting firm, as stated in their report, which appears on the next page.</w:t>
      </w: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33686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Mark A. Clouse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33686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33686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Stanley Polomski</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6" w:name="page87"/>
    <w:bookmarkEnd w:id="86"/>
    <w:p>
      <w:pPr>
        <w:ind w:left="338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Campbell Soup Company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Campbell Soup Company and its subsidiaries (the "Company") as of August 2, 2020 and July 28, 2019, and the related consolidated statements of earnings, comprehensive income, equity, and cash flows for each of the three years in the period ended August 2, 2020, including the related notes and schedule of valuation and qualifying accounts for each of the three years in the period ended August 2, 2020 appearing on page 96 (collectively referred to as the "consolidated financial statements"). We also have audited the Company's internal control over financial reporting as of August 2, 2020,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August 2, 2020 and July 28, 2019, and the results of its operations and its cash flows for each of the three years in the period ended August 2, 2020 in conformity with accounting principles generally accepted in the United States of America. Also in our opinion, the Company maintained, in all material respects, effective internal control over financial reporting as of August 2, 2020,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2020.</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 Impairment Test for Certain Trademarks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described in Notes 1 and 6 to the consolidated financial statements, the Company’s indefinite-lived intangible assets (trademarks) were $2,611 million as of August 2, 2020. Of the carrying value of all indefinite-lived trademarks, $620 million related to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trademark, $292 million related to the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trademark, and $280 million related to the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trademark. Management conducts a test at least annually for impairment, or when circumstances indicate that the carrying amount of the asset may not be recoverable. Indefinite-lived intangible assets are tested for impairment by comparing the fair value of the asset to the carrying value. Management determines fair value based on discounted cash flow analyses that include significant management assumptions such as revenue growth rates, weighted average costs of capital, and assumed royalty rates.</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impairment test for certain trademarks is a critical audit matter are (i) the high degree of auditor judgment and subjectivity involved in performing procedures relating to the fair value estimates of trademarks due to the significant amount of judgment by management when developing these estimates, (ii) significant audit effort was necessary to perform procedures and evaluate evidence relating to management’s discounted cash flow analyses that include significant management assumptions related to revenue growth rates, weighted average costs of capital, and assumed royalty rates, and (iii) the audit effort involved the use of professionals with specialized skill and knowledge to assist in performing these procedures and evaluating the audit evidence obtained from these procedures.</w:t>
      </w:r>
    </w:p>
    <w:p>
      <w:pPr>
        <w:spacing w:after="0" w:line="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Addressing the matter involved performing procedures and evaluating audit evidence in connection with forming our overall opinion on the consolidated financial statements. These procedures included testing the effectiveness of controls relating to management’s trademark impairment tests. These procedures also included, among others, testing management’s process for developing the fair value estimates; evaluating the appropriateness of the discounted cash flow analyses; testing the completeness, accuracy, and relevance of underlying data used in the analyses; and evaluating the significant assumptions used by management, related to revenue growth rates, weighted average costs of capital, and assumed royalty rates related to the </w:t>
      </w:r>
      <w:r>
        <w:rPr>
          <w:rFonts w:ascii="Times New Roman" w:cs="Times New Roman" w:eastAsia="Times New Roman" w:hAnsi="Times New Roman"/>
          <w:sz w:val="18"/>
          <w:szCs w:val="18"/>
          <w:i w:val="1"/>
          <w:iCs w:val="1"/>
          <w:color w:val="auto"/>
        </w:rPr>
        <w:t>Snyder’s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Hanover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Pace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Pacific Foods </w:t>
      </w:r>
      <w:r>
        <w:rPr>
          <w:rFonts w:ascii="Times New Roman" w:cs="Times New Roman" w:eastAsia="Times New Roman" w:hAnsi="Times New Roman"/>
          <w:sz w:val="18"/>
          <w:szCs w:val="18"/>
          <w:color w:val="auto"/>
        </w:rPr>
        <w:t>trademarks. Evaluating management’s assumptions related to revenue growth rates involved evaluating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used by management were reasonable considering (i) the current and past performance associated with the trademarks, (ii) the consistency with external market and industry data, and (iii) whether these assumptions were consistent with evidence obtained in other areas of the audit. Professionals with specialized skill and knowledge were used to assist in the evaluation of the Company’s discounted cash flow model and evaluating the reasonableness of the weighted average costs of capital and royalty rates assumptions.</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686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24, 2020</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 13a-15(e) under the Exchange Act) as of August 2, 2020 (the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annual report of management on our internal control over financial reporting is provided under "Financial Statements and Supplementary Data" on page 86. The attestation report of PricewaterhouseCoopers LLP, our independent registered public accounting firm, regarding our internal control over financial reporting is provided under "Financial Statements and Supplementary Data" on pages 87-88.</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were likely to materially affect, such internal control over financial reporting during the quarter ended August 2, 2020.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sections entitled "Item 1 — Election of Directors", "Voting Securities and Principal Shareholders — Ownership of Directors and Executive Officers" and "Voting Securities and Principal Shareholders — Delinquent Section 16(a) Reports" in our Proxy Statement for the 2020 Annual Meeting of Shareholders (the 2020 Proxy) are incorporated herein by reference. The information presented in the section entitled "Corporate Governance Policies and Practices — Board Meetings and Committees — Board Committee Structure" in the 2020 Proxy relating to the members of our Audit Committee and the Audit Committee’s financial experts is incorporated herein by reference.</w:t>
      </w:r>
    </w:p>
    <w:p>
      <w:pPr>
        <w:spacing w:after="0" w:line="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of the information required by this Item relating to our executive officers is set forth under the heading "Information about our Executive Officers" in this Report.</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Ethics for the Chief Executive Officer and Senior Financial Officers that applies to our Chief Executive Officer, Chief Financial Officer, Controller and members of the Chief Financial Officer’s financial leadership team. The Code of Ethics for the Chief Executive Officer and Senior Financial Officers is posted on our website, </w:t>
      </w:r>
      <w:r>
        <w:rPr>
          <w:rFonts w:ascii="Times New Roman" w:cs="Times New Roman" w:eastAsia="Times New Roman" w:hAnsi="Times New Roman"/>
          <w:sz w:val="18"/>
          <w:szCs w:val="18"/>
          <w:u w:val="single" w:color="auto"/>
          <w:color w:val="auto"/>
        </w:rPr>
        <w:t>www.campbellsoupcompany.com</w:t>
      </w:r>
      <w:r>
        <w:rPr>
          <w:rFonts w:ascii="Times New Roman" w:cs="Times New Roman" w:eastAsia="Times New Roman" w:hAnsi="Times New Roman"/>
          <w:sz w:val="18"/>
          <w:szCs w:val="18"/>
          <w:color w:val="auto"/>
        </w:rPr>
        <w:t xml:space="preserve"> (under the "Investor Center — Corporate Governance" caption). We intend to satisfy the disclosure requirement regarding any amendment to, or a waiver of, a provision of the Code of Ethics for the Chief Executive Officer and Senior Financial Officers by posting such information on our website.</w:t>
      </w:r>
    </w:p>
    <w:p>
      <w:pPr>
        <w:spacing w:after="0" w:line="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also adopted a separate Code of Business Conduct and Ethics applicable to the Board of Directors, our officers and all of our employees. The Code of Business Conduct and Ethics is posted on our website, </w:t>
      </w:r>
      <w:r>
        <w:rPr>
          <w:rFonts w:ascii="Times New Roman" w:cs="Times New Roman" w:eastAsia="Times New Roman" w:hAnsi="Times New Roman"/>
          <w:sz w:val="18"/>
          <w:szCs w:val="18"/>
          <w:u w:val="single" w:color="auto"/>
          <w:color w:val="auto"/>
        </w:rPr>
        <w:t>www.campbellsoupcompany.com</w:t>
      </w:r>
      <w:r>
        <w:rPr>
          <w:rFonts w:ascii="Times New Roman" w:cs="Times New Roman" w:eastAsia="Times New Roman" w:hAnsi="Times New Roman"/>
          <w:sz w:val="18"/>
          <w:szCs w:val="18"/>
          <w:color w:val="auto"/>
        </w:rPr>
        <w:t xml:space="preserve"> (under the "Investor Center — Corporate Governance" caption). Our Corporate Governance Standards and the charters of our four standing committees of the Board of Directors can also be found at this website. Printed copies of the foregoing are available to any shareholder requesting a copy by:</w:t>
      </w:r>
    </w:p>
    <w:p>
      <w:pPr>
        <w:spacing w:after="0" w:line="58"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to Investor Relations, Campbell Soup Company, 1 Campbell Place, Camden, NJ 08103-1799;</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1-800-840-2865;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e-mailing our Investor Relations Department at investorrelations@campbellsoup.com.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presented in the sections entitled "Compensation Discussion and Analysis," "Executive Compensation Tables," "Corporate Governance Policies and Practices — Compensation of Directors," "Corporate Governance Policies and Practices — Board Meetings and Committees — Board Committee Structure — Compensation and Organization Committee Interlocks and Insider Participation" and "Compensation Discussion and Analysis — Compensation and Organization Committee Report" in the 2020 Proxy is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Shareholder Matters</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presented in the sections entitled "Voting Securities and Principal Shareholders — Ownership of Directors and Executive Officers" and "Voting Securities and Principal Shareholders — Principal Shareholders" in the 2020 Proxy is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provides information about the stock that could have been issued under our equity compensation plans as of August 2, 2020:</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Plan Category</w:t>
      </w:r>
    </w:p>
    <w:p>
      <w:pPr>
        <w:spacing w:after="0" w:line="88" w:lineRule="exact"/>
        <w:rPr>
          <w:sz w:val="20"/>
          <w:szCs w:val="20"/>
          <w:color w:val="auto"/>
        </w:rPr>
      </w:pPr>
    </w:p>
    <w:p>
      <w:pPr>
        <w:ind w:left="20" w:right="780"/>
        <w:spacing w:after="0" w:line="275" w:lineRule="auto"/>
        <w:rPr>
          <w:sz w:val="20"/>
          <w:szCs w:val="20"/>
          <w:color w:val="auto"/>
        </w:rPr>
      </w:pPr>
      <w:r>
        <w:rPr>
          <w:rFonts w:ascii="Times New Roman" w:cs="Times New Roman" w:eastAsia="Times New Roman" w:hAnsi="Times New Roman"/>
          <w:sz w:val="17"/>
          <w:szCs w:val="17"/>
          <w:color w:val="auto"/>
        </w:rPr>
        <w:t xml:space="preserve">Equity Compensation Plans Approved by Security Holders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Equity Compensation Plans Not Approved by Security Holders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1"/>
                <w:szCs w:val="11"/>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56"/>
        </w:trPr>
        <w:tc>
          <w:tcPr>
            <w:tcW w:w="16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8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79"/>
        </w:trPr>
        <w:tc>
          <w:tcPr>
            <w:tcW w:w="16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60" w:type="dxa"/>
            <w:vAlign w:val="bottom"/>
          </w:tcPr>
          <w:p>
            <w:pPr>
              <w:spacing w:after="0"/>
              <w:rPr>
                <w:sz w:val="6"/>
                <w:szCs w:val="6"/>
                <w:color w:val="auto"/>
              </w:rPr>
            </w:pPr>
          </w:p>
        </w:tc>
        <w:tc>
          <w:tcPr>
            <w:tcW w:w="14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6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65"/>
        </w:trPr>
        <w:tc>
          <w:tcPr>
            <w:tcW w:w="16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60" w:type="dxa"/>
            <w:vAlign w:val="bottom"/>
          </w:tcPr>
          <w:p>
            <w:pPr>
              <w:spacing w:after="0"/>
              <w:rPr>
                <w:sz w:val="5"/>
                <w:szCs w:val="5"/>
                <w:color w:val="auto"/>
              </w:rPr>
            </w:pPr>
          </w:p>
        </w:tc>
        <w:tc>
          <w:tcPr>
            <w:tcW w:w="14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52"/>
        </w:trPr>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160" w:type="dxa"/>
            <w:vAlign w:val="bottom"/>
          </w:tcPr>
          <w:p>
            <w:pPr>
              <w:spacing w:after="0"/>
              <w:rPr>
                <w:sz w:val="4"/>
                <w:szCs w:val="4"/>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6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86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Plans</w:t>
            </w:r>
          </w:p>
        </w:tc>
        <w:tc>
          <w:tcPr>
            <w:tcW w:w="0" w:type="dxa"/>
            <w:vAlign w:val="bottom"/>
          </w:tcPr>
          <w:p>
            <w:pPr>
              <w:spacing w:after="0"/>
              <w:rPr>
                <w:sz w:val="1"/>
                <w:szCs w:val="1"/>
                <w:color w:val="auto"/>
              </w:rPr>
            </w:pPr>
          </w:p>
        </w:tc>
      </w:tr>
      <w:tr>
        <w:trPr>
          <w:trHeight w:val="155"/>
        </w:trPr>
        <w:tc>
          <w:tcPr>
            <w:tcW w:w="164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35"/>
        </w:trPr>
        <w:tc>
          <w:tcPr>
            <w:tcW w:w="1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56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Reflected in the First</w:t>
            </w:r>
          </w:p>
        </w:tc>
        <w:tc>
          <w:tcPr>
            <w:tcW w:w="0" w:type="dxa"/>
            <w:vAlign w:val="bottom"/>
          </w:tcPr>
          <w:p>
            <w:pPr>
              <w:spacing w:after="0"/>
              <w:rPr>
                <w:sz w:val="1"/>
                <w:szCs w:val="1"/>
                <w:color w:val="auto"/>
              </w:rPr>
            </w:pPr>
          </w:p>
        </w:tc>
      </w:tr>
      <w:tr>
        <w:trPr>
          <w:trHeight w:val="189"/>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Rights (a)</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0" w:type="dxa"/>
            <w:vAlign w:val="bottom"/>
          </w:tcPr>
          <w:p>
            <w:pPr>
              <w:spacing w:after="0"/>
              <w:rPr>
                <w:sz w:val="1"/>
                <w:szCs w:val="1"/>
                <w:color w:val="auto"/>
              </w:rPr>
            </w:pPr>
          </w:p>
        </w:tc>
      </w:tr>
      <w:tr>
        <w:trPr>
          <w:trHeight w:val="237"/>
        </w:trPr>
        <w:tc>
          <w:tcPr>
            <w:tcW w:w="15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6,129,384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5,030,405</w:t>
            </w:r>
          </w:p>
        </w:tc>
        <w:tc>
          <w:tcPr>
            <w:tcW w:w="0" w:type="dxa"/>
            <w:vAlign w:val="bottom"/>
          </w:tcPr>
          <w:p>
            <w:pPr>
              <w:spacing w:after="0"/>
              <w:rPr>
                <w:sz w:val="1"/>
                <w:szCs w:val="1"/>
                <w:color w:val="auto"/>
              </w:rPr>
            </w:pPr>
          </w:p>
        </w:tc>
      </w:tr>
      <w:tr>
        <w:trPr>
          <w:trHeight w:val="270"/>
        </w:trPr>
        <w:tc>
          <w:tcPr>
            <w:tcW w:w="1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3"/>
                <w:szCs w:val="23"/>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6,129,384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tcPr>
          <w:p>
            <w:pPr>
              <w:spacing w:after="0"/>
              <w:rPr>
                <w:sz w:val="20"/>
                <w:szCs w:val="20"/>
                <w:color w:val="auto"/>
              </w:rPr>
            </w:pPr>
          </w:p>
        </w:tc>
        <w:tc>
          <w:tcPr>
            <w:tcW w:w="186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5,030,405</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-565150</wp:posOffset>
            </wp:positionV>
            <wp:extent cx="7071995"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71995" cy="17970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-213995</wp:posOffset>
            </wp:positionV>
            <wp:extent cx="7071995" cy="196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71995" cy="196850"/>
                    </a:xfrm>
                    <a:prstGeom prst="rect">
                      <a:avLst/>
                    </a:prstGeom>
                    <a:noFill/>
                  </pic:spPr>
                </pic:pic>
              </a:graphicData>
            </a:graphic>
          </wp:anchor>
        </w:drawing>
      </w:r>
    </w:p>
    <w:p>
      <w:pPr>
        <w:spacing w:after="0" w:line="359" w:lineRule="exact"/>
        <w:rPr>
          <w:sz w:val="20"/>
          <w:szCs w:val="20"/>
          <w:color w:val="auto"/>
        </w:rPr>
      </w:pPr>
    </w:p>
    <w:p>
      <w:pPr>
        <w:sectPr>
          <w:pgSz w:w="11900" w:h="16838" w:orient="portrait"/>
          <w:cols w:equalWidth="0" w:num="2">
            <w:col w:w="5360" w:space="720"/>
            <w:col w:w="5160"/>
          </w:cols>
          <w:pgMar w:left="320" w:top="981" w:right="339" w:bottom="1440" w:gutter="0" w:footer="0" w:header="0"/>
          <w:type w:val="continuous"/>
        </w:sectPr>
      </w:pPr>
    </w:p>
    <w:p>
      <w:pPr>
        <w:jc w:val="both"/>
        <w:ind w:left="340" w:hanging="332"/>
        <w:spacing w:after="0" w:line="245" w:lineRule="auto"/>
        <w:tabs>
          <w:tab w:leader="none" w:pos="328"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Column (a) represents stock options and restricted stock units outstanding under the 2015 Long-Term Incentive Plan and the 2005 Long-Term Incentive Plan. Column (a) includes 3,006,360 TSR performance restricted stock units and Free Cash Flow performance restricted stock units based on the maximum number of shares potentially issuable under the awards, and the number of shares, if any, to be issued pursuant to such awards will be determined based upon performance during the applicable three-year performance period. No additional awards can be made under the 2005 Long-Term Incentive Plan. Future equity awards under the 2015 Long-Term Incentive Plan may take the form of stock options, stock appreciation rights, performance unit awards, restricted stock, restricted performance stock, restricted stock units, or stock awards. Column (b) represents the weighted-average exercise price of the outstanding stock options only; the outstanding restricted stock units are not included in this calculation. Column (c) represents the maximum number of future equity awards that can be made under the 2015 Long-Term Incentive Plan as of August 2, 2020.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presented in the section entitled "Corporate Governance Policies and Practices — Transactions with Related Persons," "Item 1 — Election of Directors," "Corporate Governance Policies and Practices — Director Independence" and "Corporate Governance Policies and Practices — Board Meetings and Committees — Board Committee Structure" in the 2020 Proxy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presented in the sections entitled "Item 2 — Ratification of Appointment of Independent Registered Public Accounting Firm — Audit Firm Fees and Services" and "Item 2 — Ratification of Appointment of Independent Registered Public Accounting Firm — Audit Committee Pre-Approval Policy" in the 2020 Proxy is incorporated herein by reference.</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08" w:lineRule="exact"/>
        <w:rPr>
          <w:sz w:val="20"/>
          <w:szCs w:val="20"/>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86"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1"/>
          <w:numId w:val="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Earnings for 2020, 2019 and 2018</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Comprehensive Income for 2020, 2019 and 2018</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Balance Sheets as of August 2, 2020 and July 28, 2019</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Cash Flows for 2020, 2019 and 2018</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Equity for 2020, 2019 and 2018</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00" w:lineRule="exact"/>
        <w:rPr>
          <w:sz w:val="20"/>
          <w:szCs w:val="20"/>
          <w:color w:val="auto"/>
        </w:rPr>
      </w:pPr>
    </w:p>
    <w:p>
      <w:pPr>
        <w:ind w:left="560" w:hanging="228"/>
        <w:spacing w:after="0"/>
        <w:tabs>
          <w:tab w:leader="none" w:pos="560"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 Schedule</w:t>
      </w:r>
    </w:p>
    <w:p>
      <w:pPr>
        <w:spacing w:after="0" w:line="107"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II - Valuation and Qualifying Accounts for 2020, 2019 and 2018</w:t>
      </w:r>
    </w:p>
    <w:p>
      <w:pPr>
        <w:spacing w:after="0" w:line="86" w:lineRule="exact"/>
        <w:rPr>
          <w:rFonts w:ascii="Times New Roman" w:cs="Times New Roman" w:eastAsia="Times New Roman" w:hAnsi="Times New Roman"/>
          <w:sz w:val="18"/>
          <w:szCs w:val="18"/>
          <w:b w:val="1"/>
          <w:bCs w:val="1"/>
          <w:i w:val="1"/>
          <w:iCs w:val="1"/>
          <w:color w:val="auto"/>
        </w:rPr>
      </w:pPr>
    </w:p>
    <w:p>
      <w:pPr>
        <w:ind w:left="560" w:hanging="228"/>
        <w:spacing w:after="0"/>
        <w:tabs>
          <w:tab w:leader="none" w:pos="560"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made to Item 15(b) below.</w:t>
      </w:r>
    </w:p>
    <w:p>
      <w:pPr>
        <w:sectPr>
          <w:pgSz w:w="11900" w:h="16838" w:orient="portrait"/>
          <w:cols w:equalWidth="0" w:num="1">
            <w:col w:w="11240"/>
          </w:cols>
          <w:pgMar w:left="320" w:top="981"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90" w:name="page91"/>
    <w:bookmarkEnd w:id="90"/>
    <w:p>
      <w:pPr>
        <w:ind w:left="300" w:hanging="252"/>
        <w:spacing w:after="0"/>
        <w:tabs>
          <w:tab w:leader="none" w:pos="3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Exhibits</w:t>
      </w:r>
      <w:r>
        <w:rPr>
          <w:rFonts w:ascii="Times New Roman" w:cs="Times New Roman" w:eastAsia="Times New Roman" w:hAnsi="Times New Roman"/>
          <w:sz w:val="17"/>
          <w:szCs w:val="17"/>
          <w:color w:val="auto"/>
        </w:rPr>
        <w:t>. The Exhibit Index, which immediately precedes the signature page, is incorporated by reference into this Report.</w:t>
      </w:r>
    </w:p>
    <w:p>
      <w:pPr>
        <w:spacing w:after="0" w:line="101" w:lineRule="exact"/>
        <w:rPr>
          <w:rFonts w:ascii="Times New Roman" w:cs="Times New Roman" w:eastAsia="Times New Roman" w:hAnsi="Times New Roman"/>
          <w:sz w:val="17"/>
          <w:szCs w:val="17"/>
          <w:color w:val="auto"/>
        </w:rPr>
      </w:pPr>
    </w:p>
    <w:p>
      <w:pPr>
        <w:ind w:left="300" w:hanging="252"/>
        <w:spacing w:after="0"/>
        <w:tabs>
          <w:tab w:leader="none" w:pos="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Reference is made to Item 15(a)(2) above.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83"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39" w:lineRule="exact"/>
        <w:rPr>
          <w:sz w:val="20"/>
          <w:szCs w:val="20"/>
          <w:color w:val="auto"/>
        </w:rPr>
      </w:pPr>
    </w:p>
    <w:p>
      <w:pPr>
        <w:jc w:val="both"/>
        <w:ind w:left="1180" w:right="40" w:hanging="1073"/>
        <w:spacing w:after="0" w:line="226" w:lineRule="auto"/>
        <w:tabs>
          <w:tab w:leader="none" w:pos="1180" w:val="left"/>
        </w:tabs>
        <w:numPr>
          <w:ilvl w:val="0"/>
          <w:numId w:val="73"/>
        </w:numPr>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Stock and Asset Purchase Agreement, dated August 1, 2019, by and among Campbell Soup Company and Snacking Investments BidCo</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Pty Limited, is incorporated by reference to Exhibit 2.1 to Campbell's Form 8-K (SEC file number 1-3822) filed with the SEC on August</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7, 2019.</w:t>
        </w:r>
      </w:hyperlink>
    </w:p>
    <w:p>
      <w:pPr>
        <w:spacing w:after="0" w:line="57"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27"/>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3(a)</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Campbell’s Restated Certificate of Incorporation, as amended through February 24, 1997, is incorporated by reference to Exhibit 3(i) to</w:t>
              </w:r>
            </w:hyperlink>
          </w:p>
        </w:tc>
      </w:tr>
      <w:tr>
        <w:trPr>
          <w:trHeight w:val="156"/>
        </w:trPr>
        <w:tc>
          <w:tcPr>
            <w:tcW w:w="1180" w:type="dxa"/>
            <w:vAlign w:val="bottom"/>
          </w:tcPr>
          <w:p>
            <w:pPr>
              <w:spacing w:after="0"/>
              <w:rPr>
                <w:sz w:val="13"/>
                <w:szCs w:val="13"/>
                <w:color w:val="auto"/>
              </w:rPr>
            </w:pPr>
          </w:p>
        </w:tc>
        <w:tc>
          <w:tcPr>
            <w:tcW w:w="64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Campbell’s Form 10-K (SEC file number 1-3822) for the fiscal year ended July 28, 2002.</w:t>
              </w:r>
            </w:hyperlink>
          </w:p>
        </w:tc>
        <w:tc>
          <w:tcPr>
            <w:tcW w:w="35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3(b)</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By-Laws of Campbell Soup Company, amended and restated effective June 24, 2020, are incorporated by reference to Exhibit 3 to</w:t>
              </w:r>
            </w:hyperlink>
          </w:p>
        </w:tc>
      </w:tr>
      <w:tr>
        <w:trPr>
          <w:trHeight w:val="183"/>
        </w:trPr>
        <w:tc>
          <w:tcPr>
            <w:tcW w:w="1180" w:type="dxa"/>
            <w:vAlign w:val="bottom"/>
          </w:tcPr>
          <w:p>
            <w:pPr>
              <w:spacing w:after="0"/>
              <w:rPr>
                <w:sz w:val="15"/>
                <w:szCs w:val="15"/>
                <w:color w:val="auto"/>
              </w:rPr>
            </w:pPr>
          </w:p>
        </w:tc>
        <w:tc>
          <w:tcPr>
            <w:tcW w:w="9400" w:type="dxa"/>
            <w:vAlign w:val="bottom"/>
            <w:tcBorders>
              <w:top w:val="single" w:sz="8" w:color="0000FF"/>
            </w:tcBorders>
            <w:gridSpan w:val="9"/>
          </w:tcPr>
          <w:p>
            <w:pPr>
              <w:spacing w:after="0" w:line="182"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Campbell’s Form 8-K (SEC file number 1-3822) filed with the SEC on June 2</w:t>
              </w:r>
              <w:r>
                <w:rPr>
                  <w:rFonts w:ascii="Times New Roman" w:cs="Times New Roman" w:eastAsia="Times New Roman" w:hAnsi="Times New Roman"/>
                  <w:sz w:val="18"/>
                  <w:szCs w:val="18"/>
                  <w:u w:val="single" w:color="auto"/>
                  <w:color w:val="0000FF"/>
                </w:rPr>
                <w:t>5, 2020.</w:t>
              </w:r>
            </w:hyperlink>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4(a)</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Indenture, dated November 24, 2008, between Campbell and The Bank of New York Mellon, as Trustee, is incorporated by reference to</w:t>
              </w:r>
            </w:hyperlink>
          </w:p>
        </w:tc>
      </w:tr>
      <w:tr>
        <w:trPr>
          <w:trHeight w:val="228"/>
        </w:trPr>
        <w:tc>
          <w:tcPr>
            <w:tcW w:w="1180" w:type="dxa"/>
            <w:vAlign w:val="bottom"/>
          </w:tcPr>
          <w:p>
            <w:pPr>
              <w:spacing w:after="0"/>
              <w:rPr>
                <w:sz w:val="19"/>
                <w:szCs w:val="19"/>
                <w:color w:val="auto"/>
              </w:rPr>
            </w:pPr>
          </w:p>
        </w:tc>
        <w:tc>
          <w:tcPr>
            <w:tcW w:w="10060" w:type="dxa"/>
            <w:vAlign w:val="bottom"/>
            <w:tcBorders>
              <w:top w:val="single" w:sz="8" w:color="0000FF"/>
            </w:tcBorders>
            <w:gridSpan w:val="14"/>
          </w:tcPr>
          <w:p>
            <w:pPr>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Exhibit 4(a) to Campbell’s Registration Statement on Form S-3 (SEC file number 333-155626) filed with the SEC on November 24, 2008.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4(b)</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First Supplemental Indenture, dated August 2, 2012, among Campbell, The Bank of New York Mellon and Wells Fargo Bank,</w:t>
              </w:r>
            </w:hyperlink>
          </w:p>
        </w:tc>
      </w:tr>
      <w:tr>
        <w:trPr>
          <w:trHeight w:val="155"/>
        </w:trPr>
        <w:tc>
          <w:tcPr>
            <w:tcW w:w="118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National Association, as Series Trustee, to Indenture dated November 24, 2008, is incorporated by reference to Exhibit 4.1 to Campbell's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0220" w:type="dxa"/>
            <w:vAlign w:val="bottom"/>
            <w:gridSpan w:val="22"/>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8-K (SEC file number 1-3822) filed with the SEC on August 2, 2012.</w:t>
              </w:r>
            </w:hyperlink>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4(c)</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Subordinated Indenture between Campbell and Wells Fargo Bank, National Association, as Trustee, is incorporated by reference</w:t>
              </w:r>
            </w:hyperlink>
          </w:p>
        </w:tc>
      </w:tr>
      <w:tr>
        <w:trPr>
          <w:trHeight w:val="228"/>
        </w:trPr>
        <w:tc>
          <w:tcPr>
            <w:tcW w:w="1180" w:type="dxa"/>
            <w:vAlign w:val="bottom"/>
          </w:tcPr>
          <w:p>
            <w:pPr>
              <w:spacing w:after="0"/>
              <w:rPr>
                <w:sz w:val="19"/>
                <w:szCs w:val="19"/>
                <w:color w:val="auto"/>
              </w:rPr>
            </w:pPr>
          </w:p>
        </w:tc>
        <w:tc>
          <w:tcPr>
            <w:tcW w:w="10100" w:type="dxa"/>
            <w:vAlign w:val="bottom"/>
            <w:tcBorders>
              <w:top w:val="single" w:sz="8" w:color="0000FF"/>
            </w:tcBorders>
            <w:gridSpan w:val="16"/>
          </w:tcPr>
          <w:p>
            <w:pPr>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to Exhibit 4.2 to Campbell's Registration Statement on Form S-3 (SEC file number 333-219217) filed with the SEC on July 10, 2017.</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52"/>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4(d)</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Indenture dated as of March 19, 2015, between Campbell and Wells Fargo Bank, National Association, as trustee, is incorporated by</w:t>
              </w:r>
            </w:hyperlink>
          </w:p>
        </w:tc>
      </w:tr>
      <w:tr>
        <w:trPr>
          <w:trHeight w:val="228"/>
        </w:trPr>
        <w:tc>
          <w:tcPr>
            <w:tcW w:w="1180" w:type="dxa"/>
            <w:vAlign w:val="bottom"/>
          </w:tcPr>
          <w:p>
            <w:pPr>
              <w:spacing w:after="0"/>
              <w:rPr>
                <w:sz w:val="19"/>
                <w:szCs w:val="19"/>
                <w:color w:val="auto"/>
              </w:rPr>
            </w:pPr>
          </w:p>
        </w:tc>
        <w:tc>
          <w:tcPr>
            <w:tcW w:w="10000" w:type="dxa"/>
            <w:vAlign w:val="bottom"/>
            <w:tcBorders>
              <w:top w:val="single" w:sz="8" w:color="0000FF"/>
            </w:tcBorders>
            <w:gridSpan w:val="11"/>
          </w:tcPr>
          <w:p>
            <w:pPr>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reference to Exhibit 4.1 to Campbell's Form 8-K (SEC file number 1-3822) filed with the SEC on March 19, 2015.</w:t>
              </w:r>
            </w:hyperlink>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306"/>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4(e)</w:t>
            </w:r>
          </w:p>
        </w:tc>
        <w:tc>
          <w:tcPr>
            <w:tcW w:w="101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2.500% Notes due 2022 is incorporated by reference to Exhibit 4.1 to Campbell's Form 8-K (SEC file number 1-3822) filed with</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r>
      <w:tr>
        <w:trPr>
          <w:trHeight w:val="156"/>
        </w:trPr>
        <w:tc>
          <w:tcPr>
            <w:tcW w:w="1180" w:type="dxa"/>
            <w:vAlign w:val="bottom"/>
          </w:tcPr>
          <w:p>
            <w:pPr>
              <w:spacing w:after="0"/>
              <w:rPr>
                <w:sz w:val="13"/>
                <w:szCs w:val="13"/>
                <w:color w:val="auto"/>
              </w:rPr>
            </w:pPr>
          </w:p>
        </w:tc>
        <w:tc>
          <w:tcPr>
            <w:tcW w:w="10140" w:type="dxa"/>
            <w:vAlign w:val="bottom"/>
            <w:gridSpan w:val="18"/>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the SEC on August 2,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4(f)</w:t>
            </w:r>
          </w:p>
        </w:tc>
        <w:tc>
          <w:tcPr>
            <w:tcW w:w="101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3.800% Notes due 2042 is incorporated by reference to Exhibit 4.1 to Campbell's Form 8-K (SEC file number 1-3822) filed with</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r>
      <w:tr>
        <w:trPr>
          <w:trHeight w:val="156"/>
        </w:trPr>
        <w:tc>
          <w:tcPr>
            <w:tcW w:w="1180" w:type="dxa"/>
            <w:vAlign w:val="bottom"/>
          </w:tcPr>
          <w:p>
            <w:pPr>
              <w:spacing w:after="0"/>
              <w:rPr>
                <w:sz w:val="13"/>
                <w:szCs w:val="13"/>
                <w:color w:val="auto"/>
              </w:rPr>
            </w:pPr>
          </w:p>
        </w:tc>
        <w:tc>
          <w:tcPr>
            <w:tcW w:w="10140" w:type="dxa"/>
            <w:vAlign w:val="bottom"/>
            <w:gridSpan w:val="18"/>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the SEC on August 2,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4(g)</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3.300% Note due 2025 is incorporated by referenced to Exhibit 4.2 to Campbell's Form 8-K (SEC file number 1-3822) filed with</w:t>
              </w:r>
            </w:hyperlink>
          </w:p>
        </w:tc>
      </w:tr>
      <w:tr>
        <w:trPr>
          <w:trHeight w:val="155"/>
        </w:trPr>
        <w:tc>
          <w:tcPr>
            <w:tcW w:w="1180" w:type="dxa"/>
            <w:vAlign w:val="bottom"/>
          </w:tcPr>
          <w:p>
            <w:pPr>
              <w:spacing w:after="0"/>
              <w:rPr>
                <w:sz w:val="13"/>
                <w:szCs w:val="13"/>
                <w:color w:val="auto"/>
              </w:rPr>
            </w:pPr>
          </w:p>
        </w:tc>
        <w:tc>
          <w:tcPr>
            <w:tcW w:w="102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the SEC on March 19, 2015.</w:t>
              </w:r>
            </w:hyperlink>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4(h)</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Floating Rate Note due 2021 is incorporated by reference to Exhibit 4.2.2 to Campbell's Form 8-K (SEC file number 1-3822)</w:t>
              </w:r>
            </w:hyperlink>
          </w:p>
        </w:tc>
      </w:tr>
      <w:tr>
        <w:trPr>
          <w:trHeight w:val="155"/>
        </w:trPr>
        <w:tc>
          <w:tcPr>
            <w:tcW w:w="1180" w:type="dxa"/>
            <w:vAlign w:val="bottom"/>
          </w:tcPr>
          <w:p>
            <w:pPr>
              <w:spacing w:after="0"/>
              <w:rPr>
                <w:sz w:val="13"/>
                <w:szCs w:val="13"/>
                <w:color w:val="auto"/>
              </w:rPr>
            </w:pPr>
          </w:p>
        </w:tc>
        <w:tc>
          <w:tcPr>
            <w:tcW w:w="101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filed with the SEC on March 16, 2018.</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4(i)</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3.300% Note due 2021 is incorporated by reference to Exhibit 4.2.3 to Campbell's Form 8-K (SEC file number 1-3822) filed with</w:t>
              </w:r>
            </w:hyperlink>
          </w:p>
        </w:tc>
      </w:tr>
      <w:tr>
        <w:trPr>
          <w:trHeight w:val="156"/>
        </w:trPr>
        <w:tc>
          <w:tcPr>
            <w:tcW w:w="1180" w:type="dxa"/>
            <w:vAlign w:val="bottom"/>
          </w:tcPr>
          <w:p>
            <w:pPr>
              <w:spacing w:after="0"/>
              <w:rPr>
                <w:sz w:val="13"/>
                <w:szCs w:val="13"/>
                <w:color w:val="auto"/>
              </w:rPr>
            </w:pPr>
          </w:p>
        </w:tc>
        <w:tc>
          <w:tcPr>
            <w:tcW w:w="100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the SEC on March 16, 2018.</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tcBorders>
              <w:left w:val="single" w:sz="8" w:color="0000FF"/>
            </w:tcBorders>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4(j)</w:t>
            </w: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3.650% Note due 2023 is incorporated by reference to Exhibit 4.2.4 to Campbell's Form 8-K (SEC file number 1-3822) filed with</w:t>
              </w:r>
            </w:hyperlink>
          </w:p>
        </w:tc>
        <w:tc>
          <w:tcPr>
            <w:tcW w:w="40" w:type="dxa"/>
            <w:vAlign w:val="bottom"/>
            <w:gridSpan w:val="2"/>
          </w:tcPr>
          <w:p>
            <w:pPr>
              <w:spacing w:after="0"/>
              <w:rPr>
                <w:sz w:val="24"/>
                <w:szCs w:val="24"/>
                <w:color w:val="auto"/>
              </w:rPr>
            </w:pPr>
          </w:p>
        </w:tc>
        <w:tc>
          <w:tcPr>
            <w:tcW w:w="100" w:type="dxa"/>
            <w:vAlign w:val="bottom"/>
            <w:gridSpan w:val="5"/>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56"/>
        </w:trPr>
        <w:tc>
          <w:tcPr>
            <w:tcW w:w="1180" w:type="dxa"/>
            <w:vAlign w:val="bottom"/>
          </w:tcPr>
          <w:p>
            <w:pPr>
              <w:spacing w:after="0"/>
              <w:rPr>
                <w:sz w:val="13"/>
                <w:szCs w:val="13"/>
                <w:color w:val="auto"/>
              </w:rPr>
            </w:pPr>
          </w:p>
        </w:tc>
        <w:tc>
          <w:tcPr>
            <w:tcW w:w="10040" w:type="dxa"/>
            <w:vAlign w:val="bottom"/>
            <w:gridSpan w:val="13"/>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the SEC on March 16, 2018.</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tcBorders>
              <w:left w:val="single" w:sz="8" w:color="0000FF"/>
            </w:tcBorders>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4(k)</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3.950% Note due 2025 is incorporated by reference to Exhibit 4.2.5 to Campbell's Form 8-K (SEC file number 1-3822) filed with</w:t>
              </w:r>
            </w:hyperlink>
          </w:p>
        </w:tc>
      </w:tr>
      <w:tr>
        <w:trPr>
          <w:trHeight w:val="155"/>
        </w:trPr>
        <w:tc>
          <w:tcPr>
            <w:tcW w:w="1180" w:type="dxa"/>
            <w:vAlign w:val="bottom"/>
          </w:tcPr>
          <w:p>
            <w:pPr>
              <w:spacing w:after="0"/>
              <w:rPr>
                <w:sz w:val="13"/>
                <w:szCs w:val="13"/>
                <w:color w:val="auto"/>
              </w:rPr>
            </w:pPr>
          </w:p>
        </w:tc>
        <w:tc>
          <w:tcPr>
            <w:tcW w:w="100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the SEC on March 16, 2018.</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tcBorders>
              <w:left w:val="single" w:sz="8" w:color="0000FF"/>
            </w:tcBorders>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4(l)</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4.150% Note due 2028 is incorporated by reference to Exhibit 4.2.6 to Campbell's Form 8-K (SEC file number 1-3822) filed with</w:t>
              </w:r>
            </w:hyperlink>
          </w:p>
        </w:tc>
      </w:tr>
      <w:tr>
        <w:trPr>
          <w:trHeight w:val="155"/>
        </w:trPr>
        <w:tc>
          <w:tcPr>
            <w:tcW w:w="1180" w:type="dxa"/>
            <w:vAlign w:val="bottom"/>
          </w:tcPr>
          <w:p>
            <w:pPr>
              <w:spacing w:after="0"/>
              <w:rPr>
                <w:sz w:val="13"/>
                <w:szCs w:val="13"/>
                <w:color w:val="auto"/>
              </w:rPr>
            </w:pPr>
          </w:p>
        </w:tc>
        <w:tc>
          <w:tcPr>
            <w:tcW w:w="100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the SEC on March 16, 2018.</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tcBorders>
              <w:left w:val="single" w:sz="8" w:color="0000FF"/>
            </w:tcBorders>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4(m)</w:t>
            </w:r>
          </w:p>
        </w:tc>
        <w:tc>
          <w:tcPr>
            <w:tcW w:w="100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4.800% Note due 2048 is incorporated by reference to Exhibit 4.2.7 to Campbell's Form 8-K (SEC file number 1-3822) filed with</w:t>
              </w:r>
            </w:hyperlink>
          </w:p>
        </w:tc>
        <w:tc>
          <w:tcPr>
            <w:tcW w:w="40" w:type="dxa"/>
            <w:vAlign w:val="bottom"/>
            <w:gridSpan w:val="2"/>
          </w:tcPr>
          <w:p>
            <w:pPr>
              <w:spacing w:after="0"/>
              <w:rPr>
                <w:sz w:val="24"/>
                <w:szCs w:val="24"/>
                <w:color w:val="auto"/>
              </w:rPr>
            </w:pPr>
          </w:p>
        </w:tc>
        <w:tc>
          <w:tcPr>
            <w:tcW w:w="100" w:type="dxa"/>
            <w:vAlign w:val="bottom"/>
            <w:gridSpan w:val="5"/>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56"/>
        </w:trPr>
        <w:tc>
          <w:tcPr>
            <w:tcW w:w="1180" w:type="dxa"/>
            <w:vAlign w:val="bottom"/>
          </w:tcPr>
          <w:p>
            <w:pPr>
              <w:spacing w:after="0"/>
              <w:rPr>
                <w:sz w:val="13"/>
                <w:szCs w:val="13"/>
                <w:color w:val="auto"/>
              </w:rPr>
            </w:pPr>
          </w:p>
        </w:tc>
        <w:tc>
          <w:tcPr>
            <w:tcW w:w="10040" w:type="dxa"/>
            <w:vAlign w:val="bottom"/>
            <w:gridSpan w:val="13"/>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the SEC on March 16, 2018.</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tcBorders>
              <w:left w:val="single" w:sz="8" w:color="0000FF"/>
            </w:tcBorders>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4(n)</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2.375% Note due 2030 incorporated by reference to Exhibit 4.2.1 to Campbell's Form 8-K (SEC file number 1-3822) filed with</w:t>
              </w:r>
            </w:hyperlink>
          </w:p>
        </w:tc>
      </w:tr>
      <w:tr>
        <w:trPr>
          <w:trHeight w:val="155"/>
        </w:trPr>
        <w:tc>
          <w:tcPr>
            <w:tcW w:w="118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the SEC on April 24, 2020.</w:t>
              </w:r>
            </w:hyperlink>
          </w:p>
        </w:tc>
        <w:tc>
          <w:tcPr>
            <w:tcW w:w="7800" w:type="dxa"/>
            <w:vAlign w:val="bottom"/>
            <w:tcBorders>
              <w:top w:val="single" w:sz="8" w:color="0000FF"/>
            </w:tcBorders>
            <w:gridSpan w:val="8"/>
          </w:tcPr>
          <w:p>
            <w:pPr>
              <w:spacing w:after="0"/>
              <w:rPr>
                <w:sz w:val="13"/>
                <w:szCs w:val="13"/>
                <w:color w:val="auto"/>
              </w:rPr>
            </w:pPr>
          </w:p>
        </w:tc>
        <w:tc>
          <w:tcPr>
            <w:tcW w:w="26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4(o)</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3.125% Note due 2050 incorporated by reference to Exhibit 4.2.2 to Campbell's Form 8-K (SEC file number 1-3822) filed with</w:t>
              </w:r>
            </w:hyperlink>
          </w:p>
        </w:tc>
      </w:tr>
      <w:tr>
        <w:trPr>
          <w:trHeight w:val="155"/>
        </w:trPr>
        <w:tc>
          <w:tcPr>
            <w:tcW w:w="118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the SEC on April 24, 2020.</w:t>
              </w:r>
            </w:hyperlink>
          </w:p>
        </w:tc>
        <w:tc>
          <w:tcPr>
            <w:tcW w:w="7800" w:type="dxa"/>
            <w:vAlign w:val="bottom"/>
            <w:tcBorders>
              <w:top w:val="single" w:sz="8" w:color="0000FF"/>
            </w:tcBorders>
            <w:gridSpan w:val="8"/>
          </w:tcPr>
          <w:p>
            <w:pPr>
              <w:spacing w:after="0"/>
              <w:rPr>
                <w:sz w:val="13"/>
                <w:szCs w:val="13"/>
                <w:color w:val="auto"/>
              </w:rPr>
            </w:pPr>
          </w:p>
        </w:tc>
        <w:tc>
          <w:tcPr>
            <w:tcW w:w="26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4(p)</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u w:val="single" w:color="auto"/>
                  <w:color w:val="0000FF"/>
                </w:rPr>
                <w:t>Description of securities incorporated by reference to Exhibit 4(p) to</w:t>
              </w:r>
              <w:r>
                <w:rPr>
                  <w:rFonts w:ascii="Times New Roman" w:cs="Times New Roman" w:eastAsia="Times New Roman" w:hAnsi="Times New Roman"/>
                  <w:sz w:val="18"/>
                  <w:szCs w:val="18"/>
                  <w:color w:val="0000FF"/>
                </w:rPr>
                <w:t xml:space="preserve"> Campbell's Form 10-K (SEC file number 1-3822) filed with the SEC</w:t>
              </w:r>
            </w:hyperlink>
          </w:p>
        </w:tc>
      </w:tr>
      <w:tr>
        <w:trPr>
          <w:trHeight w:val="155"/>
        </w:trPr>
        <w:tc>
          <w:tcPr>
            <w:tcW w:w="1180" w:type="dxa"/>
            <w:vAlign w:val="bottom"/>
          </w:tcPr>
          <w:p>
            <w:pPr>
              <w:spacing w:after="0"/>
              <w:rPr>
                <w:sz w:val="13"/>
                <w:szCs w:val="13"/>
                <w:color w:val="auto"/>
              </w:rPr>
            </w:pPr>
          </w:p>
        </w:tc>
        <w:tc>
          <w:tcPr>
            <w:tcW w:w="5020" w:type="dxa"/>
            <w:vAlign w:val="bottom"/>
            <w:gridSpan w:val="4"/>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on September 26, 2019.</w:t>
              </w:r>
            </w:hyperlink>
          </w:p>
        </w:tc>
        <w:tc>
          <w:tcPr>
            <w:tcW w:w="2420" w:type="dxa"/>
            <w:vAlign w:val="bottom"/>
            <w:tcBorders>
              <w:top w:val="single" w:sz="8" w:color="0000FF"/>
            </w:tcBorders>
            <w:gridSpan w:val="4"/>
          </w:tcPr>
          <w:p>
            <w:pPr>
              <w:spacing w:after="0"/>
              <w:rPr>
                <w:sz w:val="13"/>
                <w:szCs w:val="13"/>
                <w:color w:val="auto"/>
              </w:rPr>
            </w:pPr>
          </w:p>
        </w:tc>
        <w:tc>
          <w:tcPr>
            <w:tcW w:w="2640" w:type="dxa"/>
            <w:vAlign w:val="bottom"/>
            <w:tcBorders>
              <w:top w:val="single" w:sz="8" w:color="0000FF"/>
            </w:tcBorders>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274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10(a)+</w:t>
            </w:r>
          </w:p>
        </w:tc>
        <w:tc>
          <w:tcPr>
            <w:tcW w:w="10240" w:type="dxa"/>
            <w:vAlign w:val="bottom"/>
            <w:gridSpan w:val="23"/>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Campbell Soup Company 2005 Long-Term Incentive Plan, as amended and restated on November 18, 2010, is incorporated by reference</w:t>
              </w:r>
            </w:hyperlink>
          </w:p>
        </w:tc>
      </w:tr>
      <w:tr>
        <w:trPr>
          <w:trHeight w:val="155"/>
        </w:trPr>
        <w:tc>
          <w:tcPr>
            <w:tcW w:w="1180" w:type="dxa"/>
            <w:vAlign w:val="bottom"/>
          </w:tcPr>
          <w:p>
            <w:pPr>
              <w:spacing w:after="0"/>
              <w:rPr>
                <w:sz w:val="13"/>
                <w:szCs w:val="13"/>
                <w:color w:val="auto"/>
              </w:rPr>
            </w:pPr>
          </w:p>
        </w:tc>
        <w:tc>
          <w:tcPr>
            <w:tcW w:w="101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to Campbell’s 2010 Proxy Statement (SEC file number 1-3822) filed with the SEC on October 7, 2010.</w:t>
              </w:r>
            </w:hyperlink>
          </w:p>
        </w:tc>
        <w:tc>
          <w:tcPr>
            <w:tcW w:w="60" w:type="dxa"/>
            <w:vAlign w:val="bottom"/>
            <w:gridSpan w:val="3"/>
          </w:tcPr>
          <w:p>
            <w:pPr>
              <w:spacing w:after="0"/>
              <w:rPr>
                <w:sz w:val="13"/>
                <w:szCs w:val="13"/>
                <w:color w:val="auto"/>
              </w:rPr>
            </w:pPr>
          </w:p>
        </w:tc>
      </w:tr>
      <w:tr>
        <w:trPr>
          <w:trHeight w:val="803"/>
        </w:trPr>
        <w:tc>
          <w:tcPr>
            <w:tcW w:w="1180" w:type="dxa"/>
            <w:vAlign w:val="bottom"/>
          </w:tcPr>
          <w:p>
            <w:pPr>
              <w:spacing w:after="0"/>
              <w:rPr>
                <w:sz w:val="24"/>
                <w:szCs w:val="24"/>
                <w:color w:val="auto"/>
              </w:rPr>
            </w:pPr>
          </w:p>
        </w:tc>
        <w:tc>
          <w:tcPr>
            <w:tcW w:w="5020" w:type="dxa"/>
            <w:vAlign w:val="bottom"/>
            <w:tcBorders>
              <w:top w:val="single" w:sz="8" w:color="0000FF"/>
            </w:tcBorders>
            <w:gridSpan w:val="4"/>
          </w:tcPr>
          <w:p>
            <w:pPr>
              <w:ind w:left="4360"/>
              <w:spacing w:after="0"/>
              <w:rPr>
                <w:sz w:val="20"/>
                <w:szCs w:val="20"/>
                <w:color w:val="auto"/>
              </w:rPr>
            </w:pPr>
            <w:r>
              <w:rPr>
                <w:rFonts w:ascii="Times New Roman" w:cs="Times New Roman" w:eastAsia="Times New Roman" w:hAnsi="Times New Roman"/>
                <w:sz w:val="18"/>
                <w:szCs w:val="18"/>
                <w:color w:val="auto"/>
              </w:rPr>
              <w:t>92</w:t>
            </w: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11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2" w:name="page93"/>
    <w:bookmarkEnd w:id="92"/>
    <w:p>
      <w:pPr>
        <w:jc w:val="both"/>
        <w:ind w:left="1080" w:right="2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10(b)+</w:t>
      </w:r>
      <w:r>
        <w:rPr>
          <w:sz w:val="20"/>
          <w:szCs w:val="20"/>
          <w:color w:val="auto"/>
        </w:rPr>
        <w:tab/>
      </w:r>
      <w:hyperlink r:id="rId166">
        <w:r>
          <w:rPr>
            <w:rFonts w:ascii="Times New Roman" w:cs="Times New Roman" w:eastAsia="Times New Roman" w:hAnsi="Times New Roman"/>
            <w:sz w:val="18"/>
            <w:szCs w:val="18"/>
            <w:u w:val="single" w:color="auto"/>
            <w:color w:val="0000FF"/>
          </w:rPr>
          <w:t>Campbell Soup Company 2015 Long-Term Incentive Plan is incorporated by reference to Campbell’s 2015 Proxy Statement (SEC file</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number 1-3822) filed with the SEC on October 9, 2015.</w:t>
        </w:r>
      </w:hyperlink>
    </w:p>
    <w:p>
      <w:pPr>
        <w:spacing w:after="0" w:line="91" w:lineRule="exact"/>
        <w:rPr>
          <w:sz w:val="20"/>
          <w:szCs w:val="20"/>
          <w:color w:val="auto"/>
        </w:rPr>
      </w:pPr>
    </w:p>
    <w:p>
      <w:pPr>
        <w:jc w:val="both"/>
        <w:ind w:left="108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10(c)+</w:t>
      </w:r>
      <w:r>
        <w:rPr>
          <w:sz w:val="20"/>
          <w:szCs w:val="20"/>
          <w:color w:val="auto"/>
        </w:rPr>
        <w:tab/>
      </w:r>
      <w:hyperlink r:id="rId167">
        <w:r>
          <w:rPr>
            <w:rFonts w:ascii="Times New Roman" w:cs="Times New Roman" w:eastAsia="Times New Roman" w:hAnsi="Times New Roman"/>
            <w:sz w:val="18"/>
            <w:szCs w:val="18"/>
            <w:u w:val="single" w:color="auto"/>
            <w:color w:val="0000FF"/>
          </w:rPr>
          <w:t>Campbell Soup Company Annual Incentive Plan, as amended on November 19, 2014, is incorporated by reference to Campbell’s 2014</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Proxy Statement (SEC file number 1-3822) filed with the SEC on October 1, 2014.</w:t>
        </w:r>
      </w:hyperlink>
    </w:p>
    <w:p>
      <w:pPr>
        <w:spacing w:after="0" w:line="91" w:lineRule="exact"/>
        <w:rPr>
          <w:sz w:val="20"/>
          <w:szCs w:val="20"/>
          <w:color w:val="auto"/>
        </w:rPr>
      </w:pPr>
    </w:p>
    <w:p>
      <w:pPr>
        <w:jc w:val="both"/>
        <w:ind w:left="1080" w:right="2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10(d)+</w:t>
      </w:r>
      <w:r>
        <w:rPr>
          <w:sz w:val="20"/>
          <w:szCs w:val="20"/>
          <w:color w:val="auto"/>
        </w:rPr>
        <w:tab/>
      </w:r>
      <w:hyperlink r:id="rId168">
        <w:r>
          <w:rPr>
            <w:rFonts w:ascii="Times New Roman" w:cs="Times New Roman" w:eastAsia="Times New Roman" w:hAnsi="Times New Roman"/>
            <w:sz w:val="18"/>
            <w:szCs w:val="18"/>
            <w:u w:val="single" w:color="auto"/>
            <w:color w:val="0000FF"/>
          </w:rPr>
          <w:t>Campbell Soup Company Mid-Career Hire Pension Plan, as amended and restated effective as of January 1, 2009, is incorporated by</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reference to Exhibit 10(a) to Campbell’s Form 10-Q (SEC file number 1-3822) for the fiscal quarter ended February 1, 2009.</w:t>
        </w:r>
      </w:hyperlink>
    </w:p>
    <w:p>
      <w:pPr>
        <w:spacing w:after="0" w:line="91" w:lineRule="exact"/>
        <w:rPr>
          <w:sz w:val="20"/>
          <w:szCs w:val="20"/>
          <w:color w:val="auto"/>
        </w:rPr>
      </w:pPr>
    </w:p>
    <w:p>
      <w:pPr>
        <w:jc w:val="both"/>
        <w:ind w:left="108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10(e)+</w:t>
      </w:r>
      <w:r>
        <w:rPr>
          <w:sz w:val="20"/>
          <w:szCs w:val="20"/>
          <w:color w:val="auto"/>
        </w:rPr>
        <w:tab/>
      </w:r>
      <w:hyperlink r:id="rId169">
        <w:r>
          <w:rPr>
            <w:rFonts w:ascii="Times New Roman" w:cs="Times New Roman" w:eastAsia="Times New Roman" w:hAnsi="Times New Roman"/>
            <w:sz w:val="18"/>
            <w:szCs w:val="18"/>
            <w:u w:val="single" w:color="auto"/>
            <w:color w:val="0000FF"/>
          </w:rPr>
          <w:t>First Amendment to the Campbell Soup Company Mid-Career Hire Pension Plan, effective as of December 31, 2010, is incorporated by</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reference to Exhibit 10(a) to Campbell’s Form 10-Q (SEC file number 1-3822) for the fiscal quarter ended January 30, 2011.</w:t>
        </w:r>
      </w:hyperlink>
    </w:p>
    <w:p>
      <w:pPr>
        <w:spacing w:after="0" w:line="91" w:lineRule="exact"/>
        <w:rPr>
          <w:sz w:val="20"/>
          <w:szCs w:val="20"/>
          <w:color w:val="auto"/>
        </w:rPr>
      </w:pPr>
    </w:p>
    <w:p>
      <w:pPr>
        <w:jc w:val="both"/>
        <w:ind w:left="108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10(f)+</w:t>
      </w:r>
      <w:r>
        <w:rPr>
          <w:sz w:val="20"/>
          <w:szCs w:val="20"/>
          <w:color w:val="auto"/>
        </w:rPr>
        <w:tab/>
      </w:r>
      <w:hyperlink r:id="rId170">
        <w:r>
          <w:rPr>
            <w:rFonts w:ascii="Times New Roman" w:cs="Times New Roman" w:eastAsia="Times New Roman" w:hAnsi="Times New Roman"/>
            <w:sz w:val="18"/>
            <w:szCs w:val="18"/>
            <w:u w:val="single" w:color="auto"/>
            <w:color w:val="0000FF"/>
          </w:rPr>
          <w:t>Deferred Compensation Plan, effective November 18, 1999, is incorporated herein by reference to Exhibit 10(e) to Campbell’s Form 10-K</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(SEC file number 1-3822) for the fiscal year ended July 30, 2000.</w:t>
        </w:r>
      </w:hyperlink>
    </w:p>
    <w:p>
      <w:pPr>
        <w:spacing w:after="0" w:line="91" w:lineRule="exact"/>
        <w:rPr>
          <w:sz w:val="20"/>
          <w:szCs w:val="20"/>
          <w:color w:val="auto"/>
        </w:rPr>
      </w:pPr>
    </w:p>
    <w:p>
      <w:pPr>
        <w:jc w:val="both"/>
        <w:ind w:left="1080" w:hanging="1079"/>
        <w:spacing w:after="0" w:line="226"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10(g)+</w:t>
      </w:r>
      <w:r>
        <w:rPr>
          <w:sz w:val="20"/>
          <w:szCs w:val="20"/>
          <w:color w:val="auto"/>
        </w:rPr>
        <w:tab/>
      </w:r>
      <w:hyperlink r:id="rId171">
        <w:r>
          <w:rPr>
            <w:rFonts w:ascii="Times New Roman" w:cs="Times New Roman" w:eastAsia="Times New Roman" w:hAnsi="Times New Roman"/>
            <w:sz w:val="18"/>
            <w:szCs w:val="18"/>
            <w:u w:val="single" w:color="auto"/>
            <w:color w:val="0000FF"/>
          </w:rPr>
          <w:t>Campbell Soup Company Supplemental Retirement Plan (formerly known as Deferred Compensation Plan II), as amended and restated</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effective as of August 1, 2015, is incorporated herein by reference to Exhibit 4(c) to Campbell’s Form S-8 (SEC file number 333-216582)</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filed with the SEC on March 9, 2017.</w:t>
        </w:r>
      </w:hyperlink>
    </w:p>
    <w:p>
      <w:pPr>
        <w:spacing w:after="0" w:line="90" w:lineRule="exact"/>
        <w:rPr>
          <w:rFonts w:ascii="Times New Roman" w:cs="Times New Roman" w:eastAsia="Times New Roman" w:hAnsi="Times New Roman"/>
          <w:sz w:val="18"/>
          <w:szCs w:val="18"/>
          <w:u w:val="single" w:color="auto"/>
          <w:color w:val="0000FF"/>
        </w:rPr>
      </w:pPr>
    </w:p>
    <w:p>
      <w:pPr>
        <w:jc w:val="both"/>
        <w:ind w:left="108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10(h)+</w:t>
      </w:r>
      <w:r>
        <w:rPr>
          <w:sz w:val="20"/>
          <w:szCs w:val="20"/>
          <w:color w:val="auto"/>
        </w:rPr>
        <w:tab/>
      </w:r>
      <w:hyperlink r:id="rId172">
        <w:r>
          <w:rPr>
            <w:rFonts w:ascii="Times New Roman" w:cs="Times New Roman" w:eastAsia="Times New Roman" w:hAnsi="Times New Roman"/>
            <w:sz w:val="18"/>
            <w:szCs w:val="18"/>
            <w:u w:val="single" w:color="auto"/>
            <w:color w:val="0000FF"/>
          </w:rPr>
          <w:t>Form of Severance Protection Agreement is incorporated by reference to Exhibit 10(i) to Campbell's Form 10-K (SEC file number 1-</w:t>
        </w:r>
      </w:hyperlink>
      <w:hyperlink r:id="rId172">
        <w:r>
          <w:rPr>
            <w:rFonts w:ascii="Times New Roman" w:cs="Times New Roman" w:eastAsia="Times New Roman" w:hAnsi="Times New Roman"/>
            <w:sz w:val="18"/>
            <w:szCs w:val="18"/>
            <w:u w:val="single" w:color="auto"/>
            <w:color w:val="0000FF"/>
          </w:rPr>
          <w:t>3822) for the fiscal year ended July 30, 2017.</w:t>
        </w:r>
      </w:hyperlink>
    </w:p>
    <w:p>
      <w:pPr>
        <w:spacing w:after="0" w:line="91" w:lineRule="exact"/>
        <w:rPr>
          <w:sz w:val="20"/>
          <w:szCs w:val="20"/>
          <w:color w:val="auto"/>
        </w:rPr>
      </w:pPr>
    </w:p>
    <w:p>
      <w:pPr>
        <w:jc w:val="both"/>
        <w:ind w:left="108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10(i)+</w:t>
      </w:r>
      <w:r>
        <w:rPr>
          <w:sz w:val="20"/>
          <w:szCs w:val="20"/>
          <w:color w:val="auto"/>
        </w:rPr>
        <w:tab/>
      </w:r>
      <w:hyperlink r:id="rId173">
        <w:r>
          <w:rPr>
            <w:rFonts w:ascii="Times New Roman" w:cs="Times New Roman" w:eastAsia="Times New Roman" w:hAnsi="Times New Roman"/>
            <w:sz w:val="18"/>
            <w:szCs w:val="18"/>
            <w:u w:val="single" w:color="auto"/>
            <w:color w:val="0000FF"/>
          </w:rPr>
          <w:t>Form of Amendment to the Severance Protection Agreement is incorporated by reference to Exhibit 10(j) to Campbell's Form 10-K (SEC</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file number) for the fiscal year ended July 30, 2017.</w:t>
        </w:r>
      </w:hyperlink>
    </w:p>
    <w:p>
      <w:pPr>
        <w:spacing w:after="0" w:line="91" w:lineRule="exact"/>
        <w:rPr>
          <w:sz w:val="20"/>
          <w:szCs w:val="20"/>
          <w:color w:val="auto"/>
        </w:rPr>
      </w:pPr>
    </w:p>
    <w:p>
      <w:pPr>
        <w:jc w:val="both"/>
        <w:ind w:left="1080" w:right="2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10(j)+</w:t>
      </w:r>
      <w:r>
        <w:rPr>
          <w:sz w:val="20"/>
          <w:szCs w:val="20"/>
          <w:color w:val="auto"/>
        </w:rPr>
        <w:tab/>
      </w:r>
      <w:hyperlink r:id="rId174">
        <w:r>
          <w:rPr>
            <w:rFonts w:ascii="Times New Roman" w:cs="Times New Roman" w:eastAsia="Times New Roman" w:hAnsi="Times New Roman"/>
            <w:sz w:val="18"/>
            <w:szCs w:val="18"/>
            <w:u w:val="single" w:color="auto"/>
            <w:color w:val="0000FF"/>
          </w:rPr>
          <w:t>Form of U.S. Severance Protection Agreement is incorporated by reference to Exhibit 10(m) to Campbell’s Form 10-K (SEC file number</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1-3822) for the fiscal year ended July 31, 2011.</w:t>
        </w:r>
      </w:hyperlink>
    </w:p>
    <w:p>
      <w:pPr>
        <w:spacing w:after="0" w:line="91" w:lineRule="exact"/>
        <w:rPr>
          <w:sz w:val="20"/>
          <w:szCs w:val="20"/>
          <w:color w:val="auto"/>
        </w:rPr>
      </w:pPr>
    </w:p>
    <w:p>
      <w:pPr>
        <w:jc w:val="both"/>
        <w:ind w:left="108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10(k)+</w:t>
      </w:r>
      <w:r>
        <w:rPr>
          <w:sz w:val="20"/>
          <w:szCs w:val="20"/>
          <w:color w:val="auto"/>
        </w:rPr>
        <w:tab/>
      </w:r>
      <w:hyperlink r:id="rId175">
        <w:r>
          <w:rPr>
            <w:rFonts w:ascii="Times New Roman" w:cs="Times New Roman" w:eastAsia="Times New Roman" w:hAnsi="Times New Roman"/>
            <w:sz w:val="18"/>
            <w:szCs w:val="18"/>
            <w:u w:val="single" w:color="auto"/>
            <w:color w:val="0000FF"/>
          </w:rPr>
          <w:t>Form of Amendment to U.S. Severance Protection Agreement is incorporated by reference to Exhibit 10(o) to Campbell's Form 10-K</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(SEC file number 1-3822) for the fiscal year ended July 31, 2016.</w:t>
        </w:r>
      </w:hyperlink>
    </w:p>
    <w:p>
      <w:pPr>
        <w:spacing w:after="0" w:line="91" w:lineRule="exact"/>
        <w:rPr>
          <w:sz w:val="20"/>
          <w:szCs w:val="20"/>
          <w:color w:val="auto"/>
        </w:rPr>
      </w:pPr>
    </w:p>
    <w:p>
      <w:pPr>
        <w:jc w:val="both"/>
        <w:ind w:left="1080" w:right="2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10(l)+</w:t>
      </w:r>
      <w:r>
        <w:rPr>
          <w:sz w:val="20"/>
          <w:szCs w:val="20"/>
          <w:color w:val="auto"/>
        </w:rPr>
        <w:tab/>
      </w:r>
      <w:hyperlink r:id="rId176">
        <w:r>
          <w:rPr>
            <w:rFonts w:ascii="Times New Roman" w:cs="Times New Roman" w:eastAsia="Times New Roman" w:hAnsi="Times New Roman"/>
            <w:sz w:val="18"/>
            <w:szCs w:val="18"/>
            <w:u w:val="single" w:color="auto"/>
            <w:color w:val="0000FF"/>
          </w:rPr>
          <w:t>Campbell Soup Company Supplemental Employees’ Retirement Plan, as amended and restated effective January 1, 2009, is incorporated</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by reference to Exhibit 10(c) to Campbell’s Form 10-Q (SEC file number 1-3822) for the fiscal quarter ended February 1, 2009.</w:t>
        </w:r>
      </w:hyperlink>
    </w:p>
    <w:p>
      <w:pPr>
        <w:spacing w:after="0" w:line="91" w:lineRule="exact"/>
        <w:rPr>
          <w:sz w:val="20"/>
          <w:szCs w:val="20"/>
          <w:color w:val="auto"/>
        </w:rPr>
      </w:pPr>
    </w:p>
    <w:p>
      <w:pPr>
        <w:jc w:val="both"/>
        <w:ind w:left="1080" w:right="20" w:hanging="1079"/>
        <w:spacing w:after="0" w:line="226"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10(m)+</w:t>
      </w:r>
      <w:r>
        <w:rPr>
          <w:sz w:val="20"/>
          <w:szCs w:val="20"/>
          <w:color w:val="auto"/>
        </w:rPr>
        <w:tab/>
      </w:r>
      <w:hyperlink r:id="rId177">
        <w:r>
          <w:rPr>
            <w:rFonts w:ascii="Times New Roman" w:cs="Times New Roman" w:eastAsia="Times New Roman" w:hAnsi="Times New Roman"/>
            <w:sz w:val="18"/>
            <w:szCs w:val="18"/>
            <w:u w:val="single" w:color="auto"/>
            <w:color w:val="0000FF"/>
          </w:rPr>
          <w:t>First Amendment to the Campbell Soup Company Supplemental Employees’ Retirement Plan, effective as of December 31, 2010, is</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incorporated by reference to Exhibit 10(c) to Campbell’s Form 10-Q (SEC file number 1-3822) for the fiscal quarter ended January 30,</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2011.</w:t>
        </w:r>
      </w:hyperlink>
    </w:p>
    <w:p>
      <w:pPr>
        <w:spacing w:after="0" w:line="50" w:lineRule="exact"/>
        <w:rPr>
          <w:rFonts w:ascii="Times New Roman" w:cs="Times New Roman" w:eastAsia="Times New Roman" w:hAnsi="Times New Roman"/>
          <w:sz w:val="18"/>
          <w:szCs w:val="18"/>
          <w:u w:val="single" w:color="auto"/>
          <w:color w:val="0000FF"/>
        </w:rPr>
      </w:pPr>
    </w:p>
    <w:p>
      <w:pPr>
        <w:jc w:val="both"/>
        <w:ind w:left="108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10(n)+</w:t>
      </w:r>
      <w:r>
        <w:rPr>
          <w:sz w:val="20"/>
          <w:szCs w:val="20"/>
          <w:color w:val="auto"/>
        </w:rPr>
        <w:tab/>
      </w:r>
      <w:hyperlink r:id="rId178">
        <w:r>
          <w:rPr>
            <w:rFonts w:ascii="Times New Roman" w:cs="Times New Roman" w:eastAsia="Times New Roman" w:hAnsi="Times New Roman"/>
            <w:sz w:val="18"/>
            <w:szCs w:val="18"/>
            <w:u w:val="single" w:color="auto"/>
            <w:color w:val="0000FF"/>
          </w:rPr>
          <w:t>Form of 2005 Long-Term Incentive Plan Nonqualified Stock Option Agreement is incorporated by reference to Exhibit 10 to Campbell's</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Form 10-Q (SEC file number 1-3822) for the fiscal quarter ended November 1, 2015.</w:t>
        </w:r>
      </w:hyperlink>
    </w:p>
    <w:p>
      <w:pPr>
        <w:spacing w:after="0" w:line="104" w:lineRule="exact"/>
        <w:rPr>
          <w:sz w:val="20"/>
          <w:szCs w:val="20"/>
          <w:color w:val="auto"/>
        </w:rPr>
      </w:pPr>
    </w:p>
    <w:p>
      <w:pPr>
        <w:jc w:val="both"/>
        <w:ind w:left="1080" w:right="2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10(o)+</w:t>
      </w:r>
      <w:r>
        <w:rPr>
          <w:sz w:val="20"/>
          <w:szCs w:val="20"/>
          <w:color w:val="auto"/>
        </w:rPr>
        <w:tab/>
      </w:r>
      <w:hyperlink r:id="rId179">
        <w:r>
          <w:rPr>
            <w:rFonts w:ascii="Times New Roman" w:cs="Times New Roman" w:eastAsia="Times New Roman" w:hAnsi="Times New Roman"/>
            <w:sz w:val="18"/>
            <w:szCs w:val="18"/>
            <w:u w:val="single" w:color="auto"/>
            <w:color w:val="0000FF"/>
          </w:rPr>
          <w:t>Form of 2015 Long-Term Incentive Plan Nonqualified Stock Option Agreement is incorporated by reference to Exhibit 10(dd) to</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Campbell's Form 10-K (SEC file number 1-3822) for the fiscal year ended July 31, 2016.</w:t>
        </w:r>
      </w:hyperlink>
    </w:p>
    <w:p>
      <w:pPr>
        <w:spacing w:after="0" w:line="104" w:lineRule="exact"/>
        <w:rPr>
          <w:sz w:val="20"/>
          <w:szCs w:val="20"/>
          <w:color w:val="auto"/>
        </w:rPr>
      </w:pPr>
    </w:p>
    <w:p>
      <w:pPr>
        <w:jc w:val="both"/>
        <w:ind w:left="1080" w:right="2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10(p)+</w:t>
      </w:r>
      <w:r>
        <w:rPr>
          <w:sz w:val="20"/>
          <w:szCs w:val="20"/>
          <w:color w:val="auto"/>
        </w:rPr>
        <w:tab/>
      </w:r>
      <w:hyperlink r:id="rId180">
        <w:r>
          <w:rPr>
            <w:rFonts w:ascii="Times New Roman" w:cs="Times New Roman" w:eastAsia="Times New Roman" w:hAnsi="Times New Roman"/>
            <w:sz w:val="18"/>
            <w:szCs w:val="18"/>
            <w:u w:val="single" w:color="auto"/>
            <w:color w:val="0000FF"/>
          </w:rPr>
          <w:t>Form of 2015 Long-Term Incentive Plan Performance Stock Unit Agreement (Earnings Per Share) is incorporated by reference to Exhibit</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10(b) to Campbell's Form 10-Q (SEC file number 1-3822) for the fiscal quarter ended October 30, 2016.</w:t>
        </w:r>
      </w:hyperlink>
    </w:p>
    <w:p>
      <w:pPr>
        <w:spacing w:after="0" w:line="104" w:lineRule="exact"/>
        <w:rPr>
          <w:sz w:val="20"/>
          <w:szCs w:val="20"/>
          <w:color w:val="auto"/>
        </w:rPr>
      </w:pPr>
    </w:p>
    <w:p>
      <w:pPr>
        <w:jc w:val="both"/>
        <w:ind w:left="1080" w:right="2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10(q)+</w:t>
      </w:r>
      <w:r>
        <w:rPr>
          <w:sz w:val="20"/>
          <w:szCs w:val="20"/>
          <w:color w:val="auto"/>
        </w:rPr>
        <w:tab/>
      </w:r>
      <w:hyperlink r:id="rId181">
        <w:r>
          <w:rPr>
            <w:rFonts w:ascii="Times New Roman" w:cs="Times New Roman" w:eastAsia="Times New Roman" w:hAnsi="Times New Roman"/>
            <w:sz w:val="18"/>
            <w:szCs w:val="18"/>
            <w:u w:val="single" w:color="auto"/>
            <w:color w:val="0000FF"/>
          </w:rPr>
          <w:t>Form of 2015 Long-Term Incentive Plan Performance Stock Unit Agreement (Total Shareholder Return) is incorporated by reference to</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Exhibit 10(ff) to Campbell’s Form 10-K (SEC file number 1-3822) for the fiscal year ended July 31, 2016.</w:t>
        </w:r>
      </w:hyperlink>
    </w:p>
    <w:p>
      <w:pPr>
        <w:spacing w:after="0" w:line="104" w:lineRule="exact"/>
        <w:rPr>
          <w:sz w:val="20"/>
          <w:szCs w:val="20"/>
          <w:color w:val="auto"/>
        </w:rPr>
      </w:pPr>
    </w:p>
    <w:p>
      <w:pPr>
        <w:jc w:val="both"/>
        <w:ind w:left="1080" w:right="2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10(r)+</w:t>
      </w:r>
      <w:r>
        <w:rPr>
          <w:sz w:val="20"/>
          <w:szCs w:val="20"/>
          <w:color w:val="auto"/>
        </w:rPr>
        <w:tab/>
      </w:r>
      <w:hyperlink r:id="rId182">
        <w:r>
          <w:rPr>
            <w:rFonts w:ascii="Times New Roman" w:cs="Times New Roman" w:eastAsia="Times New Roman" w:hAnsi="Times New Roman"/>
            <w:sz w:val="18"/>
            <w:szCs w:val="18"/>
            <w:u w:val="single" w:color="auto"/>
            <w:color w:val="0000FF"/>
          </w:rPr>
          <w:t>Form of 2015 Long-Term Incentive Plan Time-Lapse Restricted Stock Unit Agreement is incorporated by reference to Exhibit 10(c) to</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Campbell's Form 10-Q (SEC file number 1-3822) for the fiscal quarter ended October 30, 2016.</w:t>
        </w:r>
      </w:hyperlink>
    </w:p>
    <w:p>
      <w:pPr>
        <w:spacing w:after="0" w:line="91" w:lineRule="exact"/>
        <w:rPr>
          <w:sz w:val="20"/>
          <w:szCs w:val="20"/>
          <w:color w:val="auto"/>
        </w:rPr>
      </w:pPr>
    </w:p>
    <w:p>
      <w:pPr>
        <w:jc w:val="both"/>
        <w:ind w:left="1080" w:right="2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10(s)+</w:t>
      </w:r>
      <w:r>
        <w:rPr>
          <w:sz w:val="20"/>
          <w:szCs w:val="20"/>
          <w:color w:val="auto"/>
        </w:rPr>
        <w:tab/>
      </w:r>
      <w:hyperlink r:id="rId183">
        <w:r>
          <w:rPr>
            <w:rFonts w:ascii="Times New Roman" w:cs="Times New Roman" w:eastAsia="Times New Roman" w:hAnsi="Times New Roman"/>
            <w:sz w:val="18"/>
            <w:szCs w:val="18"/>
            <w:u w:val="single" w:color="auto"/>
            <w:color w:val="0000FF"/>
          </w:rPr>
          <w:t>Campbell Soup Company Fiscal 2018 Long-Term Incentive Program Brochure is incorporated by reference to Exhibit 10(a) to Campbell's</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Form 10-Q (SEC file number 1-3822) for the fiscal quarter ended October 29, 2017.</w:t>
        </w:r>
      </w:hyperlink>
    </w:p>
    <w:p>
      <w:pPr>
        <w:spacing w:after="0" w:line="91" w:lineRule="exact"/>
        <w:rPr>
          <w:sz w:val="20"/>
          <w:szCs w:val="20"/>
          <w:color w:val="auto"/>
        </w:rPr>
      </w:pPr>
    </w:p>
    <w:p>
      <w:pPr>
        <w:jc w:val="both"/>
        <w:ind w:left="1080" w:right="2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10(t)+</w:t>
      </w:r>
      <w:r>
        <w:rPr>
          <w:sz w:val="20"/>
          <w:szCs w:val="20"/>
          <w:color w:val="auto"/>
        </w:rPr>
        <w:tab/>
      </w:r>
      <w:hyperlink r:id="rId184">
        <w:r>
          <w:rPr>
            <w:rFonts w:ascii="Times New Roman" w:cs="Times New Roman" w:eastAsia="Times New Roman" w:hAnsi="Times New Roman"/>
            <w:sz w:val="18"/>
            <w:szCs w:val="18"/>
            <w:u w:val="single" w:color="auto"/>
            <w:color w:val="0000FF"/>
          </w:rPr>
          <w:t>Severance Agreement and General Release executed April 30, 2018 by and between Mark R. Alexander and Campbell Soup Company is</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incorporated by reference to Exhibit 10(b) to Campbell's Form 10-Q (SEC file number 1-3822) for the fiscal quarter ended April 29, 2018.</w:t>
        </w:r>
      </w:hyperlink>
    </w:p>
    <w:p>
      <w:pPr>
        <w:spacing w:after="0" w:line="91" w:lineRule="exact"/>
        <w:rPr>
          <w:sz w:val="20"/>
          <w:szCs w:val="20"/>
          <w:color w:val="auto"/>
        </w:rPr>
      </w:pPr>
    </w:p>
    <w:p>
      <w:pPr>
        <w:jc w:val="both"/>
        <w:ind w:left="1080" w:right="20" w:hanging="1079"/>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10(u)+</w:t>
      </w:r>
      <w:r>
        <w:rPr>
          <w:sz w:val="20"/>
          <w:szCs w:val="20"/>
          <w:color w:val="auto"/>
        </w:rPr>
        <w:tab/>
      </w:r>
      <w:hyperlink r:id="rId185">
        <w:r>
          <w:rPr>
            <w:rFonts w:ascii="Times New Roman" w:cs="Times New Roman" w:eastAsia="Times New Roman" w:hAnsi="Times New Roman"/>
            <w:sz w:val="18"/>
            <w:szCs w:val="18"/>
            <w:u w:val="single" w:color="auto"/>
            <w:color w:val="0000FF"/>
          </w:rPr>
          <w:t>Retirement Agreement and General Release executed May 18, 2018 by and between Denise M. Morrison and Campbell Soup Company is</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incorporated by reference to Exhibit 10(z) to Campbell's Form 10-K (SEC file number 1-3822) for the fiscal year ended July 29, 2018.</w:t>
        </w:r>
      </w:hyperlink>
    </w:p>
    <w:p>
      <w:pPr>
        <w:spacing w:after="0" w:line="200" w:lineRule="exact"/>
        <w:rPr>
          <w:sz w:val="20"/>
          <w:szCs w:val="20"/>
          <w:color w:val="auto"/>
        </w:rPr>
      </w:pPr>
    </w:p>
    <w:p>
      <w:pPr>
        <w:spacing w:after="0" w:line="3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20" w:top="1120" w:right="379" w:bottom="1440" w:gutter="0" w:footer="0" w:header="0"/>
        </w:sectPr>
      </w:pPr>
    </w:p>
    <w:bookmarkStart w:id="93" w:name="page94"/>
    <w:bookmarkEnd w:id="93"/>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10(v)+</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10(w)+</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10(x)</w:t>
      </w: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10(z)+</w:t>
      </w:r>
    </w:p>
    <w:p>
      <w:pPr>
        <w:spacing w:after="0" w:line="3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10(aa)+</w:t>
      </w:r>
    </w:p>
    <w:p>
      <w:pPr>
        <w:spacing w:after="0" w:line="2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10(bb)+</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10(cc)+</w:t>
      </w:r>
    </w:p>
    <w:p>
      <w:pPr>
        <w:spacing w:after="0" w:line="2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21</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23</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24</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31(a)</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31(b)</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32(a)</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32(b)</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101.INS</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101.SCH</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101.CAL</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101.DEF</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101.LAB</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101.PRE</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ind w:right="260"/>
        <w:spacing w:after="0" w:line="226"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Amendment to Retirement Agreement and General Release executed May 30, 2018 by and between Denise M. Morrison and Campbell</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Soup Company is incorporated by reference to Exhibit 10(aa) to Campbell's Form 10-K (SEC file number 1-3822) for the fiscal year</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ended July 29, 2018.</w:t>
        </w:r>
      </w:hyperlink>
    </w:p>
    <w:p>
      <w:pPr>
        <w:spacing w:after="0" w:line="90" w:lineRule="exact"/>
        <w:rPr>
          <w:rFonts w:ascii="Times New Roman" w:cs="Times New Roman" w:eastAsia="Times New Roman" w:hAnsi="Times New Roman"/>
          <w:sz w:val="18"/>
          <w:szCs w:val="18"/>
          <w:u w:val="single" w:color="auto"/>
          <w:color w:val="0000FF"/>
        </w:rPr>
      </w:pPr>
    </w:p>
    <w:p>
      <w:pPr>
        <w:ind w:right="320"/>
        <w:spacing w:after="0" w:line="226"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Severance Agreement and General Release executed November 25, 2019 by and between Anthony DiSilvestro and Campbell Soup</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Company is incorporated by reference to Exhibit 10.2 to Campbell’s Form 10-Q (SEC file number 1-3822) for the fiscal quarter ended</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January 26, 2020.</w:t>
        </w:r>
      </w:hyperlink>
    </w:p>
    <w:p>
      <w:pPr>
        <w:spacing w:after="0" w:line="104"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Five-Year Credit Agreement, dated December 9, 2016, by and among Campbell Soup Company, the eligible subsidiaries referred to</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therein, JPMorgan Chase Bank, N.A., as administrative agent, and the other lenders named therein, is incorporated by reference to Exhibit</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10 to Campbell's Form 8-K (SEC file number 1-3822) filed with the SEC on December 12, 2016.</w:t>
        </w:r>
      </w:hyperlink>
    </w:p>
    <w:p>
      <w:pPr>
        <w:spacing w:after="0" w:line="90" w:lineRule="exact"/>
        <w:rPr>
          <w:rFonts w:ascii="Times New Roman" w:cs="Times New Roman" w:eastAsia="Times New Roman" w:hAnsi="Times New Roman"/>
          <w:sz w:val="18"/>
          <w:szCs w:val="18"/>
          <w:u w:val="single" w:color="auto"/>
          <w:color w:val="0000FF"/>
        </w:rPr>
      </w:pPr>
    </w:p>
    <w:p>
      <w:pPr>
        <w:jc w:val="both"/>
        <w:spacing w:after="0" w:line="217"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Support Agreement, dated November 26, 2018, by and among Campbell Soup Company and Third Point LLC, Third Point Partners</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Qualified L.P., Third Point Partners L.P., Third Point Offshore Master Fund L.P., Third Point Ultra Master Fund L.P., Third Point</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Enhanced L.P., Third Point Advisors LLC, Third Point Advisors II LLC and the Revocable Trust of Goerge Strawbridge, Jr., dated</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January 21, 1991 is incorporated by reference to Exhibit 10.1 to Campbell's Form 8-K (SEC file number 1-3822) filed with the SEC on</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November 26, 2018.</w:t>
        </w:r>
      </w:hyperlink>
    </w:p>
    <w:p>
      <w:pPr>
        <w:spacing w:after="0" w:line="104" w:lineRule="exact"/>
        <w:rPr>
          <w:rFonts w:ascii="Times New Roman" w:cs="Times New Roman" w:eastAsia="Times New Roman" w:hAnsi="Times New Roman"/>
          <w:sz w:val="18"/>
          <w:szCs w:val="18"/>
          <w:u w:val="single" w:color="auto"/>
          <w:color w:val="0000FF"/>
        </w:rPr>
      </w:pPr>
    </w:p>
    <w:p>
      <w:pPr>
        <w:ind w:right="120"/>
        <w:spacing w:after="0" w:line="266"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2020 Non-Employee Director Fees are incorporated by reference to Exhibit 10.1 to Campbell’s Form 10-Q (SEC file number 1-3822) for</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the fiscal quarter ended January 26, 2020.</w:t>
        </w:r>
      </w:hyperlink>
    </w:p>
    <w:p>
      <w:pPr>
        <w:spacing w:after="0" w:line="81"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First Amendment to the Campbell Soup Company Supplemental Retirement Plan effective November 30, 2018 is incorporated by</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reference to Exhibit 10(b) to Campbell's Form 10-Q (SEC file number 1-3822) for the fiscal quarter ended January 27, 2019.</w:t>
        </w:r>
      </w:hyperlink>
    </w:p>
    <w:p>
      <w:pPr>
        <w:spacing w:after="0" w:line="13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97">
        <w:r>
          <w:rPr>
            <w:rFonts w:ascii="Times New Roman" w:cs="Times New Roman" w:eastAsia="Times New Roman" w:hAnsi="Times New Roman"/>
            <w:sz w:val="18"/>
            <w:szCs w:val="18"/>
            <w:u w:val="single" w:color="auto"/>
            <w:color w:val="0000FF"/>
          </w:rPr>
          <w:t>Second Amendment to the Campbell Soup Company Supplemental Retirement Plan effective September 16, 2020.</w:t>
        </w:r>
      </w:hyperlink>
    </w:p>
    <w:p>
      <w:pPr>
        <w:spacing w:after="0" w:line="117"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Campbell Soup Company Executive Severance Pay Plan is incorporated by reference to Exhibit 10 to Campbell's Form 8-K (SEC file</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number 1-3822) filed with the SEC on April 2, 2019.</w:t>
        </w:r>
      </w:hyperlink>
    </w:p>
    <w:p>
      <w:pPr>
        <w:spacing w:after="0" w:line="9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100">
        <w:r>
          <w:rPr>
            <w:rFonts w:ascii="Times New Roman" w:cs="Times New Roman" w:eastAsia="Times New Roman" w:hAnsi="Times New Roman"/>
            <w:sz w:val="18"/>
            <w:szCs w:val="18"/>
            <w:u w:val="single" w:color="auto"/>
            <w:color w:val="0000FF"/>
          </w:rPr>
          <w:t>Subsidiary List.</w:t>
        </w:r>
      </w:hyperlink>
    </w:p>
    <w:p>
      <w:pPr>
        <w:spacing w:after="0" w:line="158" w:lineRule="exact"/>
        <w:rPr>
          <w:sz w:val="20"/>
          <w:szCs w:val="20"/>
          <w:color w:val="auto"/>
        </w:rPr>
      </w:pPr>
    </w:p>
    <w:p>
      <w:pPr>
        <w:spacing w:after="0"/>
        <w:rPr>
          <w:rFonts w:ascii="Times New Roman" w:cs="Times New Roman" w:eastAsia="Times New Roman" w:hAnsi="Times New Roman"/>
          <w:sz w:val="18"/>
          <w:szCs w:val="18"/>
          <w:color w:val="0000FF"/>
        </w:rPr>
      </w:pPr>
      <w:hyperlink w:anchor="page102">
        <w:r>
          <w:rPr>
            <w:rFonts w:ascii="Times New Roman" w:cs="Times New Roman" w:eastAsia="Times New Roman" w:hAnsi="Times New Roman"/>
            <w:sz w:val="18"/>
            <w:szCs w:val="18"/>
            <w:u w:val="single" w:color="auto"/>
            <w:color w:val="0000FF"/>
          </w:rPr>
          <w:t>Consent of Independent Registered Public Accounting Firm</w:t>
        </w:r>
        <w:r>
          <w:rPr>
            <w:rFonts w:ascii="Times New Roman" w:cs="Times New Roman" w:eastAsia="Times New Roman" w:hAnsi="Times New Roman"/>
            <w:sz w:val="18"/>
            <w:szCs w:val="18"/>
            <w:color w:val="0000FF"/>
          </w:rPr>
          <w:t>.</w:t>
        </w:r>
      </w:hyperlink>
    </w:p>
    <w:p>
      <w:pPr>
        <w:spacing w:after="0" w:line="19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Powers of Attorney.</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Certification of Mark A. Clouse pursuant to Rule 13a-14(a).</w:t>
        </w:r>
      </w:hyperlink>
    </w:p>
    <w:p>
      <w:pPr>
        <w:spacing w:after="0" w:line="15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Certification of Mick J. Beekhuizen pursuant to Rule 13a-14(a).</w:t>
        </w:r>
      </w:hyperlink>
    </w:p>
    <w:p>
      <w:pPr>
        <w:spacing w:after="0" w:line="158" w:lineRule="exact"/>
        <w:rPr>
          <w:sz w:val="20"/>
          <w:szCs w:val="20"/>
          <w:color w:val="auto"/>
        </w:rPr>
      </w:pPr>
    </w:p>
    <w:p>
      <w:pPr>
        <w:spacing w:after="0"/>
        <w:rPr>
          <w:rFonts w:ascii="Times New Roman" w:cs="Times New Roman" w:eastAsia="Times New Roman" w:hAnsi="Times New Roman"/>
          <w:sz w:val="18"/>
          <w:szCs w:val="18"/>
          <w:color w:val="0000FF"/>
        </w:rPr>
      </w:pPr>
      <w:hyperlink w:anchor="page111">
        <w:r>
          <w:rPr>
            <w:rFonts w:ascii="Times New Roman" w:cs="Times New Roman" w:eastAsia="Times New Roman" w:hAnsi="Times New Roman"/>
            <w:sz w:val="18"/>
            <w:szCs w:val="18"/>
            <w:u w:val="single" w:color="auto"/>
            <w:color w:val="0000FF"/>
          </w:rPr>
          <w:t>Certification of Mark A. Clouse pursuant to 18 U.S.C. Section 1350</w:t>
        </w:r>
        <w:r>
          <w:rPr>
            <w:rFonts w:ascii="Times New Roman" w:cs="Times New Roman" w:eastAsia="Times New Roman" w:hAnsi="Times New Roman"/>
            <w:sz w:val="18"/>
            <w:szCs w:val="18"/>
            <w:color w:val="0000FF"/>
          </w:rPr>
          <w:t>.</w:t>
        </w:r>
      </w:hyperlink>
    </w:p>
    <w:p>
      <w:pPr>
        <w:spacing w:after="0" w:line="15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112">
        <w:r>
          <w:rPr>
            <w:rFonts w:ascii="Times New Roman" w:cs="Times New Roman" w:eastAsia="Times New Roman" w:hAnsi="Times New Roman"/>
            <w:sz w:val="18"/>
            <w:szCs w:val="18"/>
            <w:u w:val="single" w:color="auto"/>
            <w:color w:val="0000FF"/>
          </w:rPr>
          <w:t>Certification of Mick J. Beekhuizen pursuant to 18 U.S.C. Section 1350.</w:t>
        </w:r>
      </w:hyperlink>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Schema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Calculation Linkbase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Definition Linkbase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Label Linkbase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Presentation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cover page from this Annual Report on Form 10-K, formulated in Inline XBRL (see exhibit 101)</w:t>
      </w:r>
    </w:p>
    <w:p>
      <w:pPr>
        <w:spacing w:after="0" w:line="144" w:lineRule="exact"/>
        <w:rPr>
          <w:sz w:val="20"/>
          <w:szCs w:val="20"/>
          <w:color w:val="auto"/>
        </w:rPr>
      </w:pPr>
    </w:p>
    <w:p>
      <w:pPr>
        <w:sectPr>
          <w:pgSz w:w="11900" w:h="16838" w:orient="portrait"/>
          <w:cols w:equalWidth="0" w:num="2">
            <w:col w:w="780" w:space="400"/>
            <w:col w:w="10020"/>
          </w:cols>
          <w:pgMar w:left="320" w:top="1120" w:right="3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+This exhibit is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type w:val="continuous"/>
        </w:sectPr>
      </w:pPr>
    </w:p>
    <w:bookmarkStart w:id="94" w:name="page95"/>
    <w:bookmarkEnd w:id="9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Campbell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2020</w:t>
      </w:r>
    </w:p>
    <w:p>
      <w:pPr>
        <w:spacing w:after="0" w:line="59" w:lineRule="exact"/>
        <w:rPr>
          <w:sz w:val="20"/>
          <w:szCs w:val="20"/>
          <w:color w:val="auto"/>
        </w:rPr>
      </w:pPr>
    </w:p>
    <w:tbl>
      <w:tblPr>
        <w:tblLayout w:type="fixed"/>
        <w:tblInd w:w="570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CAMPBELL SOUP COMPANY</w:t>
            </w:r>
          </w:p>
        </w:tc>
      </w:tr>
      <w:tr>
        <w:trPr>
          <w:trHeight w:val="48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/s/Mick J. Beekhuizen</w:t>
            </w:r>
          </w:p>
        </w:tc>
      </w:tr>
      <w:tr>
        <w:trPr>
          <w:trHeight w:val="27"/>
        </w:trPr>
        <w:tc>
          <w:tcPr>
            <w:tcW w:w="28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Mick J. Beekhuizen</w:t>
            </w:r>
          </w:p>
        </w:tc>
      </w:tr>
      <w:tr>
        <w:trPr>
          <w:trHeight w:val="252"/>
        </w:trPr>
        <w:tc>
          <w:tcPr>
            <w:tcW w:w="280" w:type="dxa"/>
            <w:vAlign w:val="bottom"/>
          </w:tcPr>
          <w:p>
            <w:pPr>
              <w:spacing w:after="0"/>
              <w:rPr>
                <w:sz w:val="21"/>
                <w:szCs w:val="21"/>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 (Principal</w:t>
            </w:r>
          </w:p>
        </w:tc>
      </w:tr>
      <w:tr>
        <w:trPr>
          <w:trHeight w:val="234"/>
        </w:trPr>
        <w:tc>
          <w:tcPr>
            <w:tcW w:w="28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Financial Officer)</w:t>
            </w:r>
          </w:p>
        </w:tc>
      </w:tr>
    </w:tbl>
    <w:p>
      <w:pPr>
        <w:spacing w:after="0" w:line="11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Campbell and in the capacities indicated on September 24, 2020.</w:t>
      </w:r>
    </w:p>
    <w:p>
      <w:pPr>
        <w:spacing w:after="0" w:line="2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67290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ectPr>
          <w:pgSz w:w="11900" w:h="16838" w:orient="portrait"/>
          <w:cols w:equalWidth="0" w:num="1">
            <w:col w:w="11060"/>
          </w:cols>
          <w:pgMar w:left="320" w:top="887" w:right="519" w:bottom="1014" w:gutter="0" w:footer="0" w:header="0"/>
        </w:sectPr>
      </w:pPr>
    </w:p>
    <w:p>
      <w:pPr>
        <w:spacing w:after="0" w:line="279"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3111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Mark A. Clouse</w:t>
      </w:r>
    </w:p>
    <w:p>
      <w:pPr>
        <w:spacing w:after="0" w:line="6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p>
      <w:pPr>
        <w:spacing w:after="0" w:line="6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3111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6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75"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3111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Stanley Polomski</w:t>
      </w:r>
    </w:p>
    <w:p>
      <w:pPr>
        <w:spacing w:after="0" w:line="6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6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79"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3111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Keith R. McLoughlin</w:t>
      </w:r>
    </w:p>
    <w:p>
      <w:pPr>
        <w:spacing w:after="0" w:line="6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Chair and Director</w:t>
      </w:r>
    </w:p>
    <w:p>
      <w:pPr>
        <w:spacing w:after="0" w:line="279"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3111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Fabiola R. Arredondo</w:t>
      </w:r>
    </w:p>
    <w:p>
      <w:pPr>
        <w:spacing w:after="0" w:line="6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3111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Howard M. Averill</w:t>
      </w:r>
    </w:p>
    <w:p>
      <w:pPr>
        <w:spacing w:after="0" w:line="6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3111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John P. Bilbrey</w:t>
      </w:r>
    </w:p>
    <w:p>
      <w:pPr>
        <w:spacing w:after="0" w:line="6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Director</w:t>
      </w:r>
    </w:p>
    <w:p>
      <w:pPr>
        <w:spacing w:after="0" w:line="33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3111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Bennett Dorrance</w:t>
      </w:r>
    </w:p>
    <w:p>
      <w:pPr>
        <w:spacing w:after="0" w:line="6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34290</wp:posOffset>
            </wp:positionV>
            <wp:extent cx="30003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Maria Teresa Hilado</w:t>
      </w:r>
    </w:p>
    <w:p>
      <w:pPr>
        <w:spacing w:after="0" w:line="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34290</wp:posOffset>
            </wp:positionV>
            <wp:extent cx="30003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Sarah Hofstetter</w:t>
      </w:r>
    </w:p>
    <w:p>
      <w:pPr>
        <w:spacing w:after="0" w:line="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34290</wp:posOffset>
            </wp:positionV>
            <wp:extent cx="30003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Marc B. Lautenbach</w:t>
      </w:r>
    </w:p>
    <w:p>
      <w:pPr>
        <w:spacing w:after="0" w:line="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34290</wp:posOffset>
            </wp:positionV>
            <wp:extent cx="30003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Mary Alice D. Malone</w:t>
      </w:r>
    </w:p>
    <w:p>
      <w:pPr>
        <w:spacing w:after="0" w:line="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34290</wp:posOffset>
            </wp:positionV>
            <wp:extent cx="30003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Kurt T. Schmidt</w:t>
      </w:r>
    </w:p>
    <w:p>
      <w:pPr>
        <w:spacing w:after="0" w:line="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34290</wp:posOffset>
            </wp:positionV>
            <wp:extent cx="30003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Archbold D. van Beuren</w:t>
      </w:r>
    </w:p>
    <w:p>
      <w:pPr>
        <w:spacing w:after="0" w:line="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ind w:left="1300" w:hanging="128"/>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Charles A. Brawley, III</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Charles A. Brawley, III</w:t>
      </w:r>
    </w:p>
    <w:p>
      <w:pPr>
        <w:spacing w:after="0" w:line="63" w:lineRule="exact"/>
        <w:rPr>
          <w:rFonts w:ascii="Times New Roman" w:cs="Times New Roman" w:eastAsia="Times New Roman" w:hAnsi="Times New Roman"/>
          <w:sz w:val="18"/>
          <w:szCs w:val="18"/>
          <w:color w:val="auto"/>
        </w:rPr>
      </w:pPr>
    </w:p>
    <w:p>
      <w:pPr>
        <w:ind w:left="540" w:right="1120" w:hanging="5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Vice President, Deputy General Counsel and Corporate Secretary, as Attorney-in-fact</w:t>
      </w: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-659130</wp:posOffset>
            </wp:positionV>
            <wp:extent cx="30003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53" w:lineRule="exact"/>
        <w:rPr>
          <w:sz w:val="20"/>
          <w:szCs w:val="20"/>
          <w:color w:val="auto"/>
        </w:rPr>
      </w:pPr>
    </w:p>
    <w:p>
      <w:pPr>
        <w:sectPr>
          <w:pgSz w:w="11900" w:h="16838" w:orient="portrait"/>
          <w:cols w:equalWidth="0" w:num="2">
            <w:col w:w="5500" w:space="720"/>
            <w:col w:w="4840"/>
          </w:cols>
          <w:pgMar w:left="320" w:top="887" w:right="519" w:bottom="101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887" w:right="519" w:bottom="1014" w:gutter="0" w:footer="0" w:header="0"/>
          <w:type w:val="continuous"/>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August 2, 2020, July 28, 2019, and July 29,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schedule of valuation and qualifying accounts for continuing operations should be read in conjunction with the Consolidated Financial Statements. This schedule excludes amounts related to discontinued operations. See Note 3 to the Consolidated Financial Statements for additional information.</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1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(Reduction in)</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Costs</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3"/>
                <w:szCs w:val="13"/>
                <w:color w:val="auto"/>
              </w:rPr>
            </w:pPr>
          </w:p>
        </w:tc>
        <w:tc>
          <w:tcPr>
            <w:tcW w:w="10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Acquisition/(Divestiture)</w:t>
            </w:r>
          </w:p>
        </w:tc>
        <w:tc>
          <w:tcPr>
            <w:tcW w:w="140" w:type="dxa"/>
            <w:vAlign w:val="bottom"/>
          </w:tcPr>
          <w:p>
            <w:pPr>
              <w:spacing w:after="0"/>
              <w:rPr>
                <w:sz w:val="13"/>
                <w:szCs w:val="13"/>
                <w:color w:val="auto"/>
              </w:rPr>
            </w:pPr>
          </w:p>
        </w:tc>
        <w:tc>
          <w:tcPr>
            <w:tcW w:w="920" w:type="dxa"/>
            <w:vAlign w:val="bottom"/>
          </w:tcPr>
          <w:p>
            <w:pPr>
              <w:jc w:val="right"/>
              <w:ind w:right="254"/>
              <w:spacing w:after="0" w:line="151"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35"/>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August 2, 2020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discount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reserve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reserve</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8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allowances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July 28, 2019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discount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reserve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Returns reserve</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8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allowances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July 29, 2018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discount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reserve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reserve</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8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allowances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04" w:lineRule="exact"/>
        <w:rPr>
          <w:sz w:val="20"/>
          <w:szCs w:val="20"/>
          <w:color w:val="auto"/>
        </w:rPr>
      </w:pPr>
    </w:p>
    <w:p>
      <w:pPr>
        <w:ind w:left="340" w:right="20" w:hanging="332"/>
        <w:spacing w:after="0" w:line="229" w:lineRule="auto"/>
        <w:tabs>
          <w:tab w:leader="none" w:pos="328"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returns reserve is evaluated quarterly and adjusted accordingly. During each period, returns are charged to net sales in the Consolidated Statements of Earnings as incurred. Actual returns were approximately $99 in 2020, $107 in 2019, and $104 in 2018, or less than 2% of net sales.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b w:val="1"/>
          <w:bCs w:val="1"/>
          <w:color w:val="auto"/>
        </w:rPr>
        <w:t>EXHIBIT 10(bb)</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the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Campbell Soup Company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Retirement Plan</w:t>
      </w:r>
    </w:p>
    <w:p>
      <w:pPr>
        <w:spacing w:after="0" w:line="223" w:lineRule="exact"/>
        <w:rPr>
          <w:sz w:val="20"/>
          <w:szCs w:val="20"/>
          <w:color w:val="auto"/>
        </w:rPr>
      </w:pPr>
    </w:p>
    <w:p>
      <w:pPr>
        <w:jc w:val="both"/>
        <w:ind w:firstLine="760"/>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Campbell Soup Company (“Company”) previously established the Campbell Soup Company Supplemental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Retirement Plan (the “Plan”) primarily to provide eligible executives of the Company and any designated subsidiary with an additional method of planning for retirement and other significant saving needs with respect to amounts deferred or vested after 2004;</w:t>
      </w:r>
    </w:p>
    <w:p>
      <w:pPr>
        <w:spacing w:after="0" w:line="189" w:lineRule="exact"/>
        <w:rPr>
          <w:sz w:val="20"/>
          <w:szCs w:val="20"/>
          <w:color w:val="auto"/>
        </w:rPr>
      </w:pPr>
    </w:p>
    <w:p>
      <w:pPr>
        <w:jc w:val="both"/>
        <w:ind w:firstLine="761"/>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Article IX of the Plan, the corporate officer in charge of Human Resources of the Company reserves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to amend or terminate the Plan;</w:t>
      </w:r>
    </w:p>
    <w:p>
      <w:pPr>
        <w:spacing w:after="0" w:line="179" w:lineRule="exact"/>
        <w:rPr>
          <w:sz w:val="20"/>
          <w:szCs w:val="20"/>
          <w:color w:val="auto"/>
        </w:rPr>
      </w:pPr>
    </w:p>
    <w:p>
      <w:pPr>
        <w:jc w:val="both"/>
        <w:ind w:firstLine="761"/>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Article I, Sections 1.20 of the Plan, the corporate officer in charge of Human Resources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reserves the right to designate a participating employer in the Plan; and</w:t>
      </w:r>
    </w:p>
    <w:p>
      <w:pPr>
        <w:spacing w:after="0" w:line="179" w:lineRule="exact"/>
        <w:rPr>
          <w:sz w:val="20"/>
          <w:szCs w:val="20"/>
          <w:color w:val="auto"/>
        </w:rPr>
      </w:pPr>
    </w:p>
    <w:p>
      <w:pPr>
        <w:ind w:right="260" w:firstLine="755"/>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corporate officer in charge of Human Resources desires to amend the Plan to remove certain participating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employers in the Plan who are no longer subsidiaries of the Company and revise the eligibility for certain non-elective contributions under the Plan.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NOW, THEREFORE, BE IT:</w:t>
      </w:r>
    </w:p>
    <w:p>
      <w:pPr>
        <w:spacing w:after="0" w:line="233" w:lineRule="exact"/>
        <w:rPr>
          <w:sz w:val="20"/>
          <w:szCs w:val="20"/>
          <w:color w:val="auto"/>
        </w:rPr>
      </w:pPr>
    </w:p>
    <w:p>
      <w:pPr>
        <w:ind w:right="320" w:firstLine="755"/>
        <w:spacing w:after="0" w:line="263" w:lineRule="auto"/>
        <w:rPr>
          <w:sz w:val="20"/>
          <w:szCs w:val="20"/>
          <w:color w:val="auto"/>
        </w:rPr>
      </w:pPr>
      <w:r>
        <w:rPr>
          <w:rFonts w:ascii="Times New Roman" w:cs="Times New Roman" w:eastAsia="Times New Roman" w:hAnsi="Times New Roman"/>
          <w:sz w:val="21"/>
          <w:szCs w:val="21"/>
          <w:b w:val="1"/>
          <w:bCs w:val="1"/>
          <w:color w:val="auto"/>
        </w:rPr>
        <w:t>RESOLVED</w:t>
      </w:r>
      <w:r>
        <w:rPr>
          <w:rFonts w:ascii="Times New Roman" w:cs="Times New Roman" w:eastAsia="Times New Roman" w:hAnsi="Times New Roman"/>
          <w:sz w:val="21"/>
          <w:szCs w:val="21"/>
          <w:color w:val="auto"/>
        </w:rPr>
        <w:t>, effective June 17, 2019 and September 23, 2019, respectively, Wm. Bolthouse Farms, Inc. and Kelsen,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Inc. are hereafter no longer deemed participating employers in the Plan and each entity is hereafter no longer included in the definition of “Employer” under Article I, Section 1.20 of the Plan and as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which is attached hereto;</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RESOLVED</w:t>
      </w:r>
      <w:r>
        <w:rPr>
          <w:rFonts w:ascii="Times New Roman" w:cs="Times New Roman" w:eastAsia="Times New Roman" w:hAnsi="Times New Roman"/>
          <w:sz w:val="22"/>
          <w:szCs w:val="22"/>
          <w:color w:val="auto"/>
        </w:rPr>
        <w:t>, effective August 1, 2019, Article II, Section 2.1 is amended to read, in its entirety, as follows:</w:t>
      </w:r>
    </w:p>
    <w:p>
      <w:pPr>
        <w:spacing w:after="0" w:line="233" w:lineRule="exact"/>
        <w:rPr>
          <w:sz w:val="20"/>
          <w:szCs w:val="20"/>
          <w:color w:val="auto"/>
        </w:rPr>
      </w:pPr>
    </w:p>
    <w:p>
      <w:pPr>
        <w:ind w:right="140" w:firstLine="803"/>
        <w:spacing w:after="0" w:line="263"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b w:val="1"/>
          <w:bCs w:val="1"/>
          <w:color w:val="auto"/>
        </w:rPr>
        <w:t>Eligibility</w:t>
      </w:r>
      <w:r>
        <w:rPr>
          <w:rFonts w:ascii="Times New Roman" w:cs="Times New Roman" w:eastAsia="Times New Roman" w:hAnsi="Times New Roman"/>
          <w:sz w:val="21"/>
          <w:szCs w:val="21"/>
          <w:color w:val="auto"/>
        </w:rPr>
        <w:t>. Each Eligible Executive with a salary level of A, B, or C may elect to defer his or her Compensation in accordance with the Plan. Each Director may elect to defer his or her Director’s Fees in accordance with the Plan. Rules regarding both Initial Distribution Elections and Subsequent Deferral Elections by Eligible Executives are provided in Article V.</w:t>
      </w:r>
    </w:p>
    <w:p>
      <w:pPr>
        <w:spacing w:after="0" w:line="182" w:lineRule="exact"/>
        <w:rPr>
          <w:sz w:val="20"/>
          <w:szCs w:val="20"/>
          <w:color w:val="auto"/>
        </w:rPr>
      </w:pPr>
    </w:p>
    <w:p>
      <w:pPr>
        <w:ind w:right="80" w:firstLine="803"/>
        <w:spacing w:after="0" w:line="235" w:lineRule="auto"/>
        <w:rPr>
          <w:sz w:val="20"/>
          <w:szCs w:val="20"/>
          <w:color w:val="auto"/>
        </w:rPr>
      </w:pPr>
      <w:r>
        <w:rPr>
          <w:rFonts w:ascii="Times New Roman" w:cs="Times New Roman" w:eastAsia="Times New Roman" w:hAnsi="Times New Roman"/>
          <w:sz w:val="22"/>
          <w:szCs w:val="22"/>
          <w:color w:val="auto"/>
        </w:rPr>
        <w:t>Each Eligible Executive whose annual base salary and annual incentive compensation award equal or exceed the amount required by the Plan Administrator shall be eligible for Supplemental Match contributions. Each Eligible Executive who commences employment with, or is rehired by, an Employer on or after January 1, 2011, and is not eligible to accrue benefits under the SERP, shall be eligible for Supplemental Retirement Contributions if the Eligible Executive's annual base salary and annual incentive compensation award equal or exceed the amount required by the Plan Administrator. Each Eligible Executive hired, rehired or promoted into a position with either a salary grade of 46 or above on or after January 1, 2011 who is not eligible to accrue benefits under the Mid-Career Plan, or with a salary level of A on or after August 1, 2015, shall be eligible for Executive Retirement Contributions. In addition, the Chief</w:t>
      </w:r>
    </w:p>
    <w:p>
      <w:pPr>
        <w:sectPr>
          <w:pgSz w:w="11900" w:h="16838" w:orient="portrait"/>
          <w:cols w:equalWidth="0" w:num="1">
            <w:col w:w="11240"/>
          </w:cols>
          <w:pgMar w:left="320" w:top="140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1"/>
          <w:szCs w:val="21"/>
          <w:color w:val="auto"/>
        </w:rPr>
        <w:t>Executive Officer reserves the right to designate certain Eligible Executives to receive this benefit.</w:t>
      </w: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this instrument has been executed on September 16, 2020.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Xavier Boza</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Xavier Boza</w:t>
      </w:r>
    </w:p>
    <w:p>
      <w:pPr>
        <w:spacing w:after="0"/>
        <w:rPr>
          <w:sz w:val="20"/>
          <w:szCs w:val="20"/>
          <w:color w:val="auto"/>
        </w:rPr>
      </w:pPr>
      <w:r>
        <w:rPr>
          <w:rFonts w:ascii="Times New Roman" w:cs="Times New Roman" w:eastAsia="Times New Roman" w:hAnsi="Times New Roman"/>
          <w:sz w:val="22"/>
          <w:szCs w:val="22"/>
          <w:color w:val="auto"/>
        </w:rPr>
        <w:t>EVP &amp; Chief Human Resources Officer</w:t>
      </w:r>
    </w:p>
    <w:p>
      <w:pPr>
        <w:sectPr>
          <w:pgSz w:w="11900" w:h="16838" w:orient="portrait"/>
          <w:cols w:equalWidth="0" w:num="1">
            <w:col w:w="10139"/>
          </w:cols>
          <w:pgMar w:left="320" w:top="1408" w:right="1440" w:bottom="1440" w:gutter="0" w:footer="0" w:header="0"/>
        </w:sectPr>
      </w:pPr>
    </w:p>
    <w:bookmarkStart w:id="98" w:name="page99"/>
    <w:bookmarkEnd w:id="98"/>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Designated Subsidiaries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January 1, 2011</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Campbell Investment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Campbell Finance Corp. LLC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Campbell Food Service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Campbell Sales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Campbell Soup Supply Company LLC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Campbell Urban Renewal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CSC Brands LP</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CSC Insights, Inc.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CSC Standards, Inc.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Ecce Panis, Inc.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Garden Fresh Gourmet Foods, Inc. (the legal entity formerly known as Stockpot, Inc.).</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Joseph Campbell Company</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Pepperidge Farm, Incorporated</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January 1, 2014</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Plum PBC</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August 1, 2018</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Baptista’s Bakery, LLC</w:t>
      </w:r>
    </w:p>
    <w:p>
      <w:pPr>
        <w:ind w:left="20"/>
        <w:spacing w:after="0" w:line="230" w:lineRule="auto"/>
        <w:rPr>
          <w:sz w:val="20"/>
          <w:szCs w:val="20"/>
          <w:color w:val="auto"/>
        </w:rPr>
      </w:pPr>
      <w:r>
        <w:rPr>
          <w:rFonts w:ascii="Times New Roman" w:cs="Times New Roman" w:eastAsia="Times New Roman" w:hAnsi="Times New Roman"/>
          <w:sz w:val="22"/>
          <w:szCs w:val="22"/>
          <w:color w:val="auto"/>
        </w:rPr>
        <w:t>S-L Distribution Company, LLC</w:t>
      </w:r>
    </w:p>
    <w:p>
      <w:pPr>
        <w:ind w:left="20"/>
        <w:spacing w:after="0" w:line="231" w:lineRule="auto"/>
        <w:rPr>
          <w:sz w:val="20"/>
          <w:szCs w:val="20"/>
          <w:color w:val="auto"/>
        </w:rPr>
      </w:pPr>
      <w:r>
        <w:rPr>
          <w:rFonts w:ascii="Times New Roman" w:cs="Times New Roman" w:eastAsia="Times New Roman" w:hAnsi="Times New Roman"/>
          <w:sz w:val="22"/>
          <w:szCs w:val="22"/>
          <w:color w:val="auto"/>
        </w:rPr>
        <w:t>S-L Snacks AZ, LLC</w:t>
      </w:r>
    </w:p>
    <w:p>
      <w:pPr>
        <w:ind w:left="20"/>
        <w:spacing w:after="0" w:line="230" w:lineRule="auto"/>
        <w:rPr>
          <w:sz w:val="20"/>
          <w:szCs w:val="20"/>
          <w:color w:val="auto"/>
        </w:rPr>
      </w:pPr>
      <w:r>
        <w:rPr>
          <w:rFonts w:ascii="Times New Roman" w:cs="Times New Roman" w:eastAsia="Times New Roman" w:hAnsi="Times New Roman"/>
          <w:sz w:val="22"/>
          <w:szCs w:val="22"/>
          <w:color w:val="auto"/>
        </w:rPr>
        <w:t>S-L Snacks GA, LLC</w:t>
      </w:r>
    </w:p>
    <w:p>
      <w:pPr>
        <w:ind w:left="20"/>
        <w:spacing w:after="0" w:line="231" w:lineRule="auto"/>
        <w:rPr>
          <w:sz w:val="20"/>
          <w:szCs w:val="20"/>
          <w:color w:val="auto"/>
        </w:rPr>
      </w:pPr>
      <w:r>
        <w:rPr>
          <w:rFonts w:ascii="Times New Roman" w:cs="Times New Roman" w:eastAsia="Times New Roman" w:hAnsi="Times New Roman"/>
          <w:sz w:val="22"/>
          <w:szCs w:val="22"/>
          <w:color w:val="auto"/>
        </w:rPr>
        <w:t>S-L Snacks IN, LLC</w:t>
      </w:r>
    </w:p>
    <w:p>
      <w:pPr>
        <w:ind w:left="20"/>
        <w:spacing w:after="0" w:line="230" w:lineRule="auto"/>
        <w:rPr>
          <w:sz w:val="20"/>
          <w:szCs w:val="20"/>
          <w:color w:val="auto"/>
        </w:rPr>
      </w:pPr>
      <w:r>
        <w:rPr>
          <w:rFonts w:ascii="Times New Roman" w:cs="Times New Roman" w:eastAsia="Times New Roman" w:hAnsi="Times New Roman"/>
          <w:sz w:val="22"/>
          <w:szCs w:val="22"/>
          <w:color w:val="auto"/>
        </w:rPr>
        <w:t>S-L Snacks Logistics, LLC</w:t>
      </w:r>
    </w:p>
    <w:p>
      <w:pPr>
        <w:ind w:left="20"/>
        <w:spacing w:after="0" w:line="231" w:lineRule="auto"/>
        <w:rPr>
          <w:sz w:val="20"/>
          <w:szCs w:val="20"/>
          <w:color w:val="auto"/>
        </w:rPr>
      </w:pPr>
      <w:r>
        <w:rPr>
          <w:rFonts w:ascii="Times New Roman" w:cs="Times New Roman" w:eastAsia="Times New Roman" w:hAnsi="Times New Roman"/>
          <w:sz w:val="22"/>
          <w:szCs w:val="22"/>
          <w:color w:val="auto"/>
        </w:rPr>
        <w:t>S-L Snacks MA, LLC</w:t>
      </w:r>
    </w:p>
    <w:p>
      <w:pPr>
        <w:ind w:left="20"/>
        <w:spacing w:after="0" w:line="230" w:lineRule="auto"/>
        <w:rPr>
          <w:sz w:val="20"/>
          <w:szCs w:val="20"/>
          <w:color w:val="auto"/>
        </w:rPr>
      </w:pPr>
      <w:r>
        <w:rPr>
          <w:rFonts w:ascii="Times New Roman" w:cs="Times New Roman" w:eastAsia="Times New Roman" w:hAnsi="Times New Roman"/>
          <w:sz w:val="22"/>
          <w:szCs w:val="22"/>
          <w:color w:val="auto"/>
        </w:rPr>
        <w:t>S-L Snacks National, LLC</w:t>
      </w:r>
    </w:p>
    <w:p>
      <w:pPr>
        <w:ind w:left="20"/>
        <w:spacing w:after="0" w:line="231" w:lineRule="auto"/>
        <w:rPr>
          <w:sz w:val="20"/>
          <w:szCs w:val="20"/>
          <w:color w:val="auto"/>
        </w:rPr>
      </w:pPr>
      <w:r>
        <w:rPr>
          <w:rFonts w:ascii="Times New Roman" w:cs="Times New Roman" w:eastAsia="Times New Roman" w:hAnsi="Times New Roman"/>
          <w:sz w:val="22"/>
          <w:szCs w:val="22"/>
          <w:color w:val="auto"/>
        </w:rPr>
        <w:t>S-L Snacks NC, LLC</w:t>
      </w:r>
    </w:p>
    <w:p>
      <w:pPr>
        <w:ind w:left="20"/>
        <w:spacing w:after="0" w:line="230" w:lineRule="auto"/>
        <w:rPr>
          <w:sz w:val="20"/>
          <w:szCs w:val="20"/>
          <w:color w:val="auto"/>
        </w:rPr>
      </w:pPr>
      <w:r>
        <w:rPr>
          <w:rFonts w:ascii="Times New Roman" w:cs="Times New Roman" w:eastAsia="Times New Roman" w:hAnsi="Times New Roman"/>
          <w:sz w:val="22"/>
          <w:szCs w:val="22"/>
          <w:color w:val="auto"/>
        </w:rPr>
        <w:t>S-L Snacks OH, LLC</w:t>
      </w:r>
    </w:p>
    <w:p>
      <w:pPr>
        <w:ind w:left="20"/>
        <w:spacing w:after="0" w:line="231" w:lineRule="auto"/>
        <w:rPr>
          <w:sz w:val="20"/>
          <w:szCs w:val="20"/>
          <w:color w:val="auto"/>
        </w:rPr>
      </w:pPr>
      <w:r>
        <w:rPr>
          <w:rFonts w:ascii="Times New Roman" w:cs="Times New Roman" w:eastAsia="Times New Roman" w:hAnsi="Times New Roman"/>
          <w:sz w:val="22"/>
          <w:szCs w:val="22"/>
          <w:color w:val="auto"/>
        </w:rPr>
        <w:t>S-L Snacks OR, LLC</w:t>
      </w:r>
    </w:p>
    <w:p>
      <w:pPr>
        <w:ind w:left="20"/>
        <w:spacing w:after="0" w:line="230" w:lineRule="auto"/>
        <w:rPr>
          <w:sz w:val="20"/>
          <w:szCs w:val="20"/>
          <w:color w:val="auto"/>
        </w:rPr>
      </w:pPr>
      <w:r>
        <w:rPr>
          <w:rFonts w:ascii="Times New Roman" w:cs="Times New Roman" w:eastAsia="Times New Roman" w:hAnsi="Times New Roman"/>
          <w:sz w:val="22"/>
          <w:szCs w:val="22"/>
          <w:color w:val="auto"/>
        </w:rPr>
        <w:t>S-L Snacks PA, LLC</w:t>
      </w:r>
    </w:p>
    <w:p>
      <w:pPr>
        <w:ind w:left="20"/>
        <w:spacing w:after="0" w:line="231" w:lineRule="auto"/>
        <w:rPr>
          <w:sz w:val="20"/>
          <w:szCs w:val="20"/>
          <w:color w:val="auto"/>
        </w:rPr>
      </w:pPr>
      <w:r>
        <w:rPr>
          <w:rFonts w:ascii="Times New Roman" w:cs="Times New Roman" w:eastAsia="Times New Roman" w:hAnsi="Times New Roman"/>
          <w:sz w:val="22"/>
          <w:szCs w:val="22"/>
          <w:color w:val="auto"/>
        </w:rPr>
        <w:t>S-L Snacks WI, LLC</w:t>
      </w:r>
    </w:p>
    <w:p>
      <w:pPr>
        <w:ind w:left="20"/>
        <w:spacing w:after="0"/>
        <w:rPr>
          <w:sz w:val="20"/>
          <w:szCs w:val="20"/>
          <w:color w:val="auto"/>
        </w:rPr>
      </w:pPr>
      <w:r>
        <w:rPr>
          <w:rFonts w:ascii="Times New Roman" w:cs="Times New Roman" w:eastAsia="Times New Roman" w:hAnsi="Times New Roman"/>
          <w:sz w:val="22"/>
          <w:szCs w:val="22"/>
          <w:color w:val="auto"/>
        </w:rPr>
        <w:t>Snyder’s-Lance, Inc.</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January 1, 2019</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Pacific Foods of Oregon, LLC</w:t>
      </w:r>
    </w:p>
    <w:p>
      <w:pPr>
        <w:sectPr>
          <w:pgSz w:w="11900" w:h="16838" w:orient="portrait"/>
          <w:cols w:equalWidth="0" w:num="1">
            <w:col w:w="10139"/>
          </w:cols>
          <w:pgMar w:left="320" w:top="1404" w:right="1440"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68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SUBSIDIARY LIST</w:t>
            </w:r>
          </w:p>
        </w:tc>
      </w:tr>
      <w:tr>
        <w:trPr>
          <w:trHeight w:val="121"/>
        </w:trPr>
        <w:tc>
          <w:tcPr>
            <w:tcW w:w="4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580" w:type="dxa"/>
            <w:vAlign w:val="bottom"/>
          </w:tcPr>
          <w:p>
            <w:pPr>
              <w:spacing w:after="0"/>
              <w:rPr>
                <w:sz w:val="10"/>
                <w:szCs w:val="10"/>
                <w:color w:val="auto"/>
              </w:rPr>
            </w:pPr>
          </w:p>
        </w:tc>
      </w:tr>
      <w:tr>
        <w:trPr>
          <w:trHeight w:val="437"/>
        </w:trPr>
        <w:tc>
          <w:tcPr>
            <w:tcW w:w="4380" w:type="dxa"/>
            <w:vAlign w:val="bottom"/>
            <w:shd w:val="clear" w:color="auto" w:fill="E6E6E6"/>
          </w:tcPr>
          <w:p>
            <w:pPr>
              <w:ind w:left="1600"/>
              <w:spacing w:after="0"/>
              <w:rPr>
                <w:sz w:val="20"/>
                <w:szCs w:val="20"/>
                <w:color w:val="auto"/>
              </w:rPr>
            </w:pPr>
            <w:r>
              <w:rPr>
                <w:rFonts w:ascii="Times New Roman" w:cs="Times New Roman" w:eastAsia="Times New Roman" w:hAnsi="Times New Roman"/>
                <w:sz w:val="18"/>
                <w:szCs w:val="18"/>
                <w:b w:val="1"/>
                <w:bCs w:val="1"/>
                <w:color w:val="auto"/>
              </w:rPr>
              <w:t>Name of Subsidiary and Name</w:t>
            </w:r>
          </w:p>
        </w:tc>
        <w:tc>
          <w:tcPr>
            <w:tcW w:w="1220" w:type="dxa"/>
            <w:vAlign w:val="bottom"/>
            <w:tcBorders>
              <w:right w:val="single" w:sz="8" w:color="00000A"/>
            </w:tcBorders>
            <w:shd w:val="clear" w:color="auto" w:fill="E6E6E6"/>
          </w:tcPr>
          <w:p>
            <w:pPr>
              <w:spacing w:after="0"/>
              <w:rPr>
                <w:sz w:val="24"/>
                <w:szCs w:val="24"/>
                <w:color w:val="auto"/>
              </w:rPr>
            </w:pPr>
          </w:p>
        </w:tc>
        <w:tc>
          <w:tcPr>
            <w:tcW w:w="5580" w:type="dxa"/>
            <w:vAlign w:val="bottom"/>
            <w:shd w:val="clear" w:color="auto" w:fill="E6E6E6"/>
          </w:tcPr>
          <w:p>
            <w:pPr>
              <w:spacing w:after="0"/>
              <w:rPr>
                <w:sz w:val="24"/>
                <w:szCs w:val="24"/>
                <w:color w:val="auto"/>
              </w:rPr>
            </w:pPr>
          </w:p>
        </w:tc>
      </w:tr>
      <w:tr>
        <w:trPr>
          <w:trHeight w:val="270"/>
        </w:trPr>
        <w:tc>
          <w:tcPr>
            <w:tcW w:w="4380" w:type="dxa"/>
            <w:vAlign w:val="bottom"/>
            <w:tcBorders>
              <w:bottom w:val="single" w:sz="8" w:color="E6E6E6"/>
            </w:tcBorders>
            <w:shd w:val="clear" w:color="auto" w:fill="E6E6E6"/>
          </w:tcPr>
          <w:p>
            <w:pPr>
              <w:ind w:left="1620"/>
              <w:spacing w:after="0"/>
              <w:rPr>
                <w:sz w:val="20"/>
                <w:szCs w:val="20"/>
                <w:color w:val="auto"/>
              </w:rPr>
            </w:pPr>
            <w:r>
              <w:rPr>
                <w:rFonts w:ascii="Times New Roman" w:cs="Times New Roman" w:eastAsia="Times New Roman" w:hAnsi="Times New Roman"/>
                <w:sz w:val="18"/>
                <w:szCs w:val="18"/>
                <w:b w:val="1"/>
                <w:bCs w:val="1"/>
                <w:color w:val="auto"/>
              </w:rPr>
              <w:t>Under Which It Does Business</w:t>
            </w:r>
          </w:p>
        </w:tc>
        <w:tc>
          <w:tcPr>
            <w:tcW w:w="1220" w:type="dxa"/>
            <w:vAlign w:val="bottom"/>
            <w:tcBorders>
              <w:bottom w:val="single" w:sz="8" w:color="E6E6E6"/>
              <w:right w:val="single" w:sz="8" w:color="00000A"/>
            </w:tcBorders>
            <w:shd w:val="clear" w:color="auto" w:fill="E6E6E6"/>
          </w:tcPr>
          <w:p>
            <w:pPr>
              <w:spacing w:after="0"/>
              <w:rPr>
                <w:sz w:val="23"/>
                <w:szCs w:val="23"/>
                <w:color w:val="auto"/>
              </w:rPr>
            </w:pPr>
          </w:p>
        </w:tc>
        <w:tc>
          <w:tcPr>
            <w:tcW w:w="5580" w:type="dxa"/>
            <w:vAlign w:val="bottom"/>
            <w:tcBorders>
              <w:bottom w:val="single" w:sz="8" w:color="E6E6E6"/>
            </w:tcBorders>
            <w:shd w:val="clear" w:color="auto" w:fill="E6E6E6"/>
          </w:tcPr>
          <w:p>
            <w:pPr>
              <w:ind w:left="166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68"/>
        </w:trPr>
        <w:tc>
          <w:tcPr>
            <w:tcW w:w="438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1035 Line Company</w:t>
            </w:r>
          </w:p>
        </w:tc>
        <w:tc>
          <w:tcPr>
            <w:tcW w:w="1220" w:type="dxa"/>
            <w:vAlign w:val="bottom"/>
            <w:tcBorders>
              <w:top w:val="single" w:sz="8" w:color="00000A"/>
              <w:bottom w:val="single" w:sz="8" w:color="CCEEFF"/>
              <w:right w:val="single" w:sz="8" w:color="00000A"/>
            </w:tcBorders>
            <w:shd w:val="clear" w:color="auto" w:fill="CCEEFF"/>
          </w:tcPr>
          <w:p>
            <w:pPr>
              <w:spacing w:after="0"/>
              <w:rPr>
                <w:sz w:val="22"/>
                <w:szCs w:val="22"/>
                <w:color w:val="auto"/>
              </w:rPr>
            </w:pPr>
          </w:p>
        </w:tc>
        <w:tc>
          <w:tcPr>
            <w:tcW w:w="5580" w:type="dxa"/>
            <w:vAlign w:val="bottom"/>
            <w:tcBorders>
              <w:top w:val="single" w:sz="8" w:color="00000A"/>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3330472 Nova Scotia Company</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Baptista’s Bakery, LLC</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Wisconsin</w:t>
            </w:r>
          </w:p>
        </w:tc>
      </w:tr>
      <w:tr>
        <w:trPr>
          <w:trHeight w:val="237"/>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CAH Corporation</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Campbell Argentina S.A.</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r>
      <w:tr>
        <w:trPr>
          <w:trHeight w:val="237"/>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Campbell Company of Canada</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Campbell EU Investment Company</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Campbell Finance 2 Corp.</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Campbell Foodservice Company</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37"/>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Campbell Hong Kong Limited</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Campbell International Holdings Inc.</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Campbell Investment Company</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Campbell Jin Bao Tang, Inc.</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Campbell Luxembourg Holdings S.a.r.l.</w:t>
            </w:r>
          </w:p>
        </w:tc>
        <w:tc>
          <w:tcPr>
            <w:tcW w:w="1220" w:type="dxa"/>
            <w:vAlign w:val="bottom"/>
            <w:tcBorders>
              <w:top w:val="single" w:sz="8" w:color="auto"/>
              <w:right w:val="single" w:sz="8" w:color="00000A"/>
            </w:tcBorders>
          </w:tcPr>
          <w:p>
            <w:pPr>
              <w:spacing w:after="0"/>
              <w:rPr>
                <w:sz w:val="20"/>
                <w:szCs w:val="20"/>
                <w:color w:val="auto"/>
              </w:rPr>
            </w:pPr>
          </w:p>
        </w:tc>
        <w:tc>
          <w:tcPr>
            <w:tcW w:w="5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Campbell MFG 1 Company</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Campbell Sales Company</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New Jersey</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Campbell Soup Asia Limited</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37"/>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Campbell Soup Dominicana, S.A.</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Dominican Republic</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Campbell Soup Supply Company L.L.C.</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Campbell Swire (HK) Ltd</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Campbell Swire (Xiamen) Co Ltd</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37"/>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Campbell Swire Equipment Leasing Ltd</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Campbell U.S. Holdings, Inc.</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Campbell Urban Renewal Corporation</w:t>
            </w:r>
          </w:p>
        </w:tc>
        <w:tc>
          <w:tcPr>
            <w:tcW w:w="1220" w:type="dxa"/>
            <w:vAlign w:val="bottom"/>
            <w:tcBorders>
              <w:top w:val="single" w:sz="8" w:color="auto"/>
              <w:right w:val="single" w:sz="8" w:color="00000A"/>
            </w:tcBorders>
          </w:tcPr>
          <w:p>
            <w:pPr>
              <w:spacing w:after="0"/>
              <w:rPr>
                <w:sz w:val="20"/>
                <w:szCs w:val="20"/>
                <w:color w:val="auto"/>
              </w:rPr>
            </w:pPr>
          </w:p>
        </w:tc>
        <w:tc>
          <w:tcPr>
            <w:tcW w:w="5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Jersey</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Campbell’s de Mexico S.A. de C. V.</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37"/>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CANEB L.L.C.</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CanFin Holdings Inc.</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CIRT Urban Renewal Corp.</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New Jersey</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Comercializadora Campbell de Guatemala, Limitada</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Guatemala</w:t>
            </w:r>
          </w:p>
        </w:tc>
      </w:tr>
      <w:tr>
        <w:trPr>
          <w:trHeight w:val="237"/>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CSC Brands LP</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CSC Insights, Inc.</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Jersey</w:t>
            </w:r>
          </w:p>
        </w:tc>
      </w:tr>
      <w:tr>
        <w:trPr>
          <w:trHeight w:val="237"/>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CSC Standards, Inc.</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New Jersey</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DFKA Ltd.</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6"/>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Diamond Foods Brazil Holdings LLC</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 of Europe GmbH</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36"/>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EDS Investments, LLC</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New Jersey</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Hazelton Parent, Inc.</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Joseph Campbell Company</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New Jersey</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Kettle Foods Holdings, Inc.</w:t>
            </w:r>
          </w:p>
        </w:tc>
        <w:tc>
          <w:tcPr>
            <w:tcW w:w="1220" w:type="dxa"/>
            <w:vAlign w:val="bottom"/>
            <w:tcBorders>
              <w:bottom w:val="single" w:sz="8" w:color="CCEEFF"/>
              <w:right w:val="single" w:sz="8" w:color="00000A"/>
            </w:tcBorders>
            <w:shd w:val="clear" w:color="auto" w:fill="CCEEFF"/>
          </w:tcPr>
          <w:p>
            <w:pPr>
              <w:spacing w:after="0"/>
              <w:rPr>
                <w:sz w:val="22"/>
                <w:szCs w:val="22"/>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4380" w:type="dxa"/>
            <w:vAlign w:val="bottom"/>
            <w:tcBorders>
              <w:top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Kettle Foods, Inc.</w:t>
            </w:r>
          </w:p>
        </w:tc>
        <w:tc>
          <w:tcPr>
            <w:tcW w:w="1220" w:type="dxa"/>
            <w:vAlign w:val="bottom"/>
            <w:tcBorders>
              <w:top w:val="single" w:sz="8" w:color="00000A"/>
              <w:right w:val="single" w:sz="8" w:color="00000A"/>
            </w:tcBorders>
          </w:tcPr>
          <w:p>
            <w:pPr>
              <w:spacing w:after="0"/>
              <w:rPr>
                <w:sz w:val="20"/>
                <w:szCs w:val="20"/>
                <w:color w:val="auto"/>
              </w:rPr>
            </w:pP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27"/>
        </w:trPr>
        <w:tc>
          <w:tcPr>
            <w:tcW w:w="438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Late July Snacks, LLC</w:t>
            </w:r>
          </w:p>
        </w:tc>
        <w:tc>
          <w:tcPr>
            <w:tcW w:w="1220" w:type="dxa"/>
            <w:vAlign w:val="bottom"/>
            <w:tcBorders>
              <w:bottom w:val="single" w:sz="8" w:color="CCEEFF"/>
              <w:right w:val="single" w:sz="8" w:color="00000A"/>
            </w:tcBorders>
            <w:shd w:val="clear" w:color="auto" w:fill="CCEEFF"/>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0"/>
        </w:trPr>
        <w:tc>
          <w:tcPr>
            <w:tcW w:w="4380" w:type="dxa"/>
            <w:vAlign w:val="bottom"/>
            <w:shd w:val="clear" w:color="auto" w:fill="00000A"/>
          </w:tcPr>
          <w:p>
            <w:pPr>
              <w:spacing w:after="0" w:line="20" w:lineRule="exact"/>
              <w:rPr>
                <w:sz w:val="1"/>
                <w:szCs w:val="1"/>
                <w:color w:val="auto"/>
              </w:rPr>
            </w:pPr>
          </w:p>
        </w:tc>
        <w:tc>
          <w:tcPr>
            <w:tcW w:w="1220" w:type="dxa"/>
            <w:vAlign w:val="bottom"/>
            <w:tcBorders>
              <w:right w:val="single" w:sz="8" w:color="00000A"/>
            </w:tcBorders>
            <w:shd w:val="clear" w:color="auto" w:fill="00000A"/>
          </w:tcPr>
          <w:p>
            <w:pPr>
              <w:spacing w:after="0" w:line="20" w:lineRule="exact"/>
              <w:rPr>
                <w:sz w:val="1"/>
                <w:szCs w:val="1"/>
                <w:color w:val="auto"/>
              </w:rPr>
            </w:pPr>
          </w:p>
        </w:tc>
        <w:tc>
          <w:tcPr>
            <w:tcW w:w="5580" w:type="dxa"/>
            <w:vAlign w:val="bottom"/>
            <w:shd w:val="clear" w:color="auto" w:fill="00000A"/>
          </w:tcPr>
          <w:p>
            <w:pPr>
              <w:spacing w:after="0" w:line="20" w:lineRule="exact"/>
              <w:rPr>
                <w:sz w:val="1"/>
                <w:szCs w:val="1"/>
                <w:color w:val="auto"/>
              </w:rPr>
            </w:pPr>
          </w:p>
        </w:tc>
      </w:tr>
    </w:tbl>
    <w:p>
      <w:pPr>
        <w:sectPr>
          <w:pgSz w:w="11900" w:h="16838" w:orient="portrait"/>
          <w:cols w:equalWidth="0" w:num="1">
            <w:col w:w="11200"/>
          </w:cols>
          <w:pgMar w:left="360" w:top="887" w:right="339" w:bottom="1440" w:gutter="0" w:footer="0" w:header="0"/>
        </w:sectPr>
      </w:pPr>
    </w:p>
    <w:bookmarkStart w:id="100" w:name="page101"/>
    <w:bookmarkEnd w:id="10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437"/>
        </w:trPr>
        <w:tc>
          <w:tcPr>
            <w:tcW w:w="5600" w:type="dxa"/>
            <w:vAlign w:val="bottom"/>
            <w:tcBorders>
              <w:right w:val="single" w:sz="8" w:color="00000A"/>
            </w:tcBorders>
            <w:shd w:val="clear" w:color="auto" w:fill="E6E6E6"/>
          </w:tcPr>
          <w:p>
            <w:pPr>
              <w:ind w:left="1600"/>
              <w:spacing w:after="0"/>
              <w:rPr>
                <w:sz w:val="20"/>
                <w:szCs w:val="20"/>
                <w:color w:val="auto"/>
              </w:rPr>
            </w:pPr>
            <w:r>
              <w:rPr>
                <w:rFonts w:ascii="Times New Roman" w:cs="Times New Roman" w:eastAsia="Times New Roman" w:hAnsi="Times New Roman"/>
                <w:sz w:val="18"/>
                <w:szCs w:val="18"/>
                <w:b w:val="1"/>
                <w:bCs w:val="1"/>
                <w:color w:val="auto"/>
              </w:rPr>
              <w:t>Name of Subsidiary and Name</w:t>
            </w:r>
          </w:p>
        </w:tc>
        <w:tc>
          <w:tcPr>
            <w:tcW w:w="5580" w:type="dxa"/>
            <w:vAlign w:val="bottom"/>
            <w:shd w:val="clear" w:color="auto" w:fill="E6E6E6"/>
          </w:tcPr>
          <w:p>
            <w:pPr>
              <w:spacing w:after="0"/>
              <w:rPr>
                <w:sz w:val="24"/>
                <w:szCs w:val="24"/>
                <w:color w:val="auto"/>
              </w:rPr>
            </w:pPr>
          </w:p>
        </w:tc>
      </w:tr>
      <w:tr>
        <w:trPr>
          <w:trHeight w:val="270"/>
        </w:trPr>
        <w:tc>
          <w:tcPr>
            <w:tcW w:w="5600" w:type="dxa"/>
            <w:vAlign w:val="bottom"/>
            <w:tcBorders>
              <w:bottom w:val="single" w:sz="8" w:color="E6E6E6"/>
              <w:right w:val="single" w:sz="8" w:color="00000A"/>
            </w:tcBorders>
            <w:shd w:val="clear" w:color="auto" w:fill="E6E6E6"/>
          </w:tcPr>
          <w:p>
            <w:pPr>
              <w:ind w:left="1620"/>
              <w:spacing w:after="0"/>
              <w:rPr>
                <w:sz w:val="20"/>
                <w:szCs w:val="20"/>
                <w:color w:val="auto"/>
              </w:rPr>
            </w:pPr>
            <w:r>
              <w:rPr>
                <w:rFonts w:ascii="Times New Roman" w:cs="Times New Roman" w:eastAsia="Times New Roman" w:hAnsi="Times New Roman"/>
                <w:sz w:val="18"/>
                <w:szCs w:val="18"/>
                <w:b w:val="1"/>
                <w:bCs w:val="1"/>
                <w:color w:val="auto"/>
              </w:rPr>
              <w:t>Under Which It Does Business</w:t>
            </w:r>
          </w:p>
        </w:tc>
        <w:tc>
          <w:tcPr>
            <w:tcW w:w="5580" w:type="dxa"/>
            <w:vAlign w:val="bottom"/>
            <w:tcBorders>
              <w:bottom w:val="single" w:sz="8" w:color="E6E6E6"/>
            </w:tcBorders>
            <w:shd w:val="clear" w:color="auto" w:fill="E6E6E6"/>
          </w:tcPr>
          <w:p>
            <w:pPr>
              <w:ind w:left="166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37"/>
        </w:trPr>
        <w:tc>
          <w:tcPr>
            <w:tcW w:w="56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Pacific Foods Investments, Inc.</w:t>
            </w: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560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56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Pacific Foods of Oregon, LLC</w:t>
            </w: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237"/>
        </w:trPr>
        <w:tc>
          <w:tcPr>
            <w:tcW w:w="56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Pepperidge Farm, Incorporated</w:t>
            </w: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Connecticut</w:t>
            </w:r>
          </w:p>
        </w:tc>
      </w:tr>
      <w:tr>
        <w:trPr>
          <w:trHeight w:val="27"/>
        </w:trPr>
        <w:tc>
          <w:tcPr>
            <w:tcW w:w="560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56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Plum, PBC</w:t>
            </w: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56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Princeton Vanguard, LLC</w:t>
            </w: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560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56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 Distribution Company, LLC</w:t>
            </w: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56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S-L Snacks AZ, LLC</w:t>
            </w: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7"/>
        </w:trPr>
        <w:tc>
          <w:tcPr>
            <w:tcW w:w="560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56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 Snacks BB SRL</w:t>
            </w: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Barbados</w:t>
            </w:r>
          </w:p>
        </w:tc>
      </w:tr>
      <w:tr>
        <w:trPr>
          <w:trHeight w:val="237"/>
        </w:trPr>
        <w:tc>
          <w:tcPr>
            <w:tcW w:w="56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S-L Snacks EU, LLC</w:t>
            </w: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560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56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 Snacks FL, LLC</w:t>
            </w: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37"/>
        </w:trPr>
        <w:tc>
          <w:tcPr>
            <w:tcW w:w="56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S-L Snacks GA, LLC</w:t>
            </w: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7"/>
        </w:trPr>
        <w:tc>
          <w:tcPr>
            <w:tcW w:w="560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56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 Snacks IN, LLC</w:t>
            </w: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37"/>
        </w:trPr>
        <w:tc>
          <w:tcPr>
            <w:tcW w:w="56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S-L Snacks IN-PS, LLC</w:t>
            </w: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7"/>
        </w:trPr>
        <w:tc>
          <w:tcPr>
            <w:tcW w:w="560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56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 Snacks Logistics, LLC</w:t>
            </w: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37"/>
        </w:trPr>
        <w:tc>
          <w:tcPr>
            <w:tcW w:w="56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S-L Snacks MA, LLC</w:t>
            </w: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7"/>
        </w:trPr>
        <w:tc>
          <w:tcPr>
            <w:tcW w:w="560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56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 Snacks National, LLC</w:t>
            </w: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37"/>
        </w:trPr>
        <w:tc>
          <w:tcPr>
            <w:tcW w:w="56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S-L Snacks NC, LLC</w:t>
            </w: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7"/>
        </w:trPr>
        <w:tc>
          <w:tcPr>
            <w:tcW w:w="5600" w:type="dxa"/>
            <w:vAlign w:val="bottom"/>
            <w:tcBorders>
              <w:bottom w:val="single" w:sz="8" w:color="auto"/>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56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 Snacks OH, LLC</w:t>
            </w: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37"/>
        </w:trPr>
        <w:tc>
          <w:tcPr>
            <w:tcW w:w="56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S-L Snacks OR, LLC</w:t>
            </w: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7"/>
        </w:trPr>
        <w:tc>
          <w:tcPr>
            <w:tcW w:w="560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56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 Snacks PA, LLC</w:t>
            </w: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37"/>
        </w:trPr>
        <w:tc>
          <w:tcPr>
            <w:tcW w:w="56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S-L Snacks WI, LLC</w:t>
            </w: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7"/>
        </w:trPr>
        <w:tc>
          <w:tcPr>
            <w:tcW w:w="560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68"/>
        </w:trPr>
        <w:tc>
          <w:tcPr>
            <w:tcW w:w="56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Snack Factory, LLC</w:t>
            </w: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Jersey</w:t>
            </w:r>
          </w:p>
        </w:tc>
      </w:tr>
      <w:tr>
        <w:trPr>
          <w:trHeight w:val="237"/>
        </w:trPr>
        <w:tc>
          <w:tcPr>
            <w:tcW w:w="56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Snyder's-Lance, Inc.</w:t>
            </w:r>
          </w:p>
        </w:tc>
        <w:tc>
          <w:tcPr>
            <w:tcW w:w="5580" w:type="dxa"/>
            <w:vAlign w:val="bottom"/>
            <w:tcBorders>
              <w:top w:val="single" w:sz="8" w:color="00000A"/>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7"/>
        </w:trPr>
        <w:tc>
          <w:tcPr>
            <w:tcW w:w="5600" w:type="dxa"/>
            <w:vAlign w:val="bottom"/>
            <w:tcBorders>
              <w:bottom w:val="single" w:sz="8" w:color="00000A"/>
              <w:right w:val="single" w:sz="8" w:color="00000A"/>
            </w:tcBorders>
          </w:tcPr>
          <w:p>
            <w:pPr>
              <w:spacing w:after="0"/>
              <w:rPr>
                <w:sz w:val="2"/>
                <w:szCs w:val="2"/>
                <w:color w:val="auto"/>
              </w:rPr>
            </w:pPr>
          </w:p>
        </w:tc>
        <w:tc>
          <w:tcPr>
            <w:tcW w:w="5580" w:type="dxa"/>
            <w:vAlign w:val="bottom"/>
            <w:tcBorders>
              <w:bottom w:val="single" w:sz="8" w:color="00000A"/>
            </w:tcBorders>
          </w:tcPr>
          <w:p>
            <w:pPr>
              <w:spacing w:after="0"/>
              <w:rPr>
                <w:sz w:val="2"/>
                <w:szCs w:val="2"/>
                <w:color w:val="auto"/>
              </w:rPr>
            </w:pPr>
          </w:p>
        </w:tc>
      </w:tr>
      <w:tr>
        <w:trPr>
          <w:trHeight w:val="237"/>
        </w:trPr>
        <w:tc>
          <w:tcPr>
            <w:tcW w:w="5600" w:type="dxa"/>
            <w:vAlign w:val="bottom"/>
            <w:tcBorders>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Wimbledon Acquisition LLC</w:t>
            </w: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5600" w:type="dxa"/>
            <w:vAlign w:val="bottom"/>
            <w:tcBorders>
              <w:right w:val="single" w:sz="8" w:color="00000A"/>
            </w:tcBorders>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does not constitute a complete list of all subsidiaries of the registrant. Any subsidiaries that have been omitted do not, if considered in the aggregate as a single subsidiary, constitute a “Significant Subsidiary” as defined by the SEC.</w:t>
      </w:r>
    </w:p>
    <w:p>
      <w:pPr>
        <w:sectPr>
          <w:pgSz w:w="11900" w:h="16838" w:orient="portrait"/>
          <w:cols w:equalWidth="0" w:num="1">
            <w:col w:w="11240"/>
          </w:cols>
          <w:pgMar w:left="320" w:top="1030"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333-216582, 333-208441, 333-173583, 333-173582, 333-160381, 333-157850, 333-134675, 333-22803, 333-00729 and 33-59797) of Campbell Soup Company of our report dated September 24, 2020 relating to the financial statements and financial statement schedule and the effectiveness of internal control over financial reporting, which appears in this Form 10-K.</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117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24, 2020</w:t>
      </w:r>
    </w:p>
    <w:p>
      <w:pPr>
        <w:sectPr>
          <w:pgSz w:w="11900" w:h="16838" w:orient="portrait"/>
          <w:cols w:equalWidth="0" w:num="1">
            <w:col w:w="11240"/>
          </w:cols>
          <w:pgMar w:left="320" w:top="119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20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2, 2020,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this 9th day of September, 2020.</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Fabiola R. Arredondo</w:t>
      </w:r>
      <w:r>
        <w:rPr>
          <w:rFonts w:ascii="Times New Roman" w:cs="Times New Roman" w:eastAsia="Times New Roman" w:hAnsi="Times New Roman"/>
          <w:sz w:val="22"/>
          <w:szCs w:val="22"/>
          <w:color w:val="auto"/>
        </w:rPr>
        <w:t>_____</w:t>
      </w:r>
    </w:p>
    <w:p>
      <w:pPr>
        <w:spacing w:after="0" w:line="204" w:lineRule="auto"/>
        <w:rPr>
          <w:sz w:val="20"/>
          <w:szCs w:val="20"/>
          <w:color w:val="auto"/>
        </w:rPr>
      </w:pPr>
      <w:r>
        <w:rPr>
          <w:rFonts w:ascii="Times New Roman" w:cs="Times New Roman" w:eastAsia="Times New Roman" w:hAnsi="Times New Roman"/>
          <w:sz w:val="22"/>
          <w:szCs w:val="22"/>
          <w:color w:val="auto"/>
        </w:rPr>
        <w:t>Fabiola R. Arredondo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20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2, 2020,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this 2nd day of September, 2020.</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Howard M Averill</w:t>
      </w:r>
    </w:p>
    <w:p>
      <w:pPr>
        <w:spacing w:after="0" w:line="205" w:lineRule="auto"/>
        <w:rPr>
          <w:sz w:val="20"/>
          <w:szCs w:val="20"/>
          <w:color w:val="auto"/>
        </w:rPr>
      </w:pPr>
      <w:r>
        <w:rPr>
          <w:rFonts w:ascii="Times New Roman" w:cs="Times New Roman" w:eastAsia="Times New Roman" w:hAnsi="Times New Roman"/>
          <w:sz w:val="22"/>
          <w:szCs w:val="22"/>
          <w:color w:val="auto"/>
        </w:rPr>
        <w:t>Howard M. Averill</w:t>
      </w:r>
    </w:p>
    <w:p>
      <w:pPr>
        <w:spacing w:after="0"/>
        <w:rPr>
          <w:sz w:val="20"/>
          <w:szCs w:val="20"/>
          <w:color w:val="auto"/>
        </w:rPr>
      </w:pPr>
      <w:r>
        <w:rPr>
          <w:rFonts w:ascii="Times New Roman" w:cs="Times New Roman" w:eastAsia="Times New Roman" w:hAnsi="Times New Roman"/>
          <w:sz w:val="22"/>
          <w:szCs w:val="22"/>
          <w:color w:val="auto"/>
        </w:rPr>
        <w:t>Director</w:t>
      </w:r>
    </w:p>
    <w:p>
      <w:pPr>
        <w:sectPr>
          <w:pgSz w:w="11900" w:h="16838" w:orient="portrait"/>
          <w:cols w:equalWidth="0" w:num="1">
            <w:col w:w="11240"/>
          </w:cols>
          <w:pgMar w:left="320" w:top="1409" w:right="3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20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2, 2020,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this 10th day of September, 2020.</w:t>
      </w:r>
    </w:p>
    <w:p>
      <w:pPr>
        <w:spacing w:after="0" w:line="204" w:lineRule="auto"/>
        <w:rPr>
          <w:sz w:val="20"/>
          <w:szCs w:val="20"/>
          <w:color w:val="auto"/>
        </w:rPr>
      </w:pP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John P. Bilbrey</w:t>
      </w:r>
      <w:r>
        <w:rPr>
          <w:rFonts w:ascii="Times New Roman" w:cs="Times New Roman" w:eastAsia="Times New Roman" w:hAnsi="Times New Roman"/>
          <w:sz w:val="22"/>
          <w:szCs w:val="22"/>
          <w:color w:val="auto"/>
        </w:rPr>
        <w:t>_____</w:t>
      </w:r>
    </w:p>
    <w:p>
      <w:pPr>
        <w:spacing w:after="0" w:line="205" w:lineRule="auto"/>
        <w:rPr>
          <w:sz w:val="20"/>
          <w:szCs w:val="20"/>
          <w:color w:val="auto"/>
        </w:rPr>
      </w:pPr>
      <w:r>
        <w:rPr>
          <w:rFonts w:ascii="Times New Roman" w:cs="Times New Roman" w:eastAsia="Times New Roman" w:hAnsi="Times New Roman"/>
          <w:sz w:val="22"/>
          <w:szCs w:val="22"/>
          <w:color w:val="auto"/>
        </w:rPr>
        <w:t>John P. Bilbrey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20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2, 2020,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this 9th day of September, 2020.</w:t>
      </w:r>
    </w:p>
    <w:p>
      <w:pPr>
        <w:spacing w:after="0" w:line="204" w:lineRule="auto"/>
        <w:rPr>
          <w:sz w:val="20"/>
          <w:szCs w:val="20"/>
          <w:color w:val="auto"/>
        </w:rPr>
      </w:pP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Bennett Dorrance</w:t>
      </w:r>
      <w:r>
        <w:rPr>
          <w:rFonts w:ascii="Times New Roman" w:cs="Times New Roman" w:eastAsia="Times New Roman" w:hAnsi="Times New Roman"/>
          <w:sz w:val="22"/>
          <w:szCs w:val="22"/>
          <w:color w:val="auto"/>
        </w:rPr>
        <w:t>_____</w:t>
      </w:r>
    </w:p>
    <w:p>
      <w:pPr>
        <w:spacing w:after="0" w:line="205" w:lineRule="auto"/>
        <w:rPr>
          <w:sz w:val="20"/>
          <w:szCs w:val="20"/>
          <w:color w:val="auto"/>
        </w:rPr>
      </w:pPr>
      <w:r>
        <w:rPr>
          <w:rFonts w:ascii="Times New Roman" w:cs="Times New Roman" w:eastAsia="Times New Roman" w:hAnsi="Times New Roman"/>
          <w:sz w:val="22"/>
          <w:szCs w:val="22"/>
          <w:color w:val="auto"/>
        </w:rPr>
        <w:t>Bennett Dorrance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20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2, 2020,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this 9th day of September, 2020.</w:t>
      </w:r>
    </w:p>
    <w:p>
      <w:pPr>
        <w:spacing w:after="0" w:line="204" w:lineRule="auto"/>
        <w:rPr>
          <w:sz w:val="20"/>
          <w:szCs w:val="20"/>
          <w:color w:val="auto"/>
        </w:rPr>
      </w:pP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Maria Teresa Hilado</w:t>
      </w:r>
      <w:r>
        <w:rPr>
          <w:rFonts w:ascii="Times New Roman" w:cs="Times New Roman" w:eastAsia="Times New Roman" w:hAnsi="Times New Roman"/>
          <w:sz w:val="22"/>
          <w:szCs w:val="22"/>
          <w:color w:val="auto"/>
        </w:rPr>
        <w:t>_____</w:t>
      </w:r>
    </w:p>
    <w:p>
      <w:pPr>
        <w:spacing w:after="0" w:line="205" w:lineRule="auto"/>
        <w:rPr>
          <w:sz w:val="20"/>
          <w:szCs w:val="20"/>
          <w:color w:val="auto"/>
        </w:rPr>
      </w:pPr>
      <w:r>
        <w:rPr>
          <w:rFonts w:ascii="Times New Roman" w:cs="Times New Roman" w:eastAsia="Times New Roman" w:hAnsi="Times New Roman"/>
          <w:sz w:val="22"/>
          <w:szCs w:val="22"/>
          <w:color w:val="auto"/>
        </w:rPr>
        <w:t>Maria Teresa Hilado</w:t>
      </w:r>
    </w:p>
    <w:p>
      <w:pPr>
        <w:spacing w:after="0" w:line="215" w:lineRule="auto"/>
        <w:rPr>
          <w:sz w:val="20"/>
          <w:szCs w:val="20"/>
          <w:color w:val="auto"/>
        </w:rPr>
      </w:pPr>
      <w:r>
        <w:rPr>
          <w:rFonts w:ascii="Times New Roman" w:cs="Times New Roman" w:eastAsia="Times New Roman" w:hAnsi="Times New Roman"/>
          <w:sz w:val="22"/>
          <w:szCs w:val="22"/>
          <w:color w:val="auto"/>
        </w:rPr>
        <w:t>Director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20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2, 2020,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this 11th day of September,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Sarah Hofstetter</w:t>
      </w:r>
      <w:r>
        <w:rPr>
          <w:rFonts w:ascii="Times New Roman" w:cs="Times New Roman" w:eastAsia="Times New Roman" w:hAnsi="Times New Roman"/>
          <w:sz w:val="22"/>
          <w:szCs w:val="22"/>
          <w:color w:val="auto"/>
        </w:rPr>
        <w:t>_____</w:t>
      </w:r>
    </w:p>
    <w:p>
      <w:pPr>
        <w:spacing w:after="0" w:line="204" w:lineRule="auto"/>
        <w:rPr>
          <w:sz w:val="20"/>
          <w:szCs w:val="20"/>
          <w:color w:val="auto"/>
        </w:rPr>
      </w:pPr>
      <w:r>
        <w:rPr>
          <w:rFonts w:ascii="Times New Roman" w:cs="Times New Roman" w:eastAsia="Times New Roman" w:hAnsi="Times New Roman"/>
          <w:sz w:val="22"/>
          <w:szCs w:val="22"/>
          <w:color w:val="auto"/>
        </w:rPr>
        <w:t>Sarah Hofstetter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w:t>
      </w:r>
    </w:p>
    <w:p>
      <w:pPr>
        <w:sectPr>
          <w:pgSz w:w="11900" w:h="16838" w:orient="portrait"/>
          <w:cols w:equalWidth="0" w:num="1">
            <w:col w:w="11240"/>
          </w:cols>
          <w:pgMar w:left="320" w:top="144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20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2, 2020,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this 14th day of September,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Marc B. Lautenbach</w:t>
      </w:r>
      <w:r>
        <w:rPr>
          <w:rFonts w:ascii="Times New Roman" w:cs="Times New Roman" w:eastAsia="Times New Roman" w:hAnsi="Times New Roman"/>
          <w:sz w:val="22"/>
          <w:szCs w:val="22"/>
          <w:color w:val="auto"/>
        </w:rPr>
        <w:t>_____</w:t>
      </w:r>
    </w:p>
    <w:p>
      <w:pPr>
        <w:spacing w:after="0" w:line="204" w:lineRule="auto"/>
        <w:rPr>
          <w:sz w:val="20"/>
          <w:szCs w:val="20"/>
          <w:color w:val="auto"/>
        </w:rPr>
      </w:pPr>
      <w:r>
        <w:rPr>
          <w:rFonts w:ascii="Times New Roman" w:cs="Times New Roman" w:eastAsia="Times New Roman" w:hAnsi="Times New Roman"/>
          <w:sz w:val="22"/>
          <w:szCs w:val="22"/>
          <w:color w:val="auto"/>
        </w:rPr>
        <w:t>Marc B. Lautenbach</w:t>
      </w:r>
    </w:p>
    <w:p>
      <w:pPr>
        <w:spacing w:after="0" w:line="215" w:lineRule="auto"/>
        <w:rPr>
          <w:sz w:val="20"/>
          <w:szCs w:val="20"/>
          <w:color w:val="auto"/>
        </w:rPr>
      </w:pPr>
      <w:r>
        <w:rPr>
          <w:rFonts w:ascii="Times New Roman" w:cs="Times New Roman" w:eastAsia="Times New Roman" w:hAnsi="Times New Roman"/>
          <w:sz w:val="22"/>
          <w:szCs w:val="22"/>
          <w:color w:val="auto"/>
        </w:rPr>
        <w:t>Director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20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2, 2020,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this 9th day of September,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Mary Alice Malone</w:t>
      </w:r>
      <w:r>
        <w:rPr>
          <w:rFonts w:ascii="Times New Roman" w:cs="Times New Roman" w:eastAsia="Times New Roman" w:hAnsi="Times New Roman"/>
          <w:sz w:val="22"/>
          <w:szCs w:val="22"/>
          <w:color w:val="auto"/>
        </w:rPr>
        <w:t>_____</w:t>
      </w:r>
    </w:p>
    <w:p>
      <w:pPr>
        <w:spacing w:after="0" w:line="204" w:lineRule="auto"/>
        <w:rPr>
          <w:sz w:val="20"/>
          <w:szCs w:val="20"/>
          <w:color w:val="auto"/>
        </w:rPr>
      </w:pPr>
      <w:r>
        <w:rPr>
          <w:rFonts w:ascii="Times New Roman" w:cs="Times New Roman" w:eastAsia="Times New Roman" w:hAnsi="Times New Roman"/>
          <w:sz w:val="22"/>
          <w:szCs w:val="22"/>
          <w:color w:val="auto"/>
        </w:rPr>
        <w:t>Mary Alice Malone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w:t>
      </w:r>
    </w:p>
    <w:p>
      <w:pPr>
        <w:sectPr>
          <w:pgSz w:w="11900" w:h="16838" w:orient="portrait"/>
          <w:cols w:equalWidth="0" w:num="1">
            <w:col w:w="11240"/>
          </w:cols>
          <w:pgMar w:left="320" w:top="1409"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20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2, 2020,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this 9th day of September,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Keith R. McLoughlin</w:t>
      </w:r>
      <w:r>
        <w:rPr>
          <w:rFonts w:ascii="Times New Roman" w:cs="Times New Roman" w:eastAsia="Times New Roman" w:hAnsi="Times New Roman"/>
          <w:sz w:val="22"/>
          <w:szCs w:val="22"/>
          <w:color w:val="auto"/>
        </w:rPr>
        <w:t>_____</w:t>
      </w:r>
    </w:p>
    <w:p>
      <w:pPr>
        <w:spacing w:after="0" w:line="204" w:lineRule="auto"/>
        <w:rPr>
          <w:sz w:val="20"/>
          <w:szCs w:val="20"/>
          <w:color w:val="auto"/>
        </w:rPr>
      </w:pPr>
      <w:r>
        <w:rPr>
          <w:rFonts w:ascii="Times New Roman" w:cs="Times New Roman" w:eastAsia="Times New Roman" w:hAnsi="Times New Roman"/>
          <w:sz w:val="22"/>
          <w:szCs w:val="22"/>
          <w:color w:val="auto"/>
        </w:rPr>
        <w:t>Keith R. McLoughin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20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2, 2020,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this 9th day of September,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Kurt T. Schmidt</w:t>
      </w:r>
      <w:r>
        <w:rPr>
          <w:rFonts w:ascii="Times New Roman" w:cs="Times New Roman" w:eastAsia="Times New Roman" w:hAnsi="Times New Roman"/>
          <w:sz w:val="22"/>
          <w:szCs w:val="22"/>
          <w:color w:val="auto"/>
        </w:rPr>
        <w:t>_____</w:t>
      </w:r>
    </w:p>
    <w:p>
      <w:pPr>
        <w:spacing w:after="0" w:line="204" w:lineRule="auto"/>
        <w:rPr>
          <w:sz w:val="20"/>
          <w:szCs w:val="20"/>
          <w:color w:val="auto"/>
        </w:rPr>
      </w:pPr>
      <w:r>
        <w:rPr>
          <w:rFonts w:ascii="Times New Roman" w:cs="Times New Roman" w:eastAsia="Times New Roman" w:hAnsi="Times New Roman"/>
          <w:sz w:val="22"/>
          <w:szCs w:val="22"/>
          <w:color w:val="auto"/>
        </w:rPr>
        <w:t>Kurt T. Schmidt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w:t>
      </w:r>
    </w:p>
    <w:p>
      <w:pPr>
        <w:sectPr>
          <w:pgSz w:w="11900" w:h="16838" w:orient="portrait"/>
          <w:cols w:equalWidth="0" w:num="1">
            <w:col w:w="11240"/>
          </w:cols>
          <w:pgMar w:left="320" w:top="1409" w:right="339" w:bottom="1440" w:gutter="0" w:footer="0" w:header="0"/>
        </w:sectPr>
      </w:pPr>
    </w:p>
    <w:bookmarkStart w:id="107" w:name="page108"/>
    <w:bookmarkEnd w:id="107"/>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20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August 2, 2020,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this 9th day of September,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w:t>
      </w:r>
      <w:r>
        <w:rPr>
          <w:rFonts w:ascii="Times New Roman" w:cs="Times New Roman" w:eastAsia="Times New Roman" w:hAnsi="Times New Roman"/>
          <w:sz w:val="22"/>
          <w:szCs w:val="22"/>
          <w:u w:val="single" w:color="auto"/>
          <w:color w:val="auto"/>
        </w:rPr>
        <w:t>/s/ Archbold D. van Beuren</w:t>
      </w:r>
      <w:r>
        <w:rPr>
          <w:rFonts w:ascii="Times New Roman" w:cs="Times New Roman" w:eastAsia="Times New Roman" w:hAnsi="Times New Roman"/>
          <w:sz w:val="22"/>
          <w:szCs w:val="22"/>
          <w:color w:val="auto"/>
        </w:rPr>
        <w:t>_____</w:t>
      </w:r>
    </w:p>
    <w:p>
      <w:pPr>
        <w:spacing w:after="0" w:line="204" w:lineRule="auto"/>
        <w:rPr>
          <w:sz w:val="20"/>
          <w:szCs w:val="20"/>
          <w:color w:val="auto"/>
        </w:rPr>
      </w:pPr>
      <w:r>
        <w:rPr>
          <w:rFonts w:ascii="Times New Roman" w:cs="Times New Roman" w:eastAsia="Times New Roman" w:hAnsi="Times New Roman"/>
          <w:sz w:val="22"/>
          <w:szCs w:val="22"/>
          <w:color w:val="auto"/>
        </w:rPr>
        <w:t>Archbold D. van Beuren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w:t>
      </w:r>
    </w:p>
    <w:p>
      <w:pPr>
        <w:sectPr>
          <w:pgSz w:w="11900" w:h="16838" w:orient="portrait"/>
          <w:cols w:equalWidth="0" w:num="1">
            <w:col w:w="11240"/>
          </w:cols>
          <w:pgMar w:left="320" w:top="144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Clouse, certify that:</w:t>
      </w:r>
    </w:p>
    <w:p>
      <w:pPr>
        <w:spacing w:after="0" w:line="171" w:lineRule="exact"/>
        <w:rPr>
          <w:sz w:val="20"/>
          <w:szCs w:val="20"/>
          <w:color w:val="auto"/>
        </w:rPr>
      </w:pPr>
    </w:p>
    <w:p>
      <w:pPr>
        <w:ind w:left="400" w:hanging="190"/>
        <w:spacing w:after="0"/>
        <w:tabs>
          <w:tab w:leader="none" w:pos="4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Campbell Soup Company;</w:t>
      </w:r>
    </w:p>
    <w:p>
      <w:pPr>
        <w:spacing w:after="0" w:line="171" w:lineRule="exact"/>
        <w:rPr>
          <w:rFonts w:ascii="Times New Roman" w:cs="Times New Roman" w:eastAsia="Times New Roman" w:hAnsi="Times New Roman"/>
          <w:sz w:val="18"/>
          <w:szCs w:val="18"/>
          <w:color w:val="auto"/>
        </w:rPr>
      </w:pPr>
    </w:p>
    <w:p>
      <w:pPr>
        <w:ind w:right="260" w:firstLine="210"/>
        <w:spacing w:after="0" w:line="282" w:lineRule="auto"/>
        <w:tabs>
          <w:tab w:leader="none" w:pos="38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340" w:firstLine="210"/>
        <w:spacing w:after="0" w:line="282" w:lineRule="auto"/>
        <w:tabs>
          <w:tab w:leader="none" w:pos="38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210"/>
        <w:spacing w:after="0" w:line="266" w:lineRule="auto"/>
        <w:tabs>
          <w:tab w:leader="none" w:pos="37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right="440" w:firstLine="453"/>
        <w:spacing w:after="0" w:line="266" w:lineRule="auto"/>
        <w:tabs>
          <w:tab w:leader="none" w:pos="63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940" w:firstLine="453"/>
        <w:spacing w:after="0" w:line="282" w:lineRule="auto"/>
        <w:tabs>
          <w:tab w:leader="none" w:pos="63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66" w:lineRule="auto"/>
        <w:tabs>
          <w:tab w:leader="none" w:pos="6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80" w:firstLine="210"/>
        <w:spacing w:after="0" w:line="282" w:lineRule="auto"/>
        <w:tabs>
          <w:tab w:leader="none" w:pos="37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340" w:firstLine="453"/>
        <w:spacing w:after="0" w:line="282" w:lineRule="auto"/>
        <w:tabs>
          <w:tab w:leader="none" w:pos="63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300" w:firstLine="453"/>
        <w:spacing w:after="0" w:line="282" w:lineRule="auto"/>
        <w:tabs>
          <w:tab w:leader="none" w:pos="6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24, 2020</w:t>
      </w:r>
    </w:p>
    <w:p>
      <w:pPr>
        <w:spacing w:after="0" w:line="252" w:lineRule="exact"/>
        <w:rPr>
          <w:sz w:val="20"/>
          <w:szCs w:val="20"/>
          <w:color w:val="auto"/>
        </w:rPr>
      </w:pPr>
    </w:p>
    <w:p>
      <w:pPr>
        <w:ind w:left="4160"/>
        <w:spacing w:after="0"/>
        <w:tabs>
          <w:tab w:leader="none" w:pos="460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34290</wp:posOffset>
            </wp:positionV>
            <wp:extent cx="31800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7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A. Clouse</w:t>
      </w:r>
    </w:p>
    <w:p>
      <w:pPr>
        <w:spacing w:after="0" w:line="74" w:lineRule="exact"/>
        <w:rPr>
          <w:sz w:val="20"/>
          <w:szCs w:val="20"/>
          <w:color w:val="auto"/>
        </w:rPr>
      </w:pPr>
    </w:p>
    <w:p>
      <w:pPr>
        <w:sectPr>
          <w:pgSz w:w="11900" w:h="16838" w:orient="portrait"/>
          <w:cols w:equalWidth="0" w:num="2">
            <w:col w:w="5100" w:space="360"/>
            <w:col w:w="5780"/>
          </w:cols>
          <w:pgMar w:left="320" w:top="887" w:right="339" w:bottom="1440" w:gutter="0" w:footer="0" w:header="0"/>
          <w:type w:val="continuous"/>
        </w:sectPr>
      </w:pPr>
    </w:p>
    <w:p>
      <w:pPr>
        <w:ind w:left="46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2">
            <w:col w:w="5000" w:space="460"/>
            <w:col w:w="5780"/>
          </w:cols>
          <w:pgMar w:left="320" w:top="887" w:right="339"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Mick J. Beekhuizen, certify that:</w:t>
      </w:r>
    </w:p>
    <w:p>
      <w:pPr>
        <w:spacing w:after="0" w:line="171" w:lineRule="exact"/>
        <w:rPr>
          <w:sz w:val="20"/>
          <w:szCs w:val="20"/>
          <w:color w:val="auto"/>
        </w:rPr>
      </w:pPr>
    </w:p>
    <w:p>
      <w:pPr>
        <w:ind w:left="400" w:hanging="190"/>
        <w:spacing w:after="0"/>
        <w:tabs>
          <w:tab w:leader="none" w:pos="4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Campbell Soup Company;</w:t>
      </w:r>
    </w:p>
    <w:p>
      <w:pPr>
        <w:spacing w:after="0" w:line="171" w:lineRule="exact"/>
        <w:rPr>
          <w:rFonts w:ascii="Times New Roman" w:cs="Times New Roman" w:eastAsia="Times New Roman" w:hAnsi="Times New Roman"/>
          <w:sz w:val="18"/>
          <w:szCs w:val="18"/>
          <w:color w:val="auto"/>
        </w:rPr>
      </w:pPr>
    </w:p>
    <w:p>
      <w:pPr>
        <w:ind w:right="260" w:firstLine="210"/>
        <w:spacing w:after="0" w:line="282" w:lineRule="auto"/>
        <w:tabs>
          <w:tab w:leader="none" w:pos="38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340" w:firstLine="210"/>
        <w:spacing w:after="0" w:line="282" w:lineRule="auto"/>
        <w:tabs>
          <w:tab w:leader="none" w:pos="38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210"/>
        <w:spacing w:after="0" w:line="266" w:lineRule="auto"/>
        <w:tabs>
          <w:tab w:leader="none" w:pos="37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right="440" w:firstLine="453"/>
        <w:spacing w:after="0" w:line="266" w:lineRule="auto"/>
        <w:tabs>
          <w:tab w:leader="none" w:pos="63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940" w:firstLine="453"/>
        <w:spacing w:after="0" w:line="282" w:lineRule="auto"/>
        <w:tabs>
          <w:tab w:leader="none" w:pos="63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66" w:lineRule="auto"/>
        <w:tabs>
          <w:tab w:leader="none" w:pos="6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80" w:firstLine="210"/>
        <w:spacing w:after="0" w:line="282" w:lineRule="auto"/>
        <w:tabs>
          <w:tab w:leader="none" w:pos="37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340" w:firstLine="453"/>
        <w:spacing w:after="0" w:line="282" w:lineRule="auto"/>
        <w:tabs>
          <w:tab w:leader="none" w:pos="63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300" w:firstLine="453"/>
        <w:spacing w:after="0" w:line="282" w:lineRule="auto"/>
        <w:tabs>
          <w:tab w:leader="none" w:pos="6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24, 2020</w:t>
      </w:r>
    </w:p>
    <w:p>
      <w:pPr>
        <w:spacing w:after="0" w:line="63" w:lineRule="exact"/>
        <w:rPr>
          <w:sz w:val="20"/>
          <w:szCs w:val="20"/>
          <w:color w:val="auto"/>
        </w:rPr>
      </w:pPr>
    </w:p>
    <w:p>
      <w:pPr>
        <w:ind w:left="4140"/>
        <w:spacing w:after="0"/>
        <w:tabs>
          <w:tab w:leader="none" w:pos="456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34290</wp:posOffset>
            </wp:positionV>
            <wp:extent cx="31546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63" w:lineRule="exact"/>
        <w:rPr>
          <w:sz w:val="20"/>
          <w:szCs w:val="20"/>
          <w:color w:val="auto"/>
        </w:rPr>
      </w:pPr>
    </w:p>
    <w:p>
      <w:pPr>
        <w:sectPr>
          <w:pgSz w:w="11900" w:h="16838" w:orient="portrait"/>
          <w:cols w:equalWidth="0" w:num="2">
            <w:col w:w="5060" w:space="360"/>
            <w:col w:w="5820"/>
          </w:cols>
          <w:pgMar w:left="320" w:top="887" w:right="3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w:t>
      </w:r>
    </w:p>
    <w:p>
      <w:pPr>
        <w:spacing w:after="0" w:line="74" w:lineRule="exact"/>
        <w:rPr>
          <w:sz w:val="20"/>
          <w:szCs w:val="20"/>
          <w:color w:val="auto"/>
        </w:rPr>
      </w:pPr>
    </w:p>
    <w:p>
      <w:pPr>
        <w:sectPr>
          <w:pgSz w:w="11900" w:h="16838" w:orient="portrait"/>
          <w:cols w:equalWidth="0" w:num="2">
            <w:col w:w="4980" w:space="440"/>
            <w:col w:w="5820"/>
          </w:cols>
          <w:pgMar w:left="320" w:top="887" w:right="3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887" w:right="339" w:bottom="1440" w:gutter="0" w:footer="0" w:header="0"/>
          <w:type w:val="continuous"/>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jc w:val="both"/>
        <w:ind w:right="520"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Campbell Soup Company (the “Company”) on Form 10-K for the fiscal year ended August 2, 2020 (the “Report”), I, Mark A. Clouse, President and Chief Executive Officer of the Company, hereby certify, pursuant to 18 U.S.C. Section 1350, as adopted pursuant to Section 906 of the Sarbanes-Oxley Act of 2002, that, to my knowledge:</w:t>
      </w:r>
    </w:p>
    <w:p>
      <w:pPr>
        <w:spacing w:after="0" w:line="122" w:lineRule="exact"/>
        <w:rPr>
          <w:sz w:val="20"/>
          <w:szCs w:val="20"/>
          <w:color w:val="auto"/>
        </w:rPr>
      </w:pPr>
    </w:p>
    <w:p>
      <w:pPr>
        <w:ind w:left="700" w:hanging="247"/>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24, 2020</w:t>
      </w:r>
    </w:p>
    <w:p>
      <w:pPr>
        <w:spacing w:after="0" w:line="63" w:lineRule="exact"/>
        <w:rPr>
          <w:sz w:val="20"/>
          <w:szCs w:val="20"/>
          <w:color w:val="auto"/>
        </w:rPr>
      </w:pPr>
    </w:p>
    <w:p>
      <w:pPr>
        <w:ind w:left="4140"/>
        <w:spacing w:after="0"/>
        <w:tabs>
          <w:tab w:leader="none" w:pos="456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34290</wp:posOffset>
            </wp:positionV>
            <wp:extent cx="31546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Clouse</w:t>
      </w:r>
    </w:p>
    <w:p>
      <w:pPr>
        <w:spacing w:after="0" w:line="63" w:lineRule="exact"/>
        <w:rPr>
          <w:sz w:val="20"/>
          <w:szCs w:val="20"/>
          <w:color w:val="auto"/>
        </w:rPr>
      </w:pPr>
    </w:p>
    <w:p>
      <w:pPr>
        <w:sectPr>
          <w:pgSz w:w="11900" w:h="16838" w:orient="portrait"/>
          <w:cols w:equalWidth="0" w:num="2">
            <w:col w:w="5060" w:space="360"/>
            <w:col w:w="5820"/>
          </w:cols>
          <w:pgMar w:left="320" w:top="887" w:right="3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ectPr>
          <w:pgSz w:w="11900" w:h="16838" w:orient="portrait"/>
          <w:cols w:equalWidth="0" w:num="2">
            <w:col w:w="4980" w:space="440"/>
            <w:col w:w="582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580"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Campbell Soup Company (the “Company”) on Form 10-K for the fiscal year ended August 2, 2020 (the “Report”), I, Mick J. Beekhuizen, Executive Vice President and Chief Financial Officer of the Company, hereby certify, pursuant to 18 U.S.C. Section 1350, as adopted pursuant to Section 906 of the Sarbanes-Oxley Act of 2002, that, to my knowledge:</w:t>
      </w:r>
    </w:p>
    <w:p>
      <w:pPr>
        <w:spacing w:after="0" w:line="122" w:lineRule="exact"/>
        <w:rPr>
          <w:sz w:val="20"/>
          <w:szCs w:val="20"/>
          <w:color w:val="auto"/>
        </w:rPr>
      </w:pPr>
    </w:p>
    <w:p>
      <w:pPr>
        <w:ind w:left="700" w:hanging="247"/>
        <w:spacing w:after="0"/>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24, 2020</w:t>
      </w:r>
    </w:p>
    <w:p>
      <w:pPr>
        <w:spacing w:after="0" w:line="63" w:lineRule="exact"/>
        <w:rPr>
          <w:sz w:val="20"/>
          <w:szCs w:val="20"/>
          <w:color w:val="auto"/>
        </w:rPr>
      </w:pPr>
    </w:p>
    <w:p>
      <w:pPr>
        <w:ind w:left="4140"/>
        <w:spacing w:after="0"/>
        <w:tabs>
          <w:tab w:leader="none" w:pos="456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34290</wp:posOffset>
            </wp:positionV>
            <wp:extent cx="31546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63" w:lineRule="exact"/>
        <w:rPr>
          <w:sz w:val="20"/>
          <w:szCs w:val="20"/>
          <w:color w:val="auto"/>
        </w:rPr>
      </w:pPr>
    </w:p>
    <w:p>
      <w:pPr>
        <w:sectPr>
          <w:pgSz w:w="11900" w:h="16838" w:orient="portrait"/>
          <w:cols w:equalWidth="0" w:num="2">
            <w:col w:w="5060" w:space="360"/>
            <w:col w:w="5820"/>
          </w:cols>
          <w:pgMar w:left="320" w:top="887" w:right="3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w:t>
      </w:r>
    </w:p>
    <w:p>
      <w:pPr>
        <w:spacing w:after="0" w:line="74" w:lineRule="exact"/>
        <w:rPr>
          <w:sz w:val="20"/>
          <w:szCs w:val="20"/>
          <w:color w:val="auto"/>
        </w:rPr>
      </w:pPr>
    </w:p>
    <w:p>
      <w:pPr>
        <w:sectPr>
          <w:pgSz w:w="11900" w:h="16838" w:orient="portrait"/>
          <w:cols w:equalWidth="0" w:num="2">
            <w:col w:w="4980" w:space="440"/>
            <w:col w:w="5820"/>
          </w:cols>
          <w:pgMar w:left="320" w:top="887" w:right="3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887" w:right="3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decimal"/>
      <w:start w:val="47"/>
    </w:lvl>
  </w:abstractNum>
  <w:abstractNum w:abstractNumId="7">
    <w:nsid w:val="1D4ED43B"/>
    <w:multiLevelType w:val="hybridMultilevel"/>
    <w:lvl w:ilvl="0">
      <w:lvlJc w:val="left"/>
      <w:lvlText w:val="%1"/>
      <w:numFmt w:val="decimal"/>
      <w:start w:val="53"/>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1)"/>
      <w:numFmt w:val="decimal"/>
      <w:start w:val="2"/>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1)"/>
      <w:numFmt w:val="decimal"/>
      <w:start w:val="1"/>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amp;"/>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1)"/>
      <w:numFmt w:val="decimal"/>
      <w:start w:val="2"/>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3"/>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6"/>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1."/>
      <w:numFmt w:val="decimal"/>
      <w:start w:val="7"/>
    </w:lvl>
    <w:lvl w:ilvl="1">
      <w:lvlJc w:val="left"/>
      <w:lvlText w:val="•"/>
      <w:numFmt w:val="bullet"/>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decimal"/>
      <w:start w:val="3"/>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4"/>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1)"/>
      <w:numFmt w:val="decimal"/>
      <w:start w:val="1"/>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1)"/>
      <w:numFmt w:val="decimal"/>
      <w:start w:val="1"/>
    </w:lvl>
    <w:lvl w:ilvl="1">
      <w:lvlJc w:val="left"/>
      <w:lvlText w:val="•"/>
      <w:numFmt w:val="bullet"/>
      <w:start w:val="1"/>
    </w:lvl>
  </w:abstractNum>
  <w:abstractNum w:abstractNumId="58">
    <w:nsid w:val="6590700B"/>
    <w:multiLevelType w:val="hybridMultilevel"/>
    <w:lvl w:ilvl="0">
      <w:lvlJc w:val="left"/>
      <w:lvlText w:val="%1."/>
      <w:numFmt w:val="decimal"/>
      <w:start w:val="14"/>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decimal"/>
      <w:start w:val="20"/>
    </w:lvl>
  </w:abstractNum>
  <w:abstractNum w:abstractNumId="64">
    <w:nsid w:val="42C296BD"/>
    <w:multiLevelType w:val="hybridMultilevel"/>
    <w:lvl w:ilvl="0">
      <w:lvlJc w:val="left"/>
      <w:lvlText w:val="(%1)"/>
      <w:numFmt w:val="decimal"/>
      <w:start w:val="1"/>
    </w:lvl>
  </w:abstractNum>
  <w:abstractNum w:abstractNumId="65">
    <w:nsid w:val="168E121F"/>
    <w:multiLevelType w:val="hybridMultilevel"/>
    <w:lvl w:ilvl="0">
      <w:lvlJc w:val="left"/>
      <w:lvlText w:val="(%1)"/>
      <w:numFmt w:val="decimal"/>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1)"/>
      <w:numFmt w:val="decimal"/>
      <w:start w:val="1"/>
    </w:lvl>
  </w:abstractNum>
  <w:abstractNum w:abstractNumId="69">
    <w:nsid w:val="540A471C"/>
    <w:multiLevelType w:val="hybridMultilevel"/>
    <w:lvl w:ilvl="0">
      <w:lvlJc w:val="left"/>
      <w:lvlText w:val="(%1)"/>
      <w:numFmt w:val="lowerLetter"/>
      <w:start w:val="1"/>
    </w:lvl>
    <w:lvl w:ilvl="1">
      <w:lvlJc w:val="left"/>
      <w:lvlText w:val="%2."/>
      <w:numFmt w:val="decimal"/>
      <w:start w:val="1"/>
    </w:lvl>
  </w:abstractNum>
  <w:abstractNum w:abstractNumId="70">
    <w:nsid w:val="7BD3EE7B"/>
    <w:multiLevelType w:val="hybridMultilevel"/>
    <w:lvl w:ilvl="0">
      <w:lvlJc w:val="left"/>
      <w:lvlText w:val="%1."/>
      <w:numFmt w:val="decimal"/>
      <w:start w:val="2"/>
    </w:lvl>
    <w:lvl w:ilvl="1">
      <w:lvlJc w:val="left"/>
      <w:lvlText w:val="%2"/>
      <w:numFmt w:val="upperLetter"/>
      <w:start w:val="1"/>
    </w:lvl>
  </w:abstractNum>
  <w:abstractNum w:abstractNumId="71">
    <w:nsid w:val="51D9C564"/>
    <w:multiLevelType w:val="hybridMultilevel"/>
    <w:lvl w:ilvl="0">
      <w:lvlJc w:val="left"/>
      <w:lvlText w:val="(%1)"/>
      <w:numFmt w:val="lowerLetter"/>
      <w:start w:val="2"/>
    </w:lvl>
  </w:abstractNum>
  <w:abstractNum w:abstractNumId="72">
    <w:nsid w:val="613EFDC5"/>
    <w:multiLevelType w:val="hybridMultilevel"/>
    <w:lvl w:ilvl="0">
      <w:lvlJc w:val="left"/>
      <w:lvlText w:val="2"/>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86"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146" Type="http://schemas.openxmlformats.org/officeDocument/2006/relationships/hyperlink" Target="http://www.sec.gov/Archives/edgar/data/16732/000095015919000116/exhibit2.htm" TargetMode="External"/><Relationship Id="rId147" Type="http://schemas.openxmlformats.org/officeDocument/2006/relationships/hyperlink" Target="http://www.sec.gov/Archives/edgar/data/16732/000089322002001206/w64292exv3wxiy.txt" TargetMode="External"/><Relationship Id="rId148" Type="http://schemas.openxmlformats.org/officeDocument/2006/relationships/hyperlink" Target="https://www.sec.gov/Archives/edgar/data/16732/000001673220000072/by-lawsofcampbellsoupc.htm" TargetMode="External"/><Relationship Id="rId149" Type="http://schemas.openxmlformats.org/officeDocument/2006/relationships/hyperlink" Target="http://www.sec.gov/Archives/edgar/data/16732/000095010308002875/dp11895_ex4a.htm" TargetMode="External"/><Relationship Id="rId150" Type="http://schemas.openxmlformats.org/officeDocument/2006/relationships/hyperlink" Target="http://www.sec.gov/Archives/edgar/data/16732/000119312512330540/d385353dex41.htm" TargetMode="External"/><Relationship Id="rId151" Type="http://schemas.openxmlformats.org/officeDocument/2006/relationships/hyperlink" Target="http://www.sec.gov/Archives/edgar/data/16732/000120677417001975/campbell3278281-ex42.htm" TargetMode="External"/><Relationship Id="rId152" Type="http://schemas.openxmlformats.org/officeDocument/2006/relationships/hyperlink" Target="http://www.sec.gov/Archives/edgar/data/16732/000119312515097806/d801200dex41.htm" TargetMode="External"/><Relationship Id="rId153" Type="http://schemas.openxmlformats.org/officeDocument/2006/relationships/hyperlink" Target="http://www.sec.gov/Archives/edgar/data/16732/000119312515097806/d801200dex42.htm" TargetMode="External"/><Relationship Id="rId154" Type="http://schemas.openxmlformats.org/officeDocument/2006/relationships/hyperlink" Target="http://www.sec.gov/Archives/edgar/data/16732/000095015918000106/ex4-2_2.htm" TargetMode="External"/><Relationship Id="rId155" Type="http://schemas.openxmlformats.org/officeDocument/2006/relationships/hyperlink" Target="http://www.sec.gov/Archives/edgar/data/16732/000095015918000106/ex4-2_3.htm" TargetMode="External"/><Relationship Id="rId156" Type="http://schemas.openxmlformats.org/officeDocument/2006/relationships/hyperlink" Target="http://www.sec.gov/Archives/edgar/data/16732/000095015918000106/ex4-2_4.htm" TargetMode="External"/><Relationship Id="rId157" Type="http://schemas.openxmlformats.org/officeDocument/2006/relationships/hyperlink" Target="http://www.sec.gov/Archives/edgar/data/16732/000095015918000106/ex4-2_5.htm" TargetMode="External"/><Relationship Id="rId158" Type="http://schemas.openxmlformats.org/officeDocument/2006/relationships/hyperlink" Target="http://www.sec.gov/Archives/edgar/data/16732/000095015918000106/ex4-2_6.htm" TargetMode="External"/><Relationship Id="rId159" Type="http://schemas.openxmlformats.org/officeDocument/2006/relationships/hyperlink" Target="http://www.sec.gov/Archives/edgar/data/16732/000095015918000106/ex4-2_7.htm" TargetMode="External"/><Relationship Id="rId160" Type="http://schemas.openxmlformats.org/officeDocument/2006/relationships/hyperlink" Target="https://www.sec.gov/Archives/edgar/data/16732/000119312520119114/d916212dex421.htm" TargetMode="External"/><Relationship Id="rId161" Type="http://schemas.openxmlformats.org/officeDocument/2006/relationships/hyperlink" Target="http://www.sec.gov/Archives/edgar/data/16732/000119312520119114/d916212dex422.htm" TargetMode="External"/><Relationship Id="rId162" Type="http://schemas.openxmlformats.org/officeDocument/2006/relationships/hyperlink" Target="https://www.sec.gov/Archives/edgar/data/16732/000001673219000070/cpb-7292018x10xkxexb4p.htm" TargetMode="External"/><Relationship Id="rId163" Type="http://schemas.openxmlformats.org/officeDocument/2006/relationships/hyperlink" Target="http://www.sec.gov/Archives/edgar/data/16732/000095012310092073/w79419def14a.htm" TargetMode="External"/><Relationship Id="rId166" Type="http://schemas.openxmlformats.org/officeDocument/2006/relationships/hyperlink" Target="http://www.sec.gov/Archives/edgar/data/16732/000119312515341359/d35422ddef14a.htm" TargetMode="External"/><Relationship Id="rId167" Type="http://schemas.openxmlformats.org/officeDocument/2006/relationships/hyperlink" Target="http://www.sec.gov/Archives/edgar/data/16732/000119312514360923/d773216ddef14a.htm" TargetMode="External"/><Relationship Id="rId168" Type="http://schemas.openxmlformats.org/officeDocument/2006/relationships/hyperlink" Target="http://www.sec.gov/Archives/edgar/data/16732/000089322009000515/w73131exv10wxay.htm" TargetMode="External"/><Relationship Id="rId169" Type="http://schemas.openxmlformats.org/officeDocument/2006/relationships/hyperlink" Target="http://www.sec.gov/Archives/edgar/data/16732/000095012311023447/w81833exv10wxay.htm" TargetMode="External"/><Relationship Id="rId170" Type="http://schemas.openxmlformats.org/officeDocument/2006/relationships/hyperlink" Target="http://www.sec.gov/Archives/edgar/data/16732/000089322000001180/w41784ex10-e.txt" TargetMode="External"/><Relationship Id="rId171" Type="http://schemas.openxmlformats.org/officeDocument/2006/relationships/hyperlink" Target="http://www.sec.gov/Archives/edgar/data/16732/000001673217000025/exhibit4c-campbellsoupcomp.htm" TargetMode="External"/><Relationship Id="rId172" Type="http://schemas.openxmlformats.org/officeDocument/2006/relationships/hyperlink" Target="http://www.sec.gov/Archives/edgar/data/16732/000001673217000058/cpb-7302017x10xkxexb10i.htm" TargetMode="External"/><Relationship Id="rId173" Type="http://schemas.openxmlformats.org/officeDocument/2006/relationships/hyperlink" Target="http://www.sec.gov/Archives/edgar/data/16732/000001673217000058/cpb-7302017x10xkxexb10j.htm" TargetMode="External"/><Relationship Id="rId174" Type="http://schemas.openxmlformats.org/officeDocument/2006/relationships/hyperlink" Target="http://www.sec.gov/Archives/edgar/data/16732/000095012311087197/w83891exv10wm.htm" TargetMode="External"/><Relationship Id="rId175" Type="http://schemas.openxmlformats.org/officeDocument/2006/relationships/hyperlink" Target="http://www.sec.gov/Archives/edgar/data/16732/000001673216000146/cpb-7312016x10xkxexb10o.htm" TargetMode="External"/><Relationship Id="rId176" Type="http://schemas.openxmlformats.org/officeDocument/2006/relationships/hyperlink" Target="http://www.sec.gov/Archives/edgar/data/16732/000089322009000515/w73131exv10wxcy.htm" TargetMode="External"/><Relationship Id="rId177" Type="http://schemas.openxmlformats.org/officeDocument/2006/relationships/hyperlink" Target="http://www.sec.gov/Archives/edgar/data/16732/000095012311023447/w81833exv10wxcy.htm" TargetMode="External"/><Relationship Id="rId178" Type="http://schemas.openxmlformats.org/officeDocument/2006/relationships/hyperlink" Target="http://www.sec.gov/Archives/edgar/data/16732/000001673215000059/cpb-1112015xexb10.htm" TargetMode="External"/><Relationship Id="rId179" Type="http://schemas.openxmlformats.org/officeDocument/2006/relationships/hyperlink" Target="http://www.sec.gov/Archives/edgar/data/16732/000001673216000146/cpb-7312046xexb10dd.htm" TargetMode="External"/><Relationship Id="rId180" Type="http://schemas.openxmlformats.org/officeDocument/2006/relationships/hyperlink" Target="http://www.sec.gov/Archives/edgar/data/16732/000001673216000173/cpb-10302016xexbx10b.htm" TargetMode="External"/><Relationship Id="rId181" Type="http://schemas.openxmlformats.org/officeDocument/2006/relationships/hyperlink" Target="http://www.sec.gov/Archives/edgar/data/16732/000001673216000146/cpb-7312016xexb10ff.htm" TargetMode="External"/><Relationship Id="rId182" Type="http://schemas.openxmlformats.org/officeDocument/2006/relationships/hyperlink" Target="http://www.sec.gov/Archives/edgar/data/16732/000001673216000173/cpb-10302016xexbx10c.htm" TargetMode="External"/><Relationship Id="rId183" Type="http://schemas.openxmlformats.org/officeDocument/2006/relationships/hyperlink" Target="http://www.sec.gov/Archives/edgar/data/16732/000001673217000085/f18longtermincentiveprog.htm" TargetMode="External"/><Relationship Id="rId184" Type="http://schemas.openxmlformats.org/officeDocument/2006/relationships/hyperlink" Target="http://www.sec.gov/Archives/edgar/data/16732/000001673218000050/cpb-4292018x10xqxexb10b.htm" TargetMode="External"/><Relationship Id="rId185" Type="http://schemas.openxmlformats.org/officeDocument/2006/relationships/hyperlink" Target="http://www.sec.gov/Archives/edgar/data/16732/000001673218000062/cpb-7292018x10xkxexb10z.htm" TargetMode="External"/><Relationship Id="rId187" Type="http://schemas.openxmlformats.org/officeDocument/2006/relationships/hyperlink" Target="http://www.sec.gov/Archives/edgar/data/16732/000001673218000062/cpb-7292018x10xkxexb10aa.htm" TargetMode="External"/><Relationship Id="rId188" Type="http://schemas.openxmlformats.org/officeDocument/2006/relationships/hyperlink" Target="https://www.sec.gov/Archives/edgar/data/16732/000001673220000018/cpb-exb102x1262020x10xq.htm" TargetMode="External"/><Relationship Id="rId189" Type="http://schemas.openxmlformats.org/officeDocument/2006/relationships/hyperlink" Target="http://www.sec.gov/Archives/edgar/data/16732/000001673216000176/fiveyearcreditagreement.htm" TargetMode="External"/><Relationship Id="rId190" Type="http://schemas.openxmlformats.org/officeDocument/2006/relationships/hyperlink" Target="http://www.sec.gov/Archives/edgar/data/16732/000095015918000521/ex10-1.htm" TargetMode="External"/><Relationship Id="rId191" Type="http://schemas.openxmlformats.org/officeDocument/2006/relationships/hyperlink" Target="https://www.sec.gov/Archives/edgar/data/16732/000001673220000018/cpb-exb101x1262020x10xq.htm" TargetMode="External"/><Relationship Id="rId192" Type="http://schemas.openxmlformats.org/officeDocument/2006/relationships/hyperlink" Target="http://www.sec.gov/Archives/edgar/data/16732/000001673219000024/cpb-10282018x10xqxexb10b.htm" TargetMode="External"/><Relationship Id="rId193" Type="http://schemas.openxmlformats.org/officeDocument/2006/relationships/hyperlink" Target="http://www.sec.gov/Archives/edgar/data/16732/000162828019003777/exhibit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2020-09-24T06:51:49Z</dcterms:created>
  <dcterms:modified xsi:type="dcterms:W3CDTF">2020-09-24T06:51:49Z</dcterms:modified>
</cp:coreProperties>
</file>