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59" w:lineRule="exact"/>
        <w:rPr>
          <w:sz w:val="24"/>
          <w:szCs w:val="24"/>
          <w:color w:val="auto"/>
        </w:rPr>
      </w:pPr>
    </w:p>
    <w:p>
      <w:pPr>
        <w:ind w:left="400"/>
        <w:spacing w:after="0"/>
        <w:tabs>
          <w:tab w:leader="none" w:pos="85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Commission File Number</w:t>
      </w:r>
    </w:p>
    <w:p>
      <w:pPr>
        <w:spacing w:after="0" w:line="27" w:lineRule="exact"/>
        <w:rPr>
          <w:sz w:val="24"/>
          <w:szCs w:val="24"/>
          <w:color w:val="auto"/>
        </w:rPr>
      </w:pPr>
    </w:p>
    <w:p>
      <w:pPr>
        <w:ind w:left="1000"/>
        <w:spacing w:after="0"/>
        <w:tabs>
          <w:tab w:leader="none" w:pos="9320" w:val="left"/>
        </w:tabs>
        <w:rPr>
          <w:sz w:val="20"/>
          <w:szCs w:val="20"/>
          <w:color w:val="auto"/>
        </w:rPr>
      </w:pPr>
      <w:r>
        <w:rPr>
          <w:rFonts w:ascii="Arial" w:cs="Arial" w:eastAsia="Arial" w:hAnsi="Arial"/>
          <w:sz w:val="18"/>
          <w:szCs w:val="18"/>
          <w:b w:val="1"/>
          <w:bCs w:val="1"/>
          <w:color w:val="auto"/>
        </w:rPr>
        <w:t>January 31, 2021</w:t>
      </w:r>
      <w:r>
        <w:rPr>
          <w:sz w:val="20"/>
          <w:szCs w:val="20"/>
          <w:color w:val="auto"/>
        </w:rPr>
        <w:tab/>
      </w:r>
      <w:r>
        <w:rPr>
          <w:rFonts w:ascii="Arial" w:cs="Arial" w:eastAsia="Arial" w:hAnsi="Arial"/>
          <w:sz w:val="16"/>
          <w:szCs w:val="16"/>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CAMPBELL SOUP COMPANY</w:t>
      </w:r>
    </w:p>
    <w:p>
      <w:pPr>
        <w:spacing w:after="0" w:line="65"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6"/>
          <w:szCs w:val="16"/>
          <w:b w:val="1"/>
          <w:bCs w:val="1"/>
          <w:color w:val="auto"/>
        </w:rPr>
        <w:t>21-0419870</w:t>
      </w:r>
    </w:p>
    <w:p>
      <w:pPr>
        <w:spacing w:after="0" w:line="27" w:lineRule="exact"/>
        <w:rPr>
          <w:sz w:val="24"/>
          <w:szCs w:val="24"/>
          <w:color w:val="auto"/>
        </w:rPr>
      </w:pPr>
    </w:p>
    <w:p>
      <w:pPr>
        <w:ind w:left="2080"/>
        <w:spacing w:after="0"/>
        <w:tabs>
          <w:tab w:leader="none" w:pos="712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6"/>
          <w:szCs w:val="16"/>
          <w:i w:val="1"/>
          <w:iCs w:val="1"/>
          <w:color w:val="auto"/>
        </w:rPr>
        <w:t>I.R.S. Employer Identification No.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p>
      <w:pPr>
        <w:ind w:left="1540"/>
        <w:spacing w:after="0"/>
        <w:tabs>
          <w:tab w:leader="none" w:pos="4960" w:val="left"/>
          <w:tab w:leader="none" w:pos="72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27" w:lineRule="exact"/>
        <w:rPr>
          <w:sz w:val="24"/>
          <w:szCs w:val="24"/>
          <w:color w:val="auto"/>
        </w:rPr>
      </w:pPr>
    </w:p>
    <w:p>
      <w:pPr>
        <w:ind w:left="1120"/>
        <w:spacing w:after="0"/>
        <w:tabs>
          <w:tab w:leader="none" w:pos="5420" w:val="left"/>
          <w:tab w:leader="none" w:pos="798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6"/>
          <w:szCs w:val="16"/>
          <w:color w:val="auto"/>
        </w:rPr>
        <w:t>New York Stock Exchange</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5" w:right="339" w:bottom="1440" w:gutter="0" w:footer="0" w:header="0"/>
        </w:sectPr>
      </w:pPr>
    </w:p>
    <w:p>
      <w:pPr>
        <w:spacing w:after="0" w:line="157"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Non-accelerated filer</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53" w:lineRule="exact"/>
        <w:tabs>
          <w:tab w:leader="none" w:pos="1720" w:val="left"/>
          <w:tab w:leader="none" w:pos="4220" w:val="left"/>
        </w:tabs>
        <w:rPr>
          <w:sz w:val="20"/>
          <w:szCs w:val="20"/>
          <w:color w:val="auto"/>
        </w:rPr>
      </w:pPr>
      <w:r>
        <w:rPr>
          <w:rFonts w:ascii="MS PGothic" w:cs="MS PGothic" w:eastAsia="MS PGothic" w:hAnsi="MS PGothic"/>
          <w:sz w:val="36"/>
          <w:szCs w:val="36"/>
          <w:color w:val="auto"/>
          <w:vertAlign w:val="superscript"/>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22"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3440" w:space="720"/>
            <w:col w:w="7080"/>
          </w:cols>
          <w:pgMar w:left="320" w:top="1035" w:right="339" w:bottom="1440" w:gutter="0" w:footer="0" w:header="0"/>
          <w:type w:val="continuous"/>
        </w:sectPr>
      </w:pPr>
    </w:p>
    <w:p>
      <w:pPr>
        <w:spacing w:after="0" w:line="178"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There were 303,009,350 shares of capital stock outstanding as of March 3, 2021.</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7"/>
                <w:szCs w:val="17"/>
                <w:color w:val="auto"/>
              </w:rPr>
            </w:pPr>
          </w:p>
        </w:tc>
      </w:tr>
      <w:tr>
        <w:trPr>
          <w:trHeight w:val="762"/>
        </w:trPr>
        <w:tc>
          <w:tcPr>
            <w:tcW w:w="464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1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ind w:left="10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3">
              <w:r>
                <w:rPr>
                  <w:rFonts w:ascii="Arial" w:cs="Arial" w:eastAsia="Arial" w:hAnsi="Arial"/>
                  <w:sz w:val="18"/>
                  <w:szCs w:val="18"/>
                  <w:u w:val="single" w:color="auto"/>
                  <w:color w:val="0000FF"/>
                  <w:w w:val="92"/>
                </w:rPr>
                <w:t>1.</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260" w:type="dxa"/>
            <w:vAlign w:val="bottom"/>
          </w:tcPr>
          <w:p>
            <w:pPr>
              <w:ind w:left="10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30"/>
        </w:trPr>
        <w:tc>
          <w:tcPr>
            <w:tcW w:w="11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25">
              <w:r>
                <w:rPr>
                  <w:rFonts w:ascii="Arial" w:cs="Arial" w:eastAsia="Arial" w:hAnsi="Arial"/>
                  <w:sz w:val="18"/>
                  <w:szCs w:val="18"/>
                  <w:u w:val="single" w:color="auto"/>
                  <w:color w:val="0000FF"/>
                  <w:w w:val="92"/>
                </w:rPr>
                <w:t>2.</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25">
              <w:r>
                <w:rPr>
                  <w:rFonts w:ascii="Arial" w:cs="Arial" w:eastAsia="Arial" w:hAnsi="Arial"/>
                  <w:sz w:val="18"/>
                  <w:szCs w:val="18"/>
                  <w:u w:val="single" w:color="auto"/>
                  <w:color w:val="0000FF"/>
                  <w:w w:val="79"/>
                </w:rPr>
                <w:t>26</w:t>
              </w:r>
            </w:hyperlink>
          </w:p>
        </w:tc>
      </w:tr>
      <w:tr>
        <w:trPr>
          <w:trHeight w:val="229"/>
        </w:trPr>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37">
              <w:r>
                <w:rPr>
                  <w:rFonts w:ascii="Arial" w:cs="Arial" w:eastAsia="Arial" w:hAnsi="Arial"/>
                  <w:sz w:val="18"/>
                  <w:szCs w:val="18"/>
                  <w:u w:val="single" w:color="auto"/>
                  <w:color w:val="0000FF"/>
                  <w:w w:val="92"/>
                </w:rPr>
                <w:t>3.</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 About Market Risk</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229"/>
        </w:trPr>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37">
              <w:r>
                <w:rPr>
                  <w:rFonts w:ascii="Arial" w:cs="Arial" w:eastAsia="Arial" w:hAnsi="Arial"/>
                  <w:sz w:val="18"/>
                  <w:szCs w:val="18"/>
                  <w:u w:val="single" w:color="auto"/>
                  <w:color w:val="0000FF"/>
                  <w:w w:val="92"/>
                </w:rPr>
                <w:t>4.</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230"/>
        </w:trPr>
        <w:tc>
          <w:tcPr>
            <w:tcW w:w="8840" w:type="dxa"/>
            <w:vAlign w:val="bottom"/>
            <w:gridSpan w:val="5"/>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PART II - OTHER INFORMATION</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229"/>
        </w:trPr>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37">
              <w:r>
                <w:rPr>
                  <w:rFonts w:ascii="Arial" w:cs="Arial" w:eastAsia="Arial" w:hAnsi="Arial"/>
                  <w:sz w:val="18"/>
                  <w:szCs w:val="18"/>
                  <w:u w:val="single" w:color="auto"/>
                  <w:color w:val="0000FF"/>
                  <w:w w:val="92"/>
                </w:rPr>
                <w:t>1.</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Legal Proceedings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230"/>
        </w:trPr>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37">
              <w:r>
                <w:rPr>
                  <w:rFonts w:ascii="Arial" w:cs="Arial" w:eastAsia="Arial" w:hAnsi="Arial"/>
                  <w:sz w:val="18"/>
                  <w:szCs w:val="18"/>
                  <w:u w:val="single" w:color="auto"/>
                  <w:color w:val="0000FF"/>
                  <w:w w:val="92"/>
                </w:rPr>
                <w:t>2.</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229"/>
        </w:trPr>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w:t>
              </w:r>
            </w:hyperlink>
          </w:p>
        </w:tc>
        <w:tc>
          <w:tcPr>
            <w:tcW w:w="180" w:type="dxa"/>
            <w:vAlign w:val="bottom"/>
          </w:tcPr>
          <w:p>
            <w:pPr>
              <w:jc w:val="right"/>
              <w:spacing w:after="0"/>
              <w:rPr>
                <w:rFonts w:ascii="Arial" w:cs="Arial" w:eastAsia="Arial" w:hAnsi="Arial"/>
                <w:sz w:val="18"/>
                <w:szCs w:val="18"/>
                <w:u w:val="single" w:color="auto"/>
                <w:color w:val="0000FF"/>
                <w:w w:val="92"/>
              </w:rPr>
            </w:pPr>
            <w:hyperlink w:anchor="page37">
              <w:r>
                <w:rPr>
                  <w:rFonts w:ascii="Arial" w:cs="Arial" w:eastAsia="Arial" w:hAnsi="Arial"/>
                  <w:sz w:val="18"/>
                  <w:szCs w:val="18"/>
                  <w:u w:val="single" w:color="auto"/>
                  <w:color w:val="0000FF"/>
                  <w:w w:val="92"/>
                </w:rPr>
                <w:t>6.</w:t>
              </w:r>
            </w:hyperlink>
          </w:p>
        </w:tc>
        <w:tc>
          <w:tcPr>
            <w:tcW w:w="7540" w:type="dxa"/>
            <w:vAlign w:val="bottom"/>
            <w:gridSpan w:val="3"/>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Exhibits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229"/>
        </w:trPr>
        <w:tc>
          <w:tcPr>
            <w:tcW w:w="8840" w:type="dxa"/>
            <w:vAlign w:val="bottom"/>
            <w:gridSpan w:val="5"/>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INDEX TO EXHIBITS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38</w:t>
              </w:r>
            </w:hyperlink>
          </w:p>
        </w:tc>
      </w:tr>
      <w:tr>
        <w:trPr>
          <w:trHeight w:val="230"/>
        </w:trPr>
        <w:tc>
          <w:tcPr>
            <w:tcW w:w="1120" w:type="dxa"/>
            <w:vAlign w:val="bottom"/>
          </w:tcPr>
          <w:p>
            <w:pPr>
              <w:jc w:val="right"/>
              <w:spacing w:after="0"/>
              <w:rPr>
                <w:rFonts w:ascii="Arial" w:cs="Arial" w:eastAsia="Arial" w:hAnsi="Arial"/>
                <w:sz w:val="18"/>
                <w:szCs w:val="18"/>
                <w:u w:val="single" w:color="auto"/>
                <w:color w:val="0000FF"/>
                <w:w w:val="92"/>
              </w:rPr>
            </w:pPr>
            <w:hyperlink w:anchor="page38">
              <w:r>
                <w:rPr>
                  <w:rFonts w:ascii="Arial" w:cs="Arial" w:eastAsia="Arial" w:hAnsi="Arial"/>
                  <w:sz w:val="18"/>
                  <w:szCs w:val="18"/>
                  <w:u w:val="single" w:color="auto"/>
                  <w:color w:val="0000FF"/>
                  <w:w w:val="92"/>
                </w:rPr>
                <w:t>SIGNATURES</w:t>
              </w:r>
            </w:hyperlink>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60" w:type="dxa"/>
            <w:vAlign w:val="bottom"/>
          </w:tcPr>
          <w:p>
            <w:pPr>
              <w:ind w:left="108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080" w:right="1440" w:bottom="1440" w:gutter="0" w:footer="0" w:header="0"/>
        </w:sectPr>
      </w:pPr>
    </w:p>
    <w:bookmarkStart w:id="2" w:name="page3"/>
    <w:bookmarkEnd w:id="2"/>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60" w:type="dxa"/>
            <w:vAlign w:val="bottom"/>
            <w:gridSpan w:val="3"/>
          </w:tcPr>
          <w:p>
            <w:pPr>
              <w:ind w:left="260"/>
              <w:spacing w:after="0"/>
              <w:rPr>
                <w:sz w:val="20"/>
                <w:szCs w:val="20"/>
                <w:color w:val="auto"/>
              </w:rPr>
            </w:pPr>
            <w:r>
              <w:rPr>
                <w:rFonts w:ascii="Arial" w:cs="Arial" w:eastAsia="Arial" w:hAnsi="Arial"/>
                <w:sz w:val="14"/>
                <w:szCs w:val="14"/>
                <w:b w:val="1"/>
                <w:bCs w:val="1"/>
                <w:color w:val="auto"/>
                <w:w w:val="97"/>
              </w:rPr>
              <w:t>Six Months Ended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January 31,</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w w:val="95"/>
              </w:rPr>
              <w:t>January 26,</w:t>
            </w:r>
          </w:p>
        </w:tc>
        <w:tc>
          <w:tcPr>
            <w:tcW w:w="120" w:type="dxa"/>
            <w:vAlign w:val="bottom"/>
          </w:tcPr>
          <w:p>
            <w:pPr>
              <w:spacing w:after="0"/>
              <w:rPr>
                <w:sz w:val="11"/>
                <w:szCs w:val="11"/>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January 31, 2021</w:t>
            </w:r>
          </w:p>
        </w:tc>
        <w:tc>
          <w:tcPr>
            <w:tcW w:w="11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4"/>
              </w:rPr>
              <w:t>January 26, 2020</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4,345</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2,865</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Marketing and selling expenses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3,757</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3,678</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earnings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from discontinued operations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1,374</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Net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Per Share — Basic</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from discontinued operations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Weighted average shares outstanding — basic</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7"/>
          <w:szCs w:val="17"/>
          <w:color w:val="auto"/>
        </w:rPr>
        <w:t>Sum of the individual amounts may not add due to rounding</w:t>
      </w:r>
      <w:r>
        <w:rPr>
          <w:rFonts w:ascii="Arial" w:cs="Arial" w:eastAsia="Arial" w:hAnsi="Arial"/>
          <w:sz w:val="14"/>
          <w:szCs w:val="14"/>
          <w:color w:val="auto"/>
        </w:rPr>
        <w: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January 31,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6"/>
              </w:rPr>
              <w:t>January 26, 2020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360"/>
              <w:spacing w:after="0" w:line="130" w:lineRule="exact"/>
              <w:rPr>
                <w:sz w:val="20"/>
                <w:szCs w:val="20"/>
                <w:color w:val="auto"/>
              </w:rPr>
            </w:pPr>
            <w:r>
              <w:rPr>
                <w:rFonts w:ascii="Arial" w:cs="Arial" w:eastAsia="Arial" w:hAnsi="Arial"/>
                <w:sz w:val="14"/>
                <w:szCs w:val="14"/>
                <w:b w:val="1"/>
                <w:bCs w:val="1"/>
                <w:color w:val="auto"/>
                <w:w w:val="90"/>
              </w:rPr>
              <w:t>Tax</w:t>
            </w: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(expense)</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300"/>
              <w:spacing w:after="0" w:line="168" w:lineRule="exact"/>
              <w:rPr>
                <w:sz w:val="20"/>
                <w:szCs w:val="20"/>
                <w:color w:val="auto"/>
              </w:rPr>
            </w:pPr>
            <w:r>
              <w:rPr>
                <w:rFonts w:ascii="Arial" w:cs="Arial" w:eastAsia="Arial" w:hAnsi="Arial"/>
                <w:sz w:val="16"/>
                <w:szCs w:val="16"/>
                <w:color w:val="auto"/>
                <w:w w:val="98"/>
              </w:rPr>
              <w:t>Reclassification of currency translation adjustments realized upon disposal of</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248</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7"/>
              </w:rPr>
              <w:t>Total comprehensive income (loss) attributable to Campbell Soup Company</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January 31,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6"/>
              </w:rPr>
              <w:t>January 26, 2020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360"/>
              <w:spacing w:after="0" w:line="130" w:lineRule="exact"/>
              <w:rPr>
                <w:sz w:val="20"/>
                <w:szCs w:val="20"/>
                <w:color w:val="auto"/>
              </w:rPr>
            </w:pPr>
            <w:r>
              <w:rPr>
                <w:rFonts w:ascii="Arial" w:cs="Arial" w:eastAsia="Arial" w:hAnsi="Arial"/>
                <w:sz w:val="14"/>
                <w:szCs w:val="14"/>
                <w:b w:val="1"/>
                <w:bCs w:val="1"/>
                <w:color w:val="auto"/>
                <w:w w:val="90"/>
              </w:rPr>
              <w:t>Tax</w:t>
            </w: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(expense)</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300"/>
              <w:spacing w:after="0" w:line="168" w:lineRule="exact"/>
              <w:rPr>
                <w:sz w:val="20"/>
                <w:szCs w:val="20"/>
                <w:color w:val="auto"/>
              </w:rPr>
            </w:pPr>
            <w:r>
              <w:rPr>
                <w:rFonts w:ascii="Arial" w:cs="Arial" w:eastAsia="Arial" w:hAnsi="Arial"/>
                <w:sz w:val="16"/>
                <w:szCs w:val="16"/>
                <w:color w:val="auto"/>
                <w:w w:val="98"/>
              </w:rPr>
              <w:t>Reclassification of currency translation adjustments realized upon disposal of</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gains (losses) arising during period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556</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7"/>
              </w:rPr>
              <w:t>Total comprehensive income (loss) attributable to Campbell Soup Company</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jc w:val="right"/>
              <w:ind w:right="251"/>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4"/>
                <w:szCs w:val="14"/>
                <w:color w:val="auto"/>
              </w:rPr>
            </w:pPr>
          </w:p>
        </w:tc>
        <w:tc>
          <w:tcPr>
            <w:tcW w:w="1080" w:type="dxa"/>
            <w:vAlign w:val="bottom"/>
          </w:tcPr>
          <w:p>
            <w:pPr>
              <w:jc w:val="right"/>
              <w:ind w:right="271"/>
              <w:spacing w:after="0"/>
              <w:rPr>
                <w:sz w:val="20"/>
                <w:szCs w:val="20"/>
                <w:color w:val="auto"/>
              </w:rPr>
            </w:pPr>
            <w:r>
              <w:rPr>
                <w:rFonts w:ascii="Arial" w:cs="Arial" w:eastAsia="Arial" w:hAnsi="Arial"/>
                <w:sz w:val="14"/>
                <w:szCs w:val="14"/>
                <w:b w:val="1"/>
                <w:bCs w:val="1"/>
                <w:color w:val="auto"/>
              </w:rPr>
              <w:t>August 2,</w:t>
            </w:r>
          </w:p>
        </w:tc>
      </w:tr>
      <w:tr>
        <w:trPr>
          <w:trHeight w:val="188"/>
        </w:trPr>
        <w:tc>
          <w:tcPr>
            <w:tcW w:w="6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946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69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815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30"/>
        </w:trPr>
        <w:tc>
          <w:tcPr>
            <w:tcW w:w="6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2,535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3,991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3,329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29"/>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48"/>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12,498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Arial" w:cs="Arial" w:eastAsia="Arial" w:hAnsi="Arial"/>
                <w:sz w:val="18"/>
                <w:szCs w:val="18"/>
                <w:b w:val="1"/>
                <w:bCs w:val="1"/>
                <w:color w:val="auto"/>
              </w:rPr>
              <w:t>Current liabilities</w:t>
            </w:r>
          </w:p>
        </w:tc>
        <w:tc>
          <w:tcPr>
            <w:tcW w:w="1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Payable to suppliers and others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1,026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696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115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2,801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4,996</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Deferred taxes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982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794</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9,573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w:t>
            </w: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Capital stock, $0.0375 par value; authorized 560 shares; issued 323 shares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Earnings retained in the business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3,517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6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12,498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w:t>
            </w:r>
          </w:p>
        </w:tc>
      </w:tr>
      <w:tr>
        <w:trPr>
          <w:trHeight w:val="21"/>
        </w:trPr>
        <w:tc>
          <w:tcPr>
            <w:tcW w:w="69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Borders>
              <w:bottom w:val="single" w:sz="8" w:color="auto"/>
            </w:tcBorders>
          </w:tcPr>
          <w:p>
            <w:pPr>
              <w:spacing w:after="0"/>
              <w:rPr>
                <w:sz w:val="16"/>
                <w:szCs w:val="16"/>
                <w:color w:val="auto"/>
              </w:rPr>
            </w:pPr>
          </w:p>
        </w:tc>
      </w:tr>
      <w:tr>
        <w:trPr>
          <w:trHeight w:val="187"/>
        </w:trPr>
        <w:tc>
          <w:tcPr>
            <w:tcW w:w="890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31, 2021</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January 26, 2020</w:t>
            </w:r>
          </w:p>
        </w:tc>
      </w:tr>
      <w:tr>
        <w:trPr>
          <w:trHeight w:val="211"/>
        </w:trPr>
        <w:tc>
          <w:tcPr>
            <w:tcW w:w="8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1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Pension and postretirement benefit income</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sales of businesses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Changes in working capital, net of divestitures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Purchases of plant assets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route businesses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Sales of route businesses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of businesses, net of cash divested</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29"/>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including commercial paper</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Short-term repayments, including commercial paper</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(4,350)</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repayments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issuances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Payments related to tax withholding for stock-based compensation</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 related to extinguishment of debt</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(1,765)</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(3,152)</w:t>
            </w:r>
          </w:p>
        </w:tc>
      </w:tr>
      <w:tr>
        <w:trPr>
          <w:trHeight w:val="223"/>
        </w:trPr>
        <w:tc>
          <w:tcPr>
            <w:tcW w:w="8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discontinued operations — beginning of period</w:t>
            </w:r>
          </w:p>
        </w:tc>
        <w:tc>
          <w:tcPr>
            <w:tcW w:w="3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8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discontinued operations —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right"/>
              <w:ind w:right="468"/>
              <w:spacing w:after="0"/>
              <w:rPr>
                <w:sz w:val="20"/>
                <w:szCs w:val="20"/>
                <w:color w:val="auto"/>
              </w:rPr>
            </w:pPr>
            <w:r>
              <w:rPr>
                <w:rFonts w:ascii="Arial" w:cs="Arial" w:eastAsia="Arial" w:hAnsi="Arial"/>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48"/>
              <w:spacing w:after="0" w:line="149" w:lineRule="exact"/>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restart"/>
          </w:tcPr>
          <w:p>
            <w:pPr>
              <w:jc w:val="right"/>
              <w:ind w:right="109"/>
              <w:spacing w:after="0" w:line="108"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center"/>
              <w:ind w:right="68"/>
              <w:spacing w:after="0" w:line="108" w:lineRule="exact"/>
              <w:rPr>
                <w:sz w:val="20"/>
                <w:szCs w:val="20"/>
                <w:color w:val="auto"/>
              </w:rPr>
            </w:pPr>
            <w:r>
              <w:rPr>
                <w:rFonts w:ascii="Arial" w:cs="Arial" w:eastAsia="Arial" w:hAnsi="Arial"/>
                <w:sz w:val="12"/>
                <w:szCs w:val="12"/>
                <w:b w:val="1"/>
                <w:bCs w:val="1"/>
                <w:color w:val="auto"/>
              </w:rPr>
              <w:t>Retained in</w:t>
            </w:r>
          </w:p>
        </w:tc>
        <w:tc>
          <w:tcPr>
            <w:tcW w:w="1340" w:type="dxa"/>
            <w:vAlign w:val="bottom"/>
            <w:gridSpan w:val="2"/>
            <w:vMerge w:val="restart"/>
          </w:tcPr>
          <w:p>
            <w:pPr>
              <w:ind w:left="100"/>
              <w:spacing w:after="0" w:line="108" w:lineRule="exact"/>
              <w:rPr>
                <w:sz w:val="20"/>
                <w:szCs w:val="20"/>
                <w:color w:val="auto"/>
              </w:rPr>
            </w:pPr>
            <w:r>
              <w:rPr>
                <w:rFonts w:ascii="Arial" w:cs="Arial" w:eastAsia="Arial" w:hAnsi="Arial"/>
                <w:sz w:val="12"/>
                <w:szCs w:val="12"/>
                <w:b w:val="1"/>
                <w:bCs w:val="1"/>
                <w:color w:val="auto"/>
              </w:rPr>
              <w:t>Accumulated Other</w:t>
            </w:r>
          </w:p>
        </w:tc>
        <w:tc>
          <w:tcPr>
            <w:tcW w:w="240" w:type="dxa"/>
            <w:vAlign w:val="bottom"/>
          </w:tcPr>
          <w:p>
            <w:pPr>
              <w:spacing w:after="0"/>
              <w:rPr>
                <w:sz w:val="4"/>
                <w:szCs w:val="4"/>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4"/>
                <w:szCs w:val="4"/>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860" w:type="dxa"/>
            <w:vAlign w:val="bottom"/>
          </w:tcPr>
          <w:p>
            <w:pPr>
              <w:jc w:val="right"/>
              <w:ind w:right="209"/>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11"/>
                <w:szCs w:val="11"/>
                <w:color w:val="auto"/>
              </w:rPr>
            </w:pPr>
          </w:p>
        </w:tc>
        <w:tc>
          <w:tcPr>
            <w:tcW w:w="1160" w:type="dxa"/>
            <w:vAlign w:val="bottom"/>
          </w:tcPr>
          <w:p>
            <w:pPr>
              <w:jc w:val="right"/>
              <w:ind w:right="88"/>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October 27, 2019</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1,208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Divestiture</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Other comprehensive income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(loss)</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($.35 per share)</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Treasury stock issued under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w w:val="97"/>
              </w:rPr>
              <w:t>management incentive and stock</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1"/>
                <w:szCs w:val="11"/>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26,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3,151</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28, 2019</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1,993</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Divestiture</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Other comprehensive income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1"/>
                <w:szCs w:val="1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(loss)</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($.70 per share)</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Treasury stock issued under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w w:val="97"/>
              </w:rPr>
              <w:t>management incentive and stock</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1"/>
                <w:szCs w:val="11"/>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26,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3,151</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1,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3,387</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245</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Other comprehensive income</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Dividends ($.37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(114)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Treasury stock issued under</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0"/>
              </w:rPr>
              <w:t>management incentive and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January 31, 2021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3,517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2,925</w:t>
            </w:r>
          </w:p>
        </w:tc>
        <w:tc>
          <w:tcPr>
            <w:tcW w:w="0" w:type="dxa"/>
            <w:vAlign w:val="bottom"/>
          </w:tcPr>
          <w:p>
            <w:pPr>
              <w:spacing w:after="0"/>
              <w:rPr>
                <w:sz w:val="1"/>
                <w:szCs w:val="1"/>
                <w:color w:val="auto"/>
              </w:rPr>
            </w:pPr>
          </w:p>
        </w:tc>
      </w:tr>
      <w:tr>
        <w:trPr>
          <w:trHeight w:val="22"/>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2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2,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554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554</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Other comprehensive income</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Dividends ($.72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(221)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(221)</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Treasury stock issued under</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0"/>
              </w:rPr>
              <w:t>management incentive and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January 31, 2021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3,517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2,925</w:t>
            </w:r>
          </w:p>
        </w:tc>
        <w:tc>
          <w:tcPr>
            <w:tcW w:w="0" w:type="dxa"/>
            <w:vAlign w:val="bottom"/>
          </w:tcPr>
          <w:p>
            <w:pPr>
              <w:spacing w:after="0"/>
              <w:rPr>
                <w:sz w:val="1"/>
                <w:szCs w:val="1"/>
                <w:color w:val="auto"/>
              </w:rPr>
            </w:pPr>
          </w:p>
        </w:tc>
      </w:tr>
      <w:tr>
        <w:trPr>
          <w:trHeight w:val="22"/>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were the primary beneficiary. Intercompany transactions are eliminated in consolidation. See Note 3 for a discussion of Discontinued Operations.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2, 2020.</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August 1, 2021. There are 52 weeks in 2021. There were 53 weeks in 2020.</w:t>
      </w:r>
    </w:p>
    <w:p>
      <w:pPr>
        <w:spacing w:after="0" w:line="139" w:lineRule="exact"/>
        <w:rPr>
          <w:sz w:val="20"/>
          <w:szCs w:val="20"/>
          <w:color w:val="auto"/>
        </w:rPr>
      </w:pPr>
    </w:p>
    <w:p>
      <w:pPr>
        <w:ind w:left="340" w:right="8260" w:hanging="332"/>
        <w:spacing w:after="0" w:line="398" w:lineRule="auto"/>
        <w:tabs>
          <w:tab w:leader="none" w:pos="19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u w:val="single" w:color="auto"/>
          <w:color w:val="auto"/>
        </w:rPr>
        <w:t>Recently Adopted</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the Financial Accounting Standards Board (FASB) issued guidance that eliminates, adds, and modifies certain disclosure requirements for fair value measurements. The guidance is effective for fiscal years beginning after December 15, 2019, and interim periods within those years. We adopted the new guidance at the beginning of the first quarter of 2021. The adoption did not have a material impact on our consolidated financial statements.</w:t>
      </w:r>
    </w:p>
    <w:p>
      <w:pPr>
        <w:spacing w:after="0" w:line="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adopted the new guidance on a prospective basis at the beginning of the first quarter of 2021. The adoption did not have a material impact on our consolidated financial statements.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ending after December 15, 2020. The guidance is to be applied on a retrospective basis. Early adoption is permitted. We are currently evaluating the impact that the new guidance will have on our disclosures.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We are currently evaluating the impact that the new guidance will have on our consolidated financial statements.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156" w:lineRule="exact"/>
        <w:rPr>
          <w:sz w:val="20"/>
          <w:szCs w:val="20"/>
          <w:color w:val="auto"/>
        </w:rPr>
      </w:pPr>
    </w:p>
    <w:p>
      <w:pPr>
        <w:ind w:right="9420" w:firstLine="8"/>
        <w:spacing w:after="0" w:line="398" w:lineRule="auto"/>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w:t>
      </w:r>
      <w:r>
        <w:rPr>
          <w:rFonts w:ascii="Arial" w:cs="Arial" w:eastAsia="Arial" w:hAnsi="Arial"/>
          <w:sz w:val="16"/>
          <w:szCs w:val="16"/>
          <w:i w:val="1"/>
          <w:iCs w:val="1"/>
          <w:color w:val="auto"/>
        </w:rPr>
        <w:t>Discontinued Operations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completed the sale of our Kelsen business on September 23, 2019, for $322. We also completed the sale of our Arnott’s business and certain other international operations, including the simple meals and shelf-stable beverages businesses in Australia and Asia Pacific (the Arnott's and other international operations), on December 23, 2019, for $2,286. The purchase price was subject to certain post-closing adjustments, which resulted in $4 of additional proceeds in the third quarter of 2020. Beginning in the fourth quarter of 2019, we have reflected the results of operations of the Kelsen business and the Arnott’s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Campbell International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83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January 26, 2020</w:t>
            </w:r>
          </w:p>
        </w:tc>
        <w:tc>
          <w:tcPr>
            <w:tcW w:w="700" w:type="dxa"/>
            <w:vAlign w:val="bottom"/>
            <w:tcBorders>
              <w:bottom w:val="single" w:sz="8" w:color="auto"/>
            </w:tcBorders>
          </w:tcPr>
          <w:p>
            <w:pPr>
              <w:spacing w:after="0"/>
              <w:rPr>
                <w:sz w:val="16"/>
                <w:szCs w:val="16"/>
                <w:color w:val="auto"/>
              </w:rPr>
            </w:pPr>
          </w:p>
        </w:tc>
      </w:tr>
      <w:tr>
        <w:trPr>
          <w:trHeight w:val="24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 from operations</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Taxes on earnings from operations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businesses / costs associated with selling the businesses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on sales of businesses / costs associated with selling the businesses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the terms of the sale of the Arnott's and other international operations, we entered into a long-term licensing arrangement for the exclusive rights to certain Campbell brands in certain non-U.S. markets. We provide certain transition services to support the divested business.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 activity of Campbell International included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99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January 26, 2020</w:t>
            </w:r>
          </w:p>
        </w:tc>
      </w:tr>
      <w:tr>
        <w:trPr>
          <w:trHeight w:val="211"/>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discontinued operating activities: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9900" w:type="dxa"/>
            <w:vAlign w:val="bottom"/>
          </w:tcPr>
          <w:p>
            <w:pPr>
              <w:ind w:left="140"/>
              <w:spacing w:after="0"/>
              <w:rPr>
                <w:sz w:val="20"/>
                <w:szCs w:val="20"/>
                <w:color w:val="auto"/>
              </w:rPr>
            </w:pPr>
            <w:r>
              <w:rPr>
                <w:rFonts w:ascii="Arial" w:cs="Arial" w:eastAsia="Arial" w:hAnsi="Arial"/>
                <w:sz w:val="18"/>
                <w:szCs w:val="18"/>
                <w:color w:val="auto"/>
              </w:rPr>
              <w:t>Net gain on sales of discontinued operations businesses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69"/>
        </w:trPr>
        <w:tc>
          <w:tcPr>
            <w:tcW w:w="9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discontinued investing activities: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99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of discontinued operations businesses, net of cash divested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11, 2019, we completed the sale of our European chips business for £63, or $77. The pre-tax loss recognized in the first quarter of 2020 on the sale was $64, which included the impact of allocated goodwill and foreign currency translation adjustments. For tax purposes, in the first quarter of 2020, the capital loss on the sale was offset by a valuation allowance. In the second quarter of 2020, we recognized a $19 tax benefit in continuing operations as we were able to use the capital loss on this sale to offset a portion of the capital gain from the sale of the Arnott's and other international operations. The European chips business had net sales of $25 for the six-month period ended January 26, 2020. Earnings were not material in the period. The results of the European chips business through the date of sale were reflected in continuing operations within the Snacks reportable segment.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Accumulated Other Comprehensive Income (Loss)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Foreign Currency</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 and</w:t>
            </w:r>
          </w:p>
        </w:tc>
        <w:tc>
          <w:tcPr>
            <w:tcW w:w="120" w:type="dxa"/>
            <w:vAlign w:val="bottom"/>
          </w:tcPr>
          <w:p>
            <w:pPr>
              <w:spacing w:after="0"/>
              <w:rPr>
                <w:sz w:val="14"/>
                <w:szCs w:val="14"/>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Postretirement Benefit</w:t>
            </w:r>
          </w:p>
        </w:tc>
        <w:tc>
          <w:tcPr>
            <w:tcW w:w="12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8"/>
              </w:rPr>
              <w:t>Adjustments</w:t>
            </w:r>
            <w:r>
              <w:rPr>
                <w:rFonts w:ascii="Arial" w:cs="Arial" w:eastAsia="Arial" w:hAnsi="Arial"/>
                <w:sz w:val="18"/>
                <w:szCs w:val="18"/>
                <w:b w:val="1"/>
                <w:bCs w:val="1"/>
                <w:color w:val="auto"/>
                <w:w w:val="88"/>
                <w:vertAlign w:val="superscript"/>
              </w:rPr>
              <w:t>(1)</w:t>
            </w:r>
          </w:p>
        </w:tc>
        <w:tc>
          <w:tcPr>
            <w:tcW w:w="154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Cash Flow Hedges</w:t>
            </w:r>
            <w:r>
              <w:rPr>
                <w:rFonts w:ascii="Arial" w:cs="Arial" w:eastAsia="Arial" w:hAnsi="Arial"/>
                <w:sz w:val="18"/>
                <w:szCs w:val="18"/>
                <w:b w:val="1"/>
                <w:bCs w:val="1"/>
                <w:color w:val="auto"/>
                <w:w w:val="89"/>
                <w:vertAlign w:val="superscript"/>
              </w:rPr>
              <w:t>(2)</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1"/>
              </w:rPr>
              <w:t>Plan Adjustments</w:t>
            </w:r>
            <w:r>
              <w:rPr>
                <w:rFonts w:ascii="Arial" w:cs="Arial" w:eastAsia="Arial" w:hAnsi="Arial"/>
                <w:sz w:val="18"/>
                <w:szCs w:val="18"/>
                <w:b w:val="1"/>
                <w:bCs w:val="1"/>
                <w:color w:val="auto"/>
                <w:w w:val="91"/>
                <w:vertAlign w:val="superscript"/>
              </w:rPr>
              <w:t>(3)</w:t>
            </w:r>
          </w:p>
        </w:tc>
        <w:tc>
          <w:tcPr>
            <w:tcW w:w="120" w:type="dxa"/>
            <w:vAlign w:val="bottom"/>
          </w:tcPr>
          <w:p>
            <w:pPr>
              <w:spacing w:after="0"/>
              <w:rPr>
                <w:sz w:val="16"/>
                <w:szCs w:val="16"/>
                <w:color w:val="auto"/>
              </w:rPr>
            </w:pPr>
          </w:p>
        </w:tc>
        <w:tc>
          <w:tcPr>
            <w:tcW w:w="132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28,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Amounts reclassified from accumulated other comprehensive</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income (loss)</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26,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2,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b w:val="1"/>
                <w:bCs w:val="1"/>
                <w:color w:val="auto"/>
                <w:w w:val="94"/>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b w:val="1"/>
                <w:bCs w:val="1"/>
                <w:color w:val="auto"/>
                <w:w w:val="91"/>
              </w:rPr>
              <w:t>Amounts reclassified from accumulated other comprehensive</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(loss)</w:t>
            </w: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line="187" w:lineRule="auto"/>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Included no tax as of January 31, 2021, August 2, 2020, and January 26, 2020 and tax expense of $4 as of July 28, 2019.</w:t>
      </w:r>
    </w:p>
    <w:p>
      <w:pPr>
        <w:ind w:left="320" w:hanging="312"/>
        <w:spacing w:after="0" w:line="183" w:lineRule="auto"/>
        <w:tabs>
          <w:tab w:leader="none" w:pos="32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Included a tax benefit of $2 as of January 31, 2021, $1 as of August 2, 2020, and January 26, 2020, and $2 as of July 28, 2019.</w:t>
      </w:r>
    </w:p>
    <w:p>
      <w:pPr>
        <w:ind w:left="320" w:hanging="312"/>
        <w:spacing w:after="0" w:line="185" w:lineRule="auto"/>
        <w:tabs>
          <w:tab w:leader="none" w:pos="32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Included tax expense of $2 as of January 31, 2021, and as of August 2, 2020, $5 as of January 26, 2020, and $8 as of July 28, 2019.</w:t>
      </w:r>
    </w:p>
    <w:p>
      <w:pPr>
        <w:ind w:left="340" w:right="4200" w:hanging="332"/>
        <w:spacing w:after="0" w:line="270"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Reflects amounts reclassified from sale of businesses. See Note 3 for additional information. Amounts related to noncontrolling interests were not material.</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760" w:type="dxa"/>
            <w:vAlign w:val="bottom"/>
            <w:gridSpan w:val="2"/>
          </w:tcPr>
          <w:p>
            <w:pPr>
              <w:ind w:left="60"/>
              <w:spacing w:after="0" w:line="122" w:lineRule="exact"/>
              <w:rPr>
                <w:sz w:val="20"/>
                <w:szCs w:val="20"/>
                <w:color w:val="auto"/>
              </w:rPr>
            </w:pPr>
            <w:r>
              <w:rPr>
                <w:rFonts w:ascii="Arial" w:cs="Arial" w:eastAsia="Arial" w:hAnsi="Arial"/>
                <w:sz w:val="14"/>
                <w:szCs w:val="14"/>
                <w:b w:val="1"/>
                <w:bCs w:val="1"/>
                <w:color w:val="auto"/>
                <w:w w:val="96"/>
              </w:rPr>
              <w:t>Details about Accumulated Other Comprehensive Income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31, 2021</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26, 2020</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January 31, 2021</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tcPr>
          <w:p>
            <w:pPr>
              <w:spacing w:after="0"/>
              <w:rPr>
                <w:sz w:val="10"/>
                <w:szCs w:val="10"/>
                <w:color w:val="auto"/>
              </w:rPr>
            </w:pPr>
          </w:p>
        </w:tc>
        <w:tc>
          <w:tcPr>
            <w:tcW w:w="2640" w:type="dxa"/>
            <w:vAlign w:val="bottom"/>
          </w:tcPr>
          <w:p>
            <w:pPr>
              <w:ind w:left="140"/>
              <w:spacing w:after="0" w:line="122" w:lineRule="exact"/>
              <w:rPr>
                <w:sz w:val="20"/>
                <w:szCs w:val="20"/>
                <w:color w:val="auto"/>
              </w:rPr>
            </w:pPr>
            <w:r>
              <w:rPr>
                <w:rFonts w:ascii="Arial" w:cs="Arial" w:eastAsia="Arial" w:hAnsi="Arial"/>
                <w:sz w:val="14"/>
                <w:szCs w:val="14"/>
                <w:b w:val="1"/>
                <w:bCs w:val="1"/>
                <w:color w:val="auto"/>
                <w:w w:val="97"/>
              </w:rPr>
              <w:t>Location of (Gain) Loss Recognized in</w:t>
            </w:r>
          </w:p>
        </w:tc>
        <w:tc>
          <w:tcPr>
            <w:tcW w:w="0" w:type="dxa"/>
            <w:vAlign w:val="bottom"/>
          </w:tcPr>
          <w:p>
            <w:pPr>
              <w:spacing w:after="0"/>
              <w:rPr>
                <w:sz w:val="1"/>
                <w:szCs w:val="1"/>
                <w:color w:val="auto"/>
              </w:rPr>
            </w:pPr>
          </w:p>
        </w:tc>
      </w:tr>
      <w:tr>
        <w:trPr>
          <w:trHeight w:val="188"/>
        </w:trPr>
        <w:tc>
          <w:tcPr>
            <w:tcW w:w="3760" w:type="dxa"/>
            <w:vAlign w:val="bottom"/>
            <w:gridSpan w:val="2"/>
          </w:tcPr>
          <w:p>
            <w:pPr>
              <w:ind w:left="1240"/>
              <w:spacing w:after="0"/>
              <w:rPr>
                <w:sz w:val="20"/>
                <w:szCs w:val="20"/>
                <w:color w:val="auto"/>
              </w:rPr>
            </w:pPr>
            <w:r>
              <w:rPr>
                <w:rFonts w:ascii="Arial" w:cs="Arial" w:eastAsia="Arial" w:hAnsi="Arial"/>
                <w:sz w:val="14"/>
                <w:szCs w:val="14"/>
                <w:b w:val="1"/>
                <w:bCs w:val="1"/>
                <w:color w:val="auto"/>
              </w:rPr>
              <w:t>(Loss) Components</w:t>
            </w:r>
          </w:p>
        </w:tc>
        <w:tc>
          <w:tcPr>
            <w:tcW w:w="120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ind w:left="10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Currency translation (gains) losses realized</w:t>
            </w:r>
          </w:p>
        </w:tc>
        <w:tc>
          <w:tcPr>
            <w:tcW w:w="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640" w:type="dxa"/>
            <w:vAlign w:val="bottom"/>
            <w:vMerge w:val="restart"/>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30"/>
        </w:trPr>
        <w:tc>
          <w:tcPr>
            <w:tcW w:w="3760" w:type="dxa"/>
            <w:vAlign w:val="bottom"/>
            <w:gridSpan w:val="2"/>
          </w:tcPr>
          <w:p>
            <w:pPr>
              <w:ind w:left="140"/>
              <w:spacing w:after="0"/>
              <w:rPr>
                <w:sz w:val="20"/>
                <w:szCs w:val="20"/>
                <w:color w:val="auto"/>
              </w:rPr>
            </w:pPr>
            <w:r>
              <w:rPr>
                <w:rFonts w:ascii="Arial" w:cs="Arial" w:eastAsia="Arial" w:hAnsi="Arial"/>
                <w:sz w:val="18"/>
                <w:szCs w:val="18"/>
                <w:color w:val="auto"/>
              </w:rPr>
              <w:t>upon disposal of businesses</w:t>
            </w:r>
          </w:p>
        </w:tc>
        <w:tc>
          <w:tcPr>
            <w:tcW w:w="3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Currency translation (gains) losses realized</w:t>
            </w:r>
          </w:p>
        </w:tc>
        <w:tc>
          <w:tcPr>
            <w:tcW w:w="3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5"/>
                <w:szCs w:val="15"/>
                <w:color w:val="auto"/>
              </w:rPr>
            </w:pPr>
          </w:p>
        </w:tc>
        <w:tc>
          <w:tcPr>
            <w:tcW w:w="2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Earnings (loss) from discontinued</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upon disposal of businesses</w:t>
            </w:r>
          </w:p>
        </w:tc>
        <w:tc>
          <w:tcPr>
            <w:tcW w:w="3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376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(Gains) losses on cash flow hedges: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176"/>
        </w:trPr>
        <w:tc>
          <w:tcPr>
            <w:tcW w:w="37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Foreign exchange forward contracts</w:t>
            </w:r>
          </w:p>
        </w:tc>
        <w:tc>
          <w:tcPr>
            <w:tcW w:w="30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5"/>
                <w:szCs w:val="15"/>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640" w:type="dxa"/>
            <w:vAlign w:val="bottom"/>
          </w:tcPr>
          <w:p>
            <w:pPr>
              <w:ind w:left="20"/>
              <w:spacing w:after="0" w:line="176" w:lineRule="exact"/>
              <w:rPr>
                <w:sz w:val="20"/>
                <w:szCs w:val="20"/>
                <w:color w:val="auto"/>
              </w:rPr>
            </w:pPr>
            <w:r>
              <w:rPr>
                <w:rFonts w:ascii="Arial" w:cs="Arial" w:eastAsia="Arial" w:hAnsi="Arial"/>
                <w:sz w:val="18"/>
                <w:szCs w:val="18"/>
                <w:color w:val="auto"/>
                <w:w w:val="97"/>
              </w:rPr>
              <w:t>Earnings (loss) from discontinued</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76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w w:val="96"/>
              </w:rPr>
              <w:t>Pension and postretirement benefit adjustments: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30"/>
        </w:trPr>
        <w:tc>
          <w:tcPr>
            <w:tcW w:w="3760" w:type="dxa"/>
            <w:vAlign w:val="bottom"/>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(Gain) loss, net of tax</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8660" w:firstLine="8"/>
        <w:spacing w:after="0" w:line="35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22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at August 2, 2020</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color w:val="auto"/>
              </w:rPr>
              <w:t>Foreign currency translation adjustment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48"/>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balance at January 31, 2021</w:t>
            </w:r>
          </w:p>
        </w:tc>
        <w:tc>
          <w:tcPr>
            <w:tcW w:w="54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table summarizes balance sheet information for intangible assets, excluding goodwill, subject to amortization and intangible assets not subject to amortization:</w:t>
      </w: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January 31, 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August 2, 2020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Intangible Assets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0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Amortization</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9"/>
              </w:rPr>
              <w:t>851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Trademarks</w:t>
            </w: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Non-amortizable intangible assets consist of trademarks. As of January 31, 2021, trademarks primarily included $1,978 associated with Snyder's-Lance. Of the carrying values of all indefinite-lived trademarks, $620 related to the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trademark, $292 related to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and $280 related to the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trademark.</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 assets in Earnings from continuing operations was $21 and $22 for the six-month periods ended January 31, 2021, and January 26, 2020, respectively. As of January 31, 2021, amortizable intangible assets had a weighted-average remaining useful life of 18 years. Amortization expense for the next 5 years is estimated to be approximately $42 per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Information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reportable segments are as follows:</w:t>
      </w:r>
    </w:p>
    <w:p>
      <w:pPr>
        <w:spacing w:after="0" w:line="90" w:lineRule="exact"/>
        <w:rPr>
          <w:sz w:val="20"/>
          <w:szCs w:val="20"/>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and non-dairy beverages;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baby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w:t>
      </w:r>
    </w:p>
    <w:p>
      <w:pPr>
        <w:spacing w:after="0" w:line="6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Snacks, which consists of Pepperidge Farm cookies, crackers, fresh bakery and frozen products in U.S. retail, including </w:t>
      </w:r>
      <w:r>
        <w:rPr>
          <w:rFonts w:ascii="Arial" w:cs="Arial" w:eastAsia="Arial" w:hAnsi="Arial"/>
          <w:sz w:val="17"/>
          <w:szCs w:val="17"/>
          <w:i w:val="1"/>
          <w:iCs w:val="1"/>
          <w:color w:val="auto"/>
        </w:rPr>
        <w:t>Pepperidge Farm</w:t>
      </w:r>
      <w:r>
        <w:rPr>
          <w:rFonts w:ascii="Arial" w:cs="Arial" w:eastAsia="Arial" w:hAnsi="Arial"/>
          <w:sz w:val="17"/>
          <w:szCs w:val="17"/>
          <w:color w:val="auto"/>
        </w:rPr>
        <w:t xml:space="preserve"> Farmhouse</w:t>
      </w:r>
      <w:r>
        <w:rPr>
          <w:rFonts w:ascii="Arial" w:cs="Arial" w:eastAsia="Arial" w:hAnsi="Arial"/>
          <w:sz w:val="17"/>
          <w:szCs w:val="17"/>
          <w:i w:val="1"/>
          <w:iCs w:val="1"/>
          <w:color w:val="auto"/>
        </w:rPr>
        <w:t>*</w:t>
      </w:r>
      <w:r>
        <w:rPr>
          <w:rFonts w:ascii="Arial" w:cs="Arial" w:eastAsia="Arial" w:hAnsi="Arial"/>
          <w:sz w:val="17"/>
          <w:szCs w:val="17"/>
          <w:color w:val="auto"/>
        </w:rPr>
        <w:t xml:space="preserve"> cookies and bakery products, </w:t>
      </w:r>
      <w:r>
        <w:rPr>
          <w:rFonts w:ascii="Arial" w:cs="Arial" w:eastAsia="Arial" w:hAnsi="Arial"/>
          <w:sz w:val="17"/>
          <w:szCs w:val="17"/>
          <w:i w:val="1"/>
          <w:iCs w:val="1"/>
          <w:color w:val="auto"/>
        </w:rPr>
        <w:t>Milano*</w:t>
      </w:r>
      <w:r>
        <w:rPr>
          <w:rFonts w:ascii="Arial" w:cs="Arial" w:eastAsia="Arial" w:hAnsi="Arial"/>
          <w:sz w:val="17"/>
          <w:szCs w:val="17"/>
          <w:color w:val="auto"/>
        </w:rPr>
        <w:t xml:space="preserve"> cookies and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pretzels, </w:t>
      </w:r>
      <w:r>
        <w:rPr>
          <w:rFonts w:ascii="Arial" w:cs="Arial" w:eastAsia="Arial" w:hAnsi="Arial"/>
          <w:sz w:val="17"/>
          <w:szCs w:val="17"/>
          <w:i w:val="1"/>
          <w:iCs w:val="1"/>
          <w:color w:val="auto"/>
        </w:rPr>
        <w:t>Lance*</w:t>
      </w:r>
      <w:r>
        <w:rPr>
          <w:rFonts w:ascii="Arial" w:cs="Arial" w:eastAsia="Arial" w:hAnsi="Arial"/>
          <w:sz w:val="17"/>
          <w:szCs w:val="17"/>
          <w:color w:val="auto"/>
        </w:rPr>
        <w:t xml:space="preserve"> sandwich crackers,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and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potato chips, </w:t>
      </w:r>
      <w:r>
        <w:rPr>
          <w:rFonts w:ascii="Arial" w:cs="Arial" w:eastAsia="Arial" w:hAnsi="Arial"/>
          <w:sz w:val="17"/>
          <w:szCs w:val="17"/>
          <w:i w:val="1"/>
          <w:iCs w:val="1"/>
          <w:color w:val="auto"/>
        </w:rPr>
        <w:t>Late July*</w:t>
      </w:r>
      <w:r>
        <w:rPr>
          <w:rFonts w:ascii="Arial" w:cs="Arial" w:eastAsia="Arial" w:hAnsi="Arial"/>
          <w:sz w:val="17"/>
          <w:szCs w:val="17"/>
          <w:color w:val="auto"/>
        </w:rPr>
        <w:t xml:space="preserve"> snacks, </w:t>
      </w:r>
      <w:r>
        <w:rPr>
          <w:rFonts w:ascii="Arial" w:cs="Arial" w:eastAsia="Arial" w:hAnsi="Arial"/>
          <w:sz w:val="17"/>
          <w:szCs w:val="17"/>
          <w:i w:val="1"/>
          <w:iCs w:val="1"/>
          <w:color w:val="auto"/>
        </w:rPr>
        <w:t>Snack Factory Pretzel Crisps,* Pop Secret</w:t>
      </w:r>
      <w:r>
        <w:rPr>
          <w:rFonts w:ascii="Arial" w:cs="Arial" w:eastAsia="Arial" w:hAnsi="Arial"/>
          <w:sz w:val="17"/>
          <w:szCs w:val="17"/>
          <w:color w:val="auto"/>
        </w:rPr>
        <w:t xml:space="preserve"> popcorn, </w:t>
      </w:r>
      <w:r>
        <w:rPr>
          <w:rFonts w:ascii="Arial" w:cs="Arial" w:eastAsia="Arial" w:hAnsi="Arial"/>
          <w:sz w:val="17"/>
          <w:szCs w:val="17"/>
          <w:i w:val="1"/>
          <w:iCs w:val="1"/>
          <w:color w:val="auto"/>
        </w:rPr>
        <w:t>Emerald</w:t>
      </w:r>
      <w:r>
        <w:rPr>
          <w:rFonts w:ascii="Arial" w:cs="Arial" w:eastAsia="Arial" w:hAnsi="Arial"/>
          <w:sz w:val="17"/>
          <w:szCs w:val="17"/>
          <w:color w:val="auto"/>
        </w:rPr>
        <w:t xml:space="preserve"> nuts, and other snacking products in the U.S. and Canada. The segment includes the retail business in Latin America. The segment also included the results of our European chips business, which was sold on October 11, 2019. We refer to the * trademarks as our "power brands."</w:t>
      </w:r>
    </w:p>
    <w:p>
      <w:pPr>
        <w:spacing w:after="0" w:line="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and impairment charges. Unrealized gains and losses on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6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4"/>
                <w:szCs w:val="14"/>
                <w:b w:val="1"/>
                <w:bCs w:val="1"/>
                <w:color w:val="auto"/>
              </w:rPr>
              <w:t>January 26,</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January 26,</w:t>
            </w:r>
          </w:p>
        </w:tc>
      </w:tr>
      <w:tr>
        <w:trPr>
          <w:trHeight w:val="188"/>
        </w:trPr>
        <w:tc>
          <w:tcPr>
            <w:tcW w:w="5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2,418</w:t>
            </w:r>
          </w:p>
        </w:tc>
      </w:tr>
      <w:tr>
        <w:trPr>
          <w:trHeight w:val="23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95"/>
              <w:spacing w:after="0" w:line="135" w:lineRule="exact"/>
              <w:rPr>
                <w:sz w:val="20"/>
                <w:szCs w:val="20"/>
                <w:color w:val="auto"/>
              </w:rPr>
            </w:pPr>
            <w:r>
              <w:rPr>
                <w:rFonts w:ascii="Arial" w:cs="Arial" w:eastAsia="Arial" w:hAnsi="Arial"/>
                <w:sz w:val="14"/>
                <w:szCs w:val="14"/>
                <w:b w:val="1"/>
                <w:bCs w:val="1"/>
                <w:color w:val="auto"/>
              </w:rPr>
              <w:t>January 26,</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73"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Represents unallocated items. Pension benefit settlement adjustments are included in Corporate. There were settlement gains of $30 and $34 in the three- and six-month periods ended January 31, 2021, and $11 in the three- and six-month periods ended January 26, 2020. A loss of $64 on the sale of our European chips business was included in the six-month period ended January 26, 2020. Costs related to the cost savings initiatives were $4 and $18 in the three-month periods and $9 and $26 in the six-month periods ended January 31, 2021, and January 26, 2020, respectively.</w:t>
      </w: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See Note 7 for additional information.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sales based on product categories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January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January 26,</w:t>
            </w:r>
          </w:p>
        </w:tc>
      </w:tr>
      <w:tr>
        <w:trPr>
          <w:trHeight w:val="188"/>
        </w:trPr>
        <w:tc>
          <w:tcPr>
            <w:tcW w:w="5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1"/>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Soup</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Other simple meals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Beverages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Soup includes various soup, broths and stock products. Snacks include cookies, pretzels, crackers, popcorn, nuts, potato chips, tortilla chips and other salty snacks and baked products. Other simple meals include sauces and Plum products. Beverages include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non-dairy beverages.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 and Cost Savings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Inc.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(gains) recorded in Earnings from continuing operations related to these initiatives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31, 2021</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31, 2021</w:t>
            </w:r>
          </w:p>
        </w:tc>
        <w:tc>
          <w:tcPr>
            <w:tcW w:w="10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Recognized as of January</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40" w:type="dxa"/>
            <w:vAlign w:val="bottom"/>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473"/>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577"/>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A summary of the pre-tax costs in Earnings from discontinued operations associated with these initiatives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197"/>
              <w:spacing w:after="0"/>
              <w:rPr>
                <w:sz w:val="20"/>
                <w:szCs w:val="20"/>
                <w:color w:val="auto"/>
              </w:rPr>
            </w:pPr>
            <w:r>
              <w:rPr>
                <w:rFonts w:ascii="Arial" w:cs="Arial" w:eastAsia="Arial" w:hAnsi="Arial"/>
                <w:sz w:val="14"/>
                <w:szCs w:val="14"/>
                <w:b w:val="1"/>
                <w:bCs w:val="1"/>
                <w:color w:val="auto"/>
                <w:w w:val="93"/>
              </w:rPr>
              <w:t>Recognized as of</w:t>
            </w:r>
          </w:p>
        </w:tc>
      </w:tr>
      <w:tr>
        <w:trPr>
          <w:trHeight w:val="188"/>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January 31, 2021</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196"/>
              <w:spacing w:after="0"/>
              <w:rPr>
                <w:sz w:val="20"/>
                <w:szCs w:val="20"/>
                <w:color w:val="auto"/>
              </w:rPr>
            </w:pPr>
            <w:r>
              <w:rPr>
                <w:rFonts w:ascii="Arial" w:cs="Arial" w:eastAsia="Arial" w:hAnsi="Arial"/>
                <w:sz w:val="14"/>
                <w:szCs w:val="14"/>
                <w:b w:val="1"/>
                <w:bCs w:val="1"/>
                <w:color w:val="auto"/>
                <w:w w:val="93"/>
              </w:rPr>
              <w:t>Recognized as of</w:t>
            </w:r>
          </w:p>
        </w:tc>
      </w:tr>
      <w:tr>
        <w:trPr>
          <w:trHeight w:val="188"/>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January 31, 2021</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1"/>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$695 to $725 and we expect to incur the costs through 2022. This estimate will be updated as costs for the expanded initiatives are developed.</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$220 to $225 in severance pay and benefits; approximately $85 in asset impairment and accelerated depreciation; and approximately $390 to $415 in implementation costs and other related costs. We expect these pre-tax costs to be associated with our segments as follows: Meals &amp; Beverages - approximately 32%; Snacks - approximately 44%; and Corporate - approximately 24%.</w:t>
      </w:r>
    </w:p>
    <w:p>
      <w:pPr>
        <w:spacing w:after="0" w:line="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Of the aggregate $695 to $725 of pre-tax costs associated with continuing operations identified to date, we expect approximately $595 to $625 will be cash expenditures. In addition, we expect to invest approximately $455 in capital expenditures through 2022, of which we invested $367 as of January 31, 2021. The capital expenditures primarily relate to a U.S. warehouse optimization project, improvement of quality, safety and cost structure across the Snyder’s-Lance manufacturing network, implementation of an SAP enterprise-resource planning system for Snyder's-Lance,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January 31,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Implementation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Other Non-</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Severance Pay</w:t>
            </w: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Costs and Other</w:t>
            </w:r>
          </w:p>
        </w:tc>
        <w:tc>
          <w:tcPr>
            <w:tcW w:w="166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Related</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Impairment/Accelerated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Cash Exit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Charges</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and Benefits</w:t>
            </w:r>
          </w:p>
        </w:tc>
        <w:tc>
          <w:tcPr>
            <w:tcW w:w="12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(3)</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00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(4)</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Accrued balance at August 2, 2020</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b w:val="1"/>
                <w:bCs w:val="1"/>
                <w:color w:val="auto"/>
              </w:rPr>
              <w:t>2021 charges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2021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Accrued balance at January 31, 2021</w:t>
            </w:r>
            <w:r>
              <w:rPr>
                <w:rFonts w:ascii="Arial" w:cs="Arial" w:eastAsia="Arial" w:hAnsi="Arial"/>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3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$3 of severance pay and benefits recorded in Other liabilities in the Consolidated Balance Sheet.</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$4 of severance pay and benefits recorded in Other liabilities in the Consolidated Balance Sheet.</w:t>
      </w:r>
    </w:p>
    <w:p>
      <w:pPr>
        <w:spacing w:after="0" w:line="2"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ind w:left="320" w:hanging="312"/>
        <w:spacing w:after="0" w:line="196"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jc w:val="both"/>
        <w:ind w:firstLine="324"/>
        <w:spacing w:after="0" w:line="30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January 31, 2021</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Six Months</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Costs Incurred to Date</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the second quarter of 2021, we recorded a $19 deferred tax charge in connection with a legal entity reorganization as part of the continued integration of Snyder's-Lance.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six-month periods ended January 31, 2021, and January 26, 2020, excludes approximately 1 million stock options that would have been antidilutive.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76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6"/>
                <w:szCs w:val="16"/>
                <w:color w:val="auto"/>
              </w:rPr>
            </w:pPr>
          </w:p>
        </w:tc>
        <w:tc>
          <w:tcPr>
            <w:tcW w:w="214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40"/>
              <w:spacing w:after="0" w:line="130" w:lineRule="exact"/>
              <w:rPr>
                <w:sz w:val="20"/>
                <w:szCs w:val="20"/>
                <w:color w:val="auto"/>
              </w:rPr>
            </w:pPr>
            <w:r>
              <w:rPr>
                <w:rFonts w:ascii="Arial" w:cs="Arial" w:eastAsia="Arial" w:hAnsi="Arial"/>
                <w:sz w:val="14"/>
                <w:szCs w:val="14"/>
                <w:b w:val="1"/>
                <w:bCs w:val="1"/>
                <w:color w:val="auto"/>
              </w:rPr>
              <w:t>January 31,</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96"/>
              <w:spacing w:after="0" w:line="130" w:lineRule="exact"/>
              <w:rPr>
                <w:sz w:val="20"/>
                <w:szCs w:val="20"/>
                <w:color w:val="auto"/>
              </w:rPr>
            </w:pPr>
            <w:r>
              <w:rPr>
                <w:rFonts w:ascii="Arial" w:cs="Arial" w:eastAsia="Arial" w:hAnsi="Arial"/>
                <w:sz w:val="14"/>
                <w:szCs w:val="14"/>
                <w:b w:val="1"/>
                <w:bCs w:val="1"/>
                <w:color w:val="auto"/>
                <w:w w:val="90"/>
              </w:rPr>
              <w:t>January 26,</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rPr>
              <w:t>January 31,</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75"/>
              <w:spacing w:after="0" w:line="130" w:lineRule="exact"/>
              <w:rPr>
                <w:sz w:val="20"/>
                <w:szCs w:val="20"/>
                <w:color w:val="auto"/>
              </w:rPr>
            </w:pPr>
            <w:r>
              <w:rPr>
                <w:rFonts w:ascii="Arial" w:cs="Arial" w:eastAsia="Arial" w:hAnsi="Arial"/>
                <w:sz w:val="14"/>
                <w:szCs w:val="14"/>
                <w:b w:val="1"/>
                <w:bCs w:val="1"/>
                <w:color w:val="auto"/>
                <w:w w:val="95"/>
              </w:rPr>
              <w:t>January 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40"/>
              <w:spacing w:after="0" w:line="130" w:lineRule="exact"/>
              <w:rPr>
                <w:sz w:val="20"/>
                <w:szCs w:val="20"/>
                <w:color w:val="auto"/>
              </w:rPr>
            </w:pPr>
            <w:r>
              <w:rPr>
                <w:rFonts w:ascii="Arial" w:cs="Arial" w:eastAsia="Arial" w:hAnsi="Arial"/>
                <w:sz w:val="14"/>
                <w:szCs w:val="14"/>
                <w:b w:val="1"/>
                <w:bCs w:val="1"/>
                <w:color w:val="auto"/>
              </w:rPr>
              <w:t>January 31,</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6"/>
              <w:spacing w:after="0" w:line="130" w:lineRule="exact"/>
              <w:rPr>
                <w:sz w:val="20"/>
                <w:szCs w:val="20"/>
                <w:color w:val="auto"/>
              </w:rPr>
            </w:pPr>
            <w:r>
              <w:rPr>
                <w:rFonts w:ascii="Arial" w:cs="Arial" w:eastAsia="Arial" w:hAnsi="Arial"/>
                <w:sz w:val="14"/>
                <w:szCs w:val="14"/>
                <w:b w:val="1"/>
                <w:bCs w:val="1"/>
                <w:color w:val="auto"/>
                <w:w w:val="93"/>
              </w:rPr>
              <w:t>January 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40"/>
              <w:spacing w:after="0" w:line="130" w:lineRule="exact"/>
              <w:rPr>
                <w:sz w:val="20"/>
                <w:szCs w:val="20"/>
                <w:color w:val="auto"/>
              </w:rPr>
            </w:pPr>
            <w:r>
              <w:rPr>
                <w:rFonts w:ascii="Arial" w:cs="Arial" w:eastAsia="Arial" w:hAnsi="Arial"/>
                <w:sz w:val="14"/>
                <w:szCs w:val="14"/>
                <w:b w:val="1"/>
                <w:bCs w:val="1"/>
                <w:color w:val="auto"/>
              </w:rPr>
              <w:t>January 31,</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95"/>
              <w:spacing w:after="0" w:line="130" w:lineRule="exact"/>
              <w:rPr>
                <w:sz w:val="20"/>
                <w:szCs w:val="20"/>
                <w:color w:val="auto"/>
              </w:rPr>
            </w:pPr>
            <w:r>
              <w:rPr>
                <w:rFonts w:ascii="Arial" w:cs="Arial" w:eastAsia="Arial" w:hAnsi="Arial"/>
                <w:sz w:val="14"/>
                <w:szCs w:val="14"/>
                <w:b w:val="1"/>
                <w:bCs w:val="1"/>
                <w:color w:val="auto"/>
                <w:w w:val="95"/>
              </w:rPr>
              <w:t>January 26,</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left="556"/>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Expected return on</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516"/>
              <w:spacing w:after="0"/>
              <w:rPr>
                <w:sz w:val="20"/>
                <w:szCs w:val="20"/>
                <w:color w:val="auto"/>
              </w:rPr>
            </w:pPr>
            <w:r>
              <w:rPr>
                <w:rFonts w:ascii="Arial" w:cs="Arial" w:eastAsia="Arial" w:hAnsi="Arial"/>
                <w:sz w:val="18"/>
                <w:szCs w:val="18"/>
                <w:color w:val="auto"/>
                <w:w w:val="93"/>
              </w:rPr>
              <w:t>(69)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assets</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prior</w:t>
            </w:r>
          </w:p>
        </w:tc>
        <w:tc>
          <w:tcPr>
            <w:tcW w:w="14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center"/>
              <w:ind w:left="45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gains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center"/>
              <w:ind w:left="516"/>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1760" w:type="dxa"/>
            <w:vAlign w:val="bottom"/>
          </w:tcPr>
          <w:p>
            <w:pPr>
              <w:ind w:left="20"/>
              <w:spacing w:after="0" w:line="202" w:lineRule="exact"/>
              <w:rPr>
                <w:sz w:val="20"/>
                <w:szCs w:val="20"/>
                <w:color w:val="auto"/>
              </w:rPr>
            </w:pPr>
            <w:r>
              <w:rPr>
                <w:rFonts w:ascii="Arial" w:cs="Arial" w:eastAsia="Arial" w:hAnsi="Arial"/>
                <w:sz w:val="18"/>
                <w:szCs w:val="18"/>
                <w:color w:val="auto"/>
              </w:rPr>
              <w:t>expense (income)</w:t>
            </w:r>
          </w:p>
        </w:tc>
        <w:tc>
          <w:tcPr>
            <w:tcW w:w="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settlement gains resulted from the level of lump sum distributions associated with U.S. and Canadian pension plans.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periodic pension benefit expense (income) associated with discontinued operations was not material for the six-month period ended January 26,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0" w:type="dxa"/>
            <w:vAlign w:val="bottom"/>
            <w:tcBorders>
              <w:bottom w:val="single" w:sz="8" w:color="auto"/>
            </w:tcBorders>
            <w:gridSpan w:val="4"/>
          </w:tcPr>
          <w:p>
            <w:pPr>
              <w:jc w:val="center"/>
              <w:ind w:left="221"/>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4"/>
                <w:szCs w:val="14"/>
                <w:b w:val="1"/>
                <w:bCs w:val="1"/>
                <w:color w:val="auto"/>
              </w:rPr>
              <w:t>January 31,</w:t>
            </w:r>
          </w:p>
        </w:tc>
        <w:tc>
          <w:tcPr>
            <w:tcW w:w="1100" w:type="dxa"/>
            <w:vAlign w:val="bottom"/>
          </w:tcPr>
          <w:p>
            <w:pPr>
              <w:jc w:val="center"/>
              <w:ind w:left="219"/>
              <w:spacing w:after="0" w:line="135" w:lineRule="exact"/>
              <w:rPr>
                <w:sz w:val="20"/>
                <w:szCs w:val="20"/>
                <w:color w:val="auto"/>
              </w:rPr>
            </w:pPr>
            <w:r>
              <w:rPr>
                <w:rFonts w:ascii="Arial" w:cs="Arial" w:eastAsia="Arial" w:hAnsi="Arial"/>
                <w:sz w:val="14"/>
                <w:szCs w:val="14"/>
                <w:b w:val="1"/>
                <w:bCs w:val="1"/>
                <w:color w:val="auto"/>
                <w:w w:val="93"/>
              </w:rPr>
              <w:t>January 26,</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1"/>
                <w:szCs w:val="11"/>
                <w:color w:val="auto"/>
              </w:rPr>
            </w:pPr>
          </w:p>
        </w:tc>
        <w:tc>
          <w:tcPr>
            <w:tcW w:w="112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87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Finance lease - amortization of right-of-use (ROU) assets</w:t>
            </w: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ind w:right="8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line="238"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 our service contracts with embedded leases.</w:t>
      </w:r>
    </w:p>
    <w:p>
      <w:pPr>
        <w:spacing w:after="0" w:line="80" w:lineRule="exact"/>
        <w:rPr>
          <w:rFonts w:ascii="Arial" w:cs="Arial" w:eastAsia="Arial" w:hAnsi="Arial"/>
          <w:sz w:val="23"/>
          <w:szCs w:val="23"/>
          <w:color w:val="auto"/>
          <w:vertAlign w:val="superscript"/>
        </w:rPr>
      </w:pPr>
    </w:p>
    <w:p>
      <w:pPr>
        <w:ind w:left="340" w:right="960" w:hanging="332"/>
        <w:spacing w:after="0" w:line="277"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Total lease cost of $2 and $4 for the three- and six-month periods ended January 26, 2020, respectively, related to discontinued operations. The following tables summarize the lease amounts recorded in the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2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96"/>
              </w:rPr>
              <w:t>Balance Sheet Location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Pr>
          <w:p>
            <w:pPr>
              <w:spacing w:after="0"/>
              <w:rPr>
                <w:sz w:val="11"/>
                <w:szCs w:val="11"/>
                <w:color w:val="auto"/>
              </w:rPr>
            </w:pPr>
          </w:p>
        </w:tc>
        <w:tc>
          <w:tcPr>
            <w:tcW w:w="112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3"/>
              </w:rPr>
              <w:t>August 2,</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Lease liabilities (current)</w:t>
            </w:r>
          </w:p>
        </w:tc>
        <w:tc>
          <w:tcPr>
            <w:tcW w:w="2320" w:type="dxa"/>
            <w:vAlign w:val="bottom"/>
          </w:tcPr>
          <w:p>
            <w:pPr>
              <w:spacing w:after="0"/>
              <w:rPr>
                <w:sz w:val="20"/>
                <w:szCs w:val="20"/>
                <w:color w:val="auto"/>
              </w:rPr>
            </w:pPr>
            <w:r>
              <w:rPr>
                <w:rFonts w:ascii="Arial" w:cs="Arial" w:eastAsia="Arial" w:hAnsi="Arial"/>
                <w:sz w:val="18"/>
                <w:szCs w:val="18"/>
                <w:color w:val="auto"/>
              </w:rPr>
              <w:t>Accrued liabilities</w:t>
            </w:r>
          </w:p>
        </w:tc>
        <w:tc>
          <w:tcPr>
            <w:tcW w:w="10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642"/>
        </w:trPr>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Finance Leases</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2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96"/>
              </w:rPr>
              <w:t>Balance Sheet Location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Pr>
          <w:p>
            <w:pPr>
              <w:spacing w:after="0"/>
              <w:rPr>
                <w:sz w:val="11"/>
                <w:szCs w:val="11"/>
                <w:color w:val="auto"/>
              </w:rPr>
            </w:pPr>
          </w:p>
        </w:tc>
        <w:tc>
          <w:tcPr>
            <w:tcW w:w="112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3"/>
              </w:rPr>
              <w:t>August 2,</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89"/>
              </w:rPr>
              <w:t>Plant assets, net of depreciation</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Lease liabilities (current)</w:t>
            </w:r>
          </w:p>
        </w:tc>
        <w:tc>
          <w:tcPr>
            <w:tcW w:w="2320" w:type="dxa"/>
            <w:vAlign w:val="bottom"/>
          </w:tcPr>
          <w:p>
            <w:pPr>
              <w:spacing w:after="0"/>
              <w:rPr>
                <w:sz w:val="20"/>
                <w:szCs w:val="20"/>
                <w:color w:val="auto"/>
              </w:rPr>
            </w:pPr>
            <w:r>
              <w:rPr>
                <w:rFonts w:ascii="Arial" w:cs="Arial" w:eastAsia="Arial" w:hAnsi="Arial"/>
                <w:sz w:val="18"/>
                <w:szCs w:val="18"/>
                <w:color w:val="auto"/>
              </w:rPr>
              <w:t>Short-term borrowings</w:t>
            </w:r>
          </w:p>
        </w:tc>
        <w:tc>
          <w:tcPr>
            <w:tcW w:w="10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51"/>
        </w:trPr>
        <w:tc>
          <w:tcPr>
            <w:tcW w:w="7700" w:type="dxa"/>
            <w:vAlign w:val="bottom"/>
            <w:gridSpan w:val="3"/>
          </w:tcPr>
          <w:p>
            <w:pPr>
              <w:ind w:left="340"/>
              <w:spacing w:after="0"/>
              <w:rPr>
                <w:sz w:val="20"/>
                <w:szCs w:val="20"/>
                <w:color w:val="auto"/>
              </w:rPr>
            </w:pPr>
            <w:r>
              <w:rPr>
                <w:rFonts w:ascii="Arial" w:cs="Arial" w:eastAsia="Arial" w:hAnsi="Arial"/>
                <w:sz w:val="18"/>
                <w:szCs w:val="18"/>
                <w:color w:val="auto"/>
              </w:rPr>
              <w:t>The following table summarizes cash flow and other information related to leases: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7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January 31,</w:t>
            </w:r>
          </w:p>
        </w:tc>
        <w:tc>
          <w:tcPr>
            <w:tcW w:w="200" w:type="dxa"/>
            <w:vAlign w:val="bottom"/>
          </w:tcPr>
          <w:p>
            <w:pPr>
              <w:spacing w:after="0"/>
              <w:rPr>
                <w:sz w:val="11"/>
                <w:szCs w:val="11"/>
                <w:color w:val="auto"/>
              </w:rPr>
            </w:pPr>
          </w:p>
        </w:tc>
        <w:tc>
          <w:tcPr>
            <w:tcW w:w="112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3"/>
              </w:rPr>
              <w:t>January 26,</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320" w:type="dxa"/>
            <w:vAlign w:val="bottom"/>
          </w:tcPr>
          <w:p>
            <w:pPr>
              <w:spacing w:after="0"/>
              <w:rPr>
                <w:sz w:val="19"/>
                <w:szCs w:val="19"/>
                <w:color w:val="auto"/>
              </w:rPr>
            </w:pPr>
          </w:p>
        </w:tc>
        <w:tc>
          <w:tcPr>
            <w:tcW w:w="10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3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gridSpan w:val="2"/>
          </w:tcPr>
          <w:p>
            <w:pPr>
              <w:spacing w:after="0"/>
              <w:rPr>
                <w:sz w:val="23"/>
                <w:szCs w:val="23"/>
                <w:color w:val="auto"/>
              </w:rPr>
            </w:pPr>
          </w:p>
        </w:tc>
        <w:tc>
          <w:tcPr>
            <w:tcW w:w="2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2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2320" w:type="dxa"/>
            <w:vAlign w:val="bottom"/>
          </w:tcPr>
          <w:p>
            <w:pPr>
              <w:spacing w:after="0"/>
              <w:rPr>
                <w:sz w:val="19"/>
                <w:szCs w:val="19"/>
                <w:color w:val="auto"/>
              </w:rPr>
            </w:pPr>
          </w:p>
        </w:tc>
        <w:tc>
          <w:tcPr>
            <w:tcW w:w="10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3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380" w:type="dxa"/>
            <w:vAlign w:val="bottom"/>
            <w:gridSpan w:val="2"/>
          </w:tcPr>
          <w:p>
            <w:pPr>
              <w:spacing w:after="0"/>
              <w:rPr>
                <w:sz w:val="23"/>
                <w:szCs w:val="23"/>
                <w:color w:val="auto"/>
              </w:rPr>
            </w:pPr>
          </w:p>
        </w:tc>
        <w:tc>
          <w:tcPr>
            <w:tcW w:w="2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 divested with businesses sold:</w:t>
            </w:r>
          </w:p>
        </w:tc>
        <w:tc>
          <w:tcPr>
            <w:tcW w:w="2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2320" w:type="dxa"/>
            <w:vAlign w:val="bottom"/>
          </w:tcPr>
          <w:p>
            <w:pPr>
              <w:spacing w:after="0"/>
              <w:rPr>
                <w:sz w:val="19"/>
                <w:szCs w:val="19"/>
                <w:color w:val="auto"/>
              </w:rPr>
            </w:pPr>
          </w:p>
        </w:tc>
        <w:tc>
          <w:tcPr>
            <w:tcW w:w="10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3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January 31, 2021, or August 2, 2020.</w:t>
      </w:r>
    </w:p>
    <w:p>
      <w:pPr>
        <w:spacing w:after="0" w:line="65"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We are also exposed to credit risk from our customers. During 2020, our largest customer accounted for approximately 21% of consolidated net sales from continuing operations. Our five largest customers accounted for approximately 44% of our consolidated net sales from continuing operations in 2020.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third-party transactions and intercompany transactions, including intercompany debt. Principal currencies hedged include the Canadian dollar and, prior to the sale of Arnott's and other international operations, the Australian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$98 as of January 31, 2021, and $164 as of August 2, 2020.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$20 as of January 31, 2021, and $19 as of August 2,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interest expense over the life of the debt. The change in fair value on undesignated instruments is recorded in interest expense. There were no forward starting interest rate swaps or treasury rate lock contracts outstanding as of January 31, 2021, or August 2,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cocoa, aluminum, soybean meal and corn. Commodity futures, options, and swap contracts are either designated as cash-flow hedging instruments or are undesignated. We hedge a portion of commodity requirements for periods typically up to 18 months. The notional amount of commodity contracts designated as cash flow hedges was $5 as of January 31, 2021. There were no commodity contracts designated as cash flow hedges as of August 2, 2020. The notional amount of commodity contracts not designated as accounting hedges was $121 as of January 31, 2021, and $137 as of August 2, 2020.</w:t>
      </w:r>
    </w:p>
    <w:p>
      <w:pPr>
        <w:spacing w:after="0" w:line="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$84 as of January 31, 2021, and $34 as of August 2, 2020.</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gains (losses) and settlements are included in Cost of products sold in our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$22 as of January 31, 2021, and August 2, 2020.</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 of derivative instruments on a gross basis as recorded in the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and August 2,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gridSpan w:val="3"/>
            <w:vMerge w:val="restart"/>
          </w:tcPr>
          <w:p>
            <w:pPr>
              <w:ind w:left="120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14"/>
                <w:szCs w:val="14"/>
                <w:color w:val="auto"/>
              </w:rPr>
            </w:pPr>
          </w:p>
        </w:tc>
        <w:tc>
          <w:tcPr>
            <w:tcW w:w="1020" w:type="dxa"/>
            <w:vAlign w:val="bottom"/>
          </w:tcPr>
          <w:p>
            <w:pPr>
              <w:jc w:val="center"/>
              <w:ind w:left="157"/>
              <w:spacing w:after="0"/>
              <w:rPr>
                <w:sz w:val="20"/>
                <w:szCs w:val="20"/>
                <w:color w:val="auto"/>
              </w:rPr>
            </w:pPr>
            <w:r>
              <w:rPr>
                <w:rFonts w:ascii="Arial" w:cs="Arial" w:eastAsia="Arial" w:hAnsi="Arial"/>
                <w:sz w:val="14"/>
                <w:szCs w:val="14"/>
                <w:b w:val="1"/>
                <w:bCs w:val="1"/>
                <w:color w:val="auto"/>
                <w:w w:val="95"/>
              </w:rPr>
              <w:t>January 31,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3"/>
            <w:vMerge w:val="continue"/>
          </w:tcPr>
          <w:p>
            <w:pPr>
              <w:spacing w:after="0"/>
              <w:rPr>
                <w:sz w:val="16"/>
                <w:szCs w:val="16"/>
                <w:color w:val="auto"/>
              </w:rPr>
            </w:pPr>
          </w:p>
        </w:tc>
        <w:tc>
          <w:tcPr>
            <w:tcW w:w="106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0" w:type="dxa"/>
            <w:vAlign w:val="bottom"/>
            <w:tcBorders>
              <w:top w:val="single" w:sz="8" w:color="auto"/>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60" w:type="dxa"/>
            <w:vAlign w:val="bottom"/>
            <w:gridSpan w:val="2"/>
            <w:shd w:val="clear" w:color="auto" w:fill="CCEEFF"/>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gridSpan w:val="4"/>
          </w:tcPr>
          <w:p>
            <w:pPr>
              <w:ind w:left="20"/>
              <w:spacing w:after="0"/>
              <w:rPr>
                <w:sz w:val="20"/>
                <w:szCs w:val="20"/>
                <w:color w:val="auto"/>
              </w:rPr>
            </w:pPr>
            <w:r>
              <w:rPr>
                <w:rFonts w:ascii="Arial" w:cs="Arial" w:eastAsia="Arial" w:hAnsi="Arial"/>
                <w:sz w:val="18"/>
                <w:szCs w:val="18"/>
                <w:color w:val="auto"/>
              </w:rPr>
              <w:t>Other current assets</w:t>
            </w:r>
          </w:p>
        </w:tc>
        <w:tc>
          <w:tcPr>
            <w:tcW w:w="1060" w:type="dxa"/>
            <w:vAlign w:val="bottom"/>
            <w:gridSpan w:val="2"/>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9"/>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compensation derivative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assets</w:t>
            </w: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asset derivatives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3"/>
            <w:vMerge w:val="restart"/>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24"/>
                <w:szCs w:val="24"/>
                <w:color w:val="auto"/>
              </w:rPr>
            </w:pPr>
          </w:p>
        </w:tc>
        <w:tc>
          <w:tcPr>
            <w:tcW w:w="1020" w:type="dxa"/>
            <w:vAlign w:val="bottom"/>
          </w:tcPr>
          <w:p>
            <w:pPr>
              <w:jc w:val="center"/>
              <w:ind w:left="197"/>
              <w:spacing w:after="0"/>
              <w:rPr>
                <w:sz w:val="20"/>
                <w:szCs w:val="20"/>
                <w:color w:val="auto"/>
              </w:rPr>
            </w:pPr>
            <w:r>
              <w:rPr>
                <w:rFonts w:ascii="Arial" w:cs="Arial" w:eastAsia="Arial" w:hAnsi="Arial"/>
                <w:sz w:val="14"/>
                <w:szCs w:val="14"/>
                <w:b w:val="1"/>
                <w:bCs w:val="1"/>
                <w:color w:val="auto"/>
                <w:w w:val="95"/>
              </w:rPr>
              <w:t>January 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3"/>
            <w:vMerge w:val="continue"/>
          </w:tcPr>
          <w:p>
            <w:pPr>
              <w:spacing w:after="0"/>
              <w:rPr>
                <w:sz w:val="16"/>
                <w:szCs w:val="16"/>
                <w:color w:val="auto"/>
              </w:rPr>
            </w:pPr>
          </w:p>
        </w:tc>
        <w:tc>
          <w:tcPr>
            <w:tcW w:w="106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4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60" w:type="dxa"/>
            <w:vAlign w:val="bottom"/>
            <w:gridSpan w:val="2"/>
            <w:shd w:val="clear" w:color="auto" w:fill="CCEEFF"/>
          </w:tcPr>
          <w:p>
            <w:pPr>
              <w:jc w:val="right"/>
              <w:ind w:right="837"/>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Commodity derivative contracts</w:t>
            </w:r>
          </w:p>
        </w:tc>
        <w:tc>
          <w:tcPr>
            <w:tcW w:w="4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1060" w:type="dxa"/>
            <w:vAlign w:val="bottom"/>
            <w:gridSpan w:val="2"/>
          </w:tcPr>
          <w:p>
            <w:pPr>
              <w:jc w:val="right"/>
              <w:ind w:right="837"/>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31, 2021, and August 2, 2020, would be adjusted as detailed in the following table: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January 31, 2021</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August 2,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1"/>
                <w:szCs w:val="11"/>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 cash margin liability balance of $5 at January 31, 2021, and an asset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balance of $8 at August 2, 2020, were included in Accrued liabilities and Other current assets, respectively, in the Consolidated Balance Sheets.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effect of our derivative instruments designated as cash-flow hedges for the three- and six-month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and January 26, 2020, in other comprehensive income (loss) (OCI) and the Consolidated Statements of Earnings:</w:t>
      </w:r>
    </w:p>
    <w:p>
      <w:pPr>
        <w:spacing w:after="0" w:line="17"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Total Cash-Flow Hedge</w:t>
      </w:r>
    </w:p>
    <w:p>
      <w:pPr>
        <w:jc w:val="center"/>
        <w:ind w:left="8020"/>
        <w:spacing w:after="0"/>
        <w:rPr>
          <w:sz w:val="20"/>
          <w:szCs w:val="20"/>
          <w:color w:val="auto"/>
        </w:rPr>
      </w:pPr>
      <w:r>
        <w:rPr>
          <w:rFonts w:ascii="Arial" w:cs="Arial" w:eastAsia="Arial" w:hAnsi="Arial"/>
          <w:sz w:val="14"/>
          <w:szCs w:val="14"/>
          <w:b w:val="1"/>
          <w:bCs w:val="1"/>
          <w:color w:val="auto"/>
        </w:rPr>
        <w:t>OCI Activity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40"/>
              <w:spacing w:after="0" w:line="141" w:lineRule="exact"/>
              <w:rPr>
                <w:sz w:val="20"/>
                <w:szCs w:val="20"/>
                <w:color w:val="auto"/>
              </w:rPr>
            </w:pPr>
            <w:r>
              <w:rPr>
                <w:rFonts w:ascii="Arial" w:cs="Arial" w:eastAsia="Arial" w:hAnsi="Arial"/>
                <w:sz w:val="14"/>
                <w:szCs w:val="14"/>
                <w:b w:val="1"/>
                <w:bCs w:val="1"/>
                <w:color w:val="auto"/>
              </w:rPr>
              <w:t>January 31,</w:t>
            </w: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333"/>
              <w:spacing w:after="0" w:line="141" w:lineRule="exact"/>
              <w:rPr>
                <w:sz w:val="20"/>
                <w:szCs w:val="20"/>
                <w:color w:val="auto"/>
              </w:rPr>
            </w:pPr>
            <w:r>
              <w:rPr>
                <w:rFonts w:ascii="Arial" w:cs="Arial" w:eastAsia="Arial" w:hAnsi="Arial"/>
                <w:sz w:val="14"/>
                <w:szCs w:val="14"/>
                <w:b w:val="1"/>
                <w:bCs w:val="1"/>
                <w:color w:val="auto"/>
              </w:rPr>
              <w:t>January 26,</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5440" w:type="dxa"/>
            <w:vAlign w:val="bottom"/>
            <w:gridSpan w:val="3"/>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OCI derivative gain (loss) at beginning of quarter</w:t>
            </w:r>
          </w:p>
        </w:tc>
        <w:tc>
          <w:tcPr>
            <w:tcW w:w="28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9"/>
              </w:rPr>
              <w:t>Location in Earnings</w:t>
            </w:r>
          </w:p>
        </w:tc>
        <w:tc>
          <w:tcPr>
            <w:tcW w:w="120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OCI derivative gain (loss) at end of quarter</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OCI derivative gain (loss) at beginning of year</w:t>
            </w:r>
          </w:p>
        </w:tc>
        <w:tc>
          <w:tcPr>
            <w:tcW w:w="28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Pr>
          <w:p>
            <w:pPr>
              <w:spacing w:after="0"/>
              <w:rPr>
                <w:sz w:val="16"/>
                <w:szCs w:val="16"/>
                <w:color w:val="auto"/>
              </w:rPr>
            </w:pPr>
          </w:p>
        </w:tc>
        <w:tc>
          <w:tcPr>
            <w:tcW w:w="28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Location in Earnings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5"/>
                <w:szCs w:val="15"/>
                <w:color w:val="auto"/>
              </w:rPr>
            </w:pPr>
          </w:p>
        </w:tc>
        <w:tc>
          <w:tcPr>
            <w:tcW w:w="2820" w:type="dxa"/>
            <w:vAlign w:val="bottom"/>
            <w:gridSpan w:val="3"/>
          </w:tcPr>
          <w:p>
            <w:pPr>
              <w:spacing w:after="0" w:line="176" w:lineRule="exact"/>
              <w:rPr>
                <w:sz w:val="20"/>
                <w:szCs w:val="20"/>
                <w:color w:val="auto"/>
              </w:rPr>
            </w:pPr>
            <w:r>
              <w:rPr>
                <w:rFonts w:ascii="Arial" w:cs="Arial" w:eastAsia="Arial" w:hAnsi="Arial"/>
                <w:sz w:val="18"/>
                <w:szCs w:val="18"/>
                <w:color w:val="auto"/>
              </w:rPr>
              <w:t>Earnings (loss) from</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OCI derivative gain (loss) at end of quarter</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$6.</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effect of our derivative instruments designated as cash-flow hedges for the three- and six-month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and January 26, 2020, in the Consolidated Statements of Earnings: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January 31, 2021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Cost of products</w:t>
            </w:r>
          </w:p>
        </w:tc>
        <w:tc>
          <w:tcPr>
            <w:tcW w:w="140" w:type="dxa"/>
            <w:vAlign w:val="bottom"/>
          </w:tcPr>
          <w:p>
            <w:pPr>
              <w:spacing w:after="0"/>
              <w:rPr>
                <w:sz w:val="11"/>
                <w:szCs w:val="11"/>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Cost of products</w:t>
            </w:r>
          </w:p>
        </w:tc>
        <w:tc>
          <w:tcPr>
            <w:tcW w:w="1180" w:type="dxa"/>
            <w:vAlign w:val="bottom"/>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4"/>
              </w:rPr>
              <w:t>Earnings from</w:t>
            </w:r>
          </w:p>
        </w:tc>
        <w:tc>
          <w:tcPr>
            <w:tcW w:w="120" w:type="dxa"/>
            <w:vAlign w:val="bottom"/>
          </w:tcPr>
          <w:p>
            <w:pPr>
              <w:spacing w:after="0"/>
              <w:rPr>
                <w:sz w:val="11"/>
                <w:szCs w:val="11"/>
                <w:color w:val="auto"/>
              </w:rPr>
            </w:pPr>
          </w:p>
        </w:tc>
        <w:tc>
          <w:tcPr>
            <w:tcW w:w="6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discontinued</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sold</w:t>
            </w:r>
          </w:p>
        </w:tc>
        <w:tc>
          <w:tcPr>
            <w:tcW w:w="140" w:type="dxa"/>
            <w:vAlign w:val="bottom"/>
          </w:tcPr>
          <w:p>
            <w:pPr>
              <w:spacing w:after="0"/>
              <w:rPr>
                <w:sz w:val="16"/>
                <w:szCs w:val="16"/>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expense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sold</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operations</w:t>
            </w:r>
          </w:p>
        </w:tc>
        <w:tc>
          <w:tcPr>
            <w:tcW w:w="120" w:type="dxa"/>
            <w:vAlign w:val="bottom"/>
          </w:tcPr>
          <w:p>
            <w:pPr>
              <w:spacing w:after="0"/>
              <w:rPr>
                <w:sz w:val="16"/>
                <w:szCs w:val="16"/>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85"/>
              </w:rPr>
              <w:t>expense</w:t>
            </w:r>
          </w:p>
        </w:tc>
        <w:tc>
          <w:tcPr>
            <w:tcW w:w="0" w:type="dxa"/>
            <w:vAlign w:val="bottom"/>
          </w:tcPr>
          <w:p>
            <w:pPr>
              <w:spacing w:after="0"/>
              <w:rPr>
                <w:sz w:val="1"/>
                <w:szCs w:val="1"/>
                <w:color w:val="auto"/>
              </w:rPr>
            </w:pPr>
          </w:p>
        </w:tc>
      </w:tr>
      <w:tr>
        <w:trPr>
          <w:trHeight w:val="224"/>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40"/>
              <w:spacing w:after="0"/>
              <w:rPr>
                <w:sz w:val="20"/>
                <w:szCs w:val="20"/>
                <w:color w:val="auto"/>
              </w:rPr>
            </w:pPr>
            <w:r>
              <w:rPr>
                <w:rFonts w:ascii="Arial" w:cs="Arial" w:eastAsia="Arial" w:hAnsi="Arial"/>
                <w:sz w:val="18"/>
                <w:szCs w:val="18"/>
                <w:color w:val="auto"/>
              </w:rPr>
              <w:t>Amount of (gain) loss reclassified from OCI to earnings</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Amount excluded from effectiveness testing recognized in earnings using an</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approach</w:t>
            </w:r>
          </w:p>
        </w:tc>
        <w:tc>
          <w:tcPr>
            <w:tcW w:w="26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January 31, 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Cost of products</w:t>
            </w:r>
          </w:p>
        </w:tc>
        <w:tc>
          <w:tcPr>
            <w:tcW w:w="120" w:type="dxa"/>
            <w:vAlign w:val="bottom"/>
          </w:tcPr>
          <w:p>
            <w:pPr>
              <w:spacing w:after="0"/>
              <w:rPr>
                <w:sz w:val="11"/>
                <w:szCs w:val="11"/>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1"/>
                <w:szCs w:val="11"/>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Cost of product</w:t>
            </w:r>
          </w:p>
        </w:tc>
        <w:tc>
          <w:tcPr>
            <w:tcW w:w="120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Earnings from</w:t>
            </w:r>
          </w:p>
        </w:tc>
        <w:tc>
          <w:tcPr>
            <w:tcW w:w="120" w:type="dxa"/>
            <w:vAlign w:val="bottom"/>
          </w:tcPr>
          <w:p>
            <w:pPr>
              <w:spacing w:after="0"/>
              <w:rPr>
                <w:sz w:val="11"/>
                <w:szCs w:val="11"/>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discontinued</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sold</w:t>
            </w:r>
          </w:p>
        </w:tc>
        <w:tc>
          <w:tcPr>
            <w:tcW w:w="120" w:type="dxa"/>
            <w:vAlign w:val="bottom"/>
          </w:tcPr>
          <w:p>
            <w:pPr>
              <w:spacing w:after="0"/>
              <w:rPr>
                <w:sz w:val="16"/>
                <w:szCs w:val="16"/>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sold</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operations</w:t>
            </w:r>
          </w:p>
        </w:tc>
        <w:tc>
          <w:tcPr>
            <w:tcW w:w="120" w:type="dxa"/>
            <w:vAlign w:val="bottom"/>
          </w:tcPr>
          <w:p>
            <w:pPr>
              <w:spacing w:after="0"/>
              <w:rPr>
                <w:sz w:val="16"/>
                <w:szCs w:val="16"/>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85"/>
              </w:rPr>
              <w:t>expense</w:t>
            </w:r>
          </w:p>
        </w:tc>
        <w:tc>
          <w:tcPr>
            <w:tcW w:w="0" w:type="dxa"/>
            <w:vAlign w:val="bottom"/>
          </w:tcPr>
          <w:p>
            <w:pPr>
              <w:spacing w:after="0"/>
              <w:rPr>
                <w:sz w:val="1"/>
                <w:szCs w:val="1"/>
                <w:color w:val="auto"/>
              </w:rPr>
            </w:pP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Amount of (gain) loss reclassified from OCI to earnings</w:t>
            </w:r>
          </w:p>
        </w:tc>
        <w:tc>
          <w:tcPr>
            <w:tcW w:w="280" w:type="dxa"/>
            <w:vAlign w:val="bottom"/>
          </w:tcPr>
          <w:p>
            <w:pPr>
              <w:jc w:val="right"/>
              <w:ind w:right="7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Amount excluded from effectiveness testing recognized in earnings using an</w:t>
            </w:r>
          </w:p>
        </w:tc>
        <w:tc>
          <w:tcPr>
            <w:tcW w:w="2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approach</w:t>
            </w:r>
          </w:p>
        </w:tc>
        <w:tc>
          <w:tcPr>
            <w:tcW w:w="2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six-month periods ended January 31, 2021, and January 26, 2020, in the Consolidated Statements of Earnings:</w:t>
      </w: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9"/>
          </w:tcPr>
          <w:p>
            <w:pPr>
              <w:jc w:val="right"/>
              <w:ind w:right="36"/>
              <w:spacing w:after="0"/>
              <w:rPr>
                <w:sz w:val="20"/>
                <w:szCs w:val="20"/>
                <w:color w:val="auto"/>
              </w:rPr>
            </w:pPr>
            <w:r>
              <w:rPr>
                <w:rFonts w:ascii="Arial" w:cs="Arial" w:eastAsia="Arial" w:hAnsi="Arial"/>
                <w:sz w:val="14"/>
                <w:szCs w:val="14"/>
                <w:b w:val="1"/>
                <w:bCs w:val="1"/>
                <w:color w:val="auto"/>
              </w:rPr>
              <w:t>Amount of (Gain) Loss Recognized in Earnings on Derivatives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2640" w:type="dxa"/>
            <w:vAlign w:val="bottom"/>
            <w:gridSpan w:val="2"/>
          </w:tcPr>
          <w:p>
            <w:pPr>
              <w:ind w:left="540"/>
              <w:spacing w:after="0"/>
              <w:rPr>
                <w:sz w:val="20"/>
                <w:szCs w:val="20"/>
                <w:color w:val="auto"/>
              </w:rPr>
            </w:pPr>
            <w:r>
              <w:rPr>
                <w:rFonts w:ascii="Arial" w:cs="Arial" w:eastAsia="Arial" w:hAnsi="Arial"/>
                <w:sz w:val="14"/>
                <w:szCs w:val="14"/>
                <w:b w:val="1"/>
                <w:bCs w:val="1"/>
                <w:color w:val="auto"/>
              </w:rPr>
              <w:t>Location of (Gain) Loss</w:t>
            </w:r>
          </w:p>
        </w:tc>
        <w:tc>
          <w:tcPr>
            <w:tcW w:w="14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26,</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31, 2021</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January 26, 2020</w:t>
            </w:r>
          </w:p>
        </w:tc>
        <w:tc>
          <w:tcPr>
            <w:tcW w:w="0" w:type="dxa"/>
            <w:vAlign w:val="bottom"/>
          </w:tcPr>
          <w:p>
            <w:pPr>
              <w:spacing w:after="0"/>
              <w:rPr>
                <w:sz w:val="1"/>
                <w:szCs w:val="1"/>
                <w:color w:val="auto"/>
              </w:rPr>
            </w:pPr>
          </w:p>
        </w:tc>
      </w:tr>
      <w:tr>
        <w:trPr>
          <w:trHeight w:val="188"/>
        </w:trPr>
        <w:tc>
          <w:tcPr>
            <w:tcW w:w="3820" w:type="dxa"/>
            <w:vAlign w:val="bottom"/>
            <w:gridSpan w:val="2"/>
            <w:vMerge w:val="continue"/>
          </w:tcPr>
          <w:p>
            <w:pPr>
              <w:spacing w:after="0"/>
              <w:rPr>
                <w:sz w:val="16"/>
                <w:szCs w:val="16"/>
                <w:color w:val="auto"/>
              </w:rPr>
            </w:pPr>
          </w:p>
        </w:tc>
        <w:tc>
          <w:tcPr>
            <w:tcW w:w="2640" w:type="dxa"/>
            <w:vAlign w:val="bottom"/>
            <w:gridSpan w:val="2"/>
          </w:tcPr>
          <w:p>
            <w:pPr>
              <w:ind w:left="540"/>
              <w:spacing w:after="0"/>
              <w:rPr>
                <w:sz w:val="20"/>
                <w:szCs w:val="20"/>
                <w:color w:val="auto"/>
              </w:rPr>
            </w:pPr>
            <w:r>
              <w:rPr>
                <w:rFonts w:ascii="Arial" w:cs="Arial" w:eastAsia="Arial" w:hAnsi="Arial"/>
                <w:sz w:val="14"/>
                <w:szCs w:val="14"/>
                <w:b w:val="1"/>
                <w:bCs w:val="1"/>
                <w:color w:val="auto"/>
              </w:rPr>
              <w:t>Recognized in Earnings</w:t>
            </w:r>
          </w:p>
        </w:tc>
        <w:tc>
          <w:tcPr>
            <w:tcW w:w="14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Foreign exchange forward contracts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Other expenses / (income)</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 contracts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rate lock contracts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Total (gain) loss at end of quarter</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1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financial assets and liabilities that are measured at fair value on a recurring basis as of January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2, 2020, consistent with the fair value hierarchy: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11"/>
          </w:tcPr>
          <w:p>
            <w:pPr>
              <w:jc w:val="center"/>
              <w:ind w:left="496"/>
              <w:spacing w:after="0"/>
              <w:rPr>
                <w:sz w:val="20"/>
                <w:szCs w:val="20"/>
                <w:color w:val="auto"/>
              </w:rPr>
            </w:pPr>
            <w:r>
              <w:rPr>
                <w:rFonts w:ascii="Arial" w:cs="Arial" w:eastAsia="Arial" w:hAnsi="Arial"/>
                <w:sz w:val="14"/>
                <w:szCs w:val="14"/>
                <w:b w:val="1"/>
                <w:bCs w:val="1"/>
                <w:color w:val="auto"/>
                <w:w w:val="93"/>
              </w:rPr>
              <w:t>Fair Value Measurements at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9"/>
          </w:tcPr>
          <w:p>
            <w:pPr>
              <w:jc w:val="center"/>
              <w:ind w:left="496"/>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40" w:type="dxa"/>
            <w:vAlign w:val="bottom"/>
            <w:gridSpan w:val="11"/>
            <w:vMerge w:val="restart"/>
          </w:tcPr>
          <w:p>
            <w:pPr>
              <w:jc w:val="center"/>
              <w:ind w:left="476"/>
              <w:spacing w:after="0" w:line="135" w:lineRule="exact"/>
              <w:rPr>
                <w:sz w:val="20"/>
                <w:szCs w:val="20"/>
                <w:color w:val="auto"/>
              </w:rPr>
            </w:pPr>
            <w:r>
              <w:rPr>
                <w:rFonts w:ascii="Arial" w:cs="Arial" w:eastAsia="Arial" w:hAnsi="Arial"/>
                <w:sz w:val="14"/>
                <w:szCs w:val="14"/>
                <w:b w:val="1"/>
                <w:bCs w:val="1"/>
                <w:color w:val="auto"/>
                <w:w w:val="92"/>
              </w:rPr>
              <w:t>January 31, 2021 Using</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7"/>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gridSpan w:val="11"/>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tcPr>
          <w:p>
            <w:pPr>
              <w:jc w:val="center"/>
              <w:ind w:right="260"/>
              <w:spacing w:after="0" w:line="107" w:lineRule="exact"/>
              <w:rPr>
                <w:sz w:val="20"/>
                <w:szCs w:val="20"/>
                <w:color w:val="auto"/>
              </w:rPr>
            </w:pPr>
            <w:r>
              <w:rPr>
                <w:rFonts w:ascii="Arial" w:cs="Arial" w:eastAsia="Arial" w:hAnsi="Arial"/>
                <w:sz w:val="12"/>
                <w:szCs w:val="12"/>
                <w:b w:val="1"/>
                <w:bCs w:val="1"/>
                <w:color w:val="auto"/>
              </w:rPr>
              <w:t>January 31,</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8"/>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60"/>
              <w:spacing w:after="0" w:line="107" w:lineRule="exact"/>
              <w:rPr>
                <w:sz w:val="20"/>
                <w:szCs w:val="20"/>
                <w:color w:val="auto"/>
              </w:rPr>
            </w:pPr>
            <w:r>
              <w:rPr>
                <w:rFonts w:ascii="Arial" w:cs="Arial" w:eastAsia="Arial" w:hAnsi="Arial"/>
                <w:sz w:val="12"/>
                <w:szCs w:val="12"/>
                <w:b w:val="1"/>
                <w:bCs w:val="1"/>
                <w:color w:val="auto"/>
              </w:rPr>
              <w:t>August 2,</w:t>
            </w: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7"/>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1"/>
        </w:trPr>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1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Foreign exchange</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5"/>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60" w:type="dxa"/>
            <w:vAlign w:val="bottom"/>
            <w:gridSpan w:val="2"/>
            <w:vMerge w:val="continue"/>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80" w:type="dxa"/>
            <w:vAlign w:val="bottom"/>
            <w:gridSpan w:val="5"/>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Commodity derivative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compensation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w w:val="93"/>
              </w:rPr>
              <w:t>derivative contracts</w:t>
            </w:r>
            <w:r>
              <w:rPr>
                <w:rFonts w:ascii="Arial" w:cs="Arial" w:eastAsia="Arial" w:hAnsi="Arial"/>
                <w:sz w:val="23"/>
                <w:szCs w:val="23"/>
                <w:color w:val="auto"/>
                <w:w w:val="93"/>
                <w:vertAlign w:val="superscript"/>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compensation</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88"/>
              </w:rPr>
              <w:t>Total assets at fair value</w:t>
            </w: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1"/>
          </w:tcPr>
          <w:p>
            <w:pPr>
              <w:jc w:val="center"/>
              <w:ind w:left="536"/>
              <w:spacing w:after="0"/>
              <w:rPr>
                <w:sz w:val="20"/>
                <w:szCs w:val="20"/>
                <w:color w:val="auto"/>
              </w:rPr>
            </w:pPr>
            <w:r>
              <w:rPr>
                <w:rFonts w:ascii="Arial" w:cs="Arial" w:eastAsia="Arial" w:hAnsi="Arial"/>
                <w:sz w:val="14"/>
                <w:szCs w:val="14"/>
                <w:b w:val="1"/>
                <w:bCs w:val="1"/>
                <w:color w:val="auto"/>
                <w:w w:val="93"/>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536"/>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20" w:type="dxa"/>
            <w:vAlign w:val="bottom"/>
            <w:gridSpan w:val="10"/>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January 31, 2021 Using</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gridSpan w:val="6"/>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20" w:type="dxa"/>
            <w:vAlign w:val="bottom"/>
            <w:gridSpan w:val="10"/>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9"/>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 Hierarchy</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0" w:type="dxa"/>
            <w:vAlign w:val="bottom"/>
            <w:gridSpan w:val="8"/>
            <w:vMerge w:val="restart"/>
          </w:tcPr>
          <w:p>
            <w:pPr>
              <w:jc w:val="center"/>
              <w:ind w:right="138"/>
              <w:spacing w:after="0"/>
              <w:rPr>
                <w:sz w:val="20"/>
                <w:szCs w:val="20"/>
                <w:color w:val="auto"/>
              </w:rPr>
            </w:pPr>
            <w:r>
              <w:rPr>
                <w:rFonts w:ascii="Arial" w:cs="Arial" w:eastAsia="Arial" w:hAnsi="Arial"/>
                <w:sz w:val="14"/>
                <w:szCs w:val="14"/>
                <w:b w:val="1"/>
                <w:bCs w:val="1"/>
                <w:color w:val="auto"/>
                <w:w w:val="95"/>
              </w:rPr>
              <w:t>Fair Value Hierarchy</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tcPr>
          <w:p>
            <w:pPr>
              <w:jc w:val="center"/>
              <w:ind w:right="200"/>
              <w:spacing w:after="0" w:line="107" w:lineRule="exact"/>
              <w:rPr>
                <w:sz w:val="20"/>
                <w:szCs w:val="20"/>
                <w:color w:val="auto"/>
              </w:rPr>
            </w:pPr>
            <w:r>
              <w:rPr>
                <w:rFonts w:ascii="Arial" w:cs="Arial" w:eastAsia="Arial" w:hAnsi="Arial"/>
                <w:sz w:val="12"/>
                <w:szCs w:val="12"/>
                <w:b w:val="1"/>
                <w:bCs w:val="1"/>
                <w:color w:val="auto"/>
              </w:rPr>
              <w:t>January 31,</w:t>
            </w: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9"/>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20"/>
              <w:spacing w:after="0" w:line="107" w:lineRule="exact"/>
              <w:rPr>
                <w:sz w:val="20"/>
                <w:szCs w:val="20"/>
                <w:color w:val="auto"/>
              </w:rPr>
            </w:pPr>
            <w:r>
              <w:rPr>
                <w:rFonts w:ascii="Arial" w:cs="Arial" w:eastAsia="Arial" w:hAnsi="Arial"/>
                <w:sz w:val="12"/>
                <w:szCs w:val="12"/>
                <w:b w:val="1"/>
                <w:bCs w:val="1"/>
                <w:color w:val="auto"/>
              </w:rPr>
              <w:t>August 2,</w:t>
            </w: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8"/>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0" w:type="dxa"/>
            <w:vAlign w:val="bottom"/>
            <w:tcBorders>
              <w:right w:val="single" w:sz="8" w:color="CCEEFF"/>
            </w:tcBorders>
          </w:tcPr>
          <w:p>
            <w:pPr>
              <w:spacing w:after="0"/>
              <w:rPr>
                <w:sz w:val="14"/>
                <w:szCs w:val="14"/>
                <w:color w:val="auto"/>
              </w:rPr>
            </w:pPr>
          </w:p>
        </w:tc>
        <w:tc>
          <w:tcPr>
            <w:tcW w:w="17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5"/>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80" w:type="dxa"/>
            <w:vAlign w:val="bottom"/>
            <w:gridSpan w:val="5"/>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17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Commodity derivative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compensation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CCEEFF"/>
            </w:tcBorders>
          </w:tcPr>
          <w:p>
            <w:pPr>
              <w:spacing w:after="0"/>
              <w:rPr>
                <w:sz w:val="13"/>
                <w:szCs w:val="13"/>
                <w:color w:val="auto"/>
              </w:rPr>
            </w:pPr>
          </w:p>
        </w:tc>
        <w:tc>
          <w:tcPr>
            <w:tcW w:w="17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liabilities at fair</w:t>
            </w:r>
          </w:p>
        </w:tc>
        <w:tc>
          <w:tcPr>
            <w:tcW w:w="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8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value</w:t>
            </w:r>
          </w:p>
        </w:tc>
        <w:tc>
          <w:tcPr>
            <w:tcW w:w="1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80" w:type="dxa"/>
            <w:vAlign w:val="bottom"/>
            <w:gridSpan w:val="5"/>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4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3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3"/>
          <w:szCs w:val="23"/>
          <w:color w:val="auto"/>
          <w:vertAlign w:val="superscript"/>
        </w:rPr>
      </w:pPr>
    </w:p>
    <w:p>
      <w:pPr>
        <w:jc w:val="both"/>
        <w:ind w:left="340" w:hanging="332"/>
        <w:spacing w:after="0" w:line="242"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fair value of Level 3 assets and liabilities for the six-month periods ended January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26,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January 26, 2020</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57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47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47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Fair value at end of quarter</w:t>
            </w:r>
          </w:p>
        </w:tc>
        <w:tc>
          <w:tcPr>
            <w:tcW w:w="472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720" w:type="dxa"/>
            <w:vAlign w:val="bottom"/>
            <w:vMerge w:val="restart"/>
          </w:tcPr>
          <w:p>
            <w:pPr>
              <w:jc w:val="right"/>
              <w:ind w:right="2799"/>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8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___________________________________</w:t>
      </w:r>
    </w:p>
    <w:p>
      <w:pPr>
        <w:spacing w:after="0" w:line="55" w:lineRule="exact"/>
        <w:rPr>
          <w:sz w:val="20"/>
          <w:szCs w:val="20"/>
          <w:color w:val="auto"/>
        </w:rPr>
      </w:pPr>
    </w:p>
    <w:p>
      <w:pPr>
        <w:jc w:val="both"/>
        <w:ind w:left="340" w:hanging="332"/>
        <w:spacing w:after="0" w:line="257"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Primarily represented investments in equity securities that were not readily marketable and were accounted for under the fair value option. The investments were funded by Acre Venture Partners, L.P. (Acre), a limited partnership in which we were the sole limited partner. Fair value was based on analyzing recent transactions and transactions of comparable companies, and the discounted cash flow method. In addition, allocation methods, including the option pricing method, were used in distributing fair value among various equity holders according to rights and preferences. We entered into an agreement to sell our interest in Acre on April 26, 2020, and completed the sale on May 8, 2020.</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equivalents were $200 at January 31, 2021, and $157 at August 2, 2020. Cash equivalents represent fair value as these highly liquid investments have an original maturity of three months or less. Fair value of cash equivalents is based on Level 2 inputs.</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short- and long-term debt was $6,670 at January 31, 2021, and $6,995 at August 2, 2020. The carrying value was $6,021 at January 31, 2021, and $6,196 at August 2, 2020. The fair value of long-term debt is principally estimated using Level 2 inputs based on quoted market prices or pricing models using current market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We suspended our share repurchases as of the second quarter of 2018. Approximately $1,296 remained available under the March 2017 program as of January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2021, we issued time-lapse restricted stock units, unrestricted stock and TSR performance restricted stock units. We have not issued stock options, FCF performance restricted stock units, or EPS performance restricted stock units in 2021.</w:t>
      </w:r>
    </w:p>
    <w:p>
      <w:pPr>
        <w:spacing w:after="0" w:line="5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52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January 31, 2021</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January 26,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January 31, 2021</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January 26, 2020</w:t>
            </w: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4"/>
        </w:trPr>
        <w:tc>
          <w:tcPr>
            <w:tcW w:w="586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Earnings from discontinued operations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January 26, 2020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Three Months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3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9"/>
        </w:trPr>
        <w:tc>
          <w:tcPr>
            <w:tcW w:w="4520" w:type="dxa"/>
            <w:vAlign w:val="bottom"/>
          </w:tcPr>
          <w:p>
            <w:pPr>
              <w:spacing w:after="0"/>
              <w:rPr>
                <w:sz w:val="24"/>
                <w:szCs w:val="24"/>
                <w:color w:val="auto"/>
              </w:rPr>
            </w:pPr>
          </w:p>
        </w:tc>
        <w:tc>
          <w:tcPr>
            <w:tcW w:w="3980" w:type="dxa"/>
            <w:vAlign w:val="bottom"/>
          </w:tcPr>
          <w:p>
            <w:pPr>
              <w:jc w:val="right"/>
              <w:ind w:right="26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The following table summarizes stock option activity as of January 31, 2021:</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7"/>
              <w:spacing w:after="0" w:line="135"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1040" w:type="dxa"/>
            <w:vAlign w:val="bottom"/>
          </w:tcPr>
          <w:p>
            <w:pPr>
              <w:jc w:val="center"/>
              <w:ind w:left="397"/>
              <w:spacing w:after="0" w:line="135"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2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397"/>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126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4"/>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2,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45.42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January 31,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48.00</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intrinsic value of options exercised during the six-month period ended January 26, 2020 was $1. We measured the fair value of stock options using the Black-Scholes option pricing model.</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January 31, 2021, total remaining unearned compensation related to nonvested stock options was $1, which will be amortized over the weighted-average remaining service period of less than one year.</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January 31, 2021:</w:t>
      </w:r>
    </w:p>
    <w:tbl>
      <w:tblPr>
        <w:tblLayout w:type="fixed"/>
        <w:tblInd w:w="0" w:type="dxa"/>
        <w:tblCellMar>
          <w:top w:w="0" w:type="dxa"/>
          <w:left w:w="0" w:type="dxa"/>
          <w:bottom w:w="0" w:type="dxa"/>
          <w:right w:w="0" w:type="dxa"/>
        </w:tblCellMar>
      </w:tblPr>
      <w:tr>
        <w:trPr>
          <w:trHeight w:val="144"/>
        </w:trPr>
        <w:tc>
          <w:tcPr>
            <w:tcW w:w="7600" w:type="dxa"/>
            <w:vAlign w:val="bottom"/>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7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8"/>
              </w:rPr>
              <w:t>Weighted-Average Grant-</w:t>
            </w:r>
          </w:p>
        </w:tc>
        <w:tc>
          <w:tcPr>
            <w:tcW w:w="0" w:type="dxa"/>
            <w:vAlign w:val="bottom"/>
          </w:tcPr>
          <w:p>
            <w:pPr>
              <w:spacing w:after="0"/>
              <w:rPr>
                <w:sz w:val="1"/>
                <w:szCs w:val="1"/>
                <w:color w:val="auto"/>
              </w:rPr>
            </w:pPr>
          </w:p>
        </w:tc>
      </w:tr>
      <w:tr>
        <w:trPr>
          <w:trHeight w:val="188"/>
        </w:trPr>
        <w:tc>
          <w:tcPr>
            <w:tcW w:w="76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30"/>
        </w:trPr>
        <w:tc>
          <w:tcPr>
            <w:tcW w:w="7600" w:type="dxa"/>
            <w:vAlign w:val="bottom"/>
          </w:tcPr>
          <w:p>
            <w:pPr>
              <w:spacing w:after="0"/>
              <w:rPr>
                <w:sz w:val="11"/>
                <w:szCs w:val="11"/>
                <w:color w:val="auto"/>
              </w:rPr>
            </w:pPr>
          </w:p>
        </w:tc>
        <w:tc>
          <w:tcPr>
            <w:tcW w:w="1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1"/>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6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2, 2020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expensed EPS performance restricted stock units on a graded-vesting basis, except for awards issued to retirement-eligible participants, which we expensed on an accelerated basis. The actual number of EPS performance restricted stock units issued at the vesting date was either 0% or 100% of the initial grant, depending on actual performance achieved. We estimated expense based on the number of awards expected to vest. As of January 31, 2021, there were no EPS performance target grants outstanding.</w:t>
      </w:r>
    </w:p>
    <w:p>
      <w:pPr>
        <w:spacing w:after="0" w:line="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2019, we issued approximately 388 thousand FCF performance restricted stock units for which vesting is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will be averaged at the end 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is based upon the quoted price of our stock at the date of grant. We expense FCF performance restricted stock units over the requisite service period of each objective. As of January 31, 2021, we have granted all of the issued FCF performance restricted stock units, which are included in the table above. There were 243 thousand FCF performance target grants outstanding at January 31, 2021, with a weighted-average grant-date fair value of $44.10.</w:t>
      </w:r>
    </w:p>
    <w:p>
      <w:pPr>
        <w:spacing w:after="0" w:line="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2021, total remaining unearned compensation related to nonvested time-lapse restricted stock units and FCF performance restricted units was $49, which will be amortized over the weighted-average remaining service period of 1.8 years. The fair value of restricted stock units vested during the six-month periods ended January 31, 2021, and January 26,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2020, was $35, and $32, respectively. The weighted-average grant-date fair value of the restricted stock units granted during the six-month period ended January 26, 2020 was $46.81.</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January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30"/>
        </w:trPr>
        <w:tc>
          <w:tcPr>
            <w:tcW w:w="7800" w:type="dxa"/>
            <w:vAlign w:val="bottom"/>
          </w:tcPr>
          <w:p>
            <w:pPr>
              <w:spacing w:after="0"/>
              <w:rPr>
                <w:sz w:val="11"/>
                <w:szCs w:val="11"/>
                <w:color w:val="auto"/>
              </w:rPr>
            </w:pPr>
          </w:p>
        </w:tc>
        <w:tc>
          <w:tcPr>
            <w:tcW w:w="1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1"/>
              </w:rPr>
              <w:t>(Restricted stock</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 in thousands)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2,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Assumptions used in the Monte Carlo simulation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2.85%</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29.99%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27.01%</w:t>
            </w:r>
          </w:p>
        </w:tc>
      </w:tr>
      <w:tr>
        <w:trPr>
          <w:trHeight w:val="234"/>
        </w:trPr>
        <w:tc>
          <w:tcPr>
            <w:tcW w:w="86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3 years</w:t>
            </w:r>
          </w:p>
        </w:tc>
        <w:tc>
          <w:tcPr>
            <w:tcW w:w="1260" w:type="dxa"/>
            <w:vAlign w:val="bottom"/>
          </w:tcPr>
          <w:p>
            <w:pPr>
              <w:ind w:left="360"/>
              <w:spacing w:after="0"/>
              <w:rPr>
                <w:sz w:val="20"/>
                <w:szCs w:val="20"/>
                <w:color w:val="auto"/>
              </w:rPr>
            </w:pPr>
            <w:r>
              <w:rPr>
                <w:rFonts w:ascii="Arial" w:cs="Arial" w:eastAsia="Arial" w:hAnsi="Arial"/>
                <w:sz w:val="18"/>
                <w:szCs w:val="18"/>
                <w:color w:val="auto"/>
              </w:rPr>
              <w:t>3 years</w:t>
            </w:r>
          </w:p>
        </w:tc>
      </w:tr>
    </w:tbl>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except for awards issued to retirement eligible participants, which we expense on an accelerated basis. As of January 31, 2021, total remaining unearned compensation related to TSR performance restricted stock units was $35, which will be amortized over the weighted-average remaining service period of 2.0 years. In the first quarter of 2021, recipients of TSR performance restricted stock units earned 50% of the initial grants based upon our TSR ranking in a performance peer group during a three-year period ended July 31, 2020. In the first quarter of 2020, recipients of TSR performance restricted stock units earned 0% of the initial grants based upon our TSR ranking in a performance peer group during a three-year period ended July 26, 2019. The fair value of TSR performance restricted stock units vested during the six-month period ended January 31, 2021 was $11. The grant-date fair value of the TSR performance restricted stock units granted during 2020 was $63.06.</w:t>
      </w:r>
    </w:p>
    <w:p>
      <w:pPr>
        <w:spacing w:after="0" w:line="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excess tax benefits of $1 in the six-month periods ended January 31, 2021, and January 26, 2020, on the exercise of stock options and vested restricted stock were presented as cash flows from operating activities. Cash received from the exercise of stock options was $4 for the six-month period ended January 26, 2020, and is reflected in cash flows from financing activities in the Consolidated Statements of Cash Flows.</w:t>
      </w:r>
    </w:p>
    <w:p>
      <w:pPr>
        <w:spacing w:after="0" w:line="121" w:lineRule="exact"/>
        <w:rPr>
          <w:sz w:val="20"/>
          <w:szCs w:val="20"/>
          <w:color w:val="auto"/>
        </w:rPr>
      </w:pPr>
    </w:p>
    <w:p>
      <w:pPr>
        <w:ind w:right="8420" w:firstLine="8"/>
        <w:spacing w:after="0" w:line="407" w:lineRule="auto"/>
        <w:tabs>
          <w:tab w:leader="none" w:pos="27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Regulatory and Litigation Matters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January 7, 2019, three purported shareholder class action lawsuits pending in the United States District Court for the District of New Jersey (the Court) were consolidated under the caption, </w:t>
      </w:r>
      <w:r>
        <w:rPr>
          <w:rFonts w:ascii="Arial" w:cs="Arial" w:eastAsia="Arial" w:hAnsi="Arial"/>
          <w:sz w:val="18"/>
          <w:szCs w:val="18"/>
          <w:i w:val="1"/>
          <w:iCs w:val="1"/>
          <w:color w:val="auto"/>
        </w:rPr>
        <w:t>In re Campbell Soup Company Securities Litigation</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We are vigorously defending against the Action.</w:t>
      </w:r>
    </w:p>
    <w:p>
      <w:pPr>
        <w:spacing w:after="0" w:line="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31, 2021.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Arial" w:cs="Arial" w:eastAsia="Arial" w:hAnsi="Arial"/>
                <w:sz w:val="18"/>
                <w:szCs w:val="18"/>
                <w:b w:val="1"/>
                <w:bCs w:val="1"/>
                <w:color w:val="auto"/>
              </w:rPr>
              <w:t>16. Supplemental Financial Statement Data</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Balance Sheets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January 31, 2021</w:t>
            </w:r>
          </w:p>
        </w:tc>
        <w:tc>
          <w:tcPr>
            <w:tcW w:w="200" w:type="dxa"/>
            <w:vAlign w:val="bottom"/>
          </w:tcPr>
          <w:p>
            <w:pPr>
              <w:spacing w:after="0"/>
              <w:rPr>
                <w:sz w:val="24"/>
                <w:szCs w:val="24"/>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August 2,</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Raw materials, containers and supplies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Statements of Earnings</w:t>
            </w: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60" w:type="dxa"/>
            <w:vAlign w:val="bottom"/>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1"/>
        </w:trPr>
        <w:tc>
          <w:tcPr>
            <w:tcW w:w="626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31, 2021</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26, 2020</w:t>
            </w:r>
          </w:p>
        </w:tc>
        <w:tc>
          <w:tcPr>
            <w:tcW w:w="10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31, 2021</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January 26, 2020</w:t>
            </w:r>
          </w:p>
        </w:tc>
        <w:tc>
          <w:tcPr>
            <w:tcW w:w="0" w:type="dxa"/>
            <w:vAlign w:val="bottom"/>
          </w:tcPr>
          <w:p>
            <w:pPr>
              <w:spacing w:after="0"/>
              <w:rPr>
                <w:sz w:val="1"/>
                <w:szCs w:val="1"/>
                <w:color w:val="auto"/>
              </w:rPr>
            </w:pPr>
          </w:p>
        </w:tc>
      </w:tr>
      <w:tr>
        <w:trPr>
          <w:trHeight w:val="211"/>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jc w:val="right"/>
              <w:ind w:right="15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income other than the service cost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Pension settlement gains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losses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Loss on sale of business</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services fees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-143510</wp:posOffset>
            </wp:positionV>
            <wp:extent cx="3162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See Note 3 for additional information.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3960"/>
        <w:spacing w:after="0" w:line="354"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2, 2020, including but not limited to "Part I - Item 1A. Risk Factors" and "Part II - Item 7. Management's Discussion and Analysis of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We have reflected the results of operations of the Kelsen business and the Arnott’s and other international operations (collectively referred to as Campbell International) as discontinued operations in the Consolidated Statements of Earnings.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 See Notes 3 and 6 to the Consolidated Financial Statements for additional information on these divestitures and reportable segments.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0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We have been actively monitoring the impact of COVID-19 on all aspects of our business. During the second quarter of 2021, we continued to experience higher sales for our retail products in both our Meals &amp; Beverages and Snacks segments, especially in retail chains and large grocery supermarkets. This result is attributable to a shift in retail demand, as consumers have significantly increased their current food purchases for at-home consumption, which has more than offset the declines in our foodservice products. We expect that these trends will continue through our third quarter of 2021 in response to the continued spread of COVID-19; although in the third quarter of 2021, we will be lapping the initial COVID-19-related elevated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demand of the year-ago period, and therefore, we expect sales to decline compared to the year-ago period. The recent higher sales trends of our retail products may lessen or reverse in the coming months if customers or consumers alter their purchasing habits.</w:t>
      </w:r>
    </w:p>
    <w:p>
      <w:pPr>
        <w:spacing w:after="0" w:line="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With the increased demand for our retail products, we have made changes in our supply chain network to increase overall production, including modifying production schedules and temporarily adjusting product mix. In addition, we have also adjusted the timing of some of our promotional spending. In the quarter, we continued to experience higher costs in certain areas such as employee compensation costs, as well as costs associated with health screenings, temperature checks and enhanced cleaning and sanitation protocols to protect our employees and product quality standards, which may continue or increase. Despite COVID-19 related absenteeism and labor-related restrictions in early 2021 due to worsening COVID-19 infection levels in certain localities, none of our production operations have experienced significant disruptions or labor reductions related to COVID-19. We continue to benefit overall from increased product demand as we leverage our supply chain assets. There has been limited disruption to our supply chain network to date, as we have overcome periodic shortages of ingredient and packaging materials. However, we continue to monitor the potential impact of the COVID-19 pandemic, and we cannot predict the ultimate impact on our suppliers, distributors or manufacturers. In addition, we were, and may continue to be, unable to fulfill all orders we receive from our customers.</w:t>
      </w:r>
    </w:p>
    <w:p>
      <w:pPr>
        <w:spacing w:after="0" w:line="50"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The impact of COVID-19 remains uncertain and ultimately will be dictated by the length and severity of the pandemic; the federal, state and local government actions taken in response; the macroeconomic environment; and the availability and widespread distribution and use of a safe and effective vaccine. Although there are vaccines for COVID-19 that have been approved for use, the number of individuals who have completed a full vaccination</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regimen is limited at this time. Accordingly, there remains significant uncertainty about the duration and extent of the impact from COVID-19. We will continue to evaluate the extent to which COVID-19 will impact our business, consolidated results of operations and financial condition.</w:t>
      </w:r>
    </w:p>
    <w:p>
      <w:pPr>
        <w:spacing w:after="0" w:line="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there was significant winter weather across most of the United States affecting both inbound and outbound supply and distribution. We experienced operational disruptions at several of our manufacturing plants and distribution centers in areas of the country that were adversely impacted. Although we currently do not expect the weather-related issues to have a material impact on our results of operations for the third quarter ending May 2, 2021, we are continuing to assess the full impact.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04"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5% in 2021 to $2,279 million, due to gains in both Meals &amp; Beverages and Snacks. As a result of COVID-19, net sales accelerated across our portfolio in the second quarter of 2021 with increased demand of food purchases for at-home consumption. The gains were partly offset by declines in foodservice and in partner brands within the Snyder's-Lance portfolio.</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 decreased to $55 million in 2021 from $149 million in 2020. The prior year included a loss of $75 million related to the extinguishment of debt. After adjusting for this item, interest expense declined primarily due to lower levels of debt.</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from continuing operations per share were $.80 in 2021, compared to $.56 a year ago. The current and prior year included expenses of $.04 and $.16 per share, respectively, from items impacting comparability as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04" w:lineRule="exact"/>
        <w:rPr>
          <w:sz w:val="20"/>
          <w:szCs w:val="20"/>
          <w:color w:val="auto"/>
        </w:rPr>
      </w:pPr>
    </w:p>
    <w:p>
      <w:pPr>
        <w:jc w:val="both"/>
        <w:ind w:left="660" w:hanging="328"/>
        <w:spacing w:after="0" w:line="26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implemented several cost savings initiatives in recent years. In the second quarter of 2021, we recorded a pre-tax restructuring charge of $18 million and implementation costs and other related costs of $6 million in Administrative expenses and a reduction to Cost of products sold of $2 million (aggregate impact of $16 million after tax, or $.05 per share) related to these initiatives. Year-to-date in 2021, we recorded a pre-tax restructuring charge of $19 million and implementation costs and other related costs of $10 million in Administrative expenses and a reduction to Cost of products sold of $1 million (aggregate impact of $21 million after tax, or $.07 per share) related to these initiatives. In the second quarter of 2020, we recorded a pre-tax restructuring charge of $7 million and implementation costs and other related costs of $13 million in Administrative expenses, $2 million in Cost of products sold, $2 million in Marketing and selling expenses, and $1 million in Research and development expenses (aggregate impact of $19 million after tax, or $.06 per share) related to these initiatives. Year-to-date in 2020, we recorded a pre-tax restructuring charge of $10 million and implementation costs and other related costs of $21 million in Administrative expenses, $2 million in Cost of products sold, $2 million in Marketing and selling expenses, and $1 million in Research and development expenses (aggregate impact of $27 million after tax, or $.09 per share) related to these initiatives. See Note 7 to the Consolidated Financial Statements and "Restructuring Charges and Cost Savings Initiatives" for additional information;</w:t>
      </w:r>
    </w:p>
    <w:p>
      <w:pPr>
        <w:spacing w:after="0" w:line="57"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2021, we recognized pre-tax pension settlement gains in Other expenses / (income) of $30 million ($23 million after tax, or $.08 per share). Year-to-date in 2021, we recognized pre-tax pension settlement gains in Other expenses / (income) of $34 million ($26 million after tax, or $.09 per share). In the second quarter of 2020, we recognized pre-tax pension settlement gains in Other expenses / (income) of $11 million ($8 million after tax, or $.03 per share). The settlements were associated with U.S. and Canadian pension plans and resulted from the level of lump sum distributions from the plans' assets;</w:t>
      </w:r>
    </w:p>
    <w:p>
      <w:pPr>
        <w:spacing w:after="0" w:line="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2021, we recorded a $19 million ($.06 per share) deferred tax charge in connection with a legal entity reorganization as part of the continued integration of Snyder's-Lance, Inc. (Snyder's-Lance);</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2020, we recorded a loss in Interest expense of $75 million ($57 million after tax, or $.19 per share) on the extinguishment of debt; and</w:t>
      </w:r>
    </w:p>
    <w:p>
      <w:pPr>
        <w:spacing w:after="0" w:line="4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2020, we recorded a tax benefit of $19 million ($.06 per share) on the sale of our European chips business. Year-to-date in 2020, we recorded a loss in Other expenses / (income) of $64 million ($41 million after tax, or $.14 per share) on the sale of our European chips business.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second quarter of 2020, we recognized pre-tax gains of $1,087 million associated with the sale of the Arnott's and other international operations. In addition, we recorded tax expense of $4 million associated with the sale of the Kelsen business. The aggregate impact was $1,025 million after tax, or $3.37 per share. Year-to-date in 2020, we recognized pre-tax net gains of $1,036 million ($998 million after tax, or $3.29 per share) associated with the sale of Campbell International.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January 31,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January 26, 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0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800" w:type="dxa"/>
            <w:vAlign w:val="bottom"/>
          </w:tcPr>
          <w:p>
            <w:pPr>
              <w:jc w:val="center"/>
              <w:ind w:right="113"/>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gridSpan w:val="3"/>
          </w:tcPr>
          <w:p>
            <w:pPr>
              <w:spacing w:after="0" w:line="203" w:lineRule="exact"/>
              <w:rPr>
                <w:sz w:val="20"/>
                <w:szCs w:val="20"/>
                <w:color w:val="auto"/>
              </w:rPr>
            </w:pPr>
            <w:r>
              <w:rPr>
                <w:rFonts w:ascii="Arial" w:cs="Arial" w:eastAsia="Arial" w:hAnsi="Arial"/>
                <w:sz w:val="18"/>
                <w:szCs w:val="18"/>
                <w:color w:val="auto"/>
              </w:rPr>
              <w:t>Earnings from discontinued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settlement gains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Deferred tax charge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Tax benefit associated with divestiture</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Gains associated with divestitures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from discontinued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January 31,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January 26, 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0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800" w:type="dxa"/>
            <w:vAlign w:val="bottom"/>
          </w:tcPr>
          <w:p>
            <w:pPr>
              <w:jc w:val="center"/>
              <w:ind w:right="113"/>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3"/>
          </w:tcPr>
          <w:p>
            <w:pPr>
              <w:spacing w:after="0" w:line="203" w:lineRule="exact"/>
              <w:rPr>
                <w:sz w:val="20"/>
                <w:szCs w:val="20"/>
                <w:color w:val="auto"/>
              </w:rPr>
            </w:pPr>
            <w:r>
              <w:rPr>
                <w:rFonts w:ascii="Arial" w:cs="Arial" w:eastAsia="Arial" w:hAnsi="Arial"/>
                <w:sz w:val="18"/>
                <w:szCs w:val="18"/>
                <w:color w:val="auto"/>
              </w:rPr>
              <w:t>Earnings from discontinued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settlement gains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Deferred tax charge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Charges associated with divestiture</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Gains associated with divestitures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from discontinued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4" w:lineRule="auto"/>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Sum of the individual amounts may not add due to rounding.</w:t>
      </w:r>
    </w:p>
    <w:p>
      <w:pPr>
        <w:spacing w:after="0" w:line="7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Earnings from continuing operations were $245 million ($.80 per share) in the current quarter, compared to $171 million ($.56 per share) in the year-ago quarter. After adjusting for items impacting comparability, earnings from continuing operations increased reflecting sales volume gains and lower interest expense, partially offset by increased administrative expenses.</w:t>
      </w:r>
    </w:p>
    <w:p>
      <w:pPr>
        <w:spacing w:after="0" w:line="6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Earnings from continuing operations were $554 million ($1.82 per share) in the six-month period this year, compared to $340 million ($1.12 per share) in the year-ago period. After adjusting for items impacting comparability, earnings from continuing operations increased reflecting sales volume gains, lower interest expense, an improved gross profit performance and higher other income, partially offset by increased administrative expenses.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9"/>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January 31,</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January 26,</w:t>
            </w:r>
          </w:p>
        </w:tc>
        <w:tc>
          <w:tcPr>
            <w:tcW w:w="80" w:type="dxa"/>
            <w:vAlign w:val="bottom"/>
          </w:tcPr>
          <w:p>
            <w:pPr>
              <w:spacing w:after="0"/>
              <w:rPr>
                <w:sz w:val="11"/>
                <w:szCs w:val="11"/>
                <w:color w:val="auto"/>
              </w:rPr>
            </w:pPr>
          </w:p>
        </w:tc>
        <w:tc>
          <w:tcPr>
            <w:tcW w:w="14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840" w:type="dxa"/>
            <w:vAlign w:val="bottom"/>
            <w:gridSpan w:val="6"/>
          </w:tcPr>
          <w:p>
            <w:pPr>
              <w:ind w:left="160"/>
              <w:spacing w:after="0"/>
              <w:rPr>
                <w:sz w:val="20"/>
                <w:szCs w:val="20"/>
                <w:color w:val="auto"/>
              </w:rPr>
            </w:pPr>
            <w:r>
              <w:rPr>
                <w:rFonts w:ascii="Arial" w:cs="Arial" w:eastAsia="Arial" w:hAnsi="Arial"/>
                <w:sz w:val="14"/>
                <w:szCs w:val="14"/>
                <w:b w:val="1"/>
                <w:bCs w:val="1"/>
                <w:color w:val="auto"/>
              </w:rPr>
              <w:t>Meals &amp; Beverages</w:t>
            </w:r>
          </w:p>
        </w:tc>
        <w:tc>
          <w:tcPr>
            <w:tcW w:w="200" w:type="dxa"/>
            <w:vAlign w:val="bottom"/>
          </w:tcPr>
          <w:p>
            <w:pPr>
              <w:spacing w:after="0"/>
              <w:rPr>
                <w:sz w:val="18"/>
                <w:szCs w:val="18"/>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rPr>
              <w:t>Snacks</w:t>
            </w:r>
            <w:r>
              <w:rPr>
                <w:rFonts w:ascii="Arial" w:cs="Arial" w:eastAsia="Arial" w:hAnsi="Arial"/>
                <w:sz w:val="9"/>
                <w:szCs w:val="9"/>
                <w:b w:val="1"/>
                <w:bCs w:val="1"/>
                <w:color w:val="auto"/>
              </w:rPr>
              <w:t>(2)</w:t>
            </w:r>
          </w:p>
        </w:tc>
        <w:tc>
          <w:tcPr>
            <w:tcW w:w="144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right="455"/>
              <w:spacing w:after="0"/>
              <w:rPr>
                <w:sz w:val="20"/>
                <w:szCs w:val="20"/>
                <w:color w:val="auto"/>
              </w:rPr>
            </w:pPr>
            <w:r>
              <w:rPr>
                <w:rFonts w:ascii="Arial" w:cs="Arial" w:eastAsia="Arial" w:hAnsi="Arial"/>
                <w:sz w:val="18"/>
                <w:szCs w:val="18"/>
                <w:color w:val="auto"/>
                <w:w w:val="92"/>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right="315"/>
              <w:spacing w:after="0"/>
              <w:rPr>
                <w:sz w:val="20"/>
                <w:szCs w:val="20"/>
                <w:color w:val="auto"/>
              </w:rPr>
            </w:pPr>
            <w:r>
              <w:rPr>
                <w:rFonts w:ascii="Arial" w:cs="Arial" w:eastAsia="Arial" w:hAnsi="Arial"/>
                <w:sz w:val="18"/>
                <w:szCs w:val="18"/>
                <w:color w:val="auto"/>
                <w:w w:val="92"/>
              </w:rPr>
              <w:t>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455"/>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center"/>
              <w:ind w:right="6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(Increased) / decreased promotional spending</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right="455"/>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335"/>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455"/>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5"/>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and consumer coupon redemption programs.</w:t>
      </w:r>
    </w:p>
    <w:p>
      <w:pPr>
        <w:spacing w:after="0" w:line="82" w:lineRule="exact"/>
        <w:rPr>
          <w:rFonts w:ascii="Arial" w:cs="Arial" w:eastAsia="Arial" w:hAnsi="Arial"/>
          <w:sz w:val="23"/>
          <w:szCs w:val="23"/>
          <w:color w:val="auto"/>
          <w:vertAlign w:val="superscript"/>
        </w:rPr>
      </w:pPr>
    </w:p>
    <w:p>
      <w:pPr>
        <w:ind w:left="320" w:hanging="312"/>
        <w:spacing w:after="0" w:line="207"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Meals &amp; Beverages, sales increased 6% primarily due to gains across U.S. retail products, including gains in U.S. soup,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pasta, partially offset by declines in foodservice. Volume increased in U.S. retail driven by COVID-19, with increased demand of food purchases for at-home consumption. Foodservice sales were negatively impacted by an increase in COVID-19 related restrictions. Sales of U.S. soup increased 10% due to volume gains in condensed soups and ready-to-serve soups. Promotional activity was moderated this quarter in part due to supply chain constraints, particularly on broth.</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Snacks, sales increased 4% due to volume gains fueled by the majority of our power brands and lower levels of promotional spending on supply constrained brands. The sales increase reflects gains in salty snacks, including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potato chips,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 and </w:t>
      </w:r>
      <w:r>
        <w:rPr>
          <w:rFonts w:ascii="Arial" w:cs="Arial" w:eastAsia="Arial" w:hAnsi="Arial"/>
          <w:sz w:val="18"/>
          <w:szCs w:val="18"/>
          <w:i w:val="1"/>
          <w:iCs w:val="1"/>
          <w:color w:val="auto"/>
        </w:rPr>
        <w:t>Pop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Secret </w:t>
      </w:r>
      <w:r>
        <w:rPr>
          <w:rFonts w:ascii="Arial" w:cs="Arial" w:eastAsia="Arial" w:hAnsi="Arial"/>
          <w:sz w:val="18"/>
          <w:szCs w:val="18"/>
          <w:color w:val="auto"/>
        </w:rPr>
        <w:t>popcorn, as well as fresh bakery, including</w:t>
      </w:r>
      <w:r>
        <w:rPr>
          <w:rFonts w:ascii="Arial" w:cs="Arial" w:eastAsia="Arial" w:hAnsi="Arial"/>
          <w:sz w:val="18"/>
          <w:szCs w:val="18"/>
          <w:i w:val="1"/>
          <w:iCs w:val="1"/>
          <w:color w:val="auto"/>
        </w:rPr>
        <w:t xml:space="preserve"> Pepperidge Farm </w:t>
      </w:r>
      <w:r>
        <w:rPr>
          <w:rFonts w:ascii="Arial" w:cs="Arial" w:eastAsia="Arial" w:hAnsi="Arial"/>
          <w:sz w:val="18"/>
          <w:szCs w:val="18"/>
          <w:color w:val="auto"/>
        </w:rPr>
        <w:t>Farmhouse products. These gains were partially offset by declines in partner brands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the Snyder's-Lance portfolio and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which faced supply constraints this quarter. Partner brands consist of third-party branded products that we sell.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$41 million in 2021 from 2020. As a percent of sales, gross profit was 34.4% in 2021 and 34.3% in 2020.</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0.1 percentage-point increase in gross profit percentage was due to the following factors: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Margin Impact</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1.4</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Lower level of promotional spending</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1.2</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 restructuring-related costs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0.2</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(0.1)</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w:t>
            </w:r>
          </w:p>
        </w:tc>
      </w:tr>
      <w:tr>
        <w:trPr>
          <w:trHeight w:val="230"/>
        </w:trPr>
        <w:tc>
          <w:tcPr>
            <w:tcW w:w="9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(2.3)</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0.1%</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45" w:lineRule="exact"/>
        <w:rPr>
          <w:sz w:val="20"/>
          <w:szCs w:val="20"/>
          <w:color w:val="auto"/>
        </w:rPr>
      </w:pPr>
    </w:p>
    <w:p>
      <w:pPr>
        <w:ind w:left="34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1.0 from the benefit of cost savings initiatives and operating leverage, which was more than offset by cost inflation and other factors, including the impact of COVID-19.</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Marketing and selling expenses as a percent of sales were 10.2% in 2021 compared to 11.0% in 2020. Marketing and selling expenses decreased 2% in 2021 from 2020. The decrease was primarily due to increased benefits from cost savings initiatives (approximately 3 percentage points); lower costs related to marketing overhead (approximately 1 percentage point) and lower costs associated with cost savings initiatives (approximately 1 percentage point), partially offset by higher advertising and consumer promotion expenses (approximately 4 percentage points). The increase in advertising and consumer promotion expenses was primarily in Snacks due to increased support of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pretzels, </w:t>
      </w:r>
      <w:r>
        <w:rPr>
          <w:rFonts w:ascii="Arial" w:cs="Arial" w:eastAsia="Arial" w:hAnsi="Arial"/>
          <w:sz w:val="17"/>
          <w:szCs w:val="17"/>
          <w:i w:val="1"/>
          <w:iCs w:val="1"/>
          <w:color w:val="auto"/>
        </w:rPr>
        <w:t>Snack Factory Pretzel Crisps</w:t>
      </w:r>
      <w:r>
        <w:rPr>
          <w:rFonts w:ascii="Arial" w:cs="Arial" w:eastAsia="Arial" w:hAnsi="Arial"/>
          <w:sz w:val="17"/>
          <w:szCs w:val="17"/>
          <w:color w:val="auto"/>
        </w:rPr>
        <w:t xml:space="preserve"> and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potato chips, as well as in Meals &amp; Beverages due to increased support of U.S. soup.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6.9% in 2021 compared to 6.8% in 2020. Administrative expenses increased 7% in 2021 from 2020. The increase was primarily due to higher benefit-related costs (approximately 8 percentage points) and higher general administrative costs (approximately 5 percentage points), partially offset by lower costs associated with cost savings initiatives (approximately 5 percentage points) and increased benefits from cost savings initiatives (approximately 2 percentage points).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was $45 million in 2021 compared to $22 million in 2020. Other income included pension settlement gains of $30 million in 2021 and $11 million in 2020. Excluding these amounts, the remaining increase in other income was primarily due to transition services fees, partially offset by lower net periodic benefit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6% in 2021 from 2020.</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1"/>
                <w:szCs w:val="11"/>
                <w:color w:val="auto"/>
              </w:rPr>
            </w:pPr>
          </w:p>
        </w:tc>
        <w:tc>
          <w:tcPr>
            <w:tcW w:w="13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1"/>
                <w:szCs w:val="11"/>
                <w:color w:val="auto"/>
              </w:rPr>
            </w:pPr>
          </w:p>
        </w:tc>
        <w:tc>
          <w:tcPr>
            <w:tcW w:w="1180" w:type="dxa"/>
            <w:vAlign w:val="bottom"/>
          </w:tcPr>
          <w:p>
            <w:pPr>
              <w:jc w:val="right"/>
              <w:ind w:right="255"/>
              <w:spacing w:after="0" w:line="135" w:lineRule="exact"/>
              <w:rPr>
                <w:sz w:val="20"/>
                <w:szCs w:val="20"/>
                <w:color w:val="auto"/>
              </w:rPr>
            </w:pPr>
            <w:r>
              <w:rPr>
                <w:rFonts w:ascii="Arial" w:cs="Arial" w:eastAsia="Arial" w:hAnsi="Arial"/>
                <w:sz w:val="14"/>
                <w:szCs w:val="14"/>
                <w:b w:val="1"/>
                <w:bCs w:val="1"/>
                <w:color w:val="auto"/>
              </w:rPr>
              <w:t>January 26,</w:t>
            </w:r>
          </w:p>
        </w:tc>
        <w:tc>
          <w:tcPr>
            <w:tcW w:w="1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136</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Meals &amp; Beverages increased 7%. The increase was primarily due to sales volume gains, partially offset by lower gross profit performance and higher administrative expenses.</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Snacks increased 6%. The increase was primarily due to sales volume gains and lower selling expenses, partially offset by higher marketing investment, increased administrative expenses and lower gross profit performance.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Corporate in 2021 included pension settlement gains of $30 million and costs of $4 million related to costs savings initiatives. Corporate in 2020 included costs of $18 million related to cost savings initiatives and pension settlement gains of $11 million. Excluding these amounts, the remaining decrease in expenses primarily reflects mark-to-market gains on outstanding commodity hedges.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$55 million in 2021 from $149 million in 2020. The decrease in interest expense was due to a loss on extinguishment of debt of $75 million in the prior year and lower levels of debt.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effective tax rate was 29.4% in 2021 and 16.2% in 2020. The increase in the effective tax rate was primarily due to a $19 million deferred tax charge recognized in the second quarter of 2021 in connection with a legal entity reorganization as part of the continued integration of Snyder's-Lance and a tax benefit of $19 million we recognized in the second quarter in 2020 on the $64 million loss on the sale of the European chips business recorded in the first quarter of 2020. We were able to use the capital loss on the sale of the European chips business to offset a portion of the capital gain from the sale of the Arnott's and other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SIX-MONTH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9"/>
          </w:tcPr>
          <w:p>
            <w:pPr>
              <w:ind w:left="68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January 31,</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ind w:left="140"/>
              <w:spacing w:after="0" w:line="135" w:lineRule="exact"/>
              <w:rPr>
                <w:sz w:val="20"/>
                <w:szCs w:val="20"/>
                <w:color w:val="auto"/>
              </w:rPr>
            </w:pPr>
            <w:r>
              <w:rPr>
                <w:rFonts w:ascii="Arial" w:cs="Arial" w:eastAsia="Arial" w:hAnsi="Arial"/>
                <w:sz w:val="14"/>
                <w:szCs w:val="14"/>
                <w:b w:val="1"/>
                <w:bCs w:val="1"/>
                <w:color w:val="auto"/>
              </w:rPr>
              <w:t>January 26,</w:t>
            </w:r>
          </w:p>
        </w:tc>
        <w:tc>
          <w:tcPr>
            <w:tcW w:w="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1,977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840" w:type="dxa"/>
            <w:vAlign w:val="bottom"/>
            <w:gridSpan w:val="6"/>
          </w:tcPr>
          <w:p>
            <w:pPr>
              <w:ind w:left="160"/>
              <w:spacing w:after="0"/>
              <w:rPr>
                <w:sz w:val="20"/>
                <w:szCs w:val="20"/>
                <w:color w:val="auto"/>
              </w:rPr>
            </w:pPr>
            <w:r>
              <w:rPr>
                <w:rFonts w:ascii="Arial" w:cs="Arial" w:eastAsia="Arial" w:hAnsi="Arial"/>
                <w:sz w:val="14"/>
                <w:szCs w:val="14"/>
                <w:b w:val="1"/>
                <w:bCs w:val="1"/>
                <w:color w:val="auto"/>
              </w:rPr>
              <w:t>Meals &amp; Beverages</w:t>
            </w:r>
          </w:p>
        </w:tc>
        <w:tc>
          <w:tcPr>
            <w:tcW w:w="220" w:type="dxa"/>
            <w:vAlign w:val="bottom"/>
          </w:tcPr>
          <w:p>
            <w:pPr>
              <w:spacing w:after="0"/>
              <w:rPr>
                <w:sz w:val="18"/>
                <w:szCs w:val="18"/>
                <w:color w:val="auto"/>
              </w:rPr>
            </w:pP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Snacks</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right="455"/>
              <w:spacing w:after="0"/>
              <w:rPr>
                <w:sz w:val="20"/>
                <w:szCs w:val="20"/>
                <w:color w:val="auto"/>
              </w:rPr>
            </w:pPr>
            <w:r>
              <w:rPr>
                <w:rFonts w:ascii="Arial" w:cs="Arial" w:eastAsia="Arial" w:hAnsi="Arial"/>
                <w:sz w:val="18"/>
                <w:szCs w:val="18"/>
                <w:color w:val="auto"/>
                <w:w w:val="92"/>
              </w:rPr>
              <w:t>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right="335"/>
              <w:spacing w:after="0"/>
              <w:rPr>
                <w:sz w:val="20"/>
                <w:szCs w:val="20"/>
                <w:color w:val="auto"/>
              </w:rPr>
            </w:pPr>
            <w:r>
              <w:rPr>
                <w:rFonts w:ascii="Arial" w:cs="Arial" w:eastAsia="Arial" w:hAnsi="Arial"/>
                <w:sz w:val="18"/>
                <w:szCs w:val="18"/>
                <w:color w:val="auto"/>
                <w:w w:val="92"/>
              </w:rPr>
              <w:t>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455"/>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4"/>
          </w:tcPr>
          <w:p>
            <w:pPr>
              <w:jc w:val="center"/>
              <w:ind w:right="6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(Increased) / decreased promotional spending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455"/>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355"/>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Divestiture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4"/>
          </w:tcPr>
          <w:p>
            <w:pPr>
              <w:jc w:val="center"/>
              <w:ind w:righ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00" w:type="dxa"/>
            <w:vAlign w:val="bottom"/>
          </w:tcPr>
          <w:p>
            <w:pPr>
              <w:jc w:val="center"/>
              <w:ind w:right="355"/>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ind w:right="1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center"/>
              <w:ind w:right="455"/>
              <w:spacing w:after="0"/>
              <w:rPr>
                <w:sz w:val="20"/>
                <w:szCs w:val="20"/>
                <w:color w:val="auto"/>
              </w:rPr>
            </w:pPr>
            <w:r>
              <w:rPr>
                <w:rFonts w:ascii="Arial" w:cs="Arial" w:eastAsia="Arial" w:hAnsi="Arial"/>
                <w:sz w:val="18"/>
                <w:szCs w:val="18"/>
                <w:color w:val="auto"/>
                <w:w w:val="92"/>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center"/>
              <w:ind w:right="335"/>
              <w:spacing w:after="0"/>
              <w:rPr>
                <w:sz w:val="20"/>
                <w:szCs w:val="20"/>
                <w:color w:val="auto"/>
              </w:rPr>
            </w:pPr>
            <w:r>
              <w:rPr>
                <w:rFonts w:ascii="Arial" w:cs="Arial" w:eastAsia="Arial" w:hAnsi="Arial"/>
                <w:sz w:val="18"/>
                <w:szCs w:val="18"/>
                <w:color w:val="auto"/>
                <w:w w:val="92"/>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Meals &amp; Beverages, sales increased 9% primarily due to gains across U.S. retail products, including gains in U.S. soup,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pasta, partially offset by declines in foodservice. Volume increased in U.S. retail driven by COVID-19, with increased demand of food purchases for at-home consumption this year. Foodservice sales were negatively impacted by shifts in consumer behavior and continued COVID-19 related restrictions. Sales of U.S. soup increased 15% due to volume gains in condensed soups, ready-to-serve soups and broth and moderated promotional spending.</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Snacks, sales increased 3% reflecting a 1-point negative impact from the sale of the European chips business. Excluding the divestiture, sales increased driven by volume gains in the majority of our power brands and lower levels of promotional spending on supply constrained brands. The sales increase reflects gains in fresh bakery products,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w:t>
      </w:r>
      <w:r>
        <w:rPr>
          <w:rFonts w:ascii="Arial" w:cs="Arial" w:eastAsia="Arial" w:hAnsi="Arial"/>
          <w:sz w:val="18"/>
          <w:szCs w:val="18"/>
          <w:i w:val="1"/>
          <w:iCs w:val="1"/>
          <w:color w:val="auto"/>
        </w:rPr>
        <w:t>Pop Secret</w:t>
      </w:r>
      <w:r>
        <w:rPr>
          <w:rFonts w:ascii="Arial" w:cs="Arial" w:eastAsia="Arial" w:hAnsi="Arial"/>
          <w:sz w:val="18"/>
          <w:szCs w:val="18"/>
          <w:color w:val="auto"/>
        </w:rPr>
        <w:t xml:space="preserve"> popcorn and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potato chips, partially offset by declines in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$116 million in 2021 from 2020. As a percent of sales, gross profit was 34.6% in 2021 and 34.1% in 2020.</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0.5 percentage-point increase in gross profit percentage was due to the following factors: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Margin Impact</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1.5</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Lower level of promotional spending</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1.2</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 restructuring-related costs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0.1</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(0.2)</w:t>
            </w:r>
          </w:p>
        </w:tc>
      </w:tr>
      <w:tr>
        <w:trPr>
          <w:trHeight w:val="230"/>
        </w:trPr>
        <w:tc>
          <w:tcPr>
            <w:tcW w:w="9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(2.1)</w:t>
            </w:r>
          </w:p>
        </w:tc>
      </w:tr>
      <w:tr>
        <w:trPr>
          <w:trHeight w:val="223"/>
        </w:trPr>
        <w:tc>
          <w:tcPr>
            <w:tcW w:w="99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0.5%</w:t>
            </w:r>
          </w:p>
        </w:tc>
      </w:tr>
      <w:tr>
        <w:trPr>
          <w:trHeight w:val="20"/>
        </w:trPr>
        <w:tc>
          <w:tcPr>
            <w:tcW w:w="9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45" w:lineRule="exact"/>
        <w:rPr>
          <w:sz w:val="20"/>
          <w:szCs w:val="20"/>
          <w:color w:val="auto"/>
        </w:rPr>
      </w:pPr>
    </w:p>
    <w:p>
      <w:pPr>
        <w:ind w:left="34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0.9 from the benefit of operating leverage and cost savings initiatives, which was more than offset by cost inflation and other factors, including the impact of COVID-19.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and selling expenses as a percent of sales were 9.5% in 2021 compared to 10.2% in 2020. Marketing and selling expenses decreased 1% in 2021 from 2020. The decrease was primarily due to increased benefits from cost savings initiatives (approximately 3 percentage points); lower costs related to marketing overhead (approximately 2 percentage points) and lower selling expenses (approximately 1 percentage point), partially offset by higher advertising and consumer promotion expenses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(approximately 6 percentage points). The increase in advertising and consumer promotion expenses was primarily in Meals &amp; Beverages due to increased support of U.S. soup.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6.5% in 2021 and in 2020. Administrative expenses increased 6% in 2021 from 2020. The increase was primarily due to higher benefit-related costs (approximately 7 percentage points) and higher general administrative costs (approximately 4 percentage points), partially offset by lower costs associated with cost savings initiatives (approximately 4 percentage points) and increased benefits from cost savings initiatives (approximately 2 percentage points).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was $63 million in 2021 compared to other expenses of $34 million in 2020. Other expenses / (income) included pension settlement gains of $34 million in 2021 and $11 million in 2020. Other expenses in 2020 included a loss of $64 million on the sale of the European chips business. Excluding these amounts, the remaining increase in other income was primarily due to an increase in transition services fees this year and investment losses in the prior year, partially offset by lower net periodic benefit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11% in 2021 from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1"/>
                <w:szCs w:val="11"/>
                <w:color w:val="auto"/>
              </w:rPr>
            </w:pPr>
          </w:p>
        </w:tc>
        <w:tc>
          <w:tcPr>
            <w:tcW w:w="13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1"/>
                <w:szCs w:val="11"/>
                <w:color w:val="auto"/>
              </w:rPr>
            </w:pPr>
          </w:p>
        </w:tc>
        <w:tc>
          <w:tcPr>
            <w:tcW w:w="1180" w:type="dxa"/>
            <w:vAlign w:val="bottom"/>
          </w:tcPr>
          <w:p>
            <w:pPr>
              <w:jc w:val="right"/>
              <w:ind w:right="255"/>
              <w:spacing w:after="0" w:line="135" w:lineRule="exact"/>
              <w:rPr>
                <w:sz w:val="20"/>
                <w:szCs w:val="20"/>
                <w:color w:val="auto"/>
              </w:rPr>
            </w:pPr>
            <w:r>
              <w:rPr>
                <w:rFonts w:ascii="Arial" w:cs="Arial" w:eastAsia="Arial" w:hAnsi="Arial"/>
                <w:sz w:val="14"/>
                <w:szCs w:val="14"/>
                <w:b w:val="1"/>
                <w:bCs w:val="1"/>
                <w:color w:val="auto"/>
              </w:rPr>
              <w:t>January 26,</w:t>
            </w:r>
          </w:p>
        </w:tc>
        <w:tc>
          <w:tcPr>
            <w:tcW w:w="100" w:type="dxa"/>
            <w:vAlign w:val="bottom"/>
          </w:tcPr>
          <w:p>
            <w:pPr>
              <w:spacing w:after="0"/>
              <w:rPr>
                <w:sz w:val="11"/>
                <w:szCs w:val="11"/>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591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b w:val="1"/>
                <w:bCs w:val="1"/>
                <w:color w:val="auto"/>
              </w:rPr>
              <w:t>283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261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874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862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Operating earnings from Meals &amp; Beverages increased 13%. The increase was primarily due to sales volume gains and improved gross profit performance, partially offset by increased marketing investment and higher administrative expenses.</w:t>
      </w:r>
    </w:p>
    <w:p>
      <w:pPr>
        <w:spacing w:after="0" w:line="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Snacks increased 8%. The increase was primarily due to lower selling expenses and sales volume gains, partially offset by increased administrative expenses and lower gross profit performance.</w:t>
      </w:r>
    </w:p>
    <w:p>
      <w:pPr>
        <w:spacing w:after="0" w:line="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Corporate in 2021 included pension settlement gains of $34 million and costs of $9 million related to costs savings initiatives. Corporate in 2020 included a loss of $64 million from the sale of the European chips business, costs of $26 million related to cost savings initiatives and pension settlement gains of $11 million. Excluding these amounts, the remaining decrease in expenses primarily reflects mark-to-market gains on outstanding commodity hedges.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$110 million in 2021 from $229 million in 2020. The decrease in interest expense was due to a loss on extinguishment of debt of $75 million in the prior year and lower levels of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0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effective tax rate was 26.4% in 2021 and 22.9% in 2020. The increase in the effective tax rate was primarily due to a $19 million deferred tax charge recognized in the second quarter of 2021 in connection with a legal entity reorganization as part of the continued integration of Snyder's-Lance and a $23 million tax benefit on the $64 million loss on the sale of the European chips business in the prior year.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(gains) recorded in Earnings from continuing operations related to these initiatives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January 31, 2021</w:t>
            </w:r>
          </w:p>
        </w:tc>
        <w:tc>
          <w:tcPr>
            <w:tcW w:w="10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26,</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31, 2021</w:t>
            </w:r>
          </w:p>
        </w:tc>
        <w:tc>
          <w:tcPr>
            <w:tcW w:w="220" w:type="dxa"/>
            <w:vAlign w:val="bottom"/>
          </w:tcPr>
          <w:p>
            <w:pPr>
              <w:spacing w:after="0"/>
              <w:rPr>
                <w:sz w:val="11"/>
                <w:szCs w:val="11"/>
                <w:color w:val="auto"/>
              </w:rPr>
            </w:pPr>
          </w:p>
        </w:tc>
        <w:tc>
          <w:tcPr>
            <w:tcW w:w="112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rPr>
              <w:t>January 26,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2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January 31, 2021</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9600" w:type="dxa"/>
            <w:vAlign w:val="bottom"/>
            <w:gridSpan w:val="12"/>
          </w:tcPr>
          <w:p>
            <w:pPr>
              <w:jc w:val="center"/>
              <w:ind w:right="234"/>
              <w:spacing w:after="0"/>
              <w:rPr>
                <w:sz w:val="20"/>
                <w:szCs w:val="20"/>
                <w:color w:val="auto"/>
              </w:rPr>
            </w:pPr>
            <w:r>
              <w:rPr>
                <w:rFonts w:ascii="Arial" w:cs="Arial" w:eastAsia="Arial" w:hAnsi="Arial"/>
                <w:sz w:val="18"/>
                <w:szCs w:val="18"/>
                <w:color w:val="auto"/>
                <w:w w:val="91"/>
              </w:rPr>
              <w:t>A summary of the pre-tax costs in Earnings from discontinued operations associated with these initiatives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January 31, 2021</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these initiatives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4"/>
                <w:szCs w:val="14"/>
                <w:color w:val="auto"/>
              </w:rPr>
            </w:pPr>
          </w:p>
        </w:tc>
        <w:tc>
          <w:tcPr>
            <w:tcW w:w="1340" w:type="dxa"/>
            <w:vAlign w:val="bottom"/>
          </w:tcPr>
          <w:p>
            <w:pPr>
              <w:jc w:val="right"/>
              <w:ind w:right="156"/>
              <w:spacing w:after="0"/>
              <w:rPr>
                <w:sz w:val="20"/>
                <w:szCs w:val="20"/>
                <w:color w:val="auto"/>
              </w:rPr>
            </w:pPr>
            <w:r>
              <w:rPr>
                <w:rFonts w:ascii="Arial" w:cs="Arial" w:eastAsia="Arial" w:hAnsi="Arial"/>
                <w:sz w:val="14"/>
                <w:szCs w:val="14"/>
                <w:b w:val="1"/>
                <w:bCs w:val="1"/>
                <w:color w:val="auto"/>
                <w:w w:val="93"/>
              </w:rPr>
              <w:t>Recognized as of</w:t>
            </w:r>
          </w:p>
        </w:tc>
        <w:tc>
          <w:tcPr>
            <w:tcW w:w="0" w:type="dxa"/>
            <w:vAlign w:val="bottom"/>
          </w:tcPr>
          <w:p>
            <w:pPr>
              <w:spacing w:after="0"/>
              <w:rPr>
                <w:sz w:val="1"/>
                <w:szCs w:val="1"/>
                <w:color w:val="auto"/>
              </w:rPr>
            </w:pPr>
          </w:p>
        </w:tc>
      </w:tr>
      <w:tr>
        <w:trPr>
          <w:trHeight w:val="188"/>
        </w:trPr>
        <w:tc>
          <w:tcPr>
            <w:tcW w:w="96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January 31, 2021</w:t>
            </w:r>
          </w:p>
        </w:tc>
        <w:tc>
          <w:tcPr>
            <w:tcW w:w="0" w:type="dxa"/>
            <w:vAlign w:val="bottom"/>
          </w:tcPr>
          <w:p>
            <w:pPr>
              <w:spacing w:after="0"/>
              <w:rPr>
                <w:sz w:val="1"/>
                <w:szCs w:val="1"/>
                <w:color w:val="auto"/>
              </w:rPr>
            </w:pP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$695 million to $725 million. This estimate will be updated as costs for the expanded initiatives are developed.</w:t>
      </w:r>
    </w:p>
    <w:p>
      <w:pPr>
        <w:spacing w:after="0" w:line="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associated with continuing operations that have been identified to date to consist of the following: approximately $220 million to $225 million in severance pay and benefits; approximately $85 million in asset impairment and accelerated depreciation; and approximately $390 million to $415 million in implementation costs and other related costs. We expect these pre-tax costs to be associated with our segments as follows: Meals &amp; Beverages - approximately 32%; Snacks - approximately 44%; and Corporate - approximately 24%.</w:t>
      </w:r>
    </w:p>
    <w:p>
      <w:pPr>
        <w:spacing w:after="0" w:line="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Of the aggregate $695 million to $725 million of pre-tax costs associated with continuing operations identified to date, we expect approximately $595 million to $625 million will be cash expenditures. In addition, we expect to invest approximately $455 million in capital expenditures through 2022, of which we invested $367 million as of January 31, 2021. The capital expenditures primarily relate to a U.S. warehouse optimization project, improvement of quality, safety and cost structure across the Snyder’s-Lance manufacturing network, implementation of an SAP enterprise-resource planning system for Snyder's-Lance,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incur the costs for the actions associated with continuing operations that have been identified to date through 2022 and to fund the costs through cash flows from operations and short-term borrowings.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jc w:val="both"/>
        <w:ind w:firstLine="324"/>
        <w:spacing w:after="0" w:line="259" w:lineRule="auto"/>
        <w:rPr>
          <w:sz w:val="20"/>
          <w:szCs w:val="20"/>
          <w:color w:val="auto"/>
        </w:rPr>
      </w:pPr>
      <w:r>
        <w:rPr>
          <w:rFonts w:ascii="Arial" w:cs="Arial" w:eastAsia="Arial" w:hAnsi="Arial"/>
          <w:sz w:val="18"/>
          <w:szCs w:val="18"/>
          <w:color w:val="auto"/>
        </w:rPr>
        <w:t>We expect the initiatives for actions associated with continuing operations that have been identified to date to generate pre-tax savings of approximately $800 million to $810 million in 2021, and once all phases are implemented, to generate annual ongoing savings of approximately $850 million by the end of 2022. In the six-month period ended January 31, 2021, we generated an additional $35 million of pre-tax savings. The annual pre-tax savings associated with continuing operations generated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2, 2020</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28, 2019</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2017</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August 2, 2015</w:t>
            </w:r>
          </w:p>
        </w:tc>
      </w:tr>
      <w:tr>
        <w:trPr>
          <w:trHeight w:val="22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initiatives for actions associated with discontinued operations generated pre-tax savings of over $90 million in 2019 and $60 million in 2018.</w:t>
      </w:r>
    </w:p>
    <w:p>
      <w:pPr>
        <w:spacing w:after="0" w:line="11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January 31, 2021</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Six Months</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Costs Incurred to Date</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completed the sale of our Kelsen business on September 23, 2019, for $322 million. We also completed the Arnott's and other international operations on December 23, 2019, for $2,286 million.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Campbell International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January 26, 2020</w:t>
            </w: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3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Six Months Ended</w:t>
            </w:r>
          </w:p>
        </w:tc>
      </w:tr>
      <w:tr>
        <w:trPr>
          <w:trHeight w:val="249"/>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8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 from operations</w:t>
            </w: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Taxes on earnings from operations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businesses / costs associated with selling the businesses</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on sales of businesses / costs associated with selling the businesses</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w:t>
            </w: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generated cash flows from operations of $611 million in 2021, compared to $663 million in 2020. The decline in 2021 was primarily due to changes in working capital which reflect a significant increase in accounts payable in the prior year, partially offset by higher cash earnings.</w:t>
      </w:r>
    </w:p>
    <w:p>
      <w:pPr>
        <w:spacing w:after="0" w:line="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Current assets are less than current liabilities as a result of our level of current maturities of long-term debt and short-term borrowings and our focus to lower core working capital requirements. We had negative working capital of $266 million as of January 31, 2021, and $690 million as of August 2, 2020. Total debt maturing within one year was $1,025 million as of January 31, 2021, and $1,202 million as of August 2,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jc w:val="both"/>
        <w:ind w:right="20" w:firstLine="324"/>
        <w:spacing w:after="0" w:line="259" w:lineRule="auto"/>
        <w:rPr>
          <w:sz w:val="20"/>
          <w:szCs w:val="20"/>
          <w:color w:val="auto"/>
        </w:rPr>
      </w:pPr>
      <w:r>
        <w:rPr>
          <w:rFonts w:ascii="Arial" w:cs="Arial" w:eastAsia="Arial" w:hAnsi="Arial"/>
          <w:sz w:val="18"/>
          <w:szCs w:val="18"/>
          <w:color w:val="auto"/>
        </w:rPr>
        <w:t xml:space="preserve">Capital expenditures were $132 million in 2021 and $167 million in 2020. The decline was due to capital expenditures associated with discontinued operations in 2020. Capital expenditures are expected to total approximately $315 million in 2021. Capital expenditures in the first half of 2021 included the implementation of an SAP enterprise-resource planning system for Snyder's-Lance, chip capacity expansion projects, a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 capacity expansion project, and a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 capacity expansion project.</w:t>
      </w:r>
    </w:p>
    <w:p>
      <w:pPr>
        <w:spacing w:after="0" w:line="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completed the sale of our Kelsen business on September 23, 2019, for $322 million. On September 30, 2019, we repaid $399 million of our senior unsecured term loan facility using net proceeds from the Kelsen sale and the issuance of commercial paper. In addition, on October 11, 2019, we completed the sale of our European chips business for £63 million, or $77 million.</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completed the sale of the Arnott’s and other international operations on December 23, 2019, for $2,286 million. The purchase price was subject to certain post-closing adjustments, which resulted in $4 million of additional proceeds in the third quarter of 2020.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On January 24, 2020, we settled tender offers to purchase $1,200 million in aggregate principal amount of certain unsecured debt, comprising $329 million of 3.30% Senior Notes due 2021, $634 million of 3.65% Senior Notes due 2023, and $237 million of 3.80% Senior Notes due 2043. Except for the $237 million of 3.80% Senior Notes due 2043, the Senior Notes settled under the tender offer were issued in connection with our acquisition of Snyder’s-Lance. The consideration for the redemption and the tender offers was $1,765 million, including $65 million of premium. We recognized a loss of $75 million (including $65 million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w:t>
      </w:r>
    </w:p>
    <w:p>
      <w:pPr>
        <w:spacing w:after="0" w:line="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Dividend payments were $215 million in 2021 and $213 million in 2020. The regular quarterly dividends paid on our capital stock were $.35 per share in each of 2021 and 2020. On December 9, 2020, the Board of Directors approved an increase in the regular quarterly dividend from $.35 per share to $.37 per share, or 6%. They then declared a regular quarterly dividend of $.37 per share payable on February 1, 2021 to shareholders of record at the close of business on January 9, 2021. On March 4, 2021, the Board of Directors declared a regular quarterly dividend of $.37 per share payable on May 3, 2021 to shareholders of record at the close of business on April 8, 2021.</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suspended our share repurchases as of the second quarter of 2018. See Note 13 to the Consolidated Financial Statements for additional information.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January 31, 2021, we had $1,025 million of short-term borrowings due within one year, of which $100 million was comprised of commercial paper borrowings. As of January 31, 2021, we issued $36 million of standby letters of credit. On November 2, 2020, we entered into a committed revolving credit facility totaling $1,850 million that matures on November 2, 2023. The facility remained unused at January 31, 2021,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9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2, 2020 (2020 Annual Report on Form 10-K). The accounting policies we used in preparing these financial statements are substantially consistent with those we applied in our 2020 Annual Report on Form 10-K. Our significant accounting estimates are described in Management’s Discussion and Analysis included in the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2020 Annual Report on Form 10-K, could affect our actual results and could cause such results to vary materially from those expressed in any forward-looking statements made by, or on behalf of, us:</w:t>
      </w:r>
    </w:p>
    <w:p>
      <w:pPr>
        <w:spacing w:after="0" w:line="4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impacts of, and associated responses to the COVID-19 pandemic on our business, suppliers, customers, consumers and employees;</w:t>
      </w:r>
    </w:p>
    <w:p>
      <w:pPr>
        <w:spacing w:after="0" w:line="11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maintaining our market share position in soup;</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 including the impacts of the COVID-19 pandemic, as well as fluctuations in the supply of and inflation in energy and raw and packaging materials cost;</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failure in or breach of our or our vendors'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changes and volatility in financial and credit markets, deteriorating economic conditions and other external factors, including changes in laws and regulations; and</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pandemics or other calamities.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2020 Annual Report on Form 10-K. There have been no significant changes in our portfolio of financial instruments or market risk exposures from the 2020 year-end.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January 31, 2021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January 31, 2021.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15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color w:val="auto"/>
              </w:rPr>
              <w:t>INDEX TO EXHIBITS</w:t>
            </w: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Third Amendment to the Campbell Soup Company Supplemental Retirement Plan, effective December 31, 2020.</w:t>
              </w:r>
            </w:hyperlink>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 of Mark A. Clouse pursuant to Rule 13a-14(a).</w:t>
              </w:r>
            </w:hyperlink>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tcPr>
          <w:p>
            <w:pPr>
              <w:ind w:left="200"/>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Certification of Mick J. Beekhuizen pursuant to Rule 13a-14(a)</w:t>
              </w:r>
            </w:hyperlink>
            <w:r>
              <w:rPr>
                <w:rFonts w:ascii="Arial" w:cs="Arial" w:eastAsia="Arial" w:hAnsi="Arial"/>
                <w:sz w:val="18"/>
                <w:szCs w:val="18"/>
                <w:color w:val="000000"/>
              </w:rPr>
              <w: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tcPr>
          <w:p>
            <w:pPr>
              <w:ind w:left="200"/>
              <w:spacing w:after="0"/>
              <w:rPr>
                <w:rFonts w:ascii="Arial" w:cs="Arial" w:eastAsia="Arial" w:hAnsi="Arial"/>
                <w:sz w:val="18"/>
                <w:szCs w:val="18"/>
                <w:color w:val="0000FF"/>
              </w:rPr>
            </w:pPr>
            <w:hyperlink w:anchor="page43">
              <w:r>
                <w:rPr>
                  <w:rFonts w:ascii="Arial" w:cs="Arial" w:eastAsia="Arial" w:hAnsi="Arial"/>
                  <w:sz w:val="18"/>
                  <w:szCs w:val="18"/>
                  <w:u w:val="single" w:color="auto"/>
                  <w:color w:val="0000FF"/>
                </w:rPr>
                <w:t>Certification of Mark A. Clouse pursuant to 18 U.S.C. Section 1350</w:t>
              </w:r>
              <w:r>
                <w:rPr>
                  <w:rFonts w:ascii="Arial" w:cs="Arial" w:eastAsia="Arial" w:hAnsi="Arial"/>
                  <w:sz w:val="18"/>
                  <w:szCs w:val="18"/>
                  <w:color w:val="0000FF"/>
                </w:rPr>
                <w:t>.</w:t>
              </w:r>
            </w:hyperlink>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tcPr>
          <w:p>
            <w:pPr>
              <w:ind w:left="2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Mick J. Beekhuizen pursuant to 18 U.S.C. Section 1350.</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0"/>
              <w:spacing w:after="0"/>
              <w:rPr>
                <w:sz w:val="20"/>
                <w:szCs w:val="20"/>
                <w:color w:val="auto"/>
              </w:rPr>
            </w:pPr>
            <w:r>
              <w:rPr>
                <w:rFonts w:ascii="Arial" w:cs="Arial" w:eastAsia="Arial" w:hAnsi="Arial"/>
                <w:sz w:val="18"/>
                <w:szCs w:val="18"/>
                <w:color w:val="auto"/>
                <w:w w:val="89"/>
              </w:rPr>
              <w:t>Inline XBRL Instance Document - the instance document does not appear on the Interactive Data File because its XBRL tags are embedded</w:t>
            </w:r>
          </w:p>
        </w:tc>
      </w:tr>
      <w:tr>
        <w:trPr>
          <w:trHeight w:val="230"/>
        </w:trPr>
        <w:tc>
          <w:tcPr>
            <w:tcW w:w="90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0"/>
              <w:spacing w:after="0"/>
              <w:rPr>
                <w:sz w:val="20"/>
                <w:szCs w:val="20"/>
                <w:color w:val="auto"/>
              </w:rPr>
            </w:pPr>
            <w:r>
              <w:rPr>
                <w:rFonts w:ascii="Arial" w:cs="Arial" w:eastAsia="Arial" w:hAnsi="Arial"/>
                <w:sz w:val="18"/>
                <w:szCs w:val="18"/>
                <w:color w:val="auto"/>
              </w:rPr>
              <w:t>Inline XBRL Extension Schema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0"/>
              <w:spacing w:after="0"/>
              <w:rPr>
                <w:sz w:val="20"/>
                <w:szCs w:val="20"/>
                <w:color w:val="auto"/>
              </w:rPr>
            </w:pPr>
            <w:r>
              <w:rPr>
                <w:rFonts w:ascii="Arial" w:cs="Arial" w:eastAsia="Arial" w:hAnsi="Arial"/>
                <w:sz w:val="18"/>
                <w:szCs w:val="18"/>
                <w:color w:val="auto"/>
              </w:rPr>
              <w:t>Inline XBRL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0"/>
              <w:spacing w:after="0"/>
              <w:rPr>
                <w:sz w:val="20"/>
                <w:szCs w:val="20"/>
                <w:color w:val="auto"/>
              </w:rPr>
            </w:pPr>
            <w:r>
              <w:rPr>
                <w:rFonts w:ascii="Arial" w:cs="Arial" w:eastAsia="Arial" w:hAnsi="Arial"/>
                <w:sz w:val="18"/>
                <w:szCs w:val="18"/>
                <w:color w:val="auto"/>
              </w:rPr>
              <w:t>Inline XBRL Extension Definition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0"/>
              <w:spacing w:after="0"/>
              <w:rPr>
                <w:sz w:val="20"/>
                <w:szCs w:val="20"/>
                <w:color w:val="auto"/>
              </w:rPr>
            </w:pPr>
            <w:r>
              <w:rPr>
                <w:rFonts w:ascii="Arial" w:cs="Arial" w:eastAsia="Arial" w:hAnsi="Arial"/>
                <w:sz w:val="18"/>
                <w:szCs w:val="18"/>
                <w:color w:val="auto"/>
              </w:rPr>
              <w:t>Inline XBRL Extension Label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0"/>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94" w:lineRule="exact"/>
        <w:rPr>
          <w:sz w:val="20"/>
          <w:szCs w:val="20"/>
          <w:color w:val="auto"/>
        </w:rPr>
      </w:pPr>
    </w:p>
    <w:p>
      <w:pPr>
        <w:ind w:left="-20" w:right="2040" w:firstLine="26"/>
        <w:spacing w:after="0" w:line="559" w:lineRule="auto"/>
        <w:tabs>
          <w:tab w:leader="none" w:pos="10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 *This exhibit is a management contract or compensatory plan or arrangement.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895" w:right="399" w:bottom="1440" w:gutter="0" w:footer="0" w:header="0"/>
        </w:sectPr>
      </w:pPr>
    </w:p>
    <w:bookmarkStart w:id="38" w:name="page39"/>
    <w:bookmarkEnd w:id="3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CAMPBELL SOUP COMPANY</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1718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Mick J. Beekhuizen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1718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Stanley Polomski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891"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Campbell Soup Company</w:t>
      </w:r>
    </w:p>
    <w:p>
      <w:pPr>
        <w:jc w:val="center"/>
        <w:spacing w:after="0"/>
        <w:rPr>
          <w:sz w:val="20"/>
          <w:szCs w:val="20"/>
          <w:color w:val="auto"/>
        </w:rPr>
      </w:pPr>
      <w:r>
        <w:rPr>
          <w:rFonts w:ascii="Arial" w:cs="Arial" w:eastAsia="Arial" w:hAnsi="Arial"/>
          <w:sz w:val="22"/>
          <w:szCs w:val="22"/>
          <w:b w:val="1"/>
          <w:bCs w:val="1"/>
          <w:color w:val="auto"/>
        </w:rPr>
        <w:t>Supplemental Retirement Plan</w:t>
      </w:r>
    </w:p>
    <w:p>
      <w:pPr>
        <w:spacing w:after="0" w:line="227" w:lineRule="exact"/>
        <w:rPr>
          <w:sz w:val="20"/>
          <w:szCs w:val="20"/>
          <w:color w:val="auto"/>
        </w:rPr>
      </w:pPr>
    </w:p>
    <w:p>
      <w:pPr>
        <w:jc w:val="both"/>
        <w:ind w:firstLine="760"/>
        <w:spacing w:after="0" w:line="28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Campbell Soup Company (“Company”) previously established the Campbell Soup Company Supplemental</w:t>
      </w:r>
      <w:r>
        <w:rPr>
          <w:rFonts w:ascii="Arial" w:cs="Arial" w:eastAsia="Arial" w:hAnsi="Arial"/>
          <w:sz w:val="19"/>
          <w:szCs w:val="19"/>
          <w:b w:val="1"/>
          <w:bCs w:val="1"/>
          <w:color w:val="auto"/>
        </w:rPr>
        <w:t xml:space="preserve"> </w:t>
      </w:r>
      <w:r>
        <w:rPr>
          <w:rFonts w:ascii="Arial" w:cs="Arial" w:eastAsia="Arial" w:hAnsi="Arial"/>
          <w:sz w:val="19"/>
          <w:szCs w:val="19"/>
          <w:color w:val="auto"/>
        </w:rPr>
        <w:t>Retirement Plan (the “Plan”) primarily to provide eligible executives of the Company and any designated subsidiary with an additional method of planning for retirement and other significant saving needs with respect to amounts deferred or vested after 2004;</w:t>
      </w:r>
    </w:p>
    <w:p>
      <w:pPr>
        <w:spacing w:after="0" w:line="180" w:lineRule="exact"/>
        <w:rPr>
          <w:sz w:val="20"/>
          <w:szCs w:val="20"/>
          <w:color w:val="auto"/>
        </w:rPr>
      </w:pPr>
    </w:p>
    <w:p>
      <w:pPr>
        <w:jc w:val="both"/>
        <w:ind w:firstLine="761"/>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Article IX of the Plan, the corporate officer in charge of Human Resources of the Company reserves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amend or terminate the Plan;</w:t>
      </w:r>
    </w:p>
    <w:p>
      <w:pPr>
        <w:spacing w:after="0" w:line="178" w:lineRule="exact"/>
        <w:rPr>
          <w:sz w:val="20"/>
          <w:szCs w:val="20"/>
          <w:color w:val="auto"/>
        </w:rPr>
      </w:pPr>
    </w:p>
    <w:p>
      <w:pPr>
        <w:ind w:right="40" w:firstLine="755"/>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corporate officer in charge of Human Resources desires to amend the Plan to</w:t>
      </w:r>
      <w:r>
        <w:rPr>
          <w:rFonts w:ascii="Arial" w:cs="Arial" w:eastAsia="Arial" w:hAnsi="Arial"/>
          <w:sz w:val="20"/>
          <w:szCs w:val="20"/>
          <w:b w:val="1"/>
          <w:bCs w:val="1"/>
          <w:color w:val="auto"/>
        </w:rPr>
        <w:t xml:space="preserve"> </w:t>
      </w:r>
      <w:r>
        <w:rPr>
          <w:rFonts w:ascii="Arial" w:cs="Arial" w:eastAsia="Arial" w:hAnsi="Arial"/>
          <w:sz w:val="21"/>
          <w:szCs w:val="21"/>
          <w:color w:val="auto"/>
        </w:rPr>
        <w:t>comply with the final regulations</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under section 162(m) of Internal Revenue Code of 1986, as amended (the “Code”) and </w:t>
      </w:r>
      <w:r>
        <w:rPr>
          <w:rFonts w:ascii="Arial" w:cs="Arial" w:eastAsia="Arial" w:hAnsi="Arial"/>
          <w:sz w:val="19"/>
          <w:szCs w:val="19"/>
          <w:color w:val="auto"/>
        </w:rPr>
        <w:t>remove certain language that could delay a</w:t>
      </w:r>
      <w:r>
        <w:rPr>
          <w:rFonts w:ascii="Arial" w:cs="Arial" w:eastAsia="Arial" w:hAnsi="Arial"/>
          <w:sz w:val="21"/>
          <w:szCs w:val="21"/>
          <w:color w:val="auto"/>
        </w:rPr>
        <w:t xml:space="preserve"> </w:t>
      </w:r>
      <w:r>
        <w:rPr>
          <w:rFonts w:ascii="Arial" w:cs="Arial" w:eastAsia="Arial" w:hAnsi="Arial"/>
          <w:sz w:val="19"/>
          <w:szCs w:val="19"/>
          <w:color w:val="auto"/>
        </w:rPr>
        <w:t>Plan distribution if the payment would be non-deductible under Code section 162(m).</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NOW, THEREFORE, BE IT:</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effective December 31, 2020, Article I, Section 1.9 is amended to read, in its entirety, as follows:</w:t>
      </w:r>
    </w:p>
    <w:p>
      <w:pPr>
        <w:spacing w:after="0" w:line="245" w:lineRule="exact"/>
        <w:rPr>
          <w:sz w:val="20"/>
          <w:szCs w:val="20"/>
          <w:color w:val="auto"/>
        </w:rPr>
      </w:pPr>
    </w:p>
    <w:p>
      <w:pPr>
        <w:ind w:right="80" w:firstLine="803"/>
        <w:spacing w:after="0" w:line="24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b w:val="1"/>
          <w:bCs w:val="1"/>
          <w:color w:val="auto"/>
        </w:rPr>
        <w:t>“Committee”</w:t>
      </w:r>
      <w:r>
        <w:rPr>
          <w:rFonts w:ascii="Arial" w:cs="Arial" w:eastAsia="Arial" w:hAnsi="Arial"/>
          <w:sz w:val="22"/>
          <w:szCs w:val="22"/>
          <w:color w:val="auto"/>
        </w:rPr>
        <w:t xml:space="preserve"> means the Compensation and Organization Committee of the Board or a subcommittee thereof. All members of the Committee shall be “Non-Employee Directors” within the meaning of Rule 16b-3 under the Securities Exchange Act of 1934 (the “1934 Act”).</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effective December 31, 2020, Article V, Section 5.11 is amended to read, in its entirety, as follows:</w:t>
      </w:r>
    </w:p>
    <w:p>
      <w:pPr>
        <w:spacing w:after="0" w:line="245" w:lineRule="exact"/>
        <w:rPr>
          <w:sz w:val="20"/>
          <w:szCs w:val="20"/>
          <w:color w:val="auto"/>
        </w:rPr>
      </w:pPr>
    </w:p>
    <w:p>
      <w:pPr>
        <w:ind w:right="80" w:firstLine="803"/>
        <w:spacing w:after="0" w:line="237"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b w:val="1"/>
          <w:bCs w:val="1"/>
          <w:color w:val="auto"/>
        </w:rPr>
        <w:t>Permitted Delays.</w:t>
      </w:r>
      <w:r>
        <w:rPr>
          <w:rFonts w:ascii="Arial" w:cs="Arial" w:eastAsia="Arial" w:hAnsi="Arial"/>
          <w:sz w:val="22"/>
          <w:szCs w:val="22"/>
          <w:color w:val="auto"/>
        </w:rPr>
        <w:t xml:space="preserve"> Notwithstanding the foregoing, any payment to a Participant under the Plan shall be delayed upon the Committee’s reasonable anticipation that making the payment would violate Federal securities laws or other applicable law; provided, that any payment delayed pursuant to this Section 5.11 shall be paid in accordance with Code section 409A on the earliest date in which the Company reasonably anticipates that the making of the payment will not cause a violation of Federal securities laws or other applicable law.</w:t>
      </w:r>
    </w:p>
    <w:p>
      <w:pPr>
        <w:spacing w:after="0" w:line="200" w:lineRule="exact"/>
        <w:rPr>
          <w:sz w:val="20"/>
          <w:szCs w:val="20"/>
          <w:color w:val="auto"/>
        </w:rPr>
      </w:pPr>
    </w:p>
    <w:p>
      <w:pPr>
        <w:spacing w:after="0" w:line="2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instrument has been executed on December 23, 2020.</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Campbell Soup Company</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Xavier Boza</w:t>
      </w:r>
    </w:p>
    <w:p>
      <w:pPr>
        <w:ind w:left="4380"/>
        <w:spacing w:after="0" w:line="238" w:lineRule="auto"/>
        <w:rPr>
          <w:sz w:val="20"/>
          <w:szCs w:val="20"/>
          <w:color w:val="auto"/>
        </w:rPr>
      </w:pPr>
      <w:r>
        <w:rPr>
          <w:rFonts w:ascii="Arial" w:cs="Arial" w:eastAsia="Arial" w:hAnsi="Arial"/>
          <w:sz w:val="22"/>
          <w:szCs w:val="22"/>
          <w:color w:val="auto"/>
        </w:rPr>
        <w:t>Xavier Boza</w:t>
      </w:r>
    </w:p>
    <w:p>
      <w:pPr>
        <w:ind w:left="4380"/>
        <w:spacing w:after="0"/>
        <w:rPr>
          <w:sz w:val="20"/>
          <w:szCs w:val="20"/>
          <w:color w:val="auto"/>
        </w:rPr>
      </w:pPr>
      <w:r>
        <w:rPr>
          <w:rFonts w:ascii="Arial" w:cs="Arial" w:eastAsia="Arial" w:hAnsi="Arial"/>
          <w:sz w:val="22"/>
          <w:szCs w:val="22"/>
          <w:color w:val="auto"/>
        </w:rPr>
        <w:t>EVP &amp; Chief Human Resources Officer</w:t>
      </w:r>
    </w:p>
    <w:p>
      <w:pPr>
        <w:sectPr>
          <w:pgSz w:w="11900" w:h="16838" w:orient="portrait"/>
          <w:cols w:equalWidth="0" w:num="1">
            <w:col w:w="11240"/>
          </w:cols>
          <w:pgMar w:left="320" w:top="85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90"/>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39" w:lineRule="exact"/>
        <w:rPr>
          <w:sz w:val="20"/>
          <w:szCs w:val="20"/>
          <w:color w:val="auto"/>
        </w:rPr>
      </w:pPr>
    </w:p>
    <w:p>
      <w:pPr>
        <w:ind w:left="4160"/>
        <w:spacing w:after="0"/>
        <w:tabs>
          <w:tab w:leader="none" w:pos="4600" w:val="left"/>
        </w:tabs>
        <w:rPr>
          <w:sz w:val="20"/>
          <w:szCs w:val="20"/>
          <w:color w:val="auto"/>
        </w:rPr>
      </w:pPr>
      <w:r>
        <w:rPr>
          <w:rFonts w:ascii="Arial" w:cs="Arial" w:eastAsia="Arial" w:hAnsi="Arial"/>
          <w:sz w:val="18"/>
          <w:szCs w:val="18"/>
          <w:color w:val="auto"/>
        </w:rPr>
        <w:t>By:</w:t>
        <w:tab/>
        <w:t>/s/ Mark A. Clouse</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Mick J. Beekhuizen, certify that:</w:t>
      </w:r>
    </w:p>
    <w:p>
      <w:pPr>
        <w:spacing w:after="0" w:line="171" w:lineRule="exact"/>
        <w:rPr>
          <w:sz w:val="20"/>
          <w:szCs w:val="20"/>
          <w:color w:val="auto"/>
        </w:rPr>
      </w:pPr>
    </w:p>
    <w:p>
      <w:pPr>
        <w:ind w:left="400" w:hanging="190"/>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firstLine="202"/>
        <w:spacing w:after="0" w:line="263"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31, 2021 (the “Report”), I, Mark A. Clouse, President and Chief Executive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firstLine="202"/>
        <w:spacing w:after="0" w:line="263"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31, 2021 (the “Report”), I, Mick J. Beekhuizen, Executive Vice President and Chief Financial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50"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29"/>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80" w:type="dxa"/>
            <w:vAlign w:val="bottom"/>
          </w:tcPr>
          <w:p>
            <w:pPr>
              <w:spacing w:after="0"/>
              <w:rPr>
                <w:sz w:val="20"/>
                <w:szCs w:val="20"/>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9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2"/>
    </w:lvl>
  </w:abstractNum>
  <w:abstractNum w:abstractNumId="1">
    <w:nsid w:val="4E6AFB66"/>
    <w:multiLevelType w:val="hybridMultilevel"/>
    <w:lvl w:ilvl="0">
      <w:lvlJc w:val="left"/>
      <w:lvlText w:val="%1."/>
      <w:numFmt w:val="decimal"/>
      <w:start w:val="3"/>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5"/>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5"/>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2021-03-10T06:30:55Z</dcterms:created>
  <dcterms:modified xsi:type="dcterms:W3CDTF">2021-03-10T06:30:55Z</dcterms:modified>
</cp:coreProperties>
</file>