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 w:lineRule="exact"/>
        <w:rPr>
          <w:sz w:val="24"/>
          <w:szCs w:val="24"/>
          <w:color w:val="auto"/>
        </w:rPr>
      </w:pPr>
    </w:p>
    <w:p>
      <w:pPr>
        <w:ind w:left="420"/>
        <w:spacing w:after="0"/>
        <w:tabs>
          <w:tab w:leader="none" w:pos="86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Commission File Number</w:t>
      </w:r>
    </w:p>
    <w:p>
      <w:pPr>
        <w:spacing w:after="0" w:line="22" w:lineRule="exact"/>
        <w:rPr>
          <w:sz w:val="24"/>
          <w:szCs w:val="24"/>
          <w:color w:val="auto"/>
        </w:rPr>
      </w:pPr>
    </w:p>
    <w:p>
      <w:pPr>
        <w:ind w:left="1020"/>
        <w:spacing w:after="0"/>
        <w:tabs>
          <w:tab w:leader="none" w:pos="9320" w:val="left"/>
        </w:tabs>
        <w:rPr>
          <w:sz w:val="20"/>
          <w:szCs w:val="20"/>
          <w:color w:val="auto"/>
        </w:rPr>
      </w:pPr>
      <w:r>
        <w:rPr>
          <w:rFonts w:ascii="Arial" w:cs="Arial" w:eastAsia="Arial" w:hAnsi="Arial"/>
          <w:sz w:val="18"/>
          <w:szCs w:val="18"/>
          <w:b w:val="1"/>
          <w:bCs w:val="1"/>
          <w:color w:val="auto"/>
        </w:rPr>
        <w:t>January 30, 2022</w:t>
      </w:r>
      <w:r>
        <w:rPr>
          <w:sz w:val="20"/>
          <w:szCs w:val="20"/>
          <w:color w:val="auto"/>
        </w:rPr>
        <w:tab/>
      </w:r>
      <w:r>
        <w:rPr>
          <w:rFonts w:ascii="Arial" w:cs="Arial" w:eastAsia="Arial" w:hAnsi="Arial"/>
          <w:sz w:val="15"/>
          <w:szCs w:val="15"/>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71120</wp:posOffset>
            </wp:positionV>
            <wp:extent cx="1447165" cy="521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CAMPBELL SOUP COMPANY</w:t>
      </w:r>
    </w:p>
    <w:p>
      <w:pPr>
        <w:spacing w:after="0" w:line="66"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5"/>
          <w:szCs w:val="15"/>
          <w:b w:val="1"/>
          <w:bCs w:val="1"/>
          <w:color w:val="auto"/>
        </w:rPr>
        <w:t>21-0419870</w:t>
      </w:r>
    </w:p>
    <w:p>
      <w:pPr>
        <w:spacing w:after="0" w:line="24" w:lineRule="exact"/>
        <w:rPr>
          <w:sz w:val="24"/>
          <w:szCs w:val="24"/>
          <w:color w:val="auto"/>
        </w:rPr>
      </w:pPr>
    </w:p>
    <w:p>
      <w:pPr>
        <w:ind w:left="2080"/>
        <w:spacing w:after="0"/>
        <w:tabs>
          <w:tab w:leader="none" w:pos="714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5"/>
          <w:szCs w:val="15"/>
          <w:i w:val="1"/>
          <w:iCs w:val="1"/>
          <w:color w:val="auto"/>
        </w:rPr>
        <w:t>I.R.S. Employer Identification No.</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24" w:lineRule="exact"/>
        <w:rPr>
          <w:sz w:val="24"/>
          <w:szCs w:val="24"/>
          <w:color w:val="auto"/>
        </w:rPr>
      </w:pPr>
    </w:p>
    <w:p>
      <w:pPr>
        <w:ind w:left="1140"/>
        <w:spacing w:after="0"/>
        <w:tabs>
          <w:tab w:leader="none" w:pos="5420" w:val="left"/>
          <w:tab w:leader="none" w:pos="800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5"/>
          <w:szCs w:val="15"/>
          <w:color w:val="auto"/>
        </w:rPr>
        <w:t>New York Stock Exchange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0" w:lineRule="exact"/>
        <w:rPr>
          <w:sz w:val="24"/>
          <w:szCs w:val="24"/>
          <w:color w:val="auto"/>
        </w:rPr>
      </w:pPr>
    </w:p>
    <w:p>
      <w:pPr>
        <w:jc w:val="both"/>
        <w:ind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 w:lineRule="exact"/>
        <w:rPr>
          <w:sz w:val="24"/>
          <w:szCs w:val="24"/>
          <w:color w:val="auto"/>
        </w:rPr>
      </w:pPr>
    </w:p>
    <w:p>
      <w:pPr>
        <w:jc w:val="both"/>
        <w:ind w:firstLine="318"/>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3"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7" w:right="339" w:bottom="1440" w:gutter="0" w:footer="0" w:header="0"/>
        </w:sectPr>
      </w:pPr>
    </w:p>
    <w:p>
      <w:pPr>
        <w:spacing w:after="0" w:line="162"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Large accelerated filer</w:t>
      </w:r>
    </w:p>
    <w:p>
      <w:pPr>
        <w:spacing w:after="0" w:line="18"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Non-accelerated filer</w:t>
      </w:r>
    </w:p>
    <w:p>
      <w:pPr>
        <w:spacing w:after="0" w:line="18" w:lineRule="exact"/>
        <w:rPr>
          <w:sz w:val="24"/>
          <w:szCs w:val="24"/>
          <w:color w:val="auto"/>
        </w:rPr>
      </w:pPr>
    </w:p>
    <w:p>
      <w:pPr>
        <w:ind w:left="206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250"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25"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060" w:space="720"/>
            <w:col w:w="6460"/>
          </w:cols>
          <w:pgMar w:left="320" w:top="1017" w:right="339" w:bottom="1440" w:gutter="0" w:footer="0" w:header="0"/>
          <w:type w:val="continuous"/>
        </w:sectPr>
      </w:pPr>
    </w:p>
    <w:p>
      <w:pPr>
        <w:spacing w:after="0" w:line="196" w:lineRule="exact"/>
        <w:rPr>
          <w:sz w:val="24"/>
          <w:szCs w:val="24"/>
          <w:color w:val="auto"/>
        </w:rPr>
      </w:pPr>
    </w:p>
    <w:p>
      <w:pPr>
        <w:ind w:firstLine="3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There were 301,703,512 shares of capital stock outstanding as of March 3, 2022.</w:t>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0"/>
        </w:trPr>
        <w:tc>
          <w:tcPr>
            <w:tcW w:w="2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2">
              <w:r>
                <w:rPr>
                  <w:rFonts w:ascii="Arial" w:cs="Arial" w:eastAsia="Arial" w:hAnsi="Arial"/>
                  <w:sz w:val="18"/>
                  <w:szCs w:val="18"/>
                  <w:color w:val="0000FF"/>
                  <w:w w:val="96"/>
                </w:rPr>
                <w:t>PART I - FINANCIAL INFORMATION</w:t>
              </w:r>
            </w:hyperlink>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80" w:type="dxa"/>
            <w:vAlign w:val="bottom"/>
          </w:tcPr>
          <w:p>
            <w:pPr>
              <w:spacing w:after="0"/>
              <w:rPr>
                <w:sz w:val="24"/>
                <w:szCs w:val="24"/>
                <w:color w:val="auto"/>
              </w:rPr>
            </w:pPr>
          </w:p>
        </w:tc>
      </w:tr>
      <w:tr>
        <w:trPr>
          <w:trHeight w:val="205"/>
        </w:trPr>
        <w:tc>
          <w:tcPr>
            <w:tcW w:w="78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 Financial Statements</w:t>
              </w:r>
            </w:hyperlink>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0"/>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Statements of Earnings</w:t>
              </w:r>
            </w:hyperlink>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Statements of Comprehensive Income</w:t>
              </w:r>
            </w:hyperlink>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205"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Consolidated Balance Sheets</w:t>
              </w:r>
            </w:hyperlink>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1"/>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Consolidated Statements of Cash Flows</w:t>
              </w:r>
            </w:hyperlink>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7"/>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Equity</w:t>
              </w:r>
            </w:hyperlink>
          </w:p>
        </w:tc>
        <w:tc>
          <w:tcPr>
            <w:tcW w:w="2460" w:type="dxa"/>
            <w:vAlign w:val="bottom"/>
            <w:gridSpan w:val="3"/>
          </w:tcPr>
          <w:p>
            <w:pPr>
              <w:ind w:left="228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Notes to Consolidated Financial Statements</w:t>
              </w:r>
            </w:hyperlink>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6860" w:type="dxa"/>
            <w:vAlign w:val="bottom"/>
            <w:tcBorders>
              <w:bottom w:val="single" w:sz="8" w:color="0000FF"/>
            </w:tcBorders>
            <w:gridSpan w:val="18"/>
          </w:tcPr>
          <w:p>
            <w:pPr>
              <w:spacing w:after="0" w:line="205"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Item 2. Management's Discussion and Analysis of Financial Condition and Results of Operations</w:t>
              </w:r>
            </w:hyperlink>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Item 3. Quantitative and Qualitative Disclosure About Market Risk</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5"/>
        </w:trPr>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9"/>
          </w:tcPr>
          <w:p>
            <w:pPr>
              <w:spacing w:after="0" w:line="205" w:lineRule="exact"/>
              <w:rPr>
                <w:rFonts w:ascii="Arial" w:cs="Arial" w:eastAsia="Arial" w:hAnsi="Arial"/>
                <w:sz w:val="18"/>
                <w:szCs w:val="18"/>
                <w:color w:val="0000FF"/>
                <w:w w:val="87"/>
              </w:rPr>
            </w:pPr>
            <w:hyperlink w:anchor="page35">
              <w:r>
                <w:rPr>
                  <w:rFonts w:ascii="Arial" w:cs="Arial" w:eastAsia="Arial" w:hAnsi="Arial"/>
                  <w:sz w:val="18"/>
                  <w:szCs w:val="18"/>
                  <w:color w:val="0000FF"/>
                  <w:w w:val="87"/>
                </w:rPr>
                <w:t>Item 4. Controls and Procedures</w:t>
              </w:r>
            </w:hyperlink>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5"/>
        </w:trPr>
        <w:tc>
          <w:tcPr>
            <w:tcW w:w="7640" w:type="dxa"/>
            <w:vAlign w:val="bottom"/>
            <w:gridSpan w:val="19"/>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PART II - OTHER INFORMATION</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
        </w:trPr>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Item 2. Unregistered Sales of Equity Securities and Use of Proceeds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5"/>
        </w:trPr>
        <w:tc>
          <w:tcPr>
            <w:tcW w:w="780" w:type="dxa"/>
            <w:vAlign w:val="bottom"/>
          </w:tcPr>
          <w:p>
            <w:pPr>
              <w:spacing w:after="0"/>
              <w:rPr>
                <w:sz w:val="17"/>
                <w:szCs w:val="17"/>
                <w:color w:val="auto"/>
              </w:rPr>
            </w:pPr>
          </w:p>
        </w:tc>
        <w:tc>
          <w:tcPr>
            <w:tcW w:w="4800" w:type="dxa"/>
            <w:vAlign w:val="bottom"/>
            <w:tcBorders>
              <w:top w:val="single" w:sz="8" w:color="0000FF"/>
            </w:tcBorders>
            <w:gridSpan w:val="16"/>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Item 6. Exhibits</w:t>
              </w:r>
            </w:hyperlink>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
        </w:trPr>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680" w:type="dxa"/>
            <w:vAlign w:val="bottom"/>
            <w:tcBorders>
              <w:bottom w:val="single" w:sz="8" w:color="0000FF"/>
            </w:tcBorders>
            <w:gridSpan w:val="4"/>
          </w:tcPr>
          <w:p>
            <w:pPr>
              <w:spacing w:after="0" w:line="205" w:lineRule="exact"/>
              <w:rPr>
                <w:rFonts w:ascii="Arial" w:cs="Arial" w:eastAsia="Arial" w:hAnsi="Arial"/>
                <w:sz w:val="18"/>
                <w:szCs w:val="18"/>
                <w:color w:val="0000FF"/>
                <w:w w:val="96"/>
              </w:rPr>
            </w:pPr>
            <w:hyperlink w:anchor="page36">
              <w:r>
                <w:rPr>
                  <w:rFonts w:ascii="Arial" w:cs="Arial" w:eastAsia="Arial" w:hAnsi="Arial"/>
                  <w:sz w:val="18"/>
                  <w:szCs w:val="18"/>
                  <w:color w:val="0000FF"/>
                  <w:w w:val="96"/>
                </w:rPr>
                <w:t>INDEX TO EXHIBITS</w:t>
              </w:r>
            </w:hyperlink>
          </w:p>
        </w:tc>
        <w:tc>
          <w:tcPr>
            <w:tcW w:w="5960" w:type="dxa"/>
            <w:vAlign w:val="bottom"/>
            <w:gridSpan w:val="15"/>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5"/>
        </w:trPr>
        <w:tc>
          <w:tcPr>
            <w:tcW w:w="7640" w:type="dxa"/>
            <w:vAlign w:val="bottom"/>
            <w:gridSpan w:val="19"/>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19"/>
          </w:cols>
          <w:pgMar w:left="340" w:top="1059" w:right="1440" w:bottom="1440" w:gutter="0" w:footer="0" w:header="0"/>
        </w:sectPr>
      </w:pPr>
    </w:p>
    <w:bookmarkStart w:id="2" w:name="page3"/>
    <w:bookmarkEnd w:id="2"/>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6"/>
                <w:szCs w:val="16"/>
                <w:color w:val="auto"/>
              </w:rPr>
            </w:pPr>
          </w:p>
        </w:tc>
      </w:tr>
      <w:tr>
        <w:trPr>
          <w:trHeight w:val="183"/>
        </w:trPr>
        <w:tc>
          <w:tcPr>
            <w:tcW w:w="620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 2022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2021</w:t>
            </w:r>
          </w:p>
        </w:tc>
        <w:tc>
          <w:tcPr>
            <w:tcW w:w="10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 2022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2021</w:t>
            </w:r>
          </w:p>
        </w:tc>
      </w:tr>
      <w:tr>
        <w:trPr>
          <w:trHeight w:val="219"/>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2,279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218"/>
        </w:trPr>
        <w:tc>
          <w:tcPr>
            <w:tcW w:w="6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6"/>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5"/>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5"/>
        </w:trPr>
        <w:tc>
          <w:tcPr>
            <w:tcW w:w="620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1,878</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3,746</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r>
      <w:tr>
        <w:trPr>
          <w:trHeight w:val="218"/>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25"/>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Per Share — Basic</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Weighted average shares outstanding — basic</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302</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303</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60" w:type="dxa"/>
            <w:vAlign w:val="bottom"/>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right="63"/>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5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January 30, 2022</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4"/>
              </w:rPr>
              <w:t>January 31, 2021</w:t>
            </w:r>
          </w:p>
        </w:tc>
        <w:tc>
          <w:tcPr>
            <w:tcW w:w="720" w:type="dxa"/>
            <w:vAlign w:val="bottom"/>
            <w:tcBorders>
              <w:bottom w:val="single" w:sz="8" w:color="auto"/>
            </w:tcBorders>
          </w:tcPr>
          <w:p>
            <w:pPr>
              <w:spacing w:after="0"/>
              <w:rPr>
                <w:sz w:val="15"/>
                <w:szCs w:val="15"/>
                <w:color w:val="auto"/>
              </w:rPr>
            </w:pPr>
          </w:p>
        </w:tc>
      </w:tr>
      <w:tr>
        <w:trPr>
          <w:trHeight w:val="12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2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220"/>
              <w:spacing w:after="0" w:line="127" w:lineRule="exact"/>
              <w:rPr>
                <w:sz w:val="20"/>
                <w:szCs w:val="20"/>
                <w:color w:val="auto"/>
              </w:rPr>
            </w:pPr>
            <w:r>
              <w:rPr>
                <w:rFonts w:ascii="Arial" w:cs="Arial" w:eastAsia="Arial" w:hAnsi="Arial"/>
                <w:sz w:val="14"/>
                <w:szCs w:val="14"/>
                <w:b w:val="1"/>
                <w:bCs w:val="1"/>
                <w:color w:val="auto"/>
                <w:w w:val="91"/>
              </w:rPr>
              <w:t>Tax benefit</w:t>
            </w:r>
          </w:p>
        </w:tc>
        <w:tc>
          <w:tcPr>
            <w:tcW w:w="720" w:type="dxa"/>
            <w:vAlign w:val="bottom"/>
          </w:tcPr>
          <w:p>
            <w:pPr>
              <w:jc w:val="center"/>
              <w:ind w:right="42"/>
              <w:spacing w:after="0" w:line="127" w:lineRule="exact"/>
              <w:rPr>
                <w:sz w:val="20"/>
                <w:szCs w:val="20"/>
                <w:color w:val="auto"/>
              </w:rPr>
            </w:pPr>
            <w:r>
              <w:rPr>
                <w:rFonts w:ascii="Arial" w:cs="Arial" w:eastAsia="Arial" w:hAnsi="Arial"/>
                <w:sz w:val="14"/>
                <w:szCs w:val="14"/>
                <w:b w:val="1"/>
                <w:bCs w:val="1"/>
                <w:color w:val="auto"/>
                <w:w w:val="97"/>
              </w:rPr>
              <w:t>After-tax</w:t>
            </w:r>
          </w:p>
        </w:tc>
      </w:tr>
      <w:tr>
        <w:trPr>
          <w:trHeight w:val="185"/>
        </w:trPr>
        <w:tc>
          <w:tcPr>
            <w:tcW w:w="5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amount</w:t>
            </w: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center"/>
              <w:ind w:left="363"/>
              <w:spacing w:after="0"/>
              <w:rPr>
                <w:sz w:val="20"/>
                <w:szCs w:val="20"/>
                <w:color w:val="auto"/>
              </w:rPr>
            </w:pPr>
            <w:r>
              <w:rPr>
                <w:rFonts w:ascii="Arial" w:cs="Arial" w:eastAsia="Arial" w:hAnsi="Arial"/>
                <w:sz w:val="16"/>
                <w:szCs w:val="16"/>
                <w:color w:val="auto"/>
                <w:w w:val="89"/>
              </w:rPr>
              <w:t>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2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70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center"/>
              <w:ind w:left="363"/>
              <w:spacing w:after="0"/>
              <w:rPr>
                <w:sz w:val="20"/>
                <w:szCs w:val="20"/>
                <w:color w:val="auto"/>
              </w:rPr>
            </w:pPr>
            <w:r>
              <w:rPr>
                <w:rFonts w:ascii="Arial" w:cs="Arial" w:eastAsia="Arial" w:hAnsi="Arial"/>
                <w:sz w:val="16"/>
                <w:szCs w:val="16"/>
                <w:color w:val="auto"/>
                <w:w w:val="89"/>
              </w:rPr>
              <w:t>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74"/>
        </w:trPr>
        <w:tc>
          <w:tcPr>
            <w:tcW w:w="57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0"/>
              </w:rPr>
              <w:t>Six Months Ended</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183"/>
        </w:trPr>
        <w:tc>
          <w:tcPr>
            <w:tcW w:w="5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January 30, 2022</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4"/>
              </w:rPr>
              <w:t>January 31, 2021</w:t>
            </w:r>
          </w:p>
        </w:tc>
        <w:tc>
          <w:tcPr>
            <w:tcW w:w="720" w:type="dxa"/>
            <w:vAlign w:val="bottom"/>
            <w:tcBorders>
              <w:bottom w:val="single" w:sz="8" w:color="auto"/>
            </w:tcBorders>
          </w:tcPr>
          <w:p>
            <w:pPr>
              <w:spacing w:after="0"/>
              <w:rPr>
                <w:sz w:val="15"/>
                <w:szCs w:val="15"/>
                <w:color w:val="auto"/>
              </w:rPr>
            </w:pPr>
          </w:p>
        </w:tc>
      </w:tr>
      <w:tr>
        <w:trPr>
          <w:trHeight w:val="12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2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220"/>
              <w:spacing w:after="0" w:line="127" w:lineRule="exact"/>
              <w:rPr>
                <w:sz w:val="20"/>
                <w:szCs w:val="20"/>
                <w:color w:val="auto"/>
              </w:rPr>
            </w:pPr>
            <w:r>
              <w:rPr>
                <w:rFonts w:ascii="Arial" w:cs="Arial" w:eastAsia="Arial" w:hAnsi="Arial"/>
                <w:sz w:val="14"/>
                <w:szCs w:val="14"/>
                <w:b w:val="1"/>
                <w:bCs w:val="1"/>
                <w:color w:val="auto"/>
                <w:w w:val="91"/>
              </w:rPr>
              <w:t>Tax benefit</w:t>
            </w:r>
          </w:p>
        </w:tc>
        <w:tc>
          <w:tcPr>
            <w:tcW w:w="720" w:type="dxa"/>
            <w:vAlign w:val="bottom"/>
          </w:tcPr>
          <w:p>
            <w:pPr>
              <w:jc w:val="center"/>
              <w:ind w:right="42"/>
              <w:spacing w:after="0" w:line="127" w:lineRule="exact"/>
              <w:rPr>
                <w:sz w:val="20"/>
                <w:szCs w:val="20"/>
                <w:color w:val="auto"/>
              </w:rPr>
            </w:pPr>
            <w:r>
              <w:rPr>
                <w:rFonts w:ascii="Arial" w:cs="Arial" w:eastAsia="Arial" w:hAnsi="Arial"/>
                <w:sz w:val="14"/>
                <w:szCs w:val="14"/>
                <w:b w:val="1"/>
                <w:bCs w:val="1"/>
                <w:color w:val="auto"/>
                <w:w w:val="97"/>
              </w:rPr>
              <w:t>After-tax</w:t>
            </w:r>
          </w:p>
        </w:tc>
      </w:tr>
      <w:tr>
        <w:trPr>
          <w:trHeight w:val="185"/>
        </w:trPr>
        <w:tc>
          <w:tcPr>
            <w:tcW w:w="5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amount</w:t>
            </w: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center"/>
              <w:ind w:left="363"/>
              <w:spacing w:after="0"/>
              <w:rPr>
                <w:sz w:val="20"/>
                <w:szCs w:val="20"/>
                <w:color w:val="auto"/>
              </w:rPr>
            </w:pPr>
            <w:r>
              <w:rPr>
                <w:rFonts w:ascii="Arial" w:cs="Arial" w:eastAsia="Arial" w:hAnsi="Arial"/>
                <w:sz w:val="16"/>
                <w:szCs w:val="16"/>
                <w:color w:val="auto"/>
                <w:w w:val="89"/>
              </w:rPr>
              <w:t>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6"/>
                <w:szCs w:val="16"/>
                <w:b w:val="1"/>
                <w:bCs w:val="1"/>
                <w:color w:val="auto"/>
                <w:w w:val="91"/>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2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70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91"/>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center"/>
              <w:ind w:left="363"/>
              <w:spacing w:after="0"/>
              <w:rPr>
                <w:sz w:val="20"/>
                <w:szCs w:val="20"/>
                <w:color w:val="auto"/>
              </w:rPr>
            </w:pPr>
            <w:r>
              <w:rPr>
                <w:rFonts w:ascii="Arial" w:cs="Arial" w:eastAsia="Arial" w:hAnsi="Arial"/>
                <w:sz w:val="16"/>
                <w:szCs w:val="16"/>
                <w:color w:val="auto"/>
                <w:w w:val="89"/>
              </w:rPr>
              <w:t>1</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2"/>
              </w:rPr>
              <w:t>January 30, 2022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August 1, 2021</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911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1,980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2,330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3,979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25"/>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11,991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r>
      <w:tr>
        <w:trPr>
          <w:trHeight w:val="20"/>
        </w:trPr>
        <w:tc>
          <w:tcPr>
            <w:tcW w:w="68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Current liabilities</w:t>
            </w:r>
          </w:p>
        </w:tc>
        <w:tc>
          <w:tcPr>
            <w:tcW w:w="1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Payable to suppliers and others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1,162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2,322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4,565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1,084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2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8,639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Campbell Soup Company shareholders' equity</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authorized 40 shares; none issued</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Capital stock, $0.0375 par value; authorized 560 shares; issued 323 shares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Earnings retained in the business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3,983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stock in treasury, at cost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5"/>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3,350</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3,352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11,991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6"/>
                <w:szCs w:val="16"/>
                <w:color w:val="auto"/>
              </w:rPr>
            </w:pPr>
          </w:p>
        </w:tc>
      </w:tr>
      <w:tr>
        <w:trPr>
          <w:trHeight w:val="183"/>
        </w:trPr>
        <w:tc>
          <w:tcPr>
            <w:tcW w:w="87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 2022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2021</w:t>
            </w:r>
          </w:p>
        </w:tc>
      </w:tr>
      <w:tr>
        <w:trPr>
          <w:trHeight w:val="206"/>
        </w:trPr>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80" w:type="dxa"/>
            <w:vAlign w:val="bottom"/>
          </w:tcPr>
          <w:p>
            <w:pPr>
              <w:jc w:val="right"/>
              <w:ind w:right="198"/>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19"/>
                <w:szCs w:val="19"/>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Pension and postretirement benefit income</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Changes in working capital</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assets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18"/>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Purchases of plant assets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route businesses</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Sales of route businesses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Short-term borrowings, including commercial paper</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repayments, including commercial paper</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purchases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Treasury stock issuances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 for stock-based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19"/>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18"/>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080" w:type="dxa"/>
            <w:vAlign w:val="bottom"/>
            <w:gridSpan w:val="2"/>
          </w:tcPr>
          <w:p>
            <w:pPr>
              <w:jc w:val="right"/>
              <w:ind w:right="49"/>
              <w:spacing w:after="0" w:line="146" w:lineRule="exact"/>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right"/>
              <w:ind w:right="349"/>
              <w:spacing w:after="0" w:line="146"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0"/>
              <w:spacing w:after="0" w:line="146"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restart"/>
          </w:tcPr>
          <w:p>
            <w:pPr>
              <w:jc w:val="right"/>
              <w:ind w:right="110"/>
              <w:spacing w:after="0" w:line="106"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center"/>
              <w:ind w:right="70"/>
              <w:spacing w:after="0" w:line="106" w:lineRule="exact"/>
              <w:rPr>
                <w:sz w:val="20"/>
                <w:szCs w:val="20"/>
                <w:color w:val="auto"/>
              </w:rPr>
            </w:pPr>
            <w:r>
              <w:rPr>
                <w:rFonts w:ascii="Arial" w:cs="Arial" w:eastAsia="Arial" w:hAnsi="Arial"/>
                <w:sz w:val="12"/>
                <w:szCs w:val="12"/>
                <w:b w:val="1"/>
                <w:bCs w:val="1"/>
                <w:color w:val="auto"/>
              </w:rPr>
              <w:t>Retained in</w:t>
            </w:r>
          </w:p>
        </w:tc>
        <w:tc>
          <w:tcPr>
            <w:tcW w:w="134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tcPr>
          <w:p>
            <w:pPr>
              <w:spacing w:after="0"/>
              <w:rPr>
                <w:sz w:val="11"/>
                <w:szCs w:val="11"/>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1"/>
                <w:szCs w:val="11"/>
                <w:color w:val="auto"/>
              </w:rPr>
            </w:pPr>
          </w:p>
        </w:tc>
        <w:tc>
          <w:tcPr>
            <w:tcW w:w="860" w:type="dxa"/>
            <w:vAlign w:val="bottom"/>
          </w:tcPr>
          <w:p>
            <w:pPr>
              <w:jc w:val="right"/>
              <w:ind w:right="21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880" w:type="dxa"/>
            <w:vAlign w:val="bottom"/>
          </w:tcPr>
          <w:p>
            <w:pPr>
              <w:jc w:val="center"/>
              <w:ind w:right="70"/>
              <w:spacing w:after="0" w:line="133"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0"/>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1, 2020</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80" w:type="dxa"/>
            <w:vAlign w:val="bottom"/>
          </w:tcPr>
          <w:p>
            <w:pPr>
              <w:ind w:left="20"/>
              <w:spacing w:after="0" w:line="159" w:lineRule="exact"/>
              <w:rPr>
                <w:sz w:val="20"/>
                <w:szCs w:val="20"/>
                <w:color w:val="auto"/>
              </w:rPr>
            </w:pPr>
            <w:r>
              <w:rPr>
                <w:rFonts w:ascii="Arial" w:cs="Arial" w:eastAsia="Arial" w:hAnsi="Arial"/>
                <w:sz w:val="14"/>
                <w:szCs w:val="14"/>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line="159" w:lineRule="exact"/>
              <w:rPr>
                <w:sz w:val="20"/>
                <w:szCs w:val="20"/>
                <w:color w:val="auto"/>
              </w:rPr>
            </w:pPr>
            <w:r>
              <w:rPr>
                <w:rFonts w:ascii="Arial" w:cs="Arial" w:eastAsia="Arial" w:hAnsi="Arial"/>
                <w:sz w:val="14"/>
                <w:szCs w:val="14"/>
                <w:color w:val="auto"/>
              </w:rPr>
              <w:t>245</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Other comprehensive income (loss)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color w:val="auto"/>
              </w:rPr>
              <w:t>Dividends ($.37 per share)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(114)</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w w:val="99"/>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1"/>
                <w:szCs w:val="11"/>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2, 2020</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80" w:type="dxa"/>
            <w:vAlign w:val="bottom"/>
          </w:tcPr>
          <w:p>
            <w:pPr>
              <w:ind w:left="20"/>
              <w:spacing w:after="0" w:line="159" w:lineRule="exact"/>
              <w:rPr>
                <w:sz w:val="20"/>
                <w:szCs w:val="20"/>
                <w:color w:val="auto"/>
              </w:rPr>
            </w:pPr>
            <w:r>
              <w:rPr>
                <w:rFonts w:ascii="Arial" w:cs="Arial" w:eastAsia="Arial" w:hAnsi="Arial"/>
                <w:sz w:val="14"/>
                <w:szCs w:val="14"/>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line="159" w:lineRule="exact"/>
              <w:rPr>
                <w:sz w:val="20"/>
                <w:szCs w:val="20"/>
                <w:color w:val="auto"/>
              </w:rPr>
            </w:pPr>
            <w:r>
              <w:rPr>
                <w:rFonts w:ascii="Arial" w:cs="Arial" w:eastAsia="Arial" w:hAnsi="Arial"/>
                <w:sz w:val="14"/>
                <w:szCs w:val="14"/>
                <w:color w:val="auto"/>
              </w:rPr>
              <w:t>554</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Other comprehensive income (loss)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color w:val="auto"/>
              </w:rPr>
              <w:t>Dividends ($.72 per share)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(221)</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w w:val="99"/>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212</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133"/>
        </w:trPr>
        <w:tc>
          <w:tcPr>
            <w:tcW w:w="20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Other comprehensive income</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Dividends ($.37 per share)</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2"/>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1"/>
                <w:szCs w:val="11"/>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1"/>
                <w:szCs w:val="11"/>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473</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133"/>
        </w:trPr>
        <w:tc>
          <w:tcPr>
            <w:tcW w:w="20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Other comprehensive income</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Dividends ($.74 per share)</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(224)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2"/>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6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1, 2021. Certain amounts in prior-year financial statements were reclassified to conform to the current-year presentation.</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31, 2022.</w:t>
      </w:r>
    </w:p>
    <w:p>
      <w:pPr>
        <w:spacing w:after="0" w:line="148" w:lineRule="exact"/>
        <w:rPr>
          <w:sz w:val="20"/>
          <w:szCs w:val="20"/>
          <w:color w:val="auto"/>
        </w:rPr>
      </w:pPr>
    </w:p>
    <w:p>
      <w:pPr>
        <w:ind w:left="320" w:right="8320" w:hanging="314"/>
        <w:spacing w:after="0" w:line="418" w:lineRule="auto"/>
        <w:tabs>
          <w:tab w:leader="none" w:pos="17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u w:val="single" w:color="auto"/>
          <w:color w:val="auto"/>
        </w:rPr>
        <w:t>Recently Adopted</w:t>
      </w:r>
    </w:p>
    <w:p>
      <w:pPr>
        <w:spacing w:after="0" w:line="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December 2019, the Financial Accounting Standards Board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 (Loss)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Foreign Currency</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Cash-Flow Hedges</w:t>
            </w:r>
            <w:r>
              <w:rPr>
                <w:rFonts w:ascii="Arial" w:cs="Arial" w:eastAsia="Arial" w:hAnsi="Arial"/>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Postretirement Benefit</w:t>
            </w: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5"/>
        </w:trPr>
        <w:tc>
          <w:tcPr>
            <w:tcW w:w="5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6" w:lineRule="exact"/>
              <w:rPr>
                <w:sz w:val="20"/>
                <w:szCs w:val="20"/>
                <w:color w:val="auto"/>
              </w:rPr>
            </w:pPr>
            <w:r>
              <w:rPr>
                <w:rFonts w:ascii="Arial" w:cs="Arial" w:eastAsia="Arial" w:hAnsi="Arial"/>
                <w:sz w:val="14"/>
                <w:szCs w:val="14"/>
                <w:b w:val="1"/>
                <w:bCs w:val="1"/>
                <w:color w:val="auto"/>
                <w:w w:val="86"/>
              </w:rPr>
              <w:t>Adjustments</w:t>
            </w:r>
            <w:r>
              <w:rPr>
                <w:rFonts w:ascii="Arial" w:cs="Arial" w:eastAsia="Arial" w:hAnsi="Arial"/>
                <w:sz w:val="18"/>
                <w:szCs w:val="18"/>
                <w:b w:val="1"/>
                <w:bCs w:val="1"/>
                <w:color w:val="auto"/>
                <w:w w:val="86"/>
                <w:vertAlign w:val="superscript"/>
              </w:rPr>
              <w:t>(1)</w:t>
            </w:r>
          </w:p>
        </w:tc>
        <w:tc>
          <w:tcPr>
            <w:tcW w:w="1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86" w:lineRule="exact"/>
              <w:rPr>
                <w:sz w:val="20"/>
                <w:szCs w:val="20"/>
                <w:color w:val="auto"/>
              </w:rPr>
            </w:pPr>
            <w:r>
              <w:rPr>
                <w:rFonts w:ascii="Arial" w:cs="Arial" w:eastAsia="Arial" w:hAnsi="Arial"/>
                <w:sz w:val="14"/>
                <w:szCs w:val="14"/>
                <w:b w:val="1"/>
                <w:bCs w:val="1"/>
                <w:color w:val="auto"/>
                <w:w w:val="88"/>
              </w:rPr>
              <w:t>Plan Adjustments</w:t>
            </w:r>
            <w:r>
              <w:rPr>
                <w:rFonts w:ascii="Arial" w:cs="Arial" w:eastAsia="Arial" w:hAnsi="Arial"/>
                <w:sz w:val="18"/>
                <w:szCs w:val="18"/>
                <w:b w:val="1"/>
                <w:bCs w:val="1"/>
                <w:color w:val="auto"/>
                <w:w w:val="88"/>
                <w:vertAlign w:val="superscript"/>
              </w:rPr>
              <w:t>(3)</w:t>
            </w:r>
          </w:p>
        </w:tc>
        <w:tc>
          <w:tcPr>
            <w:tcW w:w="14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line="204" w:lineRule="exact"/>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1"/>
              </w:rPr>
              <w:t>Losses (gains) reclassified from accumulated other comprehensive</w:t>
            </w: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Arial" w:cs="Arial" w:eastAsia="Arial" w:hAnsi="Arial"/>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_____________________________________</w:t>
      </w:r>
    </w:p>
    <w:p>
      <w:pPr>
        <w:spacing w:after="0" w:line="8" w:lineRule="exact"/>
        <w:rPr>
          <w:sz w:val="20"/>
          <w:szCs w:val="20"/>
          <w:color w:val="auto"/>
        </w:rPr>
      </w:pPr>
    </w:p>
    <w:p>
      <w:pPr>
        <w:ind w:left="320" w:hanging="314"/>
        <w:spacing w:after="0"/>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no tax as of January 30, 2022, August 1, 2021, January 31, 2021 and August 2, 2020.</w:t>
      </w:r>
    </w:p>
    <w:p>
      <w:pPr>
        <w:ind w:left="320" w:right="380" w:hanging="314"/>
        <w:spacing w:after="0" w:line="215" w:lineRule="auto"/>
        <w:tabs>
          <w:tab w:leader="none" w:pos="30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tax expense of $1 million as of January 30, 2022, a tax benefit of $1 million as of August 1, 2021, $2 million as of January 31, 2021, and $1 million as of August 2, 2020.</w:t>
      </w:r>
    </w:p>
    <w:p>
      <w:pPr>
        <w:spacing w:after="0" w:line="1" w:lineRule="exact"/>
        <w:rPr>
          <w:rFonts w:ascii="Arial" w:cs="Arial" w:eastAsia="Arial" w:hAnsi="Arial"/>
          <w:sz w:val="23"/>
          <w:szCs w:val="23"/>
          <w:color w:val="auto"/>
          <w:vertAlign w:val="superscript"/>
        </w:rPr>
      </w:pPr>
    </w:p>
    <w:p>
      <w:pPr>
        <w:ind w:left="320" w:right="320" w:hanging="314"/>
        <w:spacing w:after="0" w:line="281" w:lineRule="auto"/>
        <w:tabs>
          <w:tab w:leader="none" w:pos="30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tax expense of $1 million as of January 30, 2022, and as of August 1, 2021, and $2 million as of January 31, 2021, and as of August 2, 2020. Amounts related to noncontrolling interests were not material.</w:t>
      </w:r>
    </w:p>
    <w:p>
      <w:pPr>
        <w:spacing w:after="0" w:line="1"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 amounts reclassified from Accumulated other comprehensive income (loss)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January 30, 2022</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January 31, 2021</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January 30, 2022</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January 31, 2021</w:t>
            </w:r>
          </w:p>
        </w:tc>
        <w:tc>
          <w:tcPr>
            <w:tcW w:w="100" w:type="dxa"/>
            <w:vAlign w:val="bottom"/>
          </w:tcPr>
          <w:p>
            <w:pPr>
              <w:spacing w:after="0"/>
              <w:rPr>
                <w:sz w:val="10"/>
                <w:szCs w:val="10"/>
                <w:color w:val="auto"/>
              </w:rPr>
            </w:pPr>
          </w:p>
        </w:tc>
        <w:tc>
          <w:tcPr>
            <w:tcW w:w="2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w w:val="99"/>
              </w:rPr>
              <w:t>Location of Loss (Gain) Recognized in</w:t>
            </w:r>
          </w:p>
        </w:tc>
        <w:tc>
          <w:tcPr>
            <w:tcW w:w="0" w:type="dxa"/>
            <w:vAlign w:val="bottom"/>
          </w:tcPr>
          <w:p>
            <w:pPr>
              <w:spacing w:after="0"/>
              <w:rPr>
                <w:sz w:val="1"/>
                <w:szCs w:val="1"/>
                <w:color w:val="auto"/>
              </w:rPr>
            </w:pPr>
          </w:p>
        </w:tc>
      </w:tr>
      <w:tr>
        <w:trPr>
          <w:trHeight w:val="185"/>
        </w:trPr>
        <w:tc>
          <w:tcPr>
            <w:tcW w:w="368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ind w:left="96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06"/>
        </w:trPr>
        <w:tc>
          <w:tcPr>
            <w:tcW w:w="3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Losses (gains) on cash-flow hedges: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340" w:type="dxa"/>
            <w:vAlign w:val="bottom"/>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720" w:type="dxa"/>
            <w:vAlign w:val="bottom"/>
          </w:tcPr>
          <w:p>
            <w:pPr>
              <w:jc w:val="right"/>
              <w:ind w:right="51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Total before tax</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jc w:val="right"/>
              <w:ind w:right="33"/>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Loss (gain), net of tax</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Pension and postretirement benefit adjustments: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20" w:type="dxa"/>
            <w:vAlign w:val="bottom"/>
          </w:tcPr>
          <w:p>
            <w:pPr>
              <w:jc w:val="right"/>
              <w:ind w:right="51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Tax expense (benefit)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jc w:val="right"/>
              <w:ind w:right="33"/>
              <w:spacing w:after="0" w:line="204" w:lineRule="exact"/>
              <w:rPr>
                <w:sz w:val="20"/>
                <w:szCs w:val="20"/>
                <w:color w:val="auto"/>
              </w:rPr>
            </w:pPr>
            <w:r>
              <w:rPr>
                <w:rFonts w:ascii="Arial" w:cs="Arial" w:eastAsia="Arial" w:hAnsi="Arial"/>
                <w:sz w:val="18"/>
                <w:szCs w:val="18"/>
                <w:color w:val="auto"/>
              </w:rPr>
              <w:t>Loss (gain), net of tax</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8700" w:firstLine="6"/>
        <w:spacing w:after="0" w:line="349" w:lineRule="auto"/>
        <w:tabs>
          <w:tab w:leader="none" w:pos="17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24"/>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August 1, 2021</w:t>
            </w:r>
          </w:p>
        </w:tc>
        <w:tc>
          <w:tcPr>
            <w:tcW w:w="54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r>
      <w:tr>
        <w:trPr>
          <w:trHeight w:val="225"/>
        </w:trPr>
        <w:tc>
          <w:tcPr>
            <w:tcW w:w="7060" w:type="dxa"/>
            <w:vAlign w:val="bottom"/>
          </w:tcPr>
          <w:p>
            <w:pPr>
              <w:ind w:left="20"/>
              <w:spacing w:after="0" w:line="225" w:lineRule="exact"/>
              <w:rPr>
                <w:sz w:val="20"/>
                <w:szCs w:val="20"/>
                <w:color w:val="auto"/>
              </w:rPr>
            </w:pPr>
            <w:r>
              <w:rPr>
                <w:rFonts w:ascii="Arial" w:cs="Arial" w:eastAsia="Arial" w:hAnsi="Arial"/>
                <w:sz w:val="18"/>
                <w:szCs w:val="18"/>
                <w:b w:val="1"/>
                <w:bCs w:val="1"/>
                <w:color w:val="auto"/>
              </w:rPr>
              <w:t>Amounts reclassified due to segment change</w:t>
            </w:r>
            <w:r>
              <w:rPr>
                <w:rFonts w:ascii="Arial" w:cs="Arial" w:eastAsia="Arial" w:hAnsi="Arial"/>
                <w:sz w:val="22"/>
                <w:szCs w:val="22"/>
                <w:b w:val="1"/>
                <w:bCs w:val="1"/>
                <w:color w:val="auto"/>
                <w:vertAlign w:val="superscript"/>
              </w:rPr>
              <w:t>(1)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r>
      <w:tr>
        <w:trPr>
          <w:trHeight w:val="218"/>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balance at January 30, 2022</w:t>
            </w: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3,979</w:t>
            </w:r>
          </w:p>
        </w:tc>
      </w:tr>
      <w:tr>
        <w:trPr>
          <w:trHeight w:val="20"/>
        </w:trPr>
        <w:tc>
          <w:tcPr>
            <w:tcW w:w="7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4" w:lineRule="exact"/>
        <w:rPr>
          <w:sz w:val="20"/>
          <w:szCs w:val="20"/>
          <w:color w:val="auto"/>
        </w:rPr>
      </w:pPr>
    </w:p>
    <w:p>
      <w:pPr>
        <w:ind w:left="340" w:hanging="334"/>
        <w:spacing w:after="0"/>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Note 5 for additional information.</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Intangible Assets</w:t>
      </w:r>
    </w:p>
    <w:p>
      <w:pPr>
        <w:spacing w:after="0" w:line="8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balance sheet information for intangible assets, excluding goodwill, subject to amortization and intangible assets not subject to amortization: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January 30, 2022</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August 1, 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4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Amortizable intangible assets</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net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01"/>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rPr>
        <w:t>The carrying values of trademarks as of January 30, 2022 and August 1, 2021 are detailed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1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1"/>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Snyder's of Hanover</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i w:val="1"/>
                <w:iCs w:val="1"/>
                <w:color w:val="auto"/>
              </w:rPr>
              <w:t>Lance</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Pace</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i w:val="1"/>
                <w:iCs w:val="1"/>
                <w:color w:val="auto"/>
              </w:rPr>
              <w:t>Pacific Foods</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6"/>
        </w:trPr>
        <w:tc>
          <w:tcPr>
            <w:tcW w:w="101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Various Other</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8"/>
        </w:trPr>
        <w:tc>
          <w:tcPr>
            <w:tcW w:w="1010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r>
      <w:tr>
        <w:trPr>
          <w:trHeight w:val="20"/>
        </w:trPr>
        <w:tc>
          <w:tcPr>
            <w:tcW w:w="10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98" w:lineRule="exact"/>
        <w:rPr>
          <w:sz w:val="20"/>
          <w:szCs w:val="20"/>
          <w:color w:val="auto"/>
        </w:rPr>
      </w:pPr>
    </w:p>
    <w:p>
      <w:pPr>
        <w:ind w:left="320" w:hanging="155"/>
        <w:spacing w:after="0"/>
        <w:tabs>
          <w:tab w:leader="none" w:pos="32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Associated with the acquisition of Snyder's-Lance, Inc. (Snyder's-Lance).</w:t>
      </w:r>
    </w:p>
    <w:p>
      <w:pPr>
        <w:spacing w:after="0" w:line="7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of intangible assets was $21 million for both the six-month periods ended January 30, 2022 and January 31, 2021. As of January 30, 2022, amortizable intangible assets had a weighted-average remaining useful life of 17 years. Amortization expense for the next 5 years is estimated to be approximately $41 million per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reportable segments are as follows:</w:t>
      </w:r>
    </w:p>
    <w:p>
      <w:pPr>
        <w:spacing w:after="0" w:line="98" w:lineRule="exact"/>
        <w:rPr>
          <w:sz w:val="20"/>
          <w:szCs w:val="20"/>
          <w:color w:val="auto"/>
        </w:rPr>
      </w:pPr>
    </w:p>
    <w:p>
      <w:pPr>
        <w:jc w:val="both"/>
        <w:ind w:left="640" w:hanging="316"/>
        <w:spacing w:after="0" w:line="26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Meals &amp; Beverages, which consists of our soup, simple meals and beverages products in retail and foodservice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and non-dairy beverages;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gravies, pasta, beans and dinner sauces;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and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The segment also includes snacking products in foodservice and Canada. The segment included our Plum baby food and snacks business, which was sold on May 3, 2021; and</w:t>
      </w:r>
    </w:p>
    <w:p>
      <w:pPr>
        <w:spacing w:after="0" w:line="61"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Snacks, which consists of Pepperidge Farm cookies*, crackers, fresh bakery and frozen products, including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w:t>
      </w:r>
      <w:r>
        <w:rPr>
          <w:rFonts w:ascii="Arial" w:cs="Arial" w:eastAsia="Arial" w:hAnsi="Arial"/>
          <w:sz w:val="18"/>
          <w:szCs w:val="18"/>
          <w:i w:val="1"/>
          <w:iCs w:val="1"/>
          <w:color w:val="auto"/>
        </w:rPr>
        <w:t>*, Kettle Brand</w:t>
      </w:r>
      <w:r>
        <w:rPr>
          <w:rFonts w:ascii="Arial" w:cs="Arial" w:eastAsia="Arial" w:hAnsi="Arial"/>
          <w:sz w:val="18"/>
          <w:szCs w:val="18"/>
          <w:color w:val="auto"/>
        </w:rPr>
        <w:t xml:space="preserve"> potato chips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pretzel crisps</w:t>
      </w:r>
      <w:r>
        <w:rPr>
          <w:rFonts w:ascii="Arial" w:cs="Arial" w:eastAsia="Arial" w:hAnsi="Arial"/>
          <w:sz w:val="18"/>
          <w:szCs w:val="18"/>
          <w:i w:val="1"/>
          <w:iCs w:val="1"/>
          <w:color w:val="auto"/>
        </w:rPr>
        <w:t>*, Pop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Secret </w:t>
      </w:r>
      <w:r>
        <w:rPr>
          <w:rFonts w:ascii="Arial" w:cs="Arial" w:eastAsia="Arial" w:hAnsi="Arial"/>
          <w:sz w:val="18"/>
          <w:szCs w:val="18"/>
          <w:color w:val="auto"/>
        </w:rPr>
        <w:t>popcorn,</w:t>
      </w:r>
      <w:r>
        <w:rPr>
          <w:rFonts w:ascii="Arial" w:cs="Arial" w:eastAsia="Arial" w:hAnsi="Arial"/>
          <w:sz w:val="18"/>
          <w:szCs w:val="18"/>
          <w:i w:val="1"/>
          <w:iCs w:val="1"/>
          <w:color w:val="auto"/>
        </w:rPr>
        <w:t xml:space="preserve"> Emerald </w:t>
      </w:r>
      <w:r>
        <w:rPr>
          <w:rFonts w:ascii="Arial" w:cs="Arial" w:eastAsia="Arial" w:hAnsi="Arial"/>
          <w:sz w:val="18"/>
          <w:szCs w:val="18"/>
          <w:color w:val="auto"/>
        </w:rPr>
        <w:t>nuts, and other snacking products in retail in the U.S. The segment also includes the retail business in Latin America.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we now refer to the * brands as our "power brands."</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Beginning in 2022, the foodservice and Canadian business formerly included in our Snacks segment is now managed as part of the Meals &amp; Beverages segment. Segment results have been adjusted retrospectively to reflect this change.</w:t>
      </w:r>
    </w:p>
    <w:p>
      <w:pPr>
        <w:spacing w:after="0" w:line="6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January 31,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January 31, 2021</w:t>
            </w:r>
          </w:p>
        </w:tc>
      </w:tr>
      <w:tr>
        <w:trPr>
          <w:trHeight w:val="206"/>
        </w:trPr>
        <w:tc>
          <w:tcPr>
            <w:tcW w:w="35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5"/>
        </w:trPr>
        <w:tc>
          <w:tcPr>
            <w:tcW w:w="354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25"/>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18"/>
        </w:trPr>
        <w:tc>
          <w:tcPr>
            <w:tcW w:w="354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0"/>
        </w:trPr>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40"/>
        </w:trPr>
        <w:tc>
          <w:tcPr>
            <w:tcW w:w="354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3"/>
        </w:trPr>
        <w:tc>
          <w:tcPr>
            <w:tcW w:w="35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January 31,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January 31, 2021</w:t>
            </w:r>
          </w:p>
        </w:tc>
      </w:tr>
      <w:tr>
        <w:trPr>
          <w:trHeight w:val="206"/>
        </w:trPr>
        <w:tc>
          <w:tcPr>
            <w:tcW w:w="5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Earnings before interest and taxes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25"/>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5"/>
        </w:trPr>
        <w:tc>
          <w:tcPr>
            <w:tcW w:w="5680" w:type="dxa"/>
            <w:vAlign w:val="bottom"/>
          </w:tcPr>
          <w:p>
            <w:pPr>
              <w:ind w:left="140"/>
              <w:spacing w:after="0" w:line="225" w:lineRule="exact"/>
              <w:rPr>
                <w:sz w:val="20"/>
                <w:szCs w:val="20"/>
                <w:color w:val="auto"/>
              </w:rPr>
            </w:pPr>
            <w:r>
              <w:rPr>
                <w:rFonts w:ascii="Arial" w:cs="Arial" w:eastAsia="Arial" w:hAnsi="Arial"/>
                <w:sz w:val="18"/>
                <w:szCs w:val="18"/>
                <w:color w:val="auto"/>
              </w:rPr>
              <w:t>Corporate income (expense)</w:t>
            </w:r>
            <w:r>
              <w:rPr>
                <w:rFonts w:ascii="Arial" w:cs="Arial" w:eastAsia="Arial" w:hAnsi="Arial"/>
                <w:sz w:val="22"/>
                <w:szCs w:val="22"/>
                <w:color w:val="auto"/>
                <w:vertAlign w:val="superscript"/>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568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8"/>
        </w:trPr>
        <w:tc>
          <w:tcPr>
            <w:tcW w:w="568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58" w:lineRule="exact"/>
        <w:rPr>
          <w:sz w:val="20"/>
          <w:szCs w:val="20"/>
          <w:color w:val="auto"/>
        </w:rPr>
      </w:pPr>
    </w:p>
    <w:p>
      <w:pPr>
        <w:jc w:val="both"/>
        <w:ind w:left="320" w:hanging="314"/>
        <w:spacing w:after="0" w:line="237"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unallocated items. There were pension actuarial gains of $10 million and $4 million in the three- and six-month periods ended January 30, 2022, and pension actuarial gains of $30 million and $34 million in the three- and six-month periods ended January 31, 2021, respectively. Costs related to the cost savings initiatives were $5 million and $9 million in the three- and six-month periods ended January 30, 2022, and $4 million and $9 million in the three- and six-month periods ended January 31, 2021, respectively. Unrealized mark-to-market adjustments on outstanding undesignated commodity hedges were losses of $3 million in the six-month period ended January 30, 2022, and gains of $11 million and $17 million in the three- and six-month periods ended January 31, 2021, respectively.</w:t>
      </w:r>
    </w:p>
    <w:p>
      <w:pPr>
        <w:ind w:left="320" w:hanging="314"/>
        <w:spacing w:after="0" w:line="192"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See Note 6 for additional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Our net sales based on product categories are as follows:</w:t>
            </w:r>
          </w:p>
        </w:tc>
        <w:tc>
          <w:tcPr>
            <w:tcW w:w="120" w:type="dxa"/>
            <w:vAlign w:val="bottom"/>
          </w:tcPr>
          <w:p>
            <w:pPr>
              <w:spacing w:after="0"/>
              <w:rPr>
                <w:sz w:val="19"/>
                <w:szCs w:val="19"/>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9"/>
                <w:szCs w:val="19"/>
                <w:color w:val="auto"/>
              </w:rPr>
            </w:pPr>
          </w:p>
        </w:tc>
        <w:tc>
          <w:tcPr>
            <w:tcW w:w="26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January 31, 2021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January 31, 2021</w:t>
            </w:r>
          </w:p>
        </w:tc>
      </w:tr>
      <w:tr>
        <w:trPr>
          <w:trHeight w:val="206"/>
        </w:trPr>
        <w:tc>
          <w:tcPr>
            <w:tcW w:w="5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5"/>
        </w:trPr>
        <w:tc>
          <w:tcPr>
            <w:tcW w:w="5700" w:type="dxa"/>
            <w:vAlign w:val="bottom"/>
          </w:tcPr>
          <w:p>
            <w:pPr>
              <w:ind w:left="140"/>
              <w:spacing w:after="0"/>
              <w:rPr>
                <w:sz w:val="20"/>
                <w:szCs w:val="20"/>
                <w:color w:val="auto"/>
              </w:rPr>
            </w:pPr>
            <w:r>
              <w:rPr>
                <w:rFonts w:ascii="Arial" w:cs="Arial" w:eastAsia="Arial" w:hAnsi="Arial"/>
                <w:sz w:val="18"/>
                <w:szCs w:val="18"/>
                <w:color w:val="auto"/>
              </w:rPr>
              <w:t>Soup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25"/>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25"/>
        </w:trPr>
        <w:tc>
          <w:tcPr>
            <w:tcW w:w="5700" w:type="dxa"/>
            <w:vAlign w:val="bottom"/>
          </w:tcPr>
          <w:p>
            <w:pPr>
              <w:ind w:left="140"/>
              <w:spacing w:after="0"/>
              <w:rPr>
                <w:sz w:val="20"/>
                <w:szCs w:val="20"/>
                <w:color w:val="auto"/>
              </w:rPr>
            </w:pPr>
            <w:r>
              <w:rPr>
                <w:rFonts w:ascii="Arial" w:cs="Arial" w:eastAsia="Arial" w:hAnsi="Arial"/>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25"/>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8"/>
        </w:trPr>
        <w:tc>
          <w:tcPr>
            <w:tcW w:w="570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Soup includes various soup, broth and stock products. Snacks include cookies, pretzels, crackers, popcorn, nuts, potato chips, tortilla chips and other salty snacks and baked products. Other simple meals include sauces, gravies, pasta, beans, canned poultry, and Plum products through May 3, 2021, when the business was sold. Beverages include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and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non-dairy beverages.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1" w:name="page12"/>
    <w:bookmarkEnd w:id="11"/>
    <w:p>
      <w:pPr>
        <w:ind w:firstLine="318"/>
        <w:spacing w:after="0" w:line="350" w:lineRule="auto"/>
        <w:rPr>
          <w:sz w:val="20"/>
          <w:szCs w:val="20"/>
          <w:color w:val="auto"/>
        </w:rPr>
      </w:pPr>
      <w:r>
        <w:rPr>
          <w:rFonts w:ascii="Arial" w:cs="Arial" w:eastAsia="Arial" w:hAnsi="Arial"/>
          <w:sz w:val="15"/>
          <w:szCs w:val="15"/>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ind w:left="32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ectPr>
          <w:pgSz w:w="11900" w:h="16838" w:orient="portrait"/>
          <w:cols w:equalWidth="0" w:num="1">
            <w:col w:w="11240"/>
          </w:cols>
          <w:pgMar w:left="320" w:top="975" w:right="339" w:bottom="1440" w:gutter="0" w:footer="0" w:header="0"/>
        </w:sectPr>
      </w:pP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297"/>
        </w:trPr>
        <w:tc>
          <w:tcPr>
            <w:tcW w:w="39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220"/>
        </w:trPr>
        <w:tc>
          <w:tcPr>
            <w:tcW w:w="3900" w:type="dxa"/>
            <w:vAlign w:val="bottom"/>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19</w:t>
            </w:r>
          </w:p>
        </w:tc>
      </w:tr>
      <w:tr>
        <w:trPr>
          <w:trHeight w:val="225"/>
        </w:trPr>
        <w:tc>
          <w:tcPr>
            <w:tcW w:w="39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10</w:t>
            </w:r>
          </w:p>
        </w:tc>
      </w:tr>
      <w:tr>
        <w:trPr>
          <w:trHeight w:val="225"/>
        </w:trPr>
        <w:tc>
          <w:tcPr>
            <w:tcW w:w="3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(1)</w:t>
            </w:r>
          </w:p>
        </w:tc>
      </w:tr>
      <w:tr>
        <w:trPr>
          <w:trHeight w:val="225"/>
        </w:trPr>
        <w:tc>
          <w:tcPr>
            <w:tcW w:w="390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19"/>
        </w:trPr>
        <w:tc>
          <w:tcPr>
            <w:tcW w:w="3900" w:type="dxa"/>
            <w:vAlign w:val="bottom"/>
          </w:tcPr>
          <w:p>
            <w:pPr>
              <w:spacing w:after="0" w:line="205" w:lineRule="exact"/>
              <w:rPr>
                <w:sz w:val="20"/>
                <w:szCs w:val="20"/>
                <w:color w:val="auto"/>
              </w:rPr>
            </w:pPr>
            <w:r>
              <w:rPr>
                <w:rFonts w:ascii="Arial" w:cs="Arial" w:eastAsia="Arial" w:hAnsi="Arial"/>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28</w:t>
            </w: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-613410</wp:posOffset>
            </wp:positionV>
            <wp:extent cx="7134860"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-327660</wp:posOffset>
            </wp:positionV>
            <wp:extent cx="713486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713486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left="-16"/>
        <w:spacing w:after="0" w:line="235" w:lineRule="auto"/>
        <w:rPr>
          <w:sz w:val="20"/>
          <w:szCs w:val="20"/>
          <w:color w:val="auto"/>
        </w:rPr>
      </w:pPr>
      <w:r>
        <w:rPr>
          <w:rFonts w:ascii="Arial" w:cs="Arial" w:eastAsia="Arial" w:hAnsi="Arial"/>
          <w:sz w:val="14"/>
          <w:szCs w:val="14"/>
          <w:b w:val="1"/>
          <w:bCs w:val="1"/>
          <w:color w:val="auto"/>
        </w:rPr>
        <w:t>Recognized as of January 30, 2022</w:t>
      </w:r>
    </w:p>
    <w:p>
      <w:pPr>
        <w:spacing w:after="0" w:line="26" w:lineRule="exact"/>
        <w:rPr>
          <w:sz w:val="20"/>
          <w:szCs w:val="20"/>
          <w:color w:val="auto"/>
        </w:rPr>
      </w:pPr>
    </w:p>
    <w:p>
      <w:pPr>
        <w:ind w:left="1257" w:hanging="1257"/>
        <w:spacing w:after="0"/>
        <w:tabs>
          <w:tab w:leader="none" w:pos="1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259</w:t>
      </w:r>
    </w:p>
    <w:p>
      <w:pPr>
        <w:spacing w:after="0" w:line="29" w:lineRule="exact"/>
        <w:rPr>
          <w:rFonts w:ascii="Arial" w:cs="Arial" w:eastAsia="Arial" w:hAnsi="Arial"/>
          <w:sz w:val="17"/>
          <w:szCs w:val="17"/>
          <w:color w:val="auto"/>
        </w:rPr>
      </w:pPr>
    </w:p>
    <w:p>
      <w:pPr>
        <w:ind w:left="1257"/>
        <w:spacing w:after="0"/>
        <w:rPr>
          <w:rFonts w:ascii="Arial" w:cs="Arial" w:eastAsia="Arial" w:hAnsi="Arial"/>
          <w:sz w:val="17"/>
          <w:szCs w:val="17"/>
          <w:color w:val="auto"/>
        </w:rPr>
      </w:pPr>
      <w:r>
        <w:rPr>
          <w:rFonts w:ascii="Arial" w:cs="Arial" w:eastAsia="Arial" w:hAnsi="Arial"/>
          <w:sz w:val="17"/>
          <w:szCs w:val="17"/>
          <w:color w:val="auto"/>
        </w:rPr>
        <w:t>344</w:t>
      </w:r>
    </w:p>
    <w:p>
      <w:pPr>
        <w:spacing w:after="0" w:line="29" w:lineRule="exact"/>
        <w:rPr>
          <w:rFonts w:ascii="Arial" w:cs="Arial" w:eastAsia="Arial" w:hAnsi="Arial"/>
          <w:sz w:val="17"/>
          <w:szCs w:val="17"/>
          <w:color w:val="auto"/>
        </w:rPr>
      </w:pPr>
    </w:p>
    <w:p>
      <w:pPr>
        <w:ind w:left="1357"/>
        <w:spacing w:after="0"/>
        <w:rPr>
          <w:rFonts w:ascii="Arial" w:cs="Arial" w:eastAsia="Arial" w:hAnsi="Arial"/>
          <w:sz w:val="17"/>
          <w:szCs w:val="17"/>
          <w:color w:val="auto"/>
        </w:rPr>
      </w:pPr>
      <w:r>
        <w:rPr>
          <w:rFonts w:ascii="Arial" w:cs="Arial" w:eastAsia="Arial" w:hAnsi="Arial"/>
          <w:sz w:val="17"/>
          <w:szCs w:val="17"/>
          <w:color w:val="auto"/>
        </w:rPr>
        <w:t>83</w:t>
      </w:r>
    </w:p>
    <w:p>
      <w:pPr>
        <w:spacing w:after="0" w:line="29" w:lineRule="exact"/>
        <w:rPr>
          <w:rFonts w:ascii="Arial" w:cs="Arial" w:eastAsia="Arial" w:hAnsi="Arial"/>
          <w:sz w:val="17"/>
          <w:szCs w:val="17"/>
          <w:color w:val="auto"/>
        </w:rPr>
      </w:pPr>
    </w:p>
    <w:p>
      <w:pPr>
        <w:ind w:left="1357"/>
        <w:spacing w:after="0"/>
        <w:rPr>
          <w:rFonts w:ascii="Arial" w:cs="Arial" w:eastAsia="Arial" w:hAnsi="Arial"/>
          <w:sz w:val="17"/>
          <w:szCs w:val="17"/>
          <w:color w:val="auto"/>
        </w:rPr>
      </w:pPr>
      <w:r>
        <w:rPr>
          <w:rFonts w:ascii="Arial" w:cs="Arial" w:eastAsia="Arial" w:hAnsi="Arial"/>
          <w:sz w:val="17"/>
          <w:szCs w:val="17"/>
          <w:color w:val="auto"/>
        </w:rPr>
        <w:t>13</w:t>
      </w:r>
    </w:p>
    <w:p>
      <w:pPr>
        <w:spacing w:after="0" w:line="29" w:lineRule="exact"/>
        <w:rPr>
          <w:rFonts w:ascii="Arial" w:cs="Arial" w:eastAsia="Arial" w:hAnsi="Arial"/>
          <w:sz w:val="17"/>
          <w:szCs w:val="17"/>
          <w:color w:val="auto"/>
        </w:rPr>
      </w:pPr>
    </w:p>
    <w:p>
      <w:pPr>
        <w:ind w:left="1437"/>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02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2" w:lineRule="exact"/>
        <w:rPr>
          <w:sz w:val="20"/>
          <w:szCs w:val="20"/>
          <w:color w:val="auto"/>
        </w:rPr>
      </w:pPr>
    </w:p>
    <w:p>
      <w:pPr>
        <w:ind w:left="1257" w:hanging="1257"/>
        <w:spacing w:after="0"/>
        <w:tabs>
          <w:tab w:leader="none" w:pos="1257" w:val="left"/>
        </w:tabs>
        <w:numPr>
          <w:ilvl w:val="0"/>
          <w:numId w:val="9"/>
        </w:numPr>
        <w:rPr>
          <w:rFonts w:ascii="Arial" w:cs="Arial" w:eastAsia="Arial" w:hAnsi="Arial"/>
          <w:sz w:val="17"/>
          <w:szCs w:val="17"/>
          <w:color w:val="auto"/>
        </w:rPr>
      </w:pPr>
      <w:r>
        <w:rPr>
          <w:rFonts w:ascii="Arial" w:cs="Arial" w:eastAsia="Arial" w:hAnsi="Arial"/>
          <w:sz w:val="17"/>
          <w:szCs w:val="17"/>
          <w:color w:val="auto"/>
        </w:rPr>
        <w:t>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18415</wp:posOffset>
            </wp:positionV>
            <wp:extent cx="102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43815</wp:posOffset>
            </wp:positionV>
            <wp:extent cx="102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57" w:right="260" w:firstLine="173"/>
        <w:spacing w:after="0" w:line="292" w:lineRule="auto"/>
        <w:rPr>
          <w:sz w:val="20"/>
          <w:szCs w:val="20"/>
          <w:color w:val="auto"/>
        </w:rPr>
      </w:pPr>
      <w:r>
        <w:rPr>
          <w:rFonts w:ascii="Arial" w:cs="Arial" w:eastAsia="Arial" w:hAnsi="Arial"/>
          <w:sz w:val="12"/>
          <w:szCs w:val="12"/>
          <w:b w:val="1"/>
          <w:bCs w:val="1"/>
          <w:color w:val="auto"/>
        </w:rPr>
        <w:t>Recognized as of January 30, 2022</w:t>
      </w:r>
    </w:p>
    <w:p>
      <w:pPr>
        <w:spacing w:after="0" w:line="1" w:lineRule="exact"/>
        <w:rPr>
          <w:sz w:val="20"/>
          <w:szCs w:val="20"/>
          <w:color w:val="auto"/>
        </w:rPr>
      </w:pPr>
    </w:p>
    <w:p>
      <w:pPr>
        <w:sectPr>
          <w:pgSz w:w="11900" w:h="16838" w:orient="portrait"/>
          <w:cols w:equalWidth="0" w:num="2">
            <w:col w:w="9520" w:space="123"/>
            <w:col w:w="1597"/>
          </w:cols>
          <w:pgMar w:left="320" w:top="97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Severance pay and benefits</w:t>
            </w:r>
          </w:p>
        </w:tc>
        <w:tc>
          <w:tcPr>
            <w:tcW w:w="98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5"/>
        </w:trPr>
        <w:tc>
          <w:tcPr>
            <w:tcW w:w="9380" w:type="dxa"/>
            <w:vAlign w:val="bottom"/>
          </w:tcPr>
          <w:p>
            <w:pPr>
              <w:ind w:left="340"/>
              <w:spacing w:after="0"/>
              <w:rPr>
                <w:sz w:val="20"/>
                <w:szCs w:val="20"/>
                <w:color w:val="auto"/>
              </w:rPr>
            </w:pPr>
            <w:r>
              <w:rPr>
                <w:rFonts w:ascii="Arial" w:cs="Arial" w:eastAsia="Arial" w:hAnsi="Arial"/>
                <w:sz w:val="18"/>
                <w:szCs w:val="18"/>
                <w:color w:val="auto"/>
              </w:rPr>
              <w:t>Asset impairment/accelerated depreciation</w:t>
            </w:r>
          </w:p>
        </w:tc>
        <w:tc>
          <w:tcPr>
            <w:tcW w:w="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Implementation costs and other related costs</w:t>
            </w:r>
          </w:p>
        </w:tc>
        <w:tc>
          <w:tcPr>
            <w:tcW w:w="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19"/>
        </w:trPr>
        <w:tc>
          <w:tcPr>
            <w:tcW w:w="93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9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total estimated pre-tax costs for actions associated with continuing operations that have been identified are approximately $715 million to $725 million and we expect to incur the costs through 2022. These estimates will be updated as the expanded initiatives are developed.</w:t>
      </w:r>
    </w:p>
    <w:p>
      <w:pPr>
        <w:spacing w:after="0" w:line="2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$225 million in severance pay and benefits; approximately $85 million in asset impairment and accelerated depreciation; and approximately $405 million to $415 million in implementation costs and other related costs. We expect these pre-tax costs to be associated with our segments as follows: Meals &amp; Beverages - approximately 31%; Snacks - approximately 45%; and Corporate - approximately 24%.</w:t>
      </w:r>
    </w:p>
    <w:p>
      <w:pPr>
        <w:spacing w:after="0" w:line="7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Of the aggregate $715 million to $725 million of pre-tax costs associated with continuing operations identified to date, we expect approximately $615 million to $625 million will be cash expenditures. In addition, we expect to invest approximately $445 million in capital expenditures through 2022, of which we invested $427 million as of January 30,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January 30, 2022,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Implementation</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06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Costs and Other</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Related</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185"/>
        </w:trPr>
        <w:tc>
          <w:tcPr>
            <w:tcW w:w="7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and Benefits</w:t>
            </w:r>
          </w:p>
        </w:tc>
        <w:tc>
          <w:tcPr>
            <w:tcW w:w="120" w:type="dxa"/>
            <w:vAlign w:val="bottom"/>
          </w:tcPr>
          <w:p>
            <w:pPr>
              <w:spacing w:after="0"/>
              <w:rPr>
                <w:sz w:val="16"/>
                <w:szCs w:val="16"/>
                <w:color w:val="auto"/>
              </w:rPr>
            </w:pPr>
          </w:p>
        </w:tc>
        <w:tc>
          <w:tcPr>
            <w:tcW w:w="1440" w:type="dxa"/>
            <w:vAlign w:val="bottom"/>
            <w:gridSpan w:val="2"/>
          </w:tcPr>
          <w:p>
            <w:pPr>
              <w:jc w:val="center"/>
              <w:ind w:right="120"/>
              <w:spacing w:after="0" w:line="186"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(2)</w:t>
            </w: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6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Accrued balance at August 1, 2021</w:t>
            </w:r>
            <w:r>
              <w:rPr>
                <w:rFonts w:ascii="Arial" w:cs="Arial" w:eastAsia="Arial" w:hAnsi="Arial"/>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220"/>
              <w:spacing w:after="0"/>
              <w:rPr>
                <w:sz w:val="20"/>
                <w:szCs w:val="20"/>
                <w:color w:val="auto"/>
              </w:rPr>
            </w:pPr>
            <w:r>
              <w:rPr>
                <w:rFonts w:ascii="Arial" w:cs="Arial" w:eastAsia="Arial" w:hAnsi="Arial"/>
                <w:sz w:val="18"/>
                <w:szCs w:val="18"/>
                <w:b w:val="1"/>
                <w:bCs w:val="1"/>
                <w:color w:val="auto"/>
              </w:rPr>
              <w:t>2022 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2022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Accrued balance at January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4"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$1 million of severance pay and benefits recorded in Other liabilities in the Consolidated Balance Sheet.</w:t>
      </w:r>
    </w:p>
    <w:p>
      <w:pPr>
        <w:spacing w:after="0" w:line="2" w:lineRule="exact"/>
        <w:rPr>
          <w:rFonts w:ascii="Arial" w:cs="Arial" w:eastAsia="Arial" w:hAnsi="Arial"/>
          <w:sz w:val="23"/>
          <w:szCs w:val="23"/>
          <w:color w:val="auto"/>
          <w:vertAlign w:val="superscript"/>
        </w:rPr>
      </w:pPr>
    </w:p>
    <w:p>
      <w:pPr>
        <w:ind w:left="320" w:hanging="314"/>
        <w:spacing w:after="0" w:line="214" w:lineRule="auto"/>
        <w:tabs>
          <w:tab w:leader="none" w:pos="30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12" w:name="page13"/>
    <w:bookmarkEnd w:id="12"/>
    <w:p>
      <w:pPr>
        <w:jc w:val="both"/>
        <w:ind w:firstLine="318"/>
        <w:spacing w:after="0" w:line="27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31" w:lineRule="exact"/>
              <w:rPr>
                <w:sz w:val="20"/>
                <w:szCs w:val="20"/>
                <w:color w:val="auto"/>
              </w:rPr>
            </w:pPr>
            <w:r>
              <w:rPr>
                <w:rFonts w:ascii="Arial" w:cs="Arial" w:eastAsia="Arial" w:hAnsi="Arial"/>
                <w:sz w:val="14"/>
                <w:szCs w:val="14"/>
                <w:b w:val="1"/>
                <w:bCs w:val="1"/>
                <w:color w:val="auto"/>
                <w:w w:val="91"/>
              </w:rPr>
              <w:t>Costs Incurred to</w:t>
            </w:r>
          </w:p>
        </w:tc>
        <w:tc>
          <w:tcPr>
            <w:tcW w:w="0" w:type="dxa"/>
            <w:vAlign w:val="bottom"/>
          </w:tcPr>
          <w:p>
            <w:pPr>
              <w:spacing w:after="0"/>
              <w:rPr>
                <w:sz w:val="1"/>
                <w:szCs w:val="1"/>
                <w:color w:val="auto"/>
              </w:rPr>
            </w:pPr>
          </w:p>
        </w:tc>
      </w:tr>
      <w:tr>
        <w:trPr>
          <w:trHeight w:val="185"/>
        </w:trPr>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the second quarter of 2021, we recorded a $19 million deferred tax charge in connection with a legal entity reorganization as part of the continued integration of Snyder's-Lance.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January 30, 2022, and January 31, 2021, excludes approximately 1 million stock options that would have been antidilutive.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and Postretirement Benefits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7"/>
              </w:rPr>
              <w:t>Six Months Ended</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Pension</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Postretirement</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Pension</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w w:val="99"/>
              </w:rPr>
              <w:t>Postretirement</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January 30, 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31, 2021</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January 30, 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January 31, 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30, 2022</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January 31, 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January 30, 2022</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January 31, 2021</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Service cost</w:t>
            </w: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Expected return on plan</w:t>
            </w:r>
          </w:p>
        </w:tc>
        <w:tc>
          <w:tcPr>
            <w:tcW w:w="4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00" w:type="dxa"/>
            <w:vAlign w:val="bottom"/>
          </w:tcPr>
          <w:p>
            <w:pPr>
              <w:ind w:left="20"/>
              <w:spacing w:after="0" w:line="173" w:lineRule="exact"/>
              <w:rPr>
                <w:sz w:val="20"/>
                <w:szCs w:val="20"/>
                <w:color w:val="auto"/>
              </w:rPr>
            </w:pPr>
            <w:r>
              <w:rPr>
                <w:rFonts w:ascii="Arial" w:cs="Arial" w:eastAsia="Arial" w:hAnsi="Arial"/>
                <w:sz w:val="18"/>
                <w:szCs w:val="18"/>
                <w:color w:val="auto"/>
              </w:rPr>
              <w:t>Amortization of prior</w:t>
            </w:r>
          </w:p>
        </w:tc>
        <w:tc>
          <w:tcPr>
            <w:tcW w:w="44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4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Actuarial losses (gains)</w:t>
            </w: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3"/>
        </w:trPr>
        <w:tc>
          <w:tcPr>
            <w:tcW w:w="1800" w:type="dxa"/>
            <w:vAlign w:val="bottom"/>
          </w:tcPr>
          <w:p>
            <w:pPr>
              <w:ind w:left="20"/>
              <w:spacing w:after="0" w:line="154" w:lineRule="exact"/>
              <w:rPr>
                <w:sz w:val="20"/>
                <w:szCs w:val="20"/>
                <w:color w:val="auto"/>
              </w:rPr>
            </w:pPr>
            <w:r>
              <w:rPr>
                <w:rFonts w:ascii="Arial" w:cs="Arial" w:eastAsia="Arial" w:hAnsi="Arial"/>
                <w:sz w:val="17"/>
                <w:szCs w:val="17"/>
                <w:color w:val="auto"/>
              </w:rPr>
              <w:t>Net periodic benefit</w:t>
            </w:r>
          </w:p>
        </w:tc>
        <w:tc>
          <w:tcPr>
            <w:tcW w:w="440" w:type="dxa"/>
            <w:vAlign w:val="bottom"/>
            <w:vMerge w:val="restart"/>
          </w:tcPr>
          <w:p>
            <w:pPr>
              <w:jc w:val="right"/>
              <w:ind w:right="258"/>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3"/>
                <w:szCs w:val="13"/>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3"/>
                <w:szCs w:val="13"/>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3"/>
                <w:szCs w:val="13"/>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3"/>
                <w:szCs w:val="13"/>
                <w:color w:val="auto"/>
              </w:rPr>
            </w:pPr>
          </w:p>
        </w:tc>
        <w:tc>
          <w:tcPr>
            <w:tcW w:w="640" w:type="dxa"/>
            <w:vAlign w:val="bottom"/>
            <w:vMerge w:val="restart"/>
          </w:tcPr>
          <w:p>
            <w:pPr>
              <w:jc w:val="right"/>
              <w:ind w:right="438"/>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00" w:type="dxa"/>
            <w:vAlign w:val="bottom"/>
          </w:tcPr>
          <w:p>
            <w:pPr>
              <w:ind w:left="20"/>
              <w:spacing w:after="0" w:line="198" w:lineRule="exact"/>
              <w:rPr>
                <w:sz w:val="20"/>
                <w:szCs w:val="20"/>
                <w:color w:val="auto"/>
              </w:rPr>
            </w:pPr>
            <w:r>
              <w:rPr>
                <w:rFonts w:ascii="Arial" w:cs="Arial" w:eastAsia="Arial" w:hAnsi="Arial"/>
                <w:sz w:val="18"/>
                <w:szCs w:val="18"/>
                <w:color w:val="auto"/>
              </w:rPr>
              <w:t>expense (income)</w:t>
            </w:r>
          </w:p>
        </w:tc>
        <w:tc>
          <w:tcPr>
            <w:tcW w:w="4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Actuarial losses (gains) related to the remeasurements of U.S. and Canadian pension plans. These remeasurements were each due to lump sum distributions that exceeded or are expected to exceed service and interest costs resulting in settlement accounting for the plans. The actuarial gains recognized for the three- and six-month periods ended January 30, 2022 were primarily due to an increase in discount rates used to determine the benefit obligation, partially offset by lower than anticipated investment returns on plan assets. The actuarial gains recognized for the three- and six-month periods ended January 31, 2021 were primarily due to higher than anticipated investment returns on plan assets.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30, 2022</w:t>
            </w:r>
          </w:p>
        </w:tc>
        <w:tc>
          <w:tcPr>
            <w:tcW w:w="12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January 31,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January 31, 2021</w:t>
            </w:r>
          </w:p>
        </w:tc>
      </w:tr>
      <w:tr>
        <w:trPr>
          <w:trHeight w:val="219"/>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Finance lease - amortization of right-of-use (ROU) assets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5880" w:type="dxa"/>
            <w:vAlign w:val="bottom"/>
          </w:tcPr>
          <w:p>
            <w:pPr>
              <w:ind w:left="20"/>
              <w:spacing w:after="0" w:line="225"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58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5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 our service contracts with embedded leases.</w:t>
      </w:r>
    </w:p>
    <w:p>
      <w:pPr>
        <w:spacing w:after="0" w:line="69"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 following tables summarize the lease amounts recorded in the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w w:val="95"/>
              </w:rPr>
              <w:t>Operating Leases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5"/>
        </w:trPr>
        <w:tc>
          <w:tcPr>
            <w:tcW w:w="5000" w:type="dxa"/>
            <w:vAlign w:val="bottom"/>
          </w:tcPr>
          <w:p>
            <w:pPr>
              <w:ind w:left="340"/>
              <w:spacing w:after="0"/>
              <w:rPr>
                <w:sz w:val="20"/>
                <w:szCs w:val="20"/>
                <w:color w:val="auto"/>
              </w:rPr>
            </w:pPr>
            <w:r>
              <w:rPr>
                <w:rFonts w:ascii="Arial" w:cs="Arial" w:eastAsia="Arial" w:hAnsi="Arial"/>
                <w:sz w:val="14"/>
                <w:szCs w:val="14"/>
                <w:b w:val="1"/>
                <w:bCs w:val="1"/>
                <w:color w:val="auto"/>
              </w:rPr>
              <w:t>(Millions)</w:t>
            </w:r>
          </w:p>
        </w:tc>
        <w:tc>
          <w:tcPr>
            <w:tcW w:w="2660" w:type="dxa"/>
            <w:vAlign w:val="bottom"/>
          </w:tcPr>
          <w:p>
            <w:pPr>
              <w:ind w:left="860"/>
              <w:spacing w:after="0"/>
              <w:rPr>
                <w:sz w:val="20"/>
                <w:szCs w:val="20"/>
                <w:color w:val="auto"/>
              </w:rPr>
            </w:pPr>
            <w:r>
              <w:rPr>
                <w:rFonts w:ascii="Arial" w:cs="Arial" w:eastAsia="Arial" w:hAnsi="Arial"/>
                <w:sz w:val="14"/>
                <w:szCs w:val="14"/>
                <w:b w:val="1"/>
                <w:bCs w:val="1"/>
                <w:color w:val="auto"/>
                <w:w w:val="93"/>
              </w:rPr>
              <w:t>Balance Sheet Classification</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ind w:left="380"/>
              <w:spacing w:after="0"/>
              <w:rPr>
                <w:sz w:val="20"/>
                <w:szCs w:val="20"/>
                <w:color w:val="auto"/>
              </w:rPr>
            </w:pPr>
            <w:r>
              <w:rPr>
                <w:rFonts w:ascii="Arial" w:cs="Arial" w:eastAsia="Arial" w:hAnsi="Arial"/>
                <w:sz w:val="14"/>
                <w:szCs w:val="14"/>
                <w:b w:val="1"/>
                <w:bCs w:val="1"/>
                <w:color w:val="auto"/>
              </w:rPr>
              <w:t>January 30, 2022</w:t>
            </w:r>
          </w:p>
        </w:tc>
        <w:tc>
          <w:tcPr>
            <w:tcW w:w="44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August 1, 2021</w:t>
            </w:r>
          </w:p>
        </w:tc>
      </w:tr>
      <w:tr>
        <w:trPr>
          <w:trHeight w:val="219"/>
        </w:trPr>
        <w:tc>
          <w:tcPr>
            <w:tcW w:w="500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ROU assets, net</w:t>
            </w:r>
          </w:p>
        </w:tc>
        <w:tc>
          <w:tcPr>
            <w:tcW w:w="2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Lease liabilities (current)</w:t>
            </w:r>
          </w:p>
        </w:tc>
        <w:tc>
          <w:tcPr>
            <w:tcW w:w="26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0" w:type="dxa"/>
            <w:vAlign w:val="bottom"/>
            <w:gridSpan w:val="4"/>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 (noncurrent)</w:t>
            </w: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400" w:type="dxa"/>
            <w:vAlign w:val="bottom"/>
            <w:gridSpan w:val="4"/>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444"/>
        </w:trPr>
        <w:tc>
          <w:tcPr>
            <w:tcW w:w="500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Finance Leases</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5"/>
        </w:trPr>
        <w:tc>
          <w:tcPr>
            <w:tcW w:w="5000" w:type="dxa"/>
            <w:vAlign w:val="bottom"/>
          </w:tcPr>
          <w:p>
            <w:pPr>
              <w:ind w:left="340"/>
              <w:spacing w:after="0"/>
              <w:rPr>
                <w:sz w:val="20"/>
                <w:szCs w:val="20"/>
                <w:color w:val="auto"/>
              </w:rPr>
            </w:pPr>
            <w:r>
              <w:rPr>
                <w:rFonts w:ascii="Arial" w:cs="Arial" w:eastAsia="Arial" w:hAnsi="Arial"/>
                <w:sz w:val="14"/>
                <w:szCs w:val="14"/>
                <w:b w:val="1"/>
                <w:bCs w:val="1"/>
                <w:color w:val="auto"/>
              </w:rPr>
              <w:t>(Millions)</w:t>
            </w:r>
          </w:p>
        </w:tc>
        <w:tc>
          <w:tcPr>
            <w:tcW w:w="2660" w:type="dxa"/>
            <w:vAlign w:val="bottom"/>
          </w:tcPr>
          <w:p>
            <w:pPr>
              <w:ind w:left="860"/>
              <w:spacing w:after="0"/>
              <w:rPr>
                <w:sz w:val="20"/>
                <w:szCs w:val="20"/>
                <w:color w:val="auto"/>
              </w:rPr>
            </w:pPr>
            <w:r>
              <w:rPr>
                <w:rFonts w:ascii="Arial" w:cs="Arial" w:eastAsia="Arial" w:hAnsi="Arial"/>
                <w:sz w:val="14"/>
                <w:szCs w:val="14"/>
                <w:b w:val="1"/>
                <w:bCs w:val="1"/>
                <w:color w:val="auto"/>
                <w:w w:val="93"/>
              </w:rPr>
              <w:t>Balance Sheet Classification</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ind w:left="380"/>
              <w:spacing w:after="0"/>
              <w:rPr>
                <w:sz w:val="20"/>
                <w:szCs w:val="20"/>
                <w:color w:val="auto"/>
              </w:rPr>
            </w:pPr>
            <w:r>
              <w:rPr>
                <w:rFonts w:ascii="Arial" w:cs="Arial" w:eastAsia="Arial" w:hAnsi="Arial"/>
                <w:sz w:val="14"/>
                <w:szCs w:val="14"/>
                <w:b w:val="1"/>
                <w:bCs w:val="1"/>
                <w:color w:val="auto"/>
              </w:rPr>
              <w:t>January 30, 2022</w:t>
            </w:r>
          </w:p>
        </w:tc>
        <w:tc>
          <w:tcPr>
            <w:tcW w:w="44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August 1, 2021</w:t>
            </w:r>
          </w:p>
        </w:tc>
      </w:tr>
      <w:tr>
        <w:trPr>
          <w:trHeight w:val="219"/>
        </w:trPr>
        <w:tc>
          <w:tcPr>
            <w:tcW w:w="500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ROU assets, net</w:t>
            </w:r>
          </w:p>
        </w:tc>
        <w:tc>
          <w:tcPr>
            <w:tcW w:w="2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Plant assets, net of depreciation</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Lease liabilities (current)</w:t>
            </w:r>
          </w:p>
        </w:tc>
        <w:tc>
          <w:tcPr>
            <w:tcW w:w="266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400" w:type="dxa"/>
            <w:vAlign w:val="bottom"/>
            <w:gridSpan w:val="4"/>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 (noncurrent)</w:t>
            </w: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400" w:type="dxa"/>
            <w:vAlign w:val="bottom"/>
            <w:gridSpan w:val="4"/>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96"/>
        </w:trPr>
        <w:tc>
          <w:tcPr>
            <w:tcW w:w="7660" w:type="dxa"/>
            <w:vAlign w:val="bottom"/>
            <w:gridSpan w:val="2"/>
          </w:tcPr>
          <w:p>
            <w:pPr>
              <w:ind w:left="320"/>
              <w:spacing w:after="0"/>
              <w:rPr>
                <w:sz w:val="20"/>
                <w:szCs w:val="20"/>
                <w:color w:val="auto"/>
              </w:rPr>
            </w:pPr>
            <w:r>
              <w:rPr>
                <w:rFonts w:ascii="Arial" w:cs="Arial" w:eastAsia="Arial" w:hAnsi="Arial"/>
                <w:sz w:val="18"/>
                <w:szCs w:val="18"/>
                <w:color w:val="auto"/>
              </w:rPr>
              <w:t>The following table summarizes cash flow and other information related to leases: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6"/>
        </w:trPr>
        <w:tc>
          <w:tcPr>
            <w:tcW w:w="5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000" w:type="dxa"/>
            <w:vAlign w:val="bottom"/>
          </w:tcPr>
          <w:p>
            <w:pPr>
              <w:ind w:left="340"/>
              <w:spacing w:after="0"/>
              <w:rPr>
                <w:sz w:val="20"/>
                <w:szCs w:val="20"/>
                <w:color w:val="auto"/>
              </w:rPr>
            </w:pPr>
            <w:r>
              <w:rPr>
                <w:rFonts w:ascii="Arial" w:cs="Arial" w:eastAsia="Arial" w:hAnsi="Arial"/>
                <w:sz w:val="14"/>
                <w:szCs w:val="14"/>
                <w:b w:val="1"/>
                <w:bCs w:val="1"/>
                <w:color w:val="auto"/>
              </w:rPr>
              <w:t>(Millions)</w:t>
            </w:r>
          </w:p>
        </w:tc>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ind w:left="380"/>
              <w:spacing w:after="0"/>
              <w:rPr>
                <w:sz w:val="20"/>
                <w:szCs w:val="20"/>
                <w:color w:val="auto"/>
              </w:rPr>
            </w:pPr>
            <w:r>
              <w:rPr>
                <w:rFonts w:ascii="Arial" w:cs="Arial" w:eastAsia="Arial" w:hAnsi="Arial"/>
                <w:sz w:val="14"/>
                <w:szCs w:val="14"/>
                <w:b w:val="1"/>
                <w:bCs w:val="1"/>
                <w:color w:val="auto"/>
              </w:rPr>
              <w:t>January 30, 2022</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06"/>
        </w:trPr>
        <w:tc>
          <w:tcPr>
            <w:tcW w:w="7660" w:type="dxa"/>
            <w:vAlign w:val="bottom"/>
            <w:tcBorders>
              <w:top w:val="single" w:sz="8" w:color="CCEEFF"/>
            </w:tcBorders>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5"/>
        </w:trPr>
        <w:tc>
          <w:tcPr>
            <w:tcW w:w="5000" w:type="dxa"/>
            <w:vAlign w:val="bottom"/>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2660" w:type="dxa"/>
            <w:vAlign w:val="bottom"/>
          </w:tcPr>
          <w:p>
            <w:pPr>
              <w:spacing w:after="0"/>
              <w:rPr>
                <w:sz w:val="19"/>
                <w:szCs w:val="19"/>
                <w:color w:val="auto"/>
              </w:rPr>
            </w:pPr>
          </w:p>
        </w:tc>
        <w:tc>
          <w:tcPr>
            <w:tcW w:w="1400" w:type="dxa"/>
            <w:vAlign w:val="bottom"/>
            <w:gridSpan w:val="4"/>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 cash flows from finance leases</w:t>
            </w:r>
          </w:p>
        </w:tc>
        <w:tc>
          <w:tcPr>
            <w:tcW w:w="26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50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ROU assets obtained in exchange for lease obligations:</w:t>
            </w:r>
          </w:p>
        </w:tc>
        <w:tc>
          <w:tcPr>
            <w:tcW w:w="2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500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2660" w:type="dxa"/>
            <w:vAlign w:val="bottom"/>
          </w:tcPr>
          <w:p>
            <w:pPr>
              <w:spacing w:after="0"/>
              <w:rPr>
                <w:sz w:val="19"/>
                <w:szCs w:val="19"/>
                <w:color w:val="auto"/>
              </w:rPr>
            </w:pPr>
          </w:p>
        </w:tc>
        <w:tc>
          <w:tcPr>
            <w:tcW w:w="1400" w:type="dxa"/>
            <w:vAlign w:val="bottom"/>
            <w:gridSpan w:val="4"/>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26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January 30, 2022, or August 1, 2021.</w:t>
      </w:r>
    </w:p>
    <w:p>
      <w:pPr>
        <w:spacing w:after="0" w:line="71"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We are also exposed to credit risk from our customers. During 2021, our largest customer accounted for approximately 21% of consolidated net sales from continuing operations. Our five largest customers accounted for approximately 46% of our consolidated net sales from continuing operations in 2021.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are exposed to foreign currency exchange risk related to third-party transactions and intercompany transactions, including intercompany debt. Principal currencies hedged include the Canadian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$158 million as of January 30, 2022, and $134 million as of August 1, 2021.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$17 million as of January 30, 2022, and $13 million as of August 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or treasury rate lock contracts outstanding as of January 30, 2022, or August 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aluminum, cocoa, soybean meal, corn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$14 million as of January 30, 2022, and $18 million as of August 1, 2021.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$112 million as of January 30, 2022, and $190 million as of August 1, 2021. The change in fair value on undesignated instruments is recorded in Cost of products sold.</w:t>
      </w:r>
    </w:p>
    <w:p>
      <w:pPr>
        <w:spacing w:after="0" w:line="5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$89 million as of January 30, 2022, and $38 million as of August 1, 2021. The change in fair value on the embedded derivative is recorded in Cost of products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enter into swap contracts which hedge a portion of exposures relating to certain deferred compensation obligations linked to the total return of the Vanguard Institutional Index Institutional Plus Shares and the total return of the Vanguard Total International Stock Index. Prior to 2022, we had entered into swap contracts which hedged a portion of exposures linked to the total return of our capital stock. As of January 30, 2022, and August 1, 2021, there were no swap contracts outstanding hedging our exposure linked to the total return of our capital stock. These contracts are not designated as hedges for accounting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5" w:name="page16"/>
    <w:bookmarkEnd w:id="15"/>
    <w:p>
      <w:pPr>
        <w:jc w:val="both"/>
        <w:spacing w:after="0" w:line="350" w:lineRule="auto"/>
        <w:rPr>
          <w:sz w:val="20"/>
          <w:szCs w:val="20"/>
          <w:color w:val="auto"/>
        </w:rPr>
      </w:pPr>
      <w:r>
        <w:rPr>
          <w:rFonts w:ascii="Arial" w:cs="Arial" w:eastAsia="Arial" w:hAnsi="Arial"/>
          <w:sz w:val="15"/>
          <w:szCs w:val="15"/>
          <w:color w:val="auto"/>
        </w:rPr>
        <w:t>purposes. Unrealized gains (losses) and settlements are included in Administrative expenses in the Consolidated Statements of Earnings. We enter into these contracts for periods typically not exceeding 12 months. The notional amounts of the contracts were $29 million as of January 30, 2022, and August 1, 2021.</w:t>
      </w:r>
    </w:p>
    <w:p>
      <w:pPr>
        <w:jc w:val="both"/>
        <w:ind w:right="20" w:firstLine="318"/>
        <w:spacing w:after="0" w:line="262"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January 30, 2022, and August 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360" w:type="dxa"/>
            <w:vAlign w:val="bottom"/>
            <w:gridSpan w:val="2"/>
          </w:tcPr>
          <w:p>
            <w:pPr>
              <w:ind w:left="1280"/>
              <w:spacing w:after="0"/>
              <w:rPr>
                <w:sz w:val="20"/>
                <w:szCs w:val="20"/>
                <w:color w:val="auto"/>
              </w:rPr>
            </w:pPr>
            <w:r>
              <w:rPr>
                <w:rFonts w:ascii="Arial" w:cs="Arial" w:eastAsia="Arial" w:hAnsi="Arial"/>
                <w:sz w:val="14"/>
                <w:szCs w:val="14"/>
                <w:b w:val="1"/>
                <w:bCs w:val="1"/>
                <w:color w:val="auto"/>
              </w:rPr>
              <w:t>Balance Sheet Classification</w:t>
            </w: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6"/>
                <w:szCs w:val="16"/>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August 1, 2021</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Derivatives designated as hedges: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436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36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derivatives designated as hedges</w:t>
            </w:r>
          </w:p>
        </w:tc>
        <w:tc>
          <w:tcPr>
            <w:tcW w:w="4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5"/>
        </w:trPr>
        <w:tc>
          <w:tcPr>
            <w:tcW w:w="43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Derivatives not designated as hedges:</w:t>
            </w: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436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3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contracts</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436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derivatives not designated as hedges</w:t>
            </w:r>
          </w:p>
        </w:tc>
        <w:tc>
          <w:tcPr>
            <w:tcW w:w="4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3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asset derivatives</w:t>
            </w:r>
          </w:p>
        </w:tc>
        <w:tc>
          <w:tcPr>
            <w:tcW w:w="4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360" w:type="dxa"/>
            <w:vAlign w:val="bottom"/>
            <w:gridSpan w:val="2"/>
          </w:tcPr>
          <w:p>
            <w:pPr>
              <w:ind w:left="1280"/>
              <w:spacing w:after="0"/>
              <w:rPr>
                <w:sz w:val="20"/>
                <w:szCs w:val="20"/>
                <w:color w:val="auto"/>
              </w:rPr>
            </w:pPr>
            <w:r>
              <w:rPr>
                <w:rFonts w:ascii="Arial" w:cs="Arial" w:eastAsia="Arial" w:hAnsi="Arial"/>
                <w:sz w:val="14"/>
                <w:szCs w:val="14"/>
                <w:b w:val="1"/>
                <w:bCs w:val="1"/>
                <w:color w:val="auto"/>
              </w:rPr>
              <w:t>Balance Sheet Classification</w:t>
            </w: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August 1, 2021</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Liability Derivatives</w:t>
            </w:r>
          </w:p>
        </w:tc>
        <w:tc>
          <w:tcPr>
            <w:tcW w:w="4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Derivatives designated as hedges: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436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derivatives designated as hedges</w:t>
            </w:r>
          </w:p>
        </w:tc>
        <w:tc>
          <w:tcPr>
            <w:tcW w:w="4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43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liability derivatives</w:t>
            </w:r>
          </w:p>
        </w:tc>
        <w:tc>
          <w:tcPr>
            <w:tcW w:w="4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30, 2022, and August 1, 2021, would be adjusted as detailed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January 30, 2022</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August 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Cash margin liability balances of $5 million at January 30, 2022, and $14 million at August 1, 2021, were included in Accrued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6" w:name="page17"/>
    <w:bookmarkEnd w:id="16"/>
    <w:p>
      <w:pPr>
        <w:ind w:firstLine="318"/>
        <w:spacing w:after="0" w:line="262"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six-month periods ended January 30, 2022, and January 31, 2021,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3"/>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4"/>
          </w:tcPr>
          <w:p>
            <w:pPr>
              <w:jc w:val="right"/>
              <w:ind w:right="793"/>
              <w:spacing w:after="0" w:line="143" w:lineRule="exact"/>
              <w:rPr>
                <w:sz w:val="20"/>
                <w:szCs w:val="20"/>
                <w:color w:val="auto"/>
              </w:rPr>
            </w:pPr>
            <w:r>
              <w:rPr>
                <w:rFonts w:ascii="Arial" w:cs="Arial" w:eastAsia="Arial" w:hAnsi="Arial"/>
                <w:sz w:val="14"/>
                <w:szCs w:val="14"/>
                <w:b w:val="1"/>
                <w:bCs w:val="1"/>
                <w:color w:val="auto"/>
              </w:rPr>
              <w:t>Total Cash-Flow Hedge</w:t>
            </w:r>
          </w:p>
        </w:tc>
      </w:tr>
      <w:tr>
        <w:trPr>
          <w:trHeight w:val="184"/>
        </w:trPr>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OCI Activity</w:t>
            </w:r>
          </w:p>
        </w:tc>
      </w:tr>
      <w:tr>
        <w:trPr>
          <w:trHeight w:val="180"/>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1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30, 2022</w:t>
            </w:r>
          </w:p>
        </w:tc>
        <w:tc>
          <w:tcPr>
            <w:tcW w:w="180" w:type="dxa"/>
            <w:vAlign w:val="bottom"/>
          </w:tcPr>
          <w:p>
            <w:pPr>
              <w:spacing w:after="0"/>
              <w:rPr>
                <w:sz w:val="15"/>
                <w:szCs w:val="15"/>
                <w:color w:val="auto"/>
              </w:rPr>
            </w:pP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January 31, 2021</w:t>
            </w:r>
          </w:p>
        </w:tc>
      </w:tr>
      <w:tr>
        <w:trPr>
          <w:trHeight w:val="166"/>
        </w:trPr>
        <w:tc>
          <w:tcPr>
            <w:tcW w:w="5480" w:type="dxa"/>
            <w:vAlign w:val="bottom"/>
            <w:tcBorders>
              <w:top w:val="single" w:sz="8" w:color="CCEEFF"/>
              <w:left w:val="single" w:sz="8" w:color="CCEEFF"/>
            </w:tcBorders>
            <w:gridSpan w:val="3"/>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40"/>
        </w:trPr>
        <w:tc>
          <w:tcPr>
            <w:tcW w:w="142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OCI derivative gain (loss) at beginning of quarter</w:t>
            </w:r>
          </w:p>
        </w:tc>
        <w:tc>
          <w:tcPr>
            <w:tcW w:w="2780" w:type="dxa"/>
            <w:vAlign w:val="bottom"/>
            <w:gridSpan w:val="3"/>
          </w:tcPr>
          <w:p>
            <w:pPr>
              <w:ind w:left="26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ind w:left="995"/>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5480" w:type="dxa"/>
            <w:vAlign w:val="bottom"/>
            <w:gridSpan w:val="3"/>
          </w:tcPr>
          <w:p>
            <w:pPr>
              <w:ind w:left="140"/>
              <w:spacing w:after="0"/>
              <w:rPr>
                <w:sz w:val="20"/>
                <w:szCs w:val="20"/>
                <w:color w:val="auto"/>
              </w:rPr>
            </w:pPr>
            <w:r>
              <w:rPr>
                <w:rFonts w:ascii="Arial" w:cs="Arial" w:eastAsia="Arial" w:hAnsi="Arial"/>
                <w:sz w:val="18"/>
                <w:szCs w:val="18"/>
                <w:color w:val="auto"/>
              </w:rPr>
              <w:t>Commodity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left="1015"/>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1015"/>
              <w:spacing w:after="0"/>
              <w:rPr>
                <w:sz w:val="20"/>
                <w:szCs w:val="20"/>
                <w:color w:val="auto"/>
              </w:rPr>
            </w:pPr>
            <w:r>
              <w:rPr>
                <w:rFonts w:ascii="Arial" w:cs="Arial" w:eastAsia="Arial" w:hAnsi="Arial"/>
                <w:sz w:val="18"/>
                <w:szCs w:val="18"/>
                <w:b w:val="1"/>
                <w:bCs w:val="1"/>
                <w:color w:val="auto"/>
                <w:w w:val="79"/>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95"/>
        </w:trPr>
        <w:tc>
          <w:tcPr>
            <w:tcW w:w="5480" w:type="dxa"/>
            <w:vAlign w:val="bottom"/>
            <w:gridSpan w:val="3"/>
          </w:tcPr>
          <w:p>
            <w:pPr>
              <w:ind w:left="20"/>
              <w:spacing w:after="0" w:line="186" w:lineRule="exact"/>
              <w:rPr>
                <w:sz w:val="20"/>
                <w:szCs w:val="20"/>
                <w:color w:val="auto"/>
              </w:rPr>
            </w:pPr>
            <w:r>
              <w:rPr>
                <w:rFonts w:ascii="Arial" w:cs="Arial" w:eastAsia="Arial" w:hAnsi="Arial"/>
                <w:sz w:val="18"/>
                <w:szCs w:val="18"/>
                <w:color w:val="auto"/>
              </w:rPr>
              <w:t>Amount of loss (gain) reclassified from OCI to earnings:</w:t>
            </w:r>
          </w:p>
        </w:tc>
        <w:tc>
          <w:tcPr>
            <w:tcW w:w="16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88"/>
              </w:rPr>
              <w:t>Location in Earnings</w:t>
            </w:r>
          </w:p>
        </w:tc>
        <w:tc>
          <w:tcPr>
            <w:tcW w:w="118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340" w:type="dxa"/>
            <w:vAlign w:val="bottom"/>
            <w:shd w:val="clear" w:color="auto" w:fill="CCEEFF"/>
          </w:tcPr>
          <w:p>
            <w:pPr>
              <w:jc w:val="center"/>
              <w:ind w:left="995"/>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8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78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340" w:type="dxa"/>
            <w:vAlign w:val="bottom"/>
          </w:tcPr>
          <w:p>
            <w:pPr>
              <w:jc w:val="center"/>
              <w:ind w:left="1015"/>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jc w:val="center"/>
              <w:ind w:left="1015"/>
              <w:spacing w:after="0"/>
              <w:rPr>
                <w:sz w:val="20"/>
                <w:szCs w:val="20"/>
                <w:color w:val="auto"/>
              </w:rPr>
            </w:pPr>
            <w:r>
              <w:rPr>
                <w:rFonts w:ascii="Arial" w:cs="Arial" w:eastAsia="Arial" w:hAnsi="Arial"/>
                <w:sz w:val="18"/>
                <w:szCs w:val="18"/>
                <w:b w:val="1"/>
                <w:bCs w:val="1"/>
                <w:color w:val="auto"/>
                <w:w w:val="79"/>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4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OCI derivative gain (loss) at end of quarter</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bottom w:val="single" w:sz="8" w:color="auto"/>
            </w:tcBorders>
          </w:tcPr>
          <w:p>
            <w:pPr>
              <w:jc w:val="center"/>
              <w:ind w:left="1015"/>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2"/>
        </w:trPr>
        <w:tc>
          <w:tcPr>
            <w:tcW w:w="14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5"/>
        </w:trPr>
        <w:tc>
          <w:tcPr>
            <w:tcW w:w="1420" w:type="dxa"/>
            <w:vAlign w:val="bottom"/>
            <w:tcBorders>
              <w:bottom w:val="single" w:sz="8" w:color="auto"/>
            </w:tcBorders>
          </w:tcPr>
          <w:p>
            <w:pPr>
              <w:ind w:left="20"/>
              <w:spacing w:after="0" w:line="186" w:lineRule="exact"/>
              <w:rPr>
                <w:sz w:val="20"/>
                <w:szCs w:val="20"/>
                <w:color w:val="auto"/>
              </w:rPr>
            </w:pPr>
            <w:r>
              <w:rPr>
                <w:rFonts w:ascii="Arial" w:cs="Arial" w:eastAsia="Arial" w:hAnsi="Arial"/>
                <w:sz w:val="18"/>
                <w:szCs w:val="18"/>
                <w:b w:val="1"/>
                <w:bCs w:val="1"/>
                <w:color w:val="auto"/>
                <w:w w:val="88"/>
              </w:rPr>
              <w:t>Six Months Ended</w:t>
            </w:r>
          </w:p>
        </w:tc>
        <w:tc>
          <w:tcPr>
            <w:tcW w:w="406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OCI derivative gain (loss) at beginning of year</w:t>
            </w:r>
          </w:p>
        </w:tc>
        <w:tc>
          <w:tcPr>
            <w:tcW w:w="2780" w:type="dxa"/>
            <w:vAlign w:val="bottom"/>
            <w:gridSpan w:val="3"/>
            <w:shd w:val="clear" w:color="auto" w:fill="CCEEFF"/>
          </w:tcPr>
          <w:p>
            <w:pPr>
              <w:ind w:left="262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center"/>
              <w:ind w:left="995"/>
              <w:spacing w:after="0"/>
              <w:rPr>
                <w:sz w:val="20"/>
                <w:szCs w:val="20"/>
                <w:color w:val="auto"/>
              </w:rPr>
            </w:pPr>
            <w:r>
              <w:rPr>
                <w:rFonts w:ascii="Arial" w:cs="Arial" w:eastAsia="Arial" w:hAnsi="Arial"/>
                <w:sz w:val="18"/>
                <w:szCs w:val="18"/>
                <w:b w:val="1"/>
                <w:bCs w:val="1"/>
                <w:color w:val="auto"/>
                <w:w w:val="99"/>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1015"/>
              <w:spacing w:after="0"/>
              <w:rPr>
                <w:sz w:val="20"/>
                <w:szCs w:val="20"/>
                <w:color w:val="auto"/>
              </w:rPr>
            </w:pPr>
            <w:r>
              <w:rPr>
                <w:rFonts w:ascii="Arial" w:cs="Arial" w:eastAsia="Arial" w:hAnsi="Arial"/>
                <w:sz w:val="18"/>
                <w:szCs w:val="18"/>
                <w:b w:val="1"/>
                <w:bCs w:val="1"/>
                <w:color w:val="auto"/>
                <w:w w:val="79"/>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8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left="1015"/>
              <w:spacing w:after="0"/>
              <w:rPr>
                <w:sz w:val="20"/>
                <w:szCs w:val="20"/>
                <w:color w:val="auto"/>
              </w:rPr>
            </w:pPr>
            <w:r>
              <w:rPr>
                <w:rFonts w:ascii="Arial" w:cs="Arial" w:eastAsia="Arial" w:hAnsi="Arial"/>
                <w:sz w:val="18"/>
                <w:szCs w:val="18"/>
                <w:b w:val="1"/>
                <w:bCs w:val="1"/>
                <w:color w:val="auto"/>
                <w:w w:val="79"/>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5"/>
        </w:trPr>
        <w:tc>
          <w:tcPr>
            <w:tcW w:w="5480" w:type="dxa"/>
            <w:vAlign w:val="bottom"/>
            <w:tcBorders>
              <w:left w:val="single" w:sz="8" w:color="CCEEFF"/>
              <w:bottom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color w:val="auto"/>
              </w:rPr>
              <w:t>Amount of loss (gain) reclassified from OCI to earnings:</w:t>
            </w:r>
          </w:p>
        </w:tc>
        <w:tc>
          <w:tcPr>
            <w:tcW w:w="16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8"/>
              </w:rPr>
              <w:t>Location in Earnings</w:t>
            </w:r>
          </w:p>
        </w:tc>
        <w:tc>
          <w:tcPr>
            <w:tcW w:w="11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5"/>
        </w:trPr>
        <w:tc>
          <w:tcPr>
            <w:tcW w:w="5480" w:type="dxa"/>
            <w:vAlign w:val="bottom"/>
            <w:gridSpan w:val="3"/>
          </w:tcPr>
          <w:p>
            <w:pPr>
              <w:ind w:left="140"/>
              <w:spacing w:after="0"/>
              <w:rPr>
                <w:sz w:val="20"/>
                <w:szCs w:val="20"/>
                <w:color w:val="auto"/>
              </w:rPr>
            </w:pPr>
            <w:r>
              <w:rPr>
                <w:rFonts w:ascii="Arial" w:cs="Arial" w:eastAsia="Arial" w:hAnsi="Arial"/>
                <w:sz w:val="18"/>
                <w:szCs w:val="18"/>
                <w:color w:val="auto"/>
              </w:rPr>
              <w:t>Commodity contracts</w:t>
            </w:r>
          </w:p>
        </w:tc>
        <w:tc>
          <w:tcPr>
            <w:tcW w:w="278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340" w:type="dxa"/>
            <w:vAlign w:val="bottom"/>
          </w:tcPr>
          <w:p>
            <w:pPr>
              <w:jc w:val="center"/>
              <w:ind w:left="995"/>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340" w:type="dxa"/>
            <w:vAlign w:val="bottom"/>
            <w:shd w:val="clear" w:color="auto" w:fill="CCEEFF"/>
          </w:tcPr>
          <w:p>
            <w:pPr>
              <w:jc w:val="center"/>
              <w:ind w:left="1015"/>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48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7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jc w:val="center"/>
              <w:ind w:left="1015"/>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480" w:type="dxa"/>
            <w:vAlign w:val="bottom"/>
            <w:tcBorders>
              <w:top w:val="single" w:sz="8" w:color="CCEEFF"/>
              <w:left w:val="single" w:sz="8" w:color="CCEEFF"/>
              <w:bottom w:val="single" w:sz="8" w:color="CCEEFF"/>
            </w:tcBorders>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OCI derivative gain (loss) at end of quarter</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center"/>
              <w:ind w:left="1015"/>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current valuations, the amount expected to be reclassified from OCI into earnings within the next 12 months is a gain of $8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7" w:name="page18"/>
    <w:bookmarkEnd w:id="17"/>
    <w:p>
      <w:pPr>
        <w:jc w:val="both"/>
        <w:ind w:firstLine="318"/>
        <w:spacing w:after="0" w:line="255" w:lineRule="auto"/>
        <w:rPr>
          <w:sz w:val="20"/>
          <w:szCs w:val="20"/>
          <w:color w:val="auto"/>
        </w:rPr>
      </w:pPr>
      <w:r>
        <w:rPr>
          <w:rFonts w:ascii="Arial" w:cs="Arial" w:eastAsia="Arial" w:hAnsi="Arial"/>
          <w:sz w:val="18"/>
          <w:szCs w:val="18"/>
          <w:color w:val="auto"/>
        </w:rPr>
        <w:t>The following tables show the total amounts of line items presented in the Consolidated Statements of Earnings for the three- and six-month periods ended January 30, 2022, and January 31, 2021, in which the effects of derivative instruments designated as cash-flow hedges are recorded. The total effect of hedge activity on these line items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January 30, 2022</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27"/>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89"/>
              </w:rPr>
              <w:t>Cost of products</w:t>
            </w:r>
          </w:p>
        </w:tc>
        <w:tc>
          <w:tcPr>
            <w:tcW w:w="820" w:type="dxa"/>
            <w:vAlign w:val="bottom"/>
          </w:tcPr>
          <w:p>
            <w:pPr>
              <w:ind w:left="300"/>
              <w:spacing w:after="0" w:line="127" w:lineRule="exact"/>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89"/>
              </w:rPr>
              <w:t>Cost of products</w:t>
            </w:r>
          </w:p>
        </w:tc>
        <w:tc>
          <w:tcPr>
            <w:tcW w:w="200" w:type="dxa"/>
            <w:vAlign w:val="bottom"/>
          </w:tcPr>
          <w:p>
            <w:pPr>
              <w:spacing w:after="0"/>
              <w:rPr>
                <w:sz w:val="11"/>
                <w:szCs w:val="11"/>
                <w:color w:val="auto"/>
              </w:rPr>
            </w:pPr>
          </w:p>
        </w:tc>
        <w:tc>
          <w:tcPr>
            <w:tcW w:w="900" w:type="dxa"/>
            <w:vAlign w:val="bottom"/>
          </w:tcPr>
          <w:p>
            <w:pPr>
              <w:ind w:left="100"/>
              <w:spacing w:after="0" w:line="12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5"/>
        </w:trPr>
        <w:tc>
          <w:tcPr>
            <w:tcW w:w="6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9"/>
        </w:trPr>
        <w:tc>
          <w:tcPr>
            <w:tcW w:w="65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Consolidated Statements of Earnings:</w:t>
            </w: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cash-flow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40"/>
              <w:spacing w:after="0"/>
              <w:rPr>
                <w:sz w:val="20"/>
                <w:szCs w:val="20"/>
                <w:color w:val="auto"/>
              </w:rPr>
            </w:pPr>
            <w:r>
              <w:rPr>
                <w:rFonts w:ascii="Arial" w:cs="Arial" w:eastAsia="Arial" w:hAnsi="Arial"/>
                <w:sz w:val="18"/>
                <w:szCs w:val="18"/>
                <w:color w:val="auto"/>
              </w:rPr>
              <w:t>Amount of loss (gain) reclassified from OCI to earnings</w:t>
            </w:r>
          </w:p>
        </w:tc>
        <w:tc>
          <w:tcPr>
            <w:tcW w:w="28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rPr>
              <w:t>Amount excluded from effectiveness testing recognized in earnings using an</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6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January 30, 2022</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27"/>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89"/>
              </w:rPr>
              <w:t>Cost of products</w:t>
            </w:r>
          </w:p>
        </w:tc>
        <w:tc>
          <w:tcPr>
            <w:tcW w:w="820" w:type="dxa"/>
            <w:vAlign w:val="bottom"/>
          </w:tcPr>
          <w:p>
            <w:pPr>
              <w:ind w:left="300"/>
              <w:spacing w:after="0" w:line="127" w:lineRule="exact"/>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89"/>
              </w:rPr>
              <w:t>Cost of products</w:t>
            </w:r>
          </w:p>
        </w:tc>
        <w:tc>
          <w:tcPr>
            <w:tcW w:w="200" w:type="dxa"/>
            <w:vAlign w:val="bottom"/>
          </w:tcPr>
          <w:p>
            <w:pPr>
              <w:spacing w:after="0"/>
              <w:rPr>
                <w:sz w:val="11"/>
                <w:szCs w:val="11"/>
                <w:color w:val="auto"/>
              </w:rPr>
            </w:pPr>
          </w:p>
        </w:tc>
        <w:tc>
          <w:tcPr>
            <w:tcW w:w="900" w:type="dxa"/>
            <w:vAlign w:val="bottom"/>
          </w:tcPr>
          <w:p>
            <w:pPr>
              <w:ind w:left="100"/>
              <w:spacing w:after="0" w:line="12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5"/>
        </w:trPr>
        <w:tc>
          <w:tcPr>
            <w:tcW w:w="6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9"/>
        </w:trPr>
        <w:tc>
          <w:tcPr>
            <w:tcW w:w="65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Consolidated Statements of Earnings:</w:t>
            </w: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93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cash-flow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40"/>
              <w:spacing w:after="0"/>
              <w:rPr>
                <w:sz w:val="20"/>
                <w:szCs w:val="20"/>
                <w:color w:val="auto"/>
              </w:rPr>
            </w:pPr>
            <w:r>
              <w:rPr>
                <w:rFonts w:ascii="Arial" w:cs="Arial" w:eastAsia="Arial" w:hAnsi="Arial"/>
                <w:sz w:val="18"/>
                <w:szCs w:val="18"/>
                <w:color w:val="auto"/>
              </w:rPr>
              <w:t>Amount of loss (gain) reclassified from OCI to earnings</w:t>
            </w:r>
          </w:p>
        </w:tc>
        <w:tc>
          <w:tcPr>
            <w:tcW w:w="28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rPr>
              <w:t>Amount excluded from effectiveness testing recognized in earnings using an</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six-month periods ended January 30, 2022, and January 31, 2021, in the Consolidated Statements of Earnings: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 of Loss (Gain) Recognized in</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January 30, 2022</w:t>
            </w:r>
          </w:p>
        </w:tc>
        <w:tc>
          <w:tcPr>
            <w:tcW w:w="100" w:type="dxa"/>
            <w:vAlign w:val="bottom"/>
            <w:vMerge w:val="restart"/>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January 31, 2021</w:t>
            </w:r>
          </w:p>
        </w:tc>
        <w:tc>
          <w:tcPr>
            <w:tcW w:w="120" w:type="dxa"/>
            <w:vAlign w:val="bottom"/>
            <w:vMerge w:val="restart"/>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January 30, 2022</w:t>
            </w:r>
          </w:p>
        </w:tc>
        <w:tc>
          <w:tcPr>
            <w:tcW w:w="100" w:type="dxa"/>
            <w:vAlign w:val="bottom"/>
            <w:vMerge w:val="restart"/>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January 31, 2021</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center"/>
              <w:ind w:left="335"/>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center"/>
              <w:ind w:left="295"/>
              <w:spacing w:after="0"/>
              <w:rPr>
                <w:sz w:val="20"/>
                <w:szCs w:val="20"/>
                <w:color w:val="auto"/>
              </w:rPr>
            </w:pPr>
            <w:r>
              <w:rPr>
                <w:rFonts w:ascii="Arial" w:cs="Arial" w:eastAsia="Arial" w:hAnsi="Arial"/>
                <w:sz w:val="18"/>
                <w:szCs w:val="18"/>
                <w:b w:val="1"/>
                <w:bCs w:val="1"/>
                <w:color w:val="auto"/>
                <w:w w:val="93"/>
              </w:rPr>
              <w:t>(19)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line="204" w:lineRule="exact"/>
              <w:rPr>
                <w:sz w:val="20"/>
                <w:szCs w:val="20"/>
                <w:color w:val="auto"/>
              </w:rPr>
            </w:pPr>
            <w:r>
              <w:rPr>
                <w:rFonts w:ascii="Arial" w:cs="Arial" w:eastAsia="Arial" w:hAnsi="Arial"/>
                <w:sz w:val="18"/>
                <w:szCs w:val="18"/>
                <w:color w:val="auto"/>
              </w:rPr>
              <w:t>Total loss (gain)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center"/>
              <w:ind w:left="295"/>
              <w:spacing w:after="0"/>
              <w:rPr>
                <w:sz w:val="20"/>
                <w:szCs w:val="20"/>
                <w:color w:val="auto"/>
              </w:rPr>
            </w:pPr>
            <w:r>
              <w:rPr>
                <w:rFonts w:ascii="Arial" w:cs="Arial" w:eastAsia="Arial" w:hAnsi="Arial"/>
                <w:sz w:val="18"/>
                <w:szCs w:val="18"/>
                <w:b w:val="1"/>
                <w:bCs w:val="1"/>
                <w:color w:val="auto"/>
                <w:w w:val="93"/>
              </w:rPr>
              <w:t>(19)</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85"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8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following tables present our financial assets and liabilities that are measured at fair value on a recurring basis as of January 30, 2022, and August 1, 2021, consistent with the fair value hierarchy:</w:t>
      </w:r>
    </w:p>
    <w:p>
      <w:pPr>
        <w:sectPr>
          <w:pgSz w:w="11900" w:h="16838" w:orient="portrait"/>
          <w:cols w:equalWidth="0" w:num="1">
            <w:col w:w="11240"/>
          </w:cols>
          <w:pgMar w:left="320" w:top="975" w:right="339" w:bottom="1440" w:gutter="0" w:footer="0" w:header="0"/>
        </w:sectPr>
      </w:pP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3"/>
          </w:tcPr>
          <w:p>
            <w:pPr>
              <w:ind w:left="4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w:t>
            </w:r>
          </w:p>
        </w:tc>
        <w:tc>
          <w:tcPr>
            <w:tcW w:w="124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140" w:type="dxa"/>
            <w:vAlign w:val="bottom"/>
            <w:gridSpan w:val="2"/>
          </w:tcPr>
          <w:p>
            <w:pPr>
              <w:spacing w:after="0" w:line="167" w:lineRule="exact"/>
              <w:rPr>
                <w:sz w:val="20"/>
                <w:szCs w:val="20"/>
                <w:color w:val="auto"/>
              </w:rPr>
            </w:pPr>
            <w:r>
              <w:rPr>
                <w:rFonts w:ascii="Arial" w:cs="Arial" w:eastAsia="Arial" w:hAnsi="Arial"/>
                <w:sz w:val="18"/>
                <w:szCs w:val="18"/>
                <w:color w:val="auto"/>
              </w:rPr>
              <w:t>Assets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20" w:type="dxa"/>
            <w:vAlign w:val="bottom"/>
          </w:tcPr>
          <w:p>
            <w:pPr>
              <w:spacing w:after="0"/>
              <w:rPr>
                <w:sz w:val="16"/>
                <w:szCs w:val="16"/>
                <w:color w:val="auto"/>
              </w:rPr>
            </w:pPr>
          </w:p>
        </w:tc>
        <w:tc>
          <w:tcPr>
            <w:tcW w:w="1140" w:type="dxa"/>
            <w:vAlign w:val="bottom"/>
            <w:gridSpan w:val="2"/>
          </w:tcPr>
          <w:p>
            <w:pPr>
              <w:ind w:left="120"/>
              <w:spacing w:after="0" w:line="193" w:lineRule="exact"/>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460" w:type="dxa"/>
            <w:vAlign w:val="bottom"/>
            <w:gridSpan w:val="3"/>
          </w:tcPr>
          <w:p>
            <w:pPr>
              <w:ind w:left="120"/>
              <w:spacing w:after="0" w:line="172" w:lineRule="exact"/>
              <w:rPr>
                <w:sz w:val="20"/>
                <w:szCs w:val="20"/>
                <w:color w:val="auto"/>
              </w:rPr>
            </w:pPr>
            <w:r>
              <w:rPr>
                <w:rFonts w:ascii="Arial" w:cs="Arial" w:eastAsia="Arial" w:hAnsi="Arial"/>
                <w:sz w:val="18"/>
                <w:szCs w:val="18"/>
                <w:color w:val="auto"/>
                <w:w w:val="92"/>
              </w:rPr>
              <w:t>exchange forward</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460" w:type="dxa"/>
            <w:vAlign w:val="bottom"/>
            <w:gridSpan w:val="3"/>
          </w:tcPr>
          <w:p>
            <w:pPr>
              <w:ind w:left="12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(1)</w:t>
            </w:r>
          </w:p>
        </w:tc>
        <w:tc>
          <w:tcPr>
            <w:tcW w:w="4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1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Commodity</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6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derivative</w:t>
            </w:r>
          </w:p>
        </w:tc>
        <w:tc>
          <w:tcPr>
            <w:tcW w:w="440" w:type="dxa"/>
            <w:vAlign w:val="bottom"/>
          </w:tcPr>
          <w:p>
            <w:pPr>
              <w:spacing w:after="0"/>
              <w:rPr>
                <w:sz w:val="14"/>
                <w:szCs w:val="1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460" w:type="dxa"/>
            <w:vAlign w:val="bottom"/>
            <w:gridSpan w:val="3"/>
          </w:tcPr>
          <w:p>
            <w:pPr>
              <w:ind w:left="12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(2)</w:t>
            </w:r>
          </w:p>
        </w:tc>
        <w:tc>
          <w:tcPr>
            <w:tcW w:w="4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1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6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6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derivative</w:t>
            </w:r>
          </w:p>
        </w:tc>
        <w:tc>
          <w:tcPr>
            <w:tcW w:w="440" w:type="dxa"/>
            <w:vAlign w:val="bottom"/>
          </w:tcPr>
          <w:p>
            <w:pPr>
              <w:spacing w:after="0"/>
              <w:rPr>
                <w:sz w:val="14"/>
                <w:szCs w:val="1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460" w:type="dxa"/>
            <w:vAlign w:val="bottom"/>
            <w:gridSpan w:val="3"/>
          </w:tcPr>
          <w:p>
            <w:pPr>
              <w:ind w:left="12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(3)</w:t>
            </w:r>
          </w:p>
        </w:tc>
        <w:tc>
          <w:tcPr>
            <w:tcW w:w="4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1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6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4"/>
                <w:szCs w:val="1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60" w:type="dxa"/>
            <w:vAlign w:val="bottom"/>
            <w:gridSpan w:val="3"/>
          </w:tcPr>
          <w:p>
            <w:pPr>
              <w:ind w:left="120"/>
              <w:spacing w:after="0" w:line="224" w:lineRule="exact"/>
              <w:rPr>
                <w:sz w:val="20"/>
                <w:szCs w:val="20"/>
                <w:color w:val="auto"/>
              </w:rPr>
            </w:pPr>
            <w:r>
              <w:rPr>
                <w:rFonts w:ascii="Arial" w:cs="Arial" w:eastAsia="Arial" w:hAnsi="Arial"/>
                <w:sz w:val="18"/>
                <w:szCs w:val="18"/>
                <w:color w:val="auto"/>
              </w:rPr>
              <w:t>investments</w:t>
            </w:r>
            <w:r>
              <w:rPr>
                <w:rFonts w:ascii="Arial" w:cs="Arial" w:eastAsia="Arial" w:hAnsi="Arial"/>
                <w:sz w:val="22"/>
                <w:szCs w:val="22"/>
                <w:color w:val="auto"/>
                <w:vertAlign w:val="superscript"/>
              </w:rPr>
              <w:t>(4)</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7"/>
                <w:szCs w:val="17"/>
                <w:color w:val="auto"/>
              </w:rPr>
              <w:t>Total assets at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60" w:type="dxa"/>
            <w:vAlign w:val="bottom"/>
            <w:gridSpan w:val="3"/>
          </w:tcPr>
          <w:p>
            <w:pPr>
              <w:spacing w:after="0" w:line="198" w:lineRule="exact"/>
              <w:rPr>
                <w:sz w:val="20"/>
                <w:szCs w:val="20"/>
                <w:color w:val="auto"/>
              </w:rPr>
            </w:pPr>
            <w:r>
              <w:rPr>
                <w:rFonts w:ascii="Arial" w:cs="Arial" w:eastAsia="Arial" w:hAnsi="Arial"/>
                <w:sz w:val="18"/>
                <w:szCs w:val="18"/>
                <w:color w:val="auto"/>
              </w:rPr>
              <w:t>fair value</w:t>
            </w:r>
          </w:p>
        </w:tc>
        <w:tc>
          <w:tcPr>
            <w:tcW w:w="4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jc w:val="center"/>
              <w:ind w:left="1"/>
              <w:spacing w:after="0" w:line="133"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3"/>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1"/>
                <w:szCs w:val="11"/>
                <w:color w:val="auto"/>
              </w:rPr>
            </w:pPr>
          </w:p>
        </w:tc>
        <w:tc>
          <w:tcPr>
            <w:tcW w:w="800" w:type="dxa"/>
            <w:vAlign w:val="bottom"/>
            <w:gridSpan w:val="2"/>
          </w:tcPr>
          <w:p>
            <w:pPr>
              <w:jc w:val="center"/>
              <w:ind w:left="1"/>
              <w:spacing w:after="0" w:line="133" w:lineRule="exact"/>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84"/>
        </w:trPr>
        <w:tc>
          <w:tcPr>
            <w:tcW w:w="1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center"/>
              <w:ind w:left="10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Fair Value Measurements at</w:t>
      </w:r>
    </w:p>
    <w:p>
      <w:pPr>
        <w:ind w:left="760"/>
        <w:spacing w:after="0" w:line="197" w:lineRule="auto"/>
        <w:rPr>
          <w:sz w:val="20"/>
          <w:szCs w:val="20"/>
          <w:color w:val="auto"/>
        </w:rPr>
      </w:pPr>
      <w:r>
        <w:rPr>
          <w:rFonts w:ascii="Arial" w:cs="Arial" w:eastAsia="Arial" w:hAnsi="Arial"/>
          <w:sz w:val="14"/>
          <w:szCs w:val="14"/>
          <w:b w:val="1"/>
          <w:bCs w:val="1"/>
          <w:color w:val="auto"/>
        </w:rPr>
        <w:t>January 30, 2022 Using</w:t>
      </w:r>
    </w:p>
    <w:p>
      <w:pPr>
        <w:ind w:left="820"/>
        <w:spacing w:after="0"/>
        <w:rPr>
          <w:sz w:val="20"/>
          <w:szCs w:val="20"/>
          <w:color w:val="auto"/>
        </w:rPr>
      </w:pPr>
      <w:r>
        <w:rPr>
          <w:rFonts w:ascii="Arial" w:cs="Arial" w:eastAsia="Arial" w:hAnsi="Arial"/>
          <w:sz w:val="14"/>
          <w:szCs w:val="14"/>
          <w:b w:val="1"/>
          <w:bCs w:val="1"/>
          <w:color w:val="auto"/>
        </w:rPr>
        <w:t>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11430</wp:posOffset>
            </wp:positionV>
            <wp:extent cx="2272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w w:val="92"/>
              </w:rPr>
              <w:t>Level 1</w:t>
            </w:r>
          </w:p>
        </w:tc>
        <w:tc>
          <w:tcPr>
            <w:tcW w:w="48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779"/>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r>
      <w:tr>
        <w:trPr>
          <w:trHeight w:val="570"/>
        </w:trPr>
        <w:tc>
          <w:tcPr>
            <w:tcW w:w="14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9</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b w:val="1"/>
                <w:bCs w:val="1"/>
                <w:color w:val="auto"/>
              </w:rPr>
              <w:t>15</w:t>
            </w:r>
          </w:p>
        </w:tc>
      </w:tr>
      <w:tr>
        <w:trPr>
          <w:trHeight w:val="742"/>
        </w:trPr>
        <w:tc>
          <w:tcPr>
            <w:tcW w:w="14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570"/>
        </w:trPr>
        <w:tc>
          <w:tcPr>
            <w:tcW w:w="14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351"/>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15</w:t>
            </w:r>
          </w:p>
        </w:tc>
      </w:tr>
      <w:tr>
        <w:trPr>
          <w:trHeight w:val="20"/>
        </w:trPr>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-1463040</wp:posOffset>
            </wp:positionV>
            <wp:extent cx="7117715" cy="361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3619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-630555</wp:posOffset>
            </wp:positionV>
            <wp:extent cx="7117715" cy="631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6311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-1967865</wp:posOffset>
            </wp:positionV>
            <wp:extent cx="711771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236"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Fair Value Measurements at</w:t>
      </w:r>
    </w:p>
    <w:p>
      <w:pPr>
        <w:jc w:val="center"/>
        <w:ind w:left="-139"/>
        <w:spacing w:after="0" w:line="197" w:lineRule="auto"/>
        <w:rPr>
          <w:sz w:val="20"/>
          <w:szCs w:val="20"/>
          <w:color w:val="auto"/>
        </w:rPr>
      </w:pPr>
      <w:r>
        <w:rPr>
          <w:rFonts w:ascii="Arial" w:cs="Arial" w:eastAsia="Arial" w:hAnsi="Arial"/>
          <w:sz w:val="14"/>
          <w:szCs w:val="14"/>
          <w:b w:val="1"/>
          <w:bCs w:val="1"/>
          <w:color w:val="auto"/>
        </w:rPr>
        <w:t>January 30, 2022 Using</w:t>
      </w:r>
    </w:p>
    <w:p>
      <w:pPr>
        <w:jc w:val="center"/>
        <w:ind w:left="-139"/>
        <w:spacing w:after="0"/>
        <w:rPr>
          <w:sz w:val="20"/>
          <w:szCs w:val="20"/>
          <w:color w:val="auto"/>
        </w:rPr>
      </w:pPr>
      <w:r>
        <w:rPr>
          <w:rFonts w:ascii="Arial" w:cs="Arial" w:eastAsia="Arial" w:hAnsi="Arial"/>
          <w:sz w:val="14"/>
          <w:szCs w:val="14"/>
          <w:b w:val="1"/>
          <w:bCs w:val="1"/>
          <w:color w:val="auto"/>
        </w:rPr>
        <w:t>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11430</wp:posOffset>
            </wp:positionV>
            <wp:extent cx="21958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15" w:lineRule="exact"/>
        <w:rPr>
          <w:sz w:val="20"/>
          <w:szCs w:val="20"/>
          <w:color w:val="auto"/>
        </w:rPr>
      </w:pPr>
    </w:p>
    <w:p>
      <w:pPr>
        <w:ind w:left="280"/>
        <w:spacing w:after="0"/>
        <w:tabs>
          <w:tab w:leader="none" w:pos="1440" w:val="left"/>
          <w:tab w:leader="none" w:pos="264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Fair Value</w:t>
      </w:r>
    </w:p>
    <w:p>
      <w:pPr>
        <w:ind w:left="140"/>
        <w:spacing w:after="0" w:line="197" w:lineRule="auto"/>
        <w:rPr>
          <w:sz w:val="20"/>
          <w:szCs w:val="20"/>
          <w:color w:val="auto"/>
        </w:rPr>
      </w:pPr>
      <w:r>
        <w:rPr>
          <w:rFonts w:ascii="Arial" w:cs="Arial" w:eastAsia="Arial" w:hAnsi="Arial"/>
          <w:sz w:val="14"/>
          <w:szCs w:val="14"/>
          <w:b w:val="1"/>
          <w:bCs w:val="1"/>
          <w:color w:val="auto"/>
        </w:rPr>
        <w:t>as of</w:t>
      </w:r>
    </w:p>
    <w:p>
      <w:pPr>
        <w:spacing w:after="0" w:line="198" w:lineRule="auto"/>
        <w:rPr>
          <w:sz w:val="20"/>
          <w:szCs w:val="20"/>
          <w:color w:val="auto"/>
        </w:rPr>
      </w:pPr>
      <w:r>
        <w:rPr>
          <w:rFonts w:ascii="Arial" w:cs="Arial" w:eastAsia="Arial" w:hAnsi="Arial"/>
          <w:sz w:val="14"/>
          <w:szCs w:val="14"/>
          <w:b w:val="1"/>
          <w:bCs w:val="1"/>
          <w:color w:val="auto"/>
        </w:rPr>
        <w:t>August 1,</w:t>
      </w:r>
    </w:p>
    <w:p>
      <w:pPr>
        <w:ind w:left="140"/>
        <w:spacing w:after="0"/>
        <w:rPr>
          <w:sz w:val="20"/>
          <w:szCs w:val="20"/>
          <w:color w:val="auto"/>
        </w:rPr>
      </w:pPr>
      <w:r>
        <w:rPr>
          <w:rFonts w:ascii="Arial" w:cs="Arial" w:eastAsia="Arial" w:hAnsi="Arial"/>
          <w:sz w:val="14"/>
          <w:szCs w:val="14"/>
          <w:b w:val="1"/>
          <w:bCs w:val="1"/>
          <w:color w:val="auto"/>
        </w:rPr>
        <w:t>2021</w:t>
      </w:r>
    </w:p>
    <w:p>
      <w:pPr>
        <w:spacing w:after="0" w:line="200" w:lineRule="exact"/>
        <w:rPr>
          <w:sz w:val="20"/>
          <w:szCs w:val="20"/>
          <w:color w:val="auto"/>
        </w:rPr>
      </w:pPr>
    </w:p>
    <w:p>
      <w:pPr>
        <w:spacing w:after="0" w:line="388" w:lineRule="exact"/>
        <w:rPr>
          <w:sz w:val="20"/>
          <w:szCs w:val="20"/>
          <w:color w:val="auto"/>
        </w:rPr>
      </w:pPr>
    </w:p>
    <w:p>
      <w:pPr>
        <w:ind w:left="700" w:hanging="645"/>
        <w:spacing w:after="0"/>
        <w:tabs>
          <w:tab w:leader="none" w:pos="7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1</w:t>
      </w:r>
    </w:p>
    <w:p>
      <w:pPr>
        <w:spacing w:after="0" w:line="200" w:lineRule="exact"/>
        <w:rPr>
          <w:rFonts w:ascii="Arial" w:cs="Arial" w:eastAsia="Arial" w:hAnsi="Arial"/>
          <w:sz w:val="14"/>
          <w:szCs w:val="14"/>
          <w:color w:val="auto"/>
        </w:rPr>
      </w:pPr>
    </w:p>
    <w:p>
      <w:pPr>
        <w:spacing w:after="0" w:line="208"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53</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10795</wp:posOffset>
            </wp:positionV>
            <wp:extent cx="7239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4" w:lineRule="exact"/>
        <w:rPr>
          <w:sz w:val="20"/>
          <w:szCs w:val="20"/>
          <w:color w:val="auto"/>
        </w:rPr>
      </w:pPr>
    </w:p>
    <w:p>
      <w:pPr>
        <w:ind w:left="620" w:hanging="565"/>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40005</wp:posOffset>
            </wp:positionV>
            <wp:extent cx="723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65405</wp:posOffset>
            </wp:positionV>
            <wp:extent cx="7239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Fair Value</w:t>
      </w:r>
    </w:p>
    <w:p>
      <w:pPr>
        <w:jc w:val="center"/>
        <w:ind w:left="-99"/>
        <w:spacing w:after="0" w:line="197" w:lineRule="auto"/>
        <w:rPr>
          <w:sz w:val="20"/>
          <w:szCs w:val="20"/>
          <w:color w:val="auto"/>
        </w:rPr>
      </w:pPr>
      <w:r>
        <w:rPr>
          <w:rFonts w:ascii="Arial" w:cs="Arial" w:eastAsia="Arial" w:hAnsi="Arial"/>
          <w:sz w:val="14"/>
          <w:szCs w:val="14"/>
          <w:b w:val="1"/>
          <w:bCs w:val="1"/>
          <w:color w:val="auto"/>
        </w:rPr>
        <w:t>as of</w:t>
      </w:r>
    </w:p>
    <w:p>
      <w:pPr>
        <w:jc w:val="center"/>
        <w:ind w:left="-99"/>
        <w:spacing w:after="0" w:line="198" w:lineRule="auto"/>
        <w:rPr>
          <w:sz w:val="20"/>
          <w:szCs w:val="20"/>
          <w:color w:val="auto"/>
        </w:rPr>
      </w:pPr>
      <w:r>
        <w:rPr>
          <w:rFonts w:ascii="Arial" w:cs="Arial" w:eastAsia="Arial" w:hAnsi="Arial"/>
          <w:sz w:val="14"/>
          <w:szCs w:val="14"/>
          <w:b w:val="1"/>
          <w:bCs w:val="1"/>
          <w:color w:val="auto"/>
        </w:rPr>
        <w:t>August 1,</w:t>
      </w:r>
    </w:p>
    <w:p>
      <w:pPr>
        <w:jc w:val="center"/>
        <w:ind w:left="-99"/>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Fair Value Measurements at</w:t>
      </w:r>
    </w:p>
    <w:p>
      <w:pPr>
        <w:ind w:left="1160"/>
        <w:spacing w:after="0" w:line="197" w:lineRule="auto"/>
        <w:rPr>
          <w:sz w:val="20"/>
          <w:szCs w:val="20"/>
          <w:color w:val="auto"/>
        </w:rPr>
      </w:pPr>
      <w:r>
        <w:rPr>
          <w:rFonts w:ascii="Arial" w:cs="Arial" w:eastAsia="Arial" w:hAnsi="Arial"/>
          <w:sz w:val="14"/>
          <w:szCs w:val="14"/>
          <w:b w:val="1"/>
          <w:bCs w:val="1"/>
          <w:color w:val="auto"/>
        </w:rPr>
        <w:t>August 1, 2021 Using</w:t>
      </w:r>
    </w:p>
    <w:p>
      <w:pPr>
        <w:ind w:left="1160"/>
        <w:spacing w:after="0"/>
        <w:rPr>
          <w:sz w:val="20"/>
          <w:szCs w:val="20"/>
          <w:color w:val="auto"/>
        </w:rPr>
      </w:pPr>
      <w:r>
        <w:rPr>
          <w:rFonts w:ascii="Arial" w:cs="Arial" w:eastAsia="Arial" w:hAnsi="Arial"/>
          <w:sz w:val="14"/>
          <w:szCs w:val="14"/>
          <w:b w:val="1"/>
          <w:bCs w:val="1"/>
          <w:color w:val="auto"/>
        </w:rPr>
        <w:t>Fair Value Hierarchy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Level 3</w:t>
            </w:r>
          </w:p>
        </w:tc>
      </w:tr>
      <w:tr>
        <w:trPr>
          <w:trHeight w:val="779"/>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70"/>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742"/>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70"/>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04"/>
        </w:trPr>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6"/>
          </w:tcPr>
          <w:p>
            <w:pPr>
              <w:jc w:val="center"/>
              <w:ind w:left="458"/>
              <w:spacing w:after="0"/>
              <w:rPr>
                <w:sz w:val="20"/>
                <w:szCs w:val="20"/>
                <w:color w:val="auto"/>
              </w:rPr>
            </w:pPr>
            <w:r>
              <w:rPr>
                <w:rFonts w:ascii="Arial" w:cs="Arial" w:eastAsia="Arial" w:hAnsi="Arial"/>
                <w:sz w:val="14"/>
                <w:szCs w:val="14"/>
                <w:b w:val="1"/>
                <w:bCs w:val="1"/>
                <w:color w:val="auto"/>
                <w:w w:val="91"/>
              </w:rPr>
              <w:t>Fair Value Measurements at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3"/>
        </w:trPr>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August 1, 2021 Using</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5"/>
        </w:trPr>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4"/>
              </w:rPr>
              <w:t>Fair Value Hierarchy</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2"/>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5"/>
                <w:szCs w:val="15"/>
                <w:color w:val="auto"/>
              </w:rPr>
            </w:pPr>
          </w:p>
        </w:tc>
        <w:tc>
          <w:tcPr>
            <w:tcW w:w="11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Level 2</w:t>
            </w:r>
          </w:p>
        </w:tc>
        <w:tc>
          <w:tcPr>
            <w:tcW w:w="8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Level 3</w:t>
            </w:r>
          </w:p>
        </w:tc>
      </w:tr>
    </w:tbl>
    <w:p>
      <w:pPr>
        <w:spacing w:after="0" w:line="10" w:lineRule="exact"/>
        <w:rPr>
          <w:sz w:val="20"/>
          <w:szCs w:val="20"/>
          <w:color w:val="auto"/>
        </w:rPr>
      </w:pPr>
    </w:p>
    <w:p>
      <w:pPr>
        <w:sectPr>
          <w:pgSz w:w="11900" w:h="16838" w:orient="portrait"/>
          <w:cols w:equalWidth="0" w:num="4">
            <w:col w:w="2720" w:space="320"/>
            <w:col w:w="3240" w:space="380"/>
            <w:col w:w="780" w:space="180"/>
            <w:col w:w="3620"/>
          </w:cols>
          <w:pgMar w:left="320" w:top="975" w:right="339" w:bottom="1440" w:gutter="0" w:footer="0" w:header="0"/>
          <w:type w:val="continuous"/>
        </w:sectPr>
      </w:pPr>
    </w:p>
    <w:tbl>
      <w:tblPr>
        <w:tblLayout w:type="fixed"/>
        <w:tblInd w:w="30" w:type="dxa"/>
        <w:tblCellMar>
          <w:top w:w="0" w:type="dxa"/>
          <w:left w:w="0" w:type="dxa"/>
          <w:bottom w:w="0" w:type="dxa"/>
          <w:right w:w="0" w:type="dxa"/>
        </w:tblCellMar>
      </w:tblPr>
      <w:tr>
        <w:trPr>
          <w:trHeight w:val="167"/>
        </w:trPr>
        <w:tc>
          <w:tcPr>
            <w:tcW w:w="1800" w:type="dxa"/>
            <w:vAlign w:val="bottom"/>
            <w:tcBorders>
              <w:top w:val="single" w:sz="8" w:color="CCEEFF"/>
              <w:left w:val="single" w:sz="8" w:color="CCEEFF"/>
            </w:tcBorders>
            <w:gridSpan w:val="2"/>
            <w:shd w:val="clear" w:color="auto" w:fill="CCEEFF"/>
          </w:tcPr>
          <w:p>
            <w:pPr>
              <w:ind w:left="20"/>
              <w:spacing w:after="0" w:line="167" w:lineRule="exact"/>
              <w:rPr>
                <w:sz w:val="20"/>
                <w:szCs w:val="20"/>
                <w:color w:val="auto"/>
              </w:rPr>
            </w:pPr>
            <w:r>
              <w:rPr>
                <w:rFonts w:ascii="Arial" w:cs="Arial" w:eastAsia="Arial" w:hAnsi="Arial"/>
                <w:sz w:val="18"/>
                <w:szCs w:val="18"/>
                <w:color w:val="auto"/>
              </w:rPr>
              <w:t>Liabilities</w:t>
            </w: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40" w:type="dxa"/>
            <w:vAlign w:val="bottom"/>
            <w:tcBorders>
              <w:left w:val="single" w:sz="8" w:color="CCEEFF"/>
            </w:tcBorders>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800" w:type="dxa"/>
            <w:vAlign w:val="bottom"/>
            <w:gridSpan w:val="2"/>
          </w:tcPr>
          <w:p>
            <w:pPr>
              <w:ind w:left="140"/>
              <w:spacing w:after="0" w:line="172" w:lineRule="exact"/>
              <w:rPr>
                <w:sz w:val="20"/>
                <w:szCs w:val="20"/>
                <w:color w:val="auto"/>
              </w:rPr>
            </w:pPr>
            <w:r>
              <w:rPr>
                <w:rFonts w:ascii="Arial" w:cs="Arial" w:eastAsia="Arial" w:hAnsi="Arial"/>
                <w:sz w:val="18"/>
                <w:szCs w:val="18"/>
                <w:color w:val="auto"/>
              </w:rPr>
              <w:t>Foreign exchange</w:t>
            </w: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tcPr>
          <w:p>
            <w:pPr>
              <w:jc w:val="right"/>
              <w:ind w:right="232"/>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0" w:type="dxa"/>
            <w:vAlign w:val="bottom"/>
            <w:gridSpan w:val="2"/>
          </w:tcPr>
          <w:p>
            <w:pPr>
              <w:ind w:left="140"/>
              <w:spacing w:after="0" w:line="225" w:lineRule="exact"/>
              <w:rPr>
                <w:sz w:val="20"/>
                <w:szCs w:val="20"/>
                <w:color w:val="auto"/>
              </w:rPr>
            </w:pPr>
            <w:r>
              <w:rPr>
                <w:rFonts w:ascii="Arial" w:cs="Arial" w:eastAsia="Arial" w:hAnsi="Arial"/>
                <w:sz w:val="18"/>
                <w:szCs w:val="18"/>
                <w:color w:val="auto"/>
              </w:rPr>
              <w:t>forward contracts</w:t>
            </w:r>
            <w:r>
              <w:rPr>
                <w:rFonts w:ascii="Arial" w:cs="Arial" w:eastAsia="Arial" w:hAnsi="Arial"/>
                <w:sz w:val="22"/>
                <w:szCs w:val="22"/>
                <w:color w:val="auto"/>
                <w:vertAlign w:val="superscript"/>
              </w:rPr>
              <w:t>(1)</w:t>
            </w:r>
          </w:p>
        </w:tc>
        <w:tc>
          <w:tcPr>
            <w:tcW w:w="4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00" w:type="dxa"/>
            <w:vAlign w:val="bottom"/>
            <w:tcBorders>
              <w:left w:val="single" w:sz="8" w:color="CCEEFF"/>
            </w:tcBorders>
            <w:gridSpan w:val="2"/>
            <w:shd w:val="clear" w:color="auto" w:fill="CCEEFF"/>
          </w:tcPr>
          <w:p>
            <w:pPr>
              <w:ind w:left="140"/>
              <w:spacing w:after="0" w:line="173" w:lineRule="exact"/>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0" w:type="dxa"/>
            <w:vAlign w:val="bottom"/>
            <w:tcBorders>
              <w:left w:val="single" w:sz="8" w:color="CCEEFF"/>
            </w:tcBorders>
            <w:gridSpan w:val="2"/>
            <w:shd w:val="clear" w:color="auto" w:fill="CCEEFF"/>
          </w:tcPr>
          <w:p>
            <w:pPr>
              <w:ind w:left="140"/>
              <w:spacing w:after="0" w:line="171" w:lineRule="exact"/>
              <w:rPr>
                <w:sz w:val="20"/>
                <w:szCs w:val="20"/>
                <w:color w:val="auto"/>
              </w:rPr>
            </w:pPr>
            <w:r>
              <w:rPr>
                <w:rFonts w:ascii="Arial" w:cs="Arial" w:eastAsia="Arial" w:hAnsi="Arial"/>
                <w:sz w:val="18"/>
                <w:szCs w:val="18"/>
                <w:color w:val="auto"/>
              </w:rPr>
              <w:t>compensation</w:t>
            </w:r>
          </w:p>
        </w:tc>
        <w:tc>
          <w:tcPr>
            <w:tcW w:w="4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0" w:type="dxa"/>
            <w:vAlign w:val="bottom"/>
            <w:tcBorders>
              <w:left w:val="single" w:sz="8" w:color="CCEEFF"/>
            </w:tcBorders>
            <w:gridSpan w:val="2"/>
            <w:shd w:val="clear" w:color="auto" w:fill="CCEEFF"/>
          </w:tcPr>
          <w:p>
            <w:pPr>
              <w:ind w:left="140"/>
              <w:spacing w:after="0" w:line="225" w:lineRule="exact"/>
              <w:rPr>
                <w:sz w:val="20"/>
                <w:szCs w:val="20"/>
                <w:color w:val="auto"/>
              </w:rPr>
            </w:pPr>
            <w:r>
              <w:rPr>
                <w:rFonts w:ascii="Arial" w:cs="Arial" w:eastAsia="Arial" w:hAnsi="Arial"/>
                <w:sz w:val="18"/>
                <w:szCs w:val="18"/>
                <w:color w:val="auto"/>
              </w:rPr>
              <w:t>obligation</w:t>
            </w:r>
            <w:r>
              <w:rPr>
                <w:rFonts w:ascii="Arial" w:cs="Arial" w:eastAsia="Arial" w:hAnsi="Arial"/>
                <w:sz w:val="22"/>
                <w:szCs w:val="22"/>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800" w:type="dxa"/>
            <w:vAlign w:val="bottom"/>
            <w:gridSpan w:val="2"/>
          </w:tcPr>
          <w:p>
            <w:pPr>
              <w:ind w:left="20"/>
              <w:spacing w:after="0" w:line="154" w:lineRule="exact"/>
              <w:rPr>
                <w:sz w:val="20"/>
                <w:szCs w:val="20"/>
                <w:color w:val="auto"/>
              </w:rPr>
            </w:pPr>
            <w:r>
              <w:rPr>
                <w:rFonts w:ascii="Arial" w:cs="Arial" w:eastAsia="Arial" w:hAnsi="Arial"/>
                <w:sz w:val="17"/>
                <w:szCs w:val="17"/>
                <w:color w:val="auto"/>
              </w:rPr>
              <w:t>Total liabilities at fair</w:t>
            </w: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3"/>
                <w:szCs w:val="13"/>
                <w:color w:val="auto"/>
              </w:rPr>
            </w:pP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3"/>
                <w:szCs w:val="13"/>
                <w:color w:val="auto"/>
              </w:rPr>
            </w:pP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tcPr>
          <w:p>
            <w:pPr>
              <w:jc w:val="right"/>
              <w:ind w:right="232"/>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3"/>
                <w:szCs w:val="13"/>
                <w:color w:val="auto"/>
              </w:rPr>
            </w:pP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3"/>
                <w:szCs w:val="13"/>
                <w:color w:val="auto"/>
              </w:rPr>
            </w:pPr>
          </w:p>
        </w:tc>
        <w:tc>
          <w:tcPr>
            <w:tcW w:w="48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0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value</w:t>
            </w:r>
          </w:p>
        </w:tc>
        <w:tc>
          <w:tcPr>
            <w:tcW w:w="4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4"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ind w:left="320" w:hanging="314"/>
        <w:spacing w:after="0" w:line="237" w:lineRule="auto"/>
        <w:tabs>
          <w:tab w:leader="none" w:pos="30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4"/>
        <w:spacing w:after="0" w:line="192"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3"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19" w:name="page20"/>
    <w:bookmarkEnd w:id="19"/>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changes in fair value of Level 3 assets and liabilities for the six-month periods ended January 30, 2022, and January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6"/>
                <w:szCs w:val="16"/>
                <w:color w:val="auto"/>
              </w:rPr>
            </w:pPr>
          </w:p>
        </w:tc>
        <w:tc>
          <w:tcPr>
            <w:tcW w:w="116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January 31, 2021</w:t>
            </w:r>
          </w:p>
        </w:tc>
      </w:tr>
      <w:tr>
        <w:trPr>
          <w:trHeight w:val="219"/>
        </w:trPr>
        <w:tc>
          <w:tcPr>
            <w:tcW w:w="86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Fair value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8600" w:type="dxa"/>
            <w:vAlign w:val="bottom"/>
          </w:tcPr>
          <w:p>
            <w:pPr>
              <w:ind w:left="20"/>
              <w:spacing w:after="0" w:line="204" w:lineRule="exact"/>
              <w:rPr>
                <w:sz w:val="20"/>
                <w:szCs w:val="20"/>
                <w:color w:val="auto"/>
              </w:rPr>
            </w:pPr>
            <w:r>
              <w:rPr>
                <w:rFonts w:ascii="Arial" w:cs="Arial" w:eastAsia="Arial" w:hAnsi="Arial"/>
                <w:sz w:val="18"/>
                <w:szCs w:val="18"/>
                <w:color w:val="auto"/>
              </w:rPr>
              <w:t>Fair value at end of quarter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$70 million of cash equivalents at January 30, 2022, and none at August 1, 2021. Cash equivalents represent fair value as these highly liquid investments have an original maturity of three months or less. Fair value of cash equivalents is based on Level 2 inputs.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short- and long-term debt was $5,316 million at January 30, 2022, and $5,613 million at August 1, 2021. The carrying value was $5,029 million at January 30, 2022, and $5,058 million at August 1, 2021. The fair value of long-term debt is principally estimated using Level 2 inputs based on quoted market prices or pricing models using current market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5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the Board approved a new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The September 2021 program replaced the prior $1,500 million program, which our Board approved in March 2017 and has been cancelled.</w:t>
      </w:r>
    </w:p>
    <w:p>
      <w:pPr>
        <w:spacing w:after="0" w:line="7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six-month period ended January 30, 2022, we repurchased approximately 1.5 million shares at a cost of $65 million. Of this amount, $40 million was used to repurchase shares pursuant to our June 2021 program and $25 million was used to repurchase shares pursuant to our September 2021 program. As of January 30, 2022, approximately $174 million remained available under the June 2021 program and approximately $475 million remained available under the September 2021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2022, we issued time-lapse restricted stock units, unrestricted stock, TSR performance restricted stock units and EPS performance restricted stock units. We last issued stock options and FCF performance restricted stock units in 2019.</w:t>
      </w:r>
    </w:p>
    <w:p>
      <w:pPr>
        <w:spacing w:after="0" w:line="4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2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0"/>
              </w:rPr>
              <w:t>January 31,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0"/>
              </w:rPr>
              <w:t>January 31, 2021</w:t>
            </w:r>
          </w:p>
        </w:tc>
      </w:tr>
      <w:tr>
        <w:trPr>
          <w:trHeight w:val="219"/>
        </w:trPr>
        <w:tc>
          <w:tcPr>
            <w:tcW w:w="44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pre-tax stock-based compensation expense</w:t>
            </w: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843"/>
        </w:trPr>
        <w:tc>
          <w:tcPr>
            <w:tcW w:w="448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3"/>
        </w:trPr>
        <w:tc>
          <w:tcPr>
            <w:tcW w:w="4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color w:val="auto"/>
        </w:rPr>
        <w:t>The following table summarizes stock option activity as of January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9"/>
              <w:spacing w:after="0" w:line="133"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040" w:type="dxa"/>
            <w:vAlign w:val="bottom"/>
          </w:tcPr>
          <w:p>
            <w:pPr>
              <w:jc w:val="center"/>
              <w:ind w:left="419"/>
              <w:spacing w:after="0" w:line="133" w:lineRule="exact"/>
              <w:rPr>
                <w:sz w:val="20"/>
                <w:szCs w:val="20"/>
                <w:color w:val="auto"/>
              </w:rPr>
            </w:pPr>
            <w:r>
              <w:rPr>
                <w:rFonts w:ascii="Arial" w:cs="Arial" w:eastAsia="Arial" w:hAnsi="Arial"/>
                <w:sz w:val="14"/>
                <w:szCs w:val="14"/>
                <w:b w:val="1"/>
                <w:bCs w:val="1"/>
                <w:color w:val="auto"/>
                <w:w w:val="86"/>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1"/>
                <w:szCs w:val="11"/>
                <w:color w:val="auto"/>
              </w:rPr>
            </w:pPr>
          </w:p>
        </w:tc>
        <w:tc>
          <w:tcPr>
            <w:tcW w:w="1260" w:type="dxa"/>
            <w:vAlign w:val="bottom"/>
          </w:tcPr>
          <w:p>
            <w:pPr>
              <w:jc w:val="center"/>
              <w:ind w:right="223"/>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1"/>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3"/>
              <w:spacing w:after="0" w:line="127" w:lineRule="exact"/>
              <w:rPr>
                <w:sz w:val="20"/>
                <w:szCs w:val="20"/>
                <w:color w:val="auto"/>
              </w:rPr>
            </w:pPr>
            <w:r>
              <w:rPr>
                <w:rFonts w:ascii="Arial" w:cs="Arial" w:eastAsia="Arial" w:hAnsi="Arial"/>
                <w:sz w:val="14"/>
                <w:szCs w:val="14"/>
                <w:b w:val="1"/>
                <w:bCs w:val="1"/>
                <w:color w:val="auto"/>
                <w:w w:val="94"/>
              </w:rPr>
              <w:t>(Millions)</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45.61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36.60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January 30,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January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1,340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8"/>
              </w:rPr>
              <w:t>45.83</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
              <w:spacing w:after="0" w:line="198"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total intrinsic value of options exercised during the six-month period ended January 30, 2022 was not material. No options were exercised during the six-month period ended January 31, 2021. We measured the fair value of stock options using the Black-Scholes option pricing model.</w:t>
      </w:r>
    </w:p>
    <w:p>
      <w:pPr>
        <w:spacing w:after="0" w:line="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expensed stock options on a straight-line basis over the vesting period, except for awards issued to retirement eligible participants, which we expensed on an accelerated basis. As of January 30, 2022, compensation related to stock options was fully expensed.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time-lapse restricted stock units, EPS performance restricted stock units and FCF performance restricted stock units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30,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7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27"/>
        </w:trPr>
        <w:tc>
          <w:tcPr>
            <w:tcW w:w="7580" w:type="dxa"/>
            <w:vAlign w:val="bottom"/>
          </w:tcPr>
          <w:p>
            <w:pPr>
              <w:spacing w:after="0"/>
              <w:rPr>
                <w:sz w:val="11"/>
                <w:szCs w:val="11"/>
                <w:color w:val="auto"/>
              </w:rPr>
            </w:pPr>
          </w:p>
        </w:tc>
        <w:tc>
          <w:tcPr>
            <w:tcW w:w="17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9"/>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Nonvested at January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319 thousand EPS performance target grants outstanding at January 30, 2022, with a weighted-average grant-date fair value of $41.51.</w:t>
      </w:r>
    </w:p>
    <w:p>
      <w:pPr>
        <w:spacing w:after="0" w:line="3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range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1" w:name="page22"/>
    <w:bookmarkEnd w:id="21"/>
    <w:p>
      <w:pPr>
        <w:jc w:val="both"/>
        <w:ind w:firstLine="318"/>
        <w:spacing w:after="0" w:line="318" w:lineRule="auto"/>
        <w:rPr>
          <w:sz w:val="20"/>
          <w:szCs w:val="20"/>
          <w:color w:val="auto"/>
        </w:rPr>
      </w:pPr>
      <w:r>
        <w:rPr>
          <w:rFonts w:ascii="Arial" w:cs="Arial" w:eastAsia="Arial" w:hAnsi="Arial"/>
          <w:sz w:val="15"/>
          <w:szCs w:val="15"/>
          <w:color w:val="auto"/>
        </w:rPr>
        <w:t>As of January 30, 2022, total remaining unearned compensation related to nonvested time-lapse restricted stock units and EPS performance restricted stock units was $54 million, which will be amortized over the weighted-average remaining service period of 2.0 years. The fair value of restricted stock units vested during the six-month periods ended January 30, 2022, and January 31, 2021, was $49 million, and $35 million, respectively. The weighted-average grant-date fair value of the restricted stock units granted during the six-month period ended January 31, 2021 was $48.43.</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TSR performance restricted stock units as of January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Weighted-Average Grant-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7820" w:type="dxa"/>
            <w:vAlign w:val="bottom"/>
          </w:tcPr>
          <w:p>
            <w:pPr>
              <w:spacing w:after="0"/>
              <w:rPr>
                <w:sz w:val="11"/>
                <w:szCs w:val="11"/>
                <w:color w:val="auto"/>
              </w:rPr>
            </w:pPr>
          </w:p>
        </w:tc>
        <w:tc>
          <w:tcPr>
            <w:tcW w:w="164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(Restricted stock</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Nonvested at January 30, 2022</w:t>
            </w:r>
          </w:p>
        </w:tc>
        <w:tc>
          <w:tcPr>
            <w:tcW w:w="1640" w:type="dxa"/>
            <w:vAlign w:val="bottom"/>
            <w:tcBorders>
              <w:bottom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560" w:type="dxa"/>
            <w:vAlign w:val="bottom"/>
            <w:gridSpan w:val="4"/>
          </w:tcPr>
          <w:p>
            <w:pPr>
              <w:ind w:left="320"/>
              <w:spacing w:after="0"/>
              <w:rPr>
                <w:sz w:val="20"/>
                <w:szCs w:val="20"/>
                <w:color w:val="auto"/>
              </w:rPr>
            </w:pPr>
            <w:r>
              <w:rPr>
                <w:rFonts w:ascii="Arial" w:cs="Arial" w:eastAsia="Arial" w:hAnsi="Arial"/>
                <w:sz w:val="18"/>
                <w:szCs w:val="18"/>
                <w:color w:val="auto"/>
                <w:w w:val="97"/>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20" w:type="dxa"/>
            <w:vAlign w:val="bottom"/>
          </w:tcPr>
          <w:p>
            <w:pPr>
              <w:ind w:left="320"/>
              <w:spacing w:after="0"/>
              <w:rPr>
                <w:sz w:val="20"/>
                <w:szCs w:val="20"/>
                <w:color w:val="auto"/>
              </w:rPr>
            </w:pPr>
            <w:r>
              <w:rPr>
                <w:rFonts w:ascii="Arial" w:cs="Arial" w:eastAsia="Arial" w:hAnsi="Arial"/>
                <w:sz w:val="18"/>
                <w:szCs w:val="18"/>
                <w:color w:val="auto"/>
              </w:rPr>
              <w:t>Weighted-average 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8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0.46%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0"/>
              </w:rPr>
              <w:t>0.15%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ind w:left="1160"/>
              <w:spacing w:after="0"/>
              <w:rPr>
                <w:sz w:val="20"/>
                <w:szCs w:val="20"/>
                <w:color w:val="auto"/>
              </w:rPr>
            </w:pPr>
            <w:r>
              <w:rPr>
                <w:rFonts w:ascii="Arial" w:cs="Arial" w:eastAsia="Arial" w:hAnsi="Arial"/>
                <w:sz w:val="18"/>
                <w:szCs w:val="18"/>
                <w:b w:val="1"/>
                <w:bCs w:val="1"/>
                <w:color w:val="auto"/>
              </w:rPr>
              <w:t>3.50%</w:t>
            </w:r>
          </w:p>
        </w:tc>
        <w:tc>
          <w:tcPr>
            <w:tcW w:w="300" w:type="dxa"/>
            <w:vAlign w:val="bottom"/>
          </w:tcPr>
          <w:p>
            <w:pPr>
              <w:spacing w:after="0"/>
              <w:rPr>
                <w:sz w:val="19"/>
                <w:szCs w:val="19"/>
                <w:color w:val="auto"/>
              </w:rPr>
            </w:pPr>
          </w:p>
        </w:tc>
        <w:tc>
          <w:tcPr>
            <w:tcW w:w="1340" w:type="dxa"/>
            <w:vAlign w:val="bottom"/>
            <w:gridSpan w:val="2"/>
          </w:tcPr>
          <w:p>
            <w:pPr>
              <w:jc w:val="center"/>
              <w:ind w:left="74"/>
              <w:spacing w:after="0"/>
              <w:rPr>
                <w:sz w:val="20"/>
                <w:szCs w:val="20"/>
                <w:color w:val="auto"/>
              </w:rPr>
            </w:pPr>
            <w:r>
              <w:rPr>
                <w:rFonts w:ascii="Arial" w:cs="Arial" w:eastAsia="Arial" w:hAnsi="Arial"/>
                <w:sz w:val="18"/>
                <w:szCs w:val="18"/>
                <w:color w:val="auto"/>
                <w:w w:val="90"/>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40" w:type="dxa"/>
            <w:vAlign w:val="bottom"/>
            <w:gridSpan w:val="3"/>
            <w:shd w:val="clear" w:color="auto" w:fill="CCEEFF"/>
          </w:tcPr>
          <w:p>
            <w:pPr>
              <w:ind w:left="1120"/>
              <w:spacing w:after="0"/>
              <w:rPr>
                <w:sz w:val="20"/>
                <w:szCs w:val="20"/>
                <w:color w:val="auto"/>
              </w:rPr>
            </w:pPr>
            <w:r>
              <w:rPr>
                <w:rFonts w:ascii="Arial" w:cs="Arial" w:eastAsia="Arial" w:hAnsi="Arial"/>
                <w:sz w:val="18"/>
                <w:szCs w:val="18"/>
                <w:b w:val="1"/>
                <w:bCs w:val="1"/>
                <w:color w:val="auto"/>
                <w:w w:val="98"/>
              </w:rPr>
              <w:t>27.42%</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8"/>
              </w:rPr>
              <w:t>29.99%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780" w:type="dxa"/>
            <w:vAlign w:val="bottom"/>
          </w:tcPr>
          <w:p>
            <w:pPr>
              <w:spacing w:after="0"/>
              <w:rPr>
                <w:sz w:val="19"/>
                <w:szCs w:val="19"/>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w w:val="93"/>
              </w:rPr>
              <w:t>3 years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261"/>
              <w:spacing w:after="0"/>
              <w:rPr>
                <w:sz w:val="20"/>
                <w:szCs w:val="20"/>
                <w:color w:val="auto"/>
              </w:rPr>
            </w:pPr>
            <w:r>
              <w:rPr>
                <w:rFonts w:ascii="Arial" w:cs="Arial" w:eastAsia="Arial" w:hAnsi="Arial"/>
                <w:sz w:val="18"/>
                <w:szCs w:val="18"/>
                <w:color w:val="auto"/>
              </w:rPr>
              <w:t>3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recognize compensation expense on a straight-line basis over the service period, except for awards issued to retirement eligible participants, which we expense on an accelerated basis. As of January 30, 2022, total remaining unearned compensation related to TSR performance restricted stock units was $26 million, which will be amortized over the weighted-average remaining service period of 1.7 years. In the first quarter of 2022, recipients of TSR performance restricted stock units earned 75% of the initial grants based upon our TSR ranking in a performance peer group during a three-year period ended July 30, 2021. In the first quarter of 2021, recipients of TSR performance restricted stock units earned 50% of the initial grants based upon our TSR ranking in a performance peer group during a three-year period ended July 31, 2020. The fair value of TSR performance restricted stock units vested during the six-month periods ended January 30, 2022 and January 31, 2021 was $8 million and $11 million, respectively. The grant-date fair value of the TSR performance restricted stock units granted during 2021 was $54.93.</w:t>
      </w:r>
    </w:p>
    <w:p>
      <w:pPr>
        <w:spacing w:after="0" w:line="4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excess tax benefits of $1 million in the six-month periods ended January 30, 2022, and January 31, 2021, on the exercise of stock options and vested restricted stock were presented as cash flows from operating activities. Cash received from the exercise of stock options was $1 million for the six-month period ended January 30, 2022 and is reflected in cash flows from financing activities in the Consolidated Statements of Cash Flows.</w:t>
      </w:r>
    </w:p>
    <w:p>
      <w:pPr>
        <w:spacing w:after="0" w:line="104" w:lineRule="exact"/>
        <w:rPr>
          <w:sz w:val="20"/>
          <w:szCs w:val="20"/>
          <w:color w:val="auto"/>
        </w:rPr>
      </w:pPr>
    </w:p>
    <w:p>
      <w:pPr>
        <w:ind w:right="8460" w:firstLine="6"/>
        <w:spacing w:after="0" w:line="418" w:lineRule="auto"/>
        <w:tabs>
          <w:tab w:leader="none" w:pos="265"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Regulatory and Litigation Matters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also subject to the uncertainty of how opposing parties and their counsel will themselves view the relevant evidence and applicable law.</w:t>
      </w:r>
    </w:p>
    <w:p>
      <w:pPr>
        <w:spacing w:after="0" w:line="8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On January 7, 2019, three purported shareholder class action lawsuits pending in the United States District Court for the District of New Jersey (the Court) were consolidated under the caption, </w:t>
      </w:r>
      <w:r>
        <w:rPr>
          <w:rFonts w:ascii="Arial" w:cs="Arial" w:eastAsia="Arial" w:hAnsi="Arial"/>
          <w:sz w:val="15"/>
          <w:szCs w:val="15"/>
          <w:i w:val="1"/>
          <w:iCs w:val="1"/>
          <w:color w:val="auto"/>
        </w:rPr>
        <w:t>In re Campbell Soup Company Securities Litigation</w:t>
      </w:r>
      <w:r>
        <w:rPr>
          <w:rFonts w:ascii="Arial" w:cs="Arial" w:eastAsia="Arial" w:hAnsi="Arial"/>
          <w:sz w:val="15"/>
          <w:szCs w:val="15"/>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2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30, 2022.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January 30,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Statement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4"/>
                <w:szCs w:val="14"/>
                <w:color w:val="auto"/>
              </w:rPr>
            </w:pPr>
          </w:p>
        </w:tc>
        <w:tc>
          <w:tcPr>
            <w:tcW w:w="11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August 1,</w:t>
            </w:r>
          </w:p>
        </w:tc>
        <w:tc>
          <w:tcPr>
            <w:tcW w:w="0" w:type="dxa"/>
            <w:vAlign w:val="bottom"/>
          </w:tcPr>
          <w:p>
            <w:pPr>
              <w:spacing w:after="0"/>
              <w:rPr>
                <w:sz w:val="1"/>
                <w:szCs w:val="1"/>
                <w:color w:val="auto"/>
              </w:rPr>
            </w:pPr>
          </w:p>
        </w:tc>
      </w:tr>
      <w:tr>
        <w:trPr>
          <w:trHeight w:val="185"/>
        </w:trPr>
        <w:tc>
          <w:tcPr>
            <w:tcW w:w="5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i w:val="1"/>
                <w:iCs w:val="1"/>
                <w:color w:val="auto"/>
              </w:rPr>
              <w:t>Balance Sheets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 containers and supplies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products</w:t>
            </w: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60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January 31,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January 31, 2021</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i w:val="1"/>
                <w:iCs w:val="1"/>
                <w:color w:val="auto"/>
              </w:rPr>
              <w:t>Statements of Earnings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w w:val="95"/>
              </w:rPr>
              <w:t>Net periodic benefit expense (income) other than the service cost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services fees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140" w:type="dxa"/>
            <w:vAlign w:val="bottom"/>
          </w:tcPr>
          <w:p>
            <w:pPr>
              <w:spacing w:after="0"/>
              <w:rPr>
                <w:sz w:val="24"/>
                <w:szCs w:val="24"/>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Subsequent Event</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 2022, we issued a notice of redemption to holders of our 2.50% Notes due August 2, 2022 (the Notes) for the redemption of all $450 million outstanding aggregate principal amount of the Notes. The redemption date for the Notes was March 4, 2022. The consideration for the redemption was $453 million, including $3 million of premium. In addition, we paid accrued and unpaid interest on the redeemed notes through the date of settlement. We used a combination of cash on hand and short-term debt to fund the redemption.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ind w:right="4100"/>
        <w:spacing w:after="0" w:line="349"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firstLine="318"/>
        <w:spacing w:after="0" w:line="252"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1, 2021, including but not limited to "Part I - Item 1A. Risk Factors" and "Part II - Item 7. 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0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6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3, 2021, we completed the sale of our Plum baby food and snacks business. The results of the business through the date of sale were reflected in continuing operations within the Meals &amp; Beverages reportable segment.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Beginning in 2022, the foodservice and Canadian business formerly in our Snacks segment is managed as part of the Meals &amp; Beverages segment.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have been adjusted retrospectively to reflect this change.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been actively monitoring the impact of the COVID-19 pandemic on all aspects of our business. During the second quarter of 2022, we continued to experience strong demand for our retail products, but net sales were lower than in the second quarter of 2021 due to the impact of supply constraints, primarily related to labor, which held back our ability to meet demand.</w:t>
      </w:r>
    </w:p>
    <w:p>
      <w:pPr>
        <w:spacing w:after="0" w:line="5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anticipate that 2022 will continue to be a dynamic macroeconomic environment and we expect elevated levels of input cost inflation to persist throughout 2022. We anticipate that these headwinds will be partially mitigated by improving labor conditions through the remainder of 2022, pricing actions in response to inflation that will be fully reflected in the third quarter, supply chain productivity improvements and cost savings initiatives.</w:t>
      </w:r>
    </w:p>
    <w:p>
      <w:pPr>
        <w:spacing w:after="0" w:line="5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Although we expect the impacts of the COVID-19 pandemic on our business to continue to moderate in the third quarter and beyond, there still remains uncertainty around the pandemic and especially its effect on labor. The ultimate impact depends on the severity and duration of the pandemic, including the emergence and spread of COVID-19 variants and resurgences, the continued availability and effectiveness of vaccines and actions taken by government authorities and other third parties in response to the pandemic. We will continue to evaluate the extent to which the COVID-19 pandemic will impact our business, consolidated results of operations and financial condition.</w:t>
      </w:r>
    </w:p>
    <w:p>
      <w:pPr>
        <w:spacing w:after="0" w:line="7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While we as a North American focused company have no direct exposure to Russia and Ukraine, we are monitoring any broader economic impact from the current crisis, especially on commodities.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98" w:lineRule="exact"/>
        <w:rPr>
          <w:sz w:val="20"/>
          <w:szCs w:val="20"/>
          <w:color w:val="auto"/>
        </w:rPr>
      </w:pPr>
    </w:p>
    <w:p>
      <w:pPr>
        <w:jc w:val="both"/>
        <w:ind w:left="640" w:hanging="316"/>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decreased 3% in 2022 to $2,209 million due to volume declines and the impact from the divestiture of the Plum baby food and snacks business, partially offset by favorable price and sales allowances and decreased promotional spending. Volumes declined as a result of industry-wide labor and supply challenges. On a two-year basis, net sales increased 2% in 2022 from $2,162 million in 2020, including a 1-point impact from divestitures.</w:t>
      </w:r>
    </w:p>
    <w:p>
      <w:pPr>
        <w:spacing w:after="0" w:line="58"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Gross profit, as a percent of sales, decreased to 30.3% in 2022 from 34.4% in the prior-year quarter. The decrease was primarily due to higher cost inflation and other supply chain costs, and unfavorable volume/mix largely due to reduced operating leverage, partially offset by the benefit of pricing actions, supply chain productivity improvements, lower levels of promotional spending and cost savings initiatives.</w:t>
      </w:r>
    </w:p>
    <w:p>
      <w:pPr>
        <w:spacing w:after="0" w:line="51"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Earnings per share from continuing operations were $.70 in 2022, compared to $.80 a year ago. The current quarter included gains of $.01 per share and the prior-year quarter included expenses of $.01 per share from items impacting comparability as discussed below.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98" w:lineRule="exact"/>
        <w:rPr>
          <w:sz w:val="20"/>
          <w:szCs w:val="20"/>
          <w:color w:val="auto"/>
        </w:rPr>
      </w:pPr>
    </w:p>
    <w:p>
      <w:pPr>
        <w:jc w:val="both"/>
        <w:ind w:left="640" w:hanging="316"/>
        <w:spacing w:after="0" w:line="303"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implemented several cost savings initiatives in recent years. In the second quarter of 2022, we recorded implementation costs and other related costs of $3 million in Administrative expenses and $2 million in Cost of products sold (aggregate impact of $4 million after tax, or $.01 per share) related to these initiatives. Year-to-date in 2022, we recorded implementation costs and other related costs of $5 million in Administrative expenses and $4 million in Cost of products sold (aggregate impact of $7 million after tax, or $.02 per share) related to these initiatives. In the second quarter of 2021, we recorded Restructuring charges of $18 million and implementation costs and other related costs of $6 million in Administrative expenses, and a reduction to Cost of products sold of $2 million (aggregate impact of $16 million after tax, or $.05 per share) related to these initiatives. Year-to-date in 2021, we recorded Restructuring charges of $19 million and implementation costs and other related costs of $10 million in Administrative expenses, and a reduction to Cost of products sold of $1 million (aggregate impact of $21 million after tax, or $.07 per share) related to these initiatives. See Note 6 to the Consolidated Financial Statements and "Restructuring Charges and Cost Savings Initiatives" for additional information;</w:t>
      </w:r>
    </w:p>
    <w:p>
      <w:pPr>
        <w:spacing w:after="0" w:line="27" w:lineRule="exact"/>
        <w:rPr>
          <w:rFonts w:ascii="Arial" w:cs="Arial" w:eastAsia="Arial" w:hAnsi="Arial"/>
          <w:sz w:val="15"/>
          <w:szCs w:val="15"/>
          <w:color w:val="auto"/>
        </w:rPr>
      </w:pPr>
    </w:p>
    <w:p>
      <w:pPr>
        <w:jc w:val="both"/>
        <w:ind w:left="640" w:hanging="316"/>
        <w:spacing w:after="0" w:line="309"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second quarter of 2022, we recognized actuarial gains in Other expenses / (income) of $10 million ($8 million after tax, or $.03 per share). Year-to-date in 2022, we recognized actuarial gains in Other expenses / (income) of $4 million ($3 million after tax, or $.01 per share). In the second quarter of 2021, we recognized actuarial gains in Other expenses / (income) of $30 million ($23 million after tax, or $.08 per share). Year-to-date in 2021, we recognized actuarial gains in Other expenses / (income) of $34 million ($26 million after tax, or $.09 per share). The actuarial gains related to the remeasurements of U.S. and Canadian pension plans. These interim remeasurements were each due to lump sum distributions that exceeded or are expected to exceed service and interest costs resulting in settlement accounting for the plans;</w:t>
      </w:r>
    </w:p>
    <w:p>
      <w:pPr>
        <w:spacing w:after="0" w:line="32" w:lineRule="exact"/>
        <w:rPr>
          <w:rFonts w:ascii="Arial" w:cs="Arial" w:eastAsia="Arial" w:hAnsi="Arial"/>
          <w:sz w:val="15"/>
          <w:szCs w:val="15"/>
          <w:color w:val="auto"/>
        </w:rPr>
      </w:pPr>
    </w:p>
    <w:p>
      <w:pPr>
        <w:jc w:val="both"/>
        <w:ind w:left="640" w:hanging="316"/>
        <w:spacing w:after="0" w:line="312"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Year-to-date in 2022, we recognized losses in Cost of products sold of $3 million ($2 million after tax, or $.01 per share) associated with unrealized mark-to-market adjustments on outstanding undesignated commodity hedges. In the second quarter of 2021, we recognized gains in Cost of products sold of $11 million ($8 million after tax, or $.03 per share) associated with unrealized mark-to-market adjustments on outstanding undesignated commodity hedges. Year-to-date in 2021, we recognized gains in Cost of products sold of $17 million ($13 million after tax, or $.04 per share) associated with unrealized mark-to-market adjustments on outstanding undesignated commodity hedges; and</w:t>
      </w:r>
    </w:p>
    <w:p>
      <w:pPr>
        <w:spacing w:after="0" w:line="3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second quarter of 2021, we recorded a $19 million ($.06 per share) deferred tax charge in connection with a legal entity reorganization as part of the continued integration of Snyder's-Lance, Inc. (Snyder's-Lance).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items impacting comparability are summarized below:</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January 30, 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800" w:type="dxa"/>
            <w:vAlign w:val="bottom"/>
          </w:tcPr>
          <w:p>
            <w:pPr>
              <w:jc w:val="right"/>
              <w:ind w:right="275"/>
              <w:spacing w:after="0" w:line="157"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49"/>
        </w:trPr>
        <w:tc>
          <w:tcPr>
            <w:tcW w:w="552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Earnings from continuing operations attributable to Campbell Soup Company</w:t>
            </w: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Earnings (loss) from discontinued operations</w:t>
            </w:r>
          </w:p>
        </w:tc>
        <w:tc>
          <w:tcPr>
            <w:tcW w:w="14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6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52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Continuing operations:</w:t>
            </w: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55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actuarial gains</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Commodity mark-to-market gains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55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5520" w:type="dxa"/>
            <w:vAlign w:val="bottom"/>
            <w:gridSpan w:val="2"/>
          </w:tcPr>
          <w:p>
            <w:pPr>
              <w:ind w:left="20"/>
              <w:spacing w:after="0" w:line="219"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2"/>
                <w:szCs w:val="22"/>
                <w:color w:val="auto"/>
                <w:vertAlign w:val="superscript"/>
              </w:rPr>
              <w:t>(1)</w:t>
            </w:r>
          </w:p>
        </w:tc>
        <w:tc>
          <w:tcPr>
            <w:tcW w:w="1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20" w:type="dxa"/>
            <w:vAlign w:val="bottom"/>
            <w:vMerge w:val="restart"/>
          </w:tcPr>
          <w:p>
            <w:pPr>
              <w:jc w:val="right"/>
              <w:ind w:right="1132"/>
              <w:spacing w:after="0"/>
              <w:rPr>
                <w:sz w:val="20"/>
                <w:szCs w:val="20"/>
                <w:color w:val="auto"/>
              </w:rPr>
            </w:pPr>
            <w:r>
              <w:rPr>
                <w:rFonts w:ascii="Arial" w:cs="Arial" w:eastAsia="Arial" w:hAnsi="Arial"/>
                <w:sz w:val="18"/>
                <w:szCs w:val="18"/>
                <w:color w:val="auto"/>
                <w:w w:val="89"/>
              </w:rPr>
              <w:t>26</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16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3"/>
        </w:trPr>
        <w:tc>
          <w:tcPr>
            <w:tcW w:w="16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January 30, 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January 31, 2021</w:t>
            </w:r>
          </w:p>
        </w:tc>
      </w:tr>
      <w:tr>
        <w:trPr>
          <w:trHeight w:val="157"/>
        </w:trPr>
        <w:tc>
          <w:tcPr>
            <w:tcW w:w="16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800" w:type="dxa"/>
            <w:vAlign w:val="bottom"/>
          </w:tcPr>
          <w:p>
            <w:pPr>
              <w:jc w:val="right"/>
              <w:ind w:right="275"/>
              <w:spacing w:after="0" w:line="157" w:lineRule="exact"/>
              <w:rPr>
                <w:sz w:val="20"/>
                <w:szCs w:val="20"/>
                <w:color w:val="auto"/>
              </w:rPr>
            </w:pPr>
            <w:r>
              <w:rPr>
                <w:rFonts w:ascii="Arial" w:cs="Arial" w:eastAsia="Arial" w:hAnsi="Arial"/>
                <w:sz w:val="14"/>
                <w:szCs w:val="14"/>
                <w:b w:val="1"/>
                <w:bCs w:val="1"/>
                <w:color w:val="auto"/>
              </w:rPr>
              <w:t>EPS</w:t>
            </w:r>
          </w:p>
        </w:tc>
      </w:tr>
      <w:tr>
        <w:trPr>
          <w:trHeight w:val="203"/>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Impact</w:t>
            </w:r>
          </w:p>
        </w:tc>
      </w:tr>
      <w:tr>
        <w:trPr>
          <w:trHeight w:val="249"/>
        </w:trPr>
        <w:tc>
          <w:tcPr>
            <w:tcW w:w="694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Earnings (loss) from discontinued operations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94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6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6"/>
        </w:trPr>
        <w:tc>
          <w:tcPr>
            <w:tcW w:w="694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5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25"/>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6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actuarial gains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5"/>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6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8"/>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Impact of items on Earnings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6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6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Earnings from continuing operations were $212 million ($.70 per share) in the current quarter, compared to $245 million ($.80 per share) in the year-ago quarter. After adjusting for items impacting comparability, earnings from continuing operations decreased reflecting sales volume declines and a lower gross profit performance, partially offset by lower marketing and selling expenses, lower interest expense and a lower effective tax rate. Earnings per share benefited from a reduction in the weighted average diluted shares outstanding.</w:t>
      </w:r>
    </w:p>
    <w:p>
      <w:pPr>
        <w:spacing w:after="0" w:line="7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Earnings from continuing operations were $473 million ($1.56 per share) in the six-month period this year, compared to $554 million ($1.82 per share) in the year-ago period. After adjusting for items impacting comparability, earnings from continuing operations decreased reflecting sales volume declines, a lower gross profit performance and lower other income, partially offset by lower marketing and selling expenses, lower interest expense and a lower effective tax rate. Earnings per share benefited from a reduction in the weighted average diluted shares outstanding.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net sales by reportable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7"/>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January 31,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9"/>
        </w:trPr>
        <w:tc>
          <w:tcPr>
            <w:tcW w:w="75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Meals &amp; Beverages</w:t>
            </w:r>
            <w:r>
              <w:rPr>
                <w:rFonts w:ascii="Arial" w:cs="Arial" w:eastAsia="Arial" w:hAnsi="Arial"/>
                <w:sz w:val="18"/>
                <w:szCs w:val="18"/>
                <w:b w:val="1"/>
                <w:bCs w:val="1"/>
                <w:color w:val="auto"/>
                <w:w w:val="89"/>
                <w:vertAlign w:val="superscript"/>
              </w:rPr>
              <w:t>(2)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Snacks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Volume and mix</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4"/>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1"/>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(8)%</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20" w:type="dxa"/>
            <w:vAlign w:val="bottom"/>
          </w:tcPr>
          <w:p>
            <w:pPr>
              <w:spacing w:after="0"/>
              <w:rPr>
                <w:sz w:val="19"/>
                <w:szCs w:val="19"/>
                <w:color w:val="auto"/>
              </w:rPr>
            </w:pPr>
          </w:p>
        </w:tc>
        <w:tc>
          <w:tcPr>
            <w:tcW w:w="1200" w:type="dxa"/>
            <w:vAlign w:val="bottom"/>
          </w:tcPr>
          <w:p>
            <w:pPr>
              <w:jc w:val="center"/>
              <w:ind w:right="35"/>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Decreased / (increased) promotional spending</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79"/>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Divestiture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color w:val="auto"/>
                <w:w w:val="90"/>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8"/>
        </w:trPr>
        <w:tc>
          <w:tcPr>
            <w:tcW w:w="7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4"/>
              </w:rPr>
              <w:t>(3)%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4"/>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70" w:lineRule="exact"/>
        <w:rPr>
          <w:sz w:val="20"/>
          <w:szCs w:val="20"/>
          <w:color w:val="auto"/>
        </w:rPr>
      </w:pPr>
    </w:p>
    <w:p>
      <w:pPr>
        <w:ind w:firstLine="318"/>
        <w:spacing w:after="0" w:line="263" w:lineRule="auto"/>
        <w:rPr>
          <w:sz w:val="20"/>
          <w:szCs w:val="20"/>
          <w:color w:val="auto"/>
        </w:rPr>
      </w:pPr>
      <w:r>
        <w:rPr>
          <w:rFonts w:ascii="Arial" w:cs="Arial" w:eastAsia="Arial" w:hAnsi="Arial"/>
          <w:sz w:val="18"/>
          <w:szCs w:val="18"/>
          <w:color w:val="auto"/>
        </w:rPr>
        <w:t xml:space="preserve">In Meals &amp; Beverages, sales decreased 3%. Excluding the impact from the divestiture of the Plum baby food and snacks business, sales decreased primarily due to declines across U.S. retail products, including U.S. soup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pasta, as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7" w:name="page28"/>
    <w:bookmarkEnd w:id="27"/>
    <w:p>
      <w:pPr>
        <w:jc w:val="both"/>
        <w:spacing w:after="0" w:line="252" w:lineRule="auto"/>
        <w:rPr>
          <w:sz w:val="20"/>
          <w:szCs w:val="20"/>
          <w:color w:val="auto"/>
        </w:rPr>
      </w:pPr>
      <w:r>
        <w:rPr>
          <w:rFonts w:ascii="Arial" w:cs="Arial" w:eastAsia="Arial" w:hAnsi="Arial"/>
          <w:sz w:val="18"/>
          <w:szCs w:val="18"/>
          <w:color w:val="auto"/>
        </w:rPr>
        <w:t>well as in Canada, partially offset by gains in foodservice. Volume decreased primarily due to supply constraints driven by labor and materials availability. Favorable price and sales allowances were partially offset by increased promotional spending relative to moderated levels in the prior-year quarter. Sales of U.S. soup decreased 1%, cycling a 10% increase in the second quarter of the prior year, due to declines in condensed soups, partially offset by gains in ready-to-serve soups and broth.</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Snacks, sales decreased 3% while sales of our power brands increased 1%. Snacks sales decreased due to declines in non-core businesses and in certain salty snacks, primarily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partially offset by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Volume declines, driven by significant supply constraints due to labor, were partly offset by favorable price and sales allowances and decreased promotional spending.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Gross profit, defined as Net sales less Cost of products sold, decreased by $114 million in 2022 from 2021. As a percent of sales, gross profit was 30.3% in 2022 and 34.4% in 2021.</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410 basis-point decrease in gross profit margin was due to the following factors: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Margin Impact</w:t>
            </w:r>
          </w:p>
        </w:tc>
      </w:tr>
      <w:tr>
        <w:trPr>
          <w:trHeight w:val="224"/>
        </w:trPr>
        <w:tc>
          <w:tcPr>
            <w:tcW w:w="9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(840)</w:t>
            </w:r>
          </w:p>
        </w:tc>
      </w:tr>
      <w:tr>
        <w:trPr>
          <w:trHeight w:val="225"/>
        </w:trPr>
        <w:tc>
          <w:tcPr>
            <w:tcW w:w="9960" w:type="dxa"/>
            <w:vAlign w:val="bottom"/>
          </w:tcPr>
          <w:p>
            <w:pPr>
              <w:ind w:left="20"/>
              <w:spacing w:after="0" w:line="225" w:lineRule="exact"/>
              <w:rPr>
                <w:sz w:val="20"/>
                <w:szCs w:val="20"/>
                <w:color w:val="auto"/>
              </w:rPr>
            </w:pPr>
            <w:r>
              <w:rPr>
                <w:rFonts w:ascii="Arial" w:cs="Arial" w:eastAsia="Arial" w:hAnsi="Arial"/>
                <w:sz w:val="18"/>
                <w:szCs w:val="18"/>
                <w:color w:val="auto"/>
              </w:rPr>
              <w:t>Volume/mix</w:t>
            </w:r>
            <w:r>
              <w:rPr>
                <w:rFonts w:ascii="Arial" w:cs="Arial" w:eastAsia="Arial" w:hAnsi="Arial"/>
                <w:sz w:val="22"/>
                <w:szCs w:val="22"/>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(170)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Lower level of promotional spending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90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140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Price and sales allowances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390</w:t>
            </w:r>
          </w:p>
        </w:tc>
      </w:tr>
      <w:tr>
        <w:trPr>
          <w:trHeight w:val="244"/>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(410)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2" w:lineRule="exact"/>
        <w:rPr>
          <w:sz w:val="20"/>
          <w:szCs w:val="20"/>
          <w:color w:val="auto"/>
        </w:rPr>
      </w:pPr>
    </w:p>
    <w:p>
      <w:pPr>
        <w:jc w:val="both"/>
        <w:ind w:left="320" w:hanging="314"/>
        <w:spacing w:after="0" w:line="225"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30 basis points from the benefit of cost savings initiatives, which was more than offset by cost inflation and other factors, including a 50 basis-point impact from the change in unrealized mark-to-market adjustments on outstanding undesignated commodity hedges.</w:t>
      </w:r>
    </w:p>
    <w:p>
      <w:pPr>
        <w:ind w:left="320" w:hanging="314"/>
        <w:spacing w:after="0" w:line="189"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operating leverage.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and selling expenses as a percent of sales were 8.9% in 2022 compared to 10.2% in 2021. Marketing and selling expenses decreased 15% in 2022 from 2021. The decrease was primarily due to lower advertising and consumer promotion expense (approximately 16 points). The decrease in advertising and consumer promotion expense was due in part to supply constraints.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Administrative expenses as a percent of sales were 6.7% in 2022 compared to 6.9% in 2021. Administrative expenses decreased 7% in 2022 from 2021. The decrease was primarily due to increased benefits from cost savings initiatives (approximately 4 points) and lower benefit-related costs (approximately 3 points).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was $19 million in 2022 compared to other income of $45 million in 2021. Other income in 2022 included pension actuarial gains of $10 million. Other income in 2021 included pension actuarial gains of $30 million. Excluding these amounts, the remaining decrease in other income was primarily due to income from transition services fees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operating earnings decreased 17% in 2022 from 2021.</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operating earnings by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January 30, 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January 31, 2021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19"/>
        </w:trPr>
        <w:tc>
          <w:tcPr>
            <w:tcW w:w="74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(19)</w:t>
            </w:r>
          </w:p>
        </w:tc>
      </w:tr>
      <w:tr>
        <w:trPr>
          <w:trHeight w:val="22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(17)</w:t>
            </w:r>
          </w:p>
        </w:tc>
      </w:tr>
      <w:tr>
        <w:trPr>
          <w:trHeight w:val="225"/>
        </w:trPr>
        <w:tc>
          <w:tcPr>
            <w:tcW w:w="748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7480" w:type="dxa"/>
            <w:vAlign w:val="bottom"/>
          </w:tcPr>
          <w:p>
            <w:pPr>
              <w:ind w:left="20"/>
              <w:spacing w:after="0" w:line="204" w:lineRule="exact"/>
              <w:rPr>
                <w:sz w:val="20"/>
                <w:szCs w:val="20"/>
                <w:color w:val="auto"/>
              </w:rPr>
            </w:pPr>
            <w:r>
              <w:rPr>
                <w:rFonts w:ascii="Arial" w:cs="Arial" w:eastAsia="Arial" w:hAnsi="Arial"/>
                <w:sz w:val="18"/>
                <w:szCs w:val="18"/>
                <w:color w:val="auto"/>
              </w:rPr>
              <w:t>Earnings before interest and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6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Operating earnings from Meals &amp; Beverages decreased 19%. The decrease was primarily due to sales volume declines and a lower gross profit performance, partially offset by lower marketing and selling expenses. Gross profit performance was impacted by higher cost inflation and other supply chain costs, unfavorable volume/mix, which was largely due to reduced operating leverage, as well as higher levels of promotional spending, partially offset by the benefit of pricing actions and supply chain productivity improvements.</w:t>
      </w:r>
    </w:p>
    <w:p>
      <w:pPr>
        <w:spacing w:after="0" w:line="7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Operating earnings from Snacks decreased 14%. The decrease was driven by sales volume declines and higher administrative expenses, partially offset by lower marketing and selling expenses. Increased pricing and lower promotional spending combined with the results of supply chain productivity improvements and cost savings initiatives largely offset cost inflation, higher other supply chain costs and unfavorable volume/mix, which was largely due to reduced operating leverage.</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Corporate expense in 2022 included pension actuarial gains of $10 million and costs of $5 million related to costs savings initiatives. Corporate income in 2021 included pension actuarial gains of $30 million, unrealized mark-to-market gains on outstanding undesignated commodity hedges of $11 million and costs of $4 million related to cost savings initiatives.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decreased to $46 million in 2022 from $55 million in 2021, primarily due to lower levels of debt.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85" w:lineRule="exact"/>
        <w:rPr>
          <w:sz w:val="20"/>
          <w:szCs w:val="20"/>
          <w:color w:val="auto"/>
        </w:rPr>
      </w:pPr>
    </w:p>
    <w:p>
      <w:pPr>
        <w:jc w:val="both"/>
        <w:ind w:firstLine="318"/>
        <w:spacing w:after="0" w:line="355" w:lineRule="auto"/>
        <w:rPr>
          <w:sz w:val="20"/>
          <w:szCs w:val="20"/>
          <w:color w:val="auto"/>
        </w:rPr>
      </w:pPr>
      <w:r>
        <w:rPr>
          <w:rFonts w:ascii="Arial" w:cs="Arial" w:eastAsia="Arial" w:hAnsi="Arial"/>
          <w:sz w:val="15"/>
          <w:szCs w:val="15"/>
          <w:color w:val="auto"/>
        </w:rPr>
        <w:t>The effective tax rate was 23.5% in 2022 and 29.4% in 2021. The decrease in the effective tax rate was primarily due to a $19 million deferred tax charge recognized in the second quarter of 2021 in connection with a legal entity reorganization as part of the continued integration of Snyder's-Lance.</w:t>
      </w:r>
    </w:p>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net sales by reportable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2022</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January 31, 2021</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9"/>
        </w:trPr>
        <w:tc>
          <w:tcPr>
            <w:tcW w:w="34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4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4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1692"/>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34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4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9" w:name="page30"/>
    <w:bookmarkEnd w:id="29"/>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Meals &amp; Beverages</w:t>
            </w:r>
            <w:r>
              <w:rPr>
                <w:rFonts w:ascii="Arial" w:cs="Arial" w:eastAsia="Arial" w:hAnsi="Arial"/>
                <w:sz w:val="18"/>
                <w:szCs w:val="18"/>
                <w:b w:val="1"/>
                <w:bCs w:val="1"/>
                <w:color w:val="auto"/>
                <w:w w:val="96"/>
                <w:vertAlign w:val="superscript"/>
              </w:rPr>
              <w:t>(2)</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Snacks</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(2)</w:t>
            </w:r>
          </w:p>
        </w:tc>
      </w:tr>
      <w:tr>
        <w:trPr>
          <w:trHeight w:val="218"/>
        </w:trPr>
        <w:tc>
          <w:tcPr>
            <w:tcW w:w="74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Volume and mix</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r>
      <w:tr>
        <w:trPr>
          <w:trHeight w:val="225"/>
        </w:trPr>
        <w:tc>
          <w:tcPr>
            <w:tcW w:w="748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26"/>
        </w:trPr>
        <w:tc>
          <w:tcPr>
            <w:tcW w:w="74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Decreased / (increased) promotional spending</w:t>
            </w:r>
            <w:r>
              <w:rPr>
                <w:rFonts w:ascii="Arial" w:cs="Arial" w:eastAsia="Arial" w:hAnsi="Arial"/>
                <w:sz w:val="22"/>
                <w:szCs w:val="22"/>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5"/>
        </w:trPr>
        <w:tc>
          <w:tcPr>
            <w:tcW w:w="7480" w:type="dxa"/>
            <w:vAlign w:val="bottom"/>
          </w:tcPr>
          <w:p>
            <w:pPr>
              <w:ind w:left="20"/>
              <w:spacing w:after="0"/>
              <w:rPr>
                <w:sz w:val="20"/>
                <w:szCs w:val="20"/>
                <w:color w:val="auto"/>
              </w:rPr>
            </w:pPr>
            <w:r>
              <w:rPr>
                <w:rFonts w:ascii="Arial" w:cs="Arial" w:eastAsia="Arial" w:hAnsi="Arial"/>
                <w:sz w:val="18"/>
                <w:szCs w:val="18"/>
                <w:color w:val="auto"/>
              </w:rPr>
              <w:t>Divestiture</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43"/>
        </w:trPr>
        <w:tc>
          <w:tcPr>
            <w:tcW w:w="748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On a two-year basis, net sales increased 2% in 2022 from $4,345 million in 2020, including a 1-point impact from divestitures.</w:t>
      </w:r>
    </w:p>
    <w:p>
      <w:pPr>
        <w:spacing w:after="0" w:line="9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In Meals &amp; Beverages, sales decreased 5% from 2021. Excluding the impact from the divestiture of the Plum baby food and snacks business, sales decreased primarily due to declines across U.S. retail products, including </w:t>
      </w:r>
      <w:r>
        <w:rPr>
          <w:rFonts w:ascii="Arial" w:cs="Arial" w:eastAsia="Arial" w:hAnsi="Arial"/>
          <w:sz w:val="15"/>
          <w:szCs w:val="15"/>
          <w:i w:val="1"/>
          <w:iCs w:val="1"/>
          <w:color w:val="auto"/>
        </w:rPr>
        <w:t>V8</w:t>
      </w:r>
      <w:r>
        <w:rPr>
          <w:rFonts w:ascii="Arial" w:cs="Arial" w:eastAsia="Arial" w:hAnsi="Arial"/>
          <w:sz w:val="15"/>
          <w:szCs w:val="15"/>
          <w:color w:val="auto"/>
        </w:rPr>
        <w:t xml:space="preserve"> beverages, U.S. soup and </w:t>
      </w:r>
      <w:r>
        <w:rPr>
          <w:rFonts w:ascii="Arial" w:cs="Arial" w:eastAsia="Arial" w:hAnsi="Arial"/>
          <w:sz w:val="15"/>
          <w:szCs w:val="15"/>
          <w:i w:val="1"/>
          <w:iCs w:val="1"/>
          <w:color w:val="auto"/>
        </w:rPr>
        <w:t>Prego</w:t>
      </w:r>
      <w:r>
        <w:rPr>
          <w:rFonts w:ascii="Arial" w:cs="Arial" w:eastAsia="Arial" w:hAnsi="Arial"/>
          <w:sz w:val="15"/>
          <w:szCs w:val="15"/>
          <w:color w:val="auto"/>
        </w:rPr>
        <w:t xml:space="preserve"> pasta sauces, as well as in Canada, partially offset by gains in foodservice. Volume decreased primarily due to supply constraints driven by labor and materials availability. Favorable price and sales allowances were partially offset by increased promotional spending relative to moderated levels in the prior year. Sales of U.S. soup decreased 1%, cycling a 15% increase in the prior year, due to declines in condensed soups and ready-to-serve soups, partially offset by gains in broth.</w:t>
      </w:r>
    </w:p>
    <w:p>
      <w:pPr>
        <w:spacing w:after="0" w:line="1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In Snacks, sales decreased 2% from 2021 while sales of our power brands increased 2%. Snacks sales decreased due to declines in certain salty snacks, primarily </w:t>
      </w:r>
      <w:r>
        <w:rPr>
          <w:rFonts w:ascii="Arial" w:cs="Arial" w:eastAsia="Arial" w:hAnsi="Arial"/>
          <w:sz w:val="15"/>
          <w:szCs w:val="15"/>
          <w:i w:val="1"/>
          <w:iCs w:val="1"/>
          <w:color w:val="auto"/>
        </w:rPr>
        <w:t>Late July</w:t>
      </w:r>
      <w:r>
        <w:rPr>
          <w:rFonts w:ascii="Arial" w:cs="Arial" w:eastAsia="Arial" w:hAnsi="Arial"/>
          <w:sz w:val="15"/>
          <w:szCs w:val="15"/>
          <w:color w:val="auto"/>
        </w:rPr>
        <w:t xml:space="preserve"> snacks and </w:t>
      </w:r>
      <w:r>
        <w:rPr>
          <w:rFonts w:ascii="Arial" w:cs="Arial" w:eastAsia="Arial" w:hAnsi="Arial"/>
          <w:sz w:val="15"/>
          <w:szCs w:val="15"/>
          <w:i w:val="1"/>
          <w:iCs w:val="1"/>
          <w:color w:val="auto"/>
        </w:rPr>
        <w:t>Pop Secret</w:t>
      </w:r>
      <w:r>
        <w:rPr>
          <w:rFonts w:ascii="Arial" w:cs="Arial" w:eastAsia="Arial" w:hAnsi="Arial"/>
          <w:sz w:val="15"/>
          <w:szCs w:val="15"/>
          <w:color w:val="auto"/>
        </w:rPr>
        <w:t xml:space="preserve"> popcorn, and in non-core businesses, partially offset by gains in </w:t>
      </w:r>
      <w:r>
        <w:rPr>
          <w:rFonts w:ascii="Arial" w:cs="Arial" w:eastAsia="Arial" w:hAnsi="Arial"/>
          <w:sz w:val="15"/>
          <w:szCs w:val="15"/>
          <w:i w:val="1"/>
          <w:iCs w:val="1"/>
          <w:color w:val="auto"/>
        </w:rPr>
        <w:t>Goldfish</w:t>
      </w:r>
      <w:r>
        <w:rPr>
          <w:rFonts w:ascii="Arial" w:cs="Arial" w:eastAsia="Arial" w:hAnsi="Arial"/>
          <w:sz w:val="15"/>
          <w:szCs w:val="15"/>
          <w:color w:val="auto"/>
        </w:rPr>
        <w:t xml:space="preserve"> crackers. Volume declines, driven by significant supply constraints due to labor, were partially offset by favorable price and sales allowances and decreased promotional spending.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Gross profit, defined as Net sales less Cost of products sold, decreased by $205 million in 2022 from 2021. As a percent of sales, gross profit was 31.3% in 2022 and 34.6% in 2021.</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330 basis-point decrease in gross profit margin was due to the following factors: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Margin Impact</w:t>
            </w:r>
          </w:p>
        </w:tc>
      </w:tr>
      <w:tr>
        <w:trPr>
          <w:trHeight w:val="224"/>
        </w:trPr>
        <w:tc>
          <w:tcPr>
            <w:tcW w:w="9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(660)</w:t>
            </w:r>
          </w:p>
        </w:tc>
      </w:tr>
      <w:tr>
        <w:trPr>
          <w:trHeight w:val="225"/>
        </w:trPr>
        <w:tc>
          <w:tcPr>
            <w:tcW w:w="9960" w:type="dxa"/>
            <w:vAlign w:val="bottom"/>
          </w:tcPr>
          <w:p>
            <w:pPr>
              <w:ind w:left="20"/>
              <w:spacing w:after="0" w:line="225" w:lineRule="exact"/>
              <w:rPr>
                <w:sz w:val="20"/>
                <w:szCs w:val="20"/>
                <w:color w:val="auto"/>
              </w:rPr>
            </w:pPr>
            <w:r>
              <w:rPr>
                <w:rFonts w:ascii="Arial" w:cs="Arial" w:eastAsia="Arial" w:hAnsi="Arial"/>
                <w:sz w:val="18"/>
                <w:szCs w:val="18"/>
                <w:color w:val="auto"/>
              </w:rPr>
              <w:t>Volume/mix</w:t>
            </w:r>
            <w:r>
              <w:rPr>
                <w:rFonts w:ascii="Arial" w:cs="Arial" w:eastAsia="Arial" w:hAnsi="Arial"/>
                <w:sz w:val="22"/>
                <w:szCs w:val="22"/>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(120)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Higher restructuring-related costs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(10)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120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Price and sales allowances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360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(330)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2" w:lineRule="exact"/>
        <w:rPr>
          <w:sz w:val="20"/>
          <w:szCs w:val="20"/>
          <w:color w:val="auto"/>
        </w:rPr>
      </w:pPr>
    </w:p>
    <w:p>
      <w:pPr>
        <w:jc w:val="both"/>
        <w:ind w:left="320" w:hanging="314"/>
        <w:spacing w:after="0" w:line="229"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30 basis points from the benefit of cost savings initiatives, which was more than offset by cost inflation and other factors, including a 50 basis-point impact from the change in unrealized mark-to-market adjustments on outstanding undesignated commodity hedges.</w:t>
      </w:r>
    </w:p>
    <w:p>
      <w:pPr>
        <w:ind w:left="320" w:hanging="314"/>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operating leverage.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8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Marketing and selling expenses as a percent of sales were 8.3% in 2022 compared to 9.5% in 2021. Marketing and selling expenses decreased 17% in 2022 from 2021. The decrease was primarily due to lower advertising and consumer promotion expense (approximately 15 points) and lower selling expenses (approximately 2 points). The decrease in advertising and consumer promotion expense was due in part to supply constraints.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Administrative expenses as a percent of sales were 6.8% in 2022 compared to 6.5% in 2021. Administrative expenses increased 1% in 2022 from 2021. The increase was primarily due to expenses related to the settlement of certain legal claims (approximately 5 points), partially offset by increased benefits from cost savings initiatives (approximately 4 points).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was $20 million in 2022 compared to other income of $63 million in 2021. Other income included pension actuarial gains of $4 million in 2022 and pension actuarial gains of $34 million in 2021. Excluding these amounts, the remaining decrease in other income was primarily due to income from transition services fees in the prior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operating earnings decreased 15% in 2022 from 2021.</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operating earnings by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January 30, 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January 31, 2021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19"/>
        </w:trPr>
        <w:tc>
          <w:tcPr>
            <w:tcW w:w="75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599</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(18)</w:t>
            </w: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w:t>
            </w:r>
          </w:p>
        </w:tc>
      </w:tr>
      <w:tr>
        <w:trPr>
          <w:trHeight w:val="219"/>
        </w:trPr>
        <w:tc>
          <w:tcPr>
            <w:tcW w:w="7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874</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(15)</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7500" w:type="dxa"/>
            <w:vAlign w:val="bottom"/>
          </w:tcPr>
          <w:p>
            <w:pPr>
              <w:ind w:left="20"/>
              <w:spacing w:after="0" w:line="204" w:lineRule="exact"/>
              <w:rPr>
                <w:sz w:val="20"/>
                <w:szCs w:val="20"/>
                <w:color w:val="auto"/>
              </w:rPr>
            </w:pPr>
            <w:r>
              <w:rPr>
                <w:rFonts w:ascii="Arial" w:cs="Arial" w:eastAsia="Arial" w:hAnsi="Arial"/>
                <w:sz w:val="18"/>
                <w:szCs w:val="18"/>
                <w:color w:val="auto"/>
              </w:rPr>
              <w:t>Earnings before interest and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Operating earnings from Meals &amp; Beverages decreased 18%. The decrease was primarily due to sales volume declines and a lower gross profit performance, partially offset by lower marketing and selling expenses. Gross profit performance was impacted by higher cost inflation, higher levels of promotional spending, higher other supply chain costs and unfavorable volume/mix largely due to reduced operating leverage, partially offset by the benefit of pricing actions and supply chain productivity improvements.</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Operating earnings from Snacks decreased 9%. The decrease was primarily due to sales volume declines and higher administrative expenses due to the settlement of certain legal claims, partially offset by lower marketing and selling expenses.</w:t>
      </w:r>
    </w:p>
    <w:p>
      <w:pPr>
        <w:spacing w:after="0" w:line="61"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5"/>
          <w:szCs w:val="15"/>
          <w:color w:val="auto"/>
        </w:rPr>
        <w:t>Corporate expense in 2022 included costs of $9 million related to costs savings initiatives, unrealized mark-to-market losses on outstanding undesignated commodity hedges of $3 million and pension actuarial gains of $4 million. Corporate income in 2021 included pension actuarial gains of $34 million, unrealized mark-to-market gains on outstanding undesignated commodity hedges of $17 million and costs of $9 million related to cost savings initiatives.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decreased to $93 million in 2022 from $110 million in 2021 primarily due to lower levels of debt.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 tax rate was 21.9% in 2022 and 26.4% in 2021. The decrease in the effective tax rate was primarily due to a $19 million deferred tax charge recognized in the second quarter of 2021 in connection with a legal entity reorganization as part of the continued integration of Snyder's-Lance and the favorable resolution of several tax matters in the first quarter of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1" w:name="page32"/>
    <w:bookmarkEnd w:id="31"/>
    <w:p>
      <w:pPr>
        <w:jc w:val="both"/>
        <w:ind w:firstLine="318"/>
        <w:spacing w:after="0" w:line="350" w:lineRule="auto"/>
        <w:rPr>
          <w:sz w:val="20"/>
          <w:szCs w:val="20"/>
          <w:color w:val="auto"/>
        </w:rPr>
      </w:pPr>
      <w:r>
        <w:rPr>
          <w:rFonts w:ascii="Arial" w:cs="Arial" w:eastAsia="Arial" w:hAnsi="Arial"/>
          <w:sz w:val="15"/>
          <w:szCs w:val="15"/>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ind w:left="320"/>
        <w:spacing w:after="0"/>
        <w:rPr>
          <w:sz w:val="20"/>
          <w:szCs w:val="20"/>
          <w:color w:val="auto"/>
        </w:rPr>
      </w:pPr>
      <w:r>
        <w:rPr>
          <w:rFonts w:ascii="Arial" w:cs="Arial" w:eastAsia="Arial" w:hAnsi="Arial"/>
          <w:sz w:val="18"/>
          <w:szCs w:val="18"/>
          <w:color w:val="auto"/>
        </w:rPr>
        <w:t>A summary of charges recorded in Earnings from continuing operations related to these initiatives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(Millions, except per share amounts)</w:t>
            </w: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January 30, 2022</w:t>
            </w:r>
          </w:p>
        </w:tc>
        <w:tc>
          <w:tcPr>
            <w:tcW w:w="16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January 31, 2021</w:t>
            </w: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January 30, 2022</w:t>
            </w:r>
          </w:p>
        </w:tc>
        <w:tc>
          <w:tcPr>
            <w:tcW w:w="1860" w:type="dxa"/>
            <w:vAlign w:val="bottom"/>
            <w:gridSpan w:val="5"/>
            <w:vMerge w:val="restart"/>
          </w:tcPr>
          <w:p>
            <w:pPr>
              <w:jc w:val="right"/>
              <w:ind w:right="369"/>
              <w:spacing w:after="0"/>
              <w:rPr>
                <w:sz w:val="20"/>
                <w:szCs w:val="20"/>
                <w:color w:val="auto"/>
              </w:rPr>
            </w:pPr>
            <w:r>
              <w:rPr>
                <w:rFonts w:ascii="Arial" w:cs="Arial" w:eastAsia="Arial" w:hAnsi="Arial"/>
                <w:sz w:val="14"/>
                <w:szCs w:val="14"/>
                <w:b w:val="1"/>
                <w:bCs w:val="1"/>
                <w:color w:val="auto"/>
              </w:rPr>
              <w:t>January 31, 2021</w:t>
            </w:r>
          </w:p>
        </w:tc>
        <w:tc>
          <w:tcPr>
            <w:tcW w:w="20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Recognized as of</w:t>
            </w:r>
          </w:p>
        </w:tc>
        <w:tc>
          <w:tcPr>
            <w:tcW w:w="0" w:type="dxa"/>
            <w:vAlign w:val="bottom"/>
          </w:tcPr>
          <w:p>
            <w:pPr>
              <w:spacing w:after="0"/>
              <w:rPr>
                <w:sz w:val="1"/>
                <w:szCs w:val="1"/>
                <w:color w:val="auto"/>
              </w:rPr>
            </w:pPr>
          </w:p>
        </w:tc>
      </w:tr>
      <w:tr>
        <w:trPr>
          <w:trHeight w:val="185"/>
        </w:trPr>
        <w:tc>
          <w:tcPr>
            <w:tcW w:w="35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30, 2022</w:t>
            </w:r>
          </w:p>
        </w:tc>
        <w:tc>
          <w:tcPr>
            <w:tcW w:w="0" w:type="dxa"/>
            <w:vAlign w:val="bottom"/>
          </w:tcPr>
          <w:p>
            <w:pPr>
              <w:spacing w:after="0"/>
              <w:rPr>
                <w:sz w:val="1"/>
                <w:szCs w:val="1"/>
                <w:color w:val="auto"/>
              </w:rPr>
            </w:pPr>
          </w:p>
        </w:tc>
      </w:tr>
      <w:tr>
        <w:trPr>
          <w:trHeight w:val="219"/>
        </w:trPr>
        <w:tc>
          <w:tcPr>
            <w:tcW w:w="326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Restructuring charges</w:t>
            </w: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Administrative expenses</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Marketing and selling expenses</w:t>
            </w:r>
          </w:p>
        </w:tc>
        <w:tc>
          <w:tcPr>
            <w:tcW w:w="4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920" w:type="dxa"/>
            <w:vAlign w:val="bottom"/>
            <w:gridSpan w:val="4"/>
          </w:tcPr>
          <w:p>
            <w:pPr>
              <w:jc w:val="right"/>
              <w:ind w:right="36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340"/>
              <w:spacing w:after="0" w:line="204" w:lineRule="exact"/>
              <w:rPr>
                <w:sz w:val="20"/>
                <w:szCs w:val="20"/>
                <w:color w:val="auto"/>
              </w:rPr>
            </w:pPr>
            <w:r>
              <w:rPr>
                <w:rFonts w:ascii="Arial" w:cs="Arial" w:eastAsia="Arial" w:hAnsi="Arial"/>
                <w:sz w:val="18"/>
                <w:szCs w:val="18"/>
                <w:color w:val="auto"/>
              </w:rPr>
              <w:t>Total pre-tax charges</w:t>
            </w:r>
          </w:p>
        </w:tc>
        <w:tc>
          <w:tcPr>
            <w:tcW w:w="2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340"/>
              <w:spacing w:after="0" w:line="204" w:lineRule="exact"/>
              <w:rPr>
                <w:sz w:val="20"/>
                <w:szCs w:val="20"/>
                <w:color w:val="auto"/>
              </w:rPr>
            </w:pPr>
            <w:r>
              <w:rPr>
                <w:rFonts w:ascii="Arial" w:cs="Arial" w:eastAsia="Arial" w:hAnsi="Arial"/>
                <w:sz w:val="18"/>
                <w:szCs w:val="18"/>
                <w:color w:val="auto"/>
              </w:rPr>
              <w:t>Aggregate after-tax impact</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Per share impact</w:t>
            </w:r>
          </w:p>
        </w:tc>
        <w:tc>
          <w:tcPr>
            <w:tcW w:w="2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940" w:type="dxa"/>
            <w:vAlign w:val="bottom"/>
            <w:gridSpan w:val="12"/>
          </w:tcPr>
          <w:p>
            <w:pPr>
              <w:ind w:left="320"/>
              <w:spacing w:after="0"/>
              <w:rPr>
                <w:sz w:val="20"/>
                <w:szCs w:val="20"/>
                <w:color w:val="auto"/>
              </w:rPr>
            </w:pPr>
            <w:r>
              <w:rPr>
                <w:rFonts w:ascii="Arial" w:cs="Arial" w:eastAsia="Arial" w:hAnsi="Arial"/>
                <w:sz w:val="18"/>
                <w:szCs w:val="18"/>
                <w:color w:val="auto"/>
                <w:w w:val="93"/>
              </w:rPr>
              <w:t>A summary of the pre-tax costs in Earnings from continuing operations associated with these initiatives is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(Millions)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CCEEFF"/>
            </w:tcBorders>
            <w:gridSpan w:val="2"/>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January 30, 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Severance pay and benefits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340"/>
              <w:spacing w:after="0"/>
              <w:rPr>
                <w:sz w:val="20"/>
                <w:szCs w:val="20"/>
                <w:color w:val="auto"/>
              </w:rPr>
            </w:pPr>
            <w:r>
              <w:rPr>
                <w:rFonts w:ascii="Arial" w:cs="Arial" w:eastAsia="Arial" w:hAnsi="Arial"/>
                <w:sz w:val="18"/>
                <w:szCs w:val="18"/>
                <w:color w:val="auto"/>
                <w:w w:val="93"/>
              </w:rPr>
              <w:t>Asset impairment/accelerated depreciation</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Implementation costs and other related costs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total estimated pre-tax costs for actions associated with continuing operations that have been identified are approximately $715 million to $725 million and we expect to incur the costs through 2022. These estimates will be updated as the expanded initiatives are developed.</w:t>
      </w:r>
    </w:p>
    <w:p>
      <w:pPr>
        <w:spacing w:after="0" w:line="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$225 million in severance pay and benefits; approximately $85 million in asset impairment and accelerated depreciation; and approximately $405 million to $415 million in implementation costs and other related costs. We expect these pre-tax costs to be associated with our segments as follows: Meals &amp; Beverages - approximately 31%; Snacks - approximately 45%; and Corporate - approximately 24%.</w:t>
      </w:r>
    </w:p>
    <w:p>
      <w:pPr>
        <w:spacing w:after="0" w:line="5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Of the aggregate $715 million to $725 million of pre-tax costs associated with continuing operations identified to date, we expect approximately $615 million to $625 million will be cash expenditures. In addition, we expect to invest approximately $445 million in capital expenditures through 2022, of which we invested $427 million as of January 30,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expect the initiatives for actions associated with continuing operations, once all phases are implemented, to generate annual ongoing savings of approximately $1,000 million by the end of 2025. As of January 30, 2022, we have generated total program-to-date pre-tax savings of $835 million.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2" w:name="page33"/>
    <w:bookmarkEnd w:id="32"/>
    <w:p>
      <w:pPr>
        <w:jc w:val="both"/>
        <w:ind w:firstLine="318"/>
        <w:spacing w:after="0" w:line="27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January 30, 2022</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Costs Incurred to Date</w:t>
            </w:r>
          </w:p>
        </w:tc>
      </w:tr>
      <w:tr>
        <w:trPr>
          <w:trHeight w:val="219"/>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64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the second quarter of 2021, we recorded a $19 million deferred tax charge in connection with a legal entity reorganization as part of the continued integration of Snyder's-Lance.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6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generated cash flows from operations of $766 million in 2022, compared to $611 million in 2021. The increase in 2022 was primarily due to changes in working capital, principally accounts payable and accounts receivable, partially offset by lower cash earnings.</w:t>
      </w:r>
    </w:p>
    <w:p>
      <w:pPr>
        <w:spacing w:after="0" w:line="6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Current assets are less than current liabilities as a result of our level of current maturities of long-term debt and short-term borrowings and our focus to lower core working capital requirements. We had negative working capital of $342 million as of January 30, 2022, and $119 million as of August 1, 2021. Total debt maturing within one year was $464 million as of January 30, 2022, and $48 million as of August 1, 2021.</w:t>
      </w:r>
    </w:p>
    <w:p>
      <w:pPr>
        <w:spacing w:after="0" w:line="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Capital expenditures were $129 million in 2022 and $132 million in 2021. Capital expenditures are expected to total approximately $275 million in 2022. Capital expenditures in the first half of 2022 included improvement of the quality and cost structure of the Snyder's-Lance manufacturing network, the implementation of our existing SAP enterprise-resource planning system for Snyder's-Lance, and cookie and cracker capacity expansion for our Snacks business.</w:t>
      </w:r>
    </w:p>
    <w:p>
      <w:pPr>
        <w:spacing w:after="0" w:line="71"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Dividend payments were $228 million in 2022 and $215 million in 2021. The regular quarterly dividend paid on our capital stock was $.37 per share in the second quarter of 2022 and $.35 per share in the second quarter of 2021. On December 1, 2021, the Board of Directors declared a regular quarterly dividend of $.37 per share payable on January 31, 2022 to shareholders of record at the close of business on January 6, 2022. On March 2, 2022, the Board of Directors declared a regular quarterly dividend of $.37 per share payable on May 2, 2022 to shareholders of record at the close of business on April 7, 2022.</w:t>
      </w:r>
    </w:p>
    <w:p>
      <w:pPr>
        <w:spacing w:after="0" w:line="1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new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The September 2021 program replaced the prior $1,500 million program, which our Board approved in March 2017 and has been cancelled. We repurchased approximately 1.5 million shares at a cost of $65 million in 2022. Of this amount, $40 million was used to repurchase shares pursuant to our June 2021 program and $25 million was used to repurchase shares pursuant to our September 2021 program. As of January 30, 2022, approximately $174 million remained available under the June 2021 program and approximately $475 million remained available under the September 2021 program. See Note 12 to the Consolidated Financial Statements and “Unregistered Sales of Equity Securities and Use of Proceeds” for additional information.</w:t>
      </w:r>
    </w:p>
    <w:p>
      <w:pPr>
        <w:spacing w:after="0" w:line="4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January 30, 2022, we had $464 million of short-term borrowings due within one year, none of which was comprised of commercial paper borrowings. As of January 30, 2022, we issued $32 million of standby letters of credit. On November 2, 2020, we entered into a committed revolving credit facility totaling $1,850 million scheduled to mature on November 2, 2023. On September 27, 2021, we replaced the facility with a new $1,850 million committed revolving facility that matures on September 27, 2026. The facility remained unused at January 30, 2022, except for $1 million of standby letters of credit that we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3" w:name="page34"/>
    <w:bookmarkEnd w:id="33"/>
    <w:p>
      <w:pPr>
        <w:jc w:val="both"/>
        <w:spacing w:after="0" w:line="312" w:lineRule="auto"/>
        <w:rPr>
          <w:sz w:val="20"/>
          <w:szCs w:val="20"/>
          <w:color w:val="auto"/>
        </w:rPr>
      </w:pPr>
      <w:r>
        <w:rPr>
          <w:rFonts w:ascii="Arial" w:cs="Arial" w:eastAsia="Arial" w:hAnsi="Arial"/>
          <w:sz w:val="15"/>
          <w:szCs w:val="15"/>
          <w:color w:val="auto"/>
        </w:rPr>
        <w:t>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 2022, we issued a notice of redemption to holders of our 2.50% Notes due August 2, 2022 (the Notes) for the redemption of all $450 million outstanding aggregate principal amount of the Notes. The redemption date for the Notes was March 4, 2022. The consideration for the redemption was $453 million, including $3 million of premium. In addition, we paid accrued and unpaid interest on the redeemed notes through the date of settlement. We used a combination of cash on hand and short-term debt to fund the redemption.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04"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1, 2021 (2021 Annual Report on Form 10-K). The accounting policies we used in preparing these financial statements are substantially consistent with those we applied in our 2021 Annual Report on Form 10-K. Our significant accounting estimates are described in Management’s Discussion and Analysis included in the 2021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2021 Annual Report on Form 10-K, could affect our actual results and could cause such results to vary materially from those expressed in any forward-looking statements made by, or on behalf of, us:</w:t>
      </w:r>
    </w:p>
    <w:p>
      <w:pPr>
        <w:spacing w:after="0" w:line="69"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impacts of, and associated responses to the COVID-19 pandemic on our business, suppliers, customers, consumers and employees;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growing/maintaining our market share position in soup;</w:t>
      </w:r>
    </w:p>
    <w:p>
      <w:pPr>
        <w:spacing w:after="0" w:line="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4" w:name="page35"/>
    <w:bookmarkEnd w:id="34"/>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w:t>
      </w:r>
    </w:p>
    <w:p>
      <w:pPr>
        <w:spacing w:after="0" w:line="8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related to the availability of, and cost inflation in, supply chain inputs, including labor, raw materials, commodities, packaging and transportation;</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the effectiveness of our hedging activities and our ability to respond to volatility in commodity prices;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disruption, failure or security breach of our or our vendors' information technology systems, including ransomware attacks;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goals and initiatives related to, and the impacts of, climate change, including from weather-related events;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48" w:lineRule="exact"/>
        <w:rPr>
          <w:rFonts w:ascii="Arial" w:cs="Arial" w:eastAsia="Arial" w:hAnsi="Arial"/>
          <w:sz w:val="18"/>
          <w:szCs w:val="18"/>
          <w:color w:val="auto"/>
        </w:rPr>
      </w:pPr>
    </w:p>
    <w:p>
      <w:pPr>
        <w:ind w:left="640" w:hanging="316"/>
        <w:spacing w:after="0" w:line="359"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unforeseen business disruptions or other impacts due to political instability, civil disobedience, terrorism, armed hostilities (including the recent outbreak of hostilities between Russia and Ukraine), extreme weather conditions, natural disasters, other pandemics or other calamities.</w:t>
      </w:r>
    </w:p>
    <w:p>
      <w:pPr>
        <w:spacing w:after="0" w:line="1" w:lineRule="exact"/>
        <w:rPr>
          <w:sz w:val="20"/>
          <w:szCs w:val="20"/>
          <w:color w:val="auto"/>
        </w:rPr>
      </w:pPr>
    </w:p>
    <w:p>
      <w:pPr>
        <w:jc w:val="both"/>
        <w:ind w:firstLine="318"/>
        <w:spacing w:after="0" w:line="355" w:lineRule="auto"/>
        <w:rPr>
          <w:sz w:val="20"/>
          <w:szCs w:val="20"/>
          <w:color w:val="auto"/>
        </w:rPr>
      </w:pPr>
      <w:r>
        <w:rPr>
          <w:rFonts w:ascii="Arial" w:cs="Arial" w:eastAsia="Arial" w:hAnsi="Arial"/>
          <w:sz w:val="15"/>
          <w:szCs w:val="15"/>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2021 Annual Report on Form 10-K. There have been no significant changes in our portfolio of financial instruments or market risk exposures from the 2021 year-end.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30, 2022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8"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January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5" w:name="page36"/>
    <w:bookmarkEnd w:id="35"/>
    <w:p>
      <w:pPr>
        <w:jc w:val="center"/>
        <w:ind w:right="100"/>
        <w:spacing w:after="0"/>
        <w:rPr>
          <w:sz w:val="20"/>
          <w:szCs w:val="20"/>
          <w:color w:val="auto"/>
        </w:rPr>
      </w:pPr>
      <w:r>
        <w:rPr>
          <w:rFonts w:ascii="Arial" w:cs="Arial" w:eastAsia="Arial" w:hAnsi="Arial"/>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Information regarding reportable legal proceedings is contained in Note 14 to the Consolidated Financial Statements and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 activity in the three months ended January 30, 2022 was: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Total Number of</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Shares Purchased</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as Part of Publicly</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87"/>
              </w:rPr>
              <w:t>of Shares</w:t>
            </w:r>
          </w:p>
        </w:tc>
        <w:tc>
          <w:tcPr>
            <w:tcW w:w="15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Price Paid</w:t>
            </w:r>
          </w:p>
        </w:tc>
        <w:tc>
          <w:tcPr>
            <w:tcW w:w="204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89"/>
              </w:rPr>
              <w:t>Announced Plans or</w:t>
            </w:r>
          </w:p>
        </w:tc>
        <w:tc>
          <w:tcPr>
            <w:tcW w:w="1420" w:type="dxa"/>
            <w:vAlign w:val="bottom"/>
          </w:tcPr>
          <w:p>
            <w:pPr>
              <w:jc w:val="right"/>
              <w:ind w:right="64"/>
              <w:spacing w:after="0" w:line="133"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62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1"/>
              </w:rPr>
              <w:t xml:space="preserve">Purchased </w:t>
            </w:r>
            <w:r>
              <w:rPr>
                <w:rFonts w:ascii="Arial" w:cs="Arial" w:eastAsia="Arial" w:hAnsi="Arial"/>
                <w:sz w:val="16"/>
                <w:szCs w:val="16"/>
                <w:b w:val="1"/>
                <w:bCs w:val="1"/>
                <w:color w:val="auto"/>
                <w:w w:val="91"/>
                <w:vertAlign w:val="superscript"/>
              </w:rPr>
              <w:t>(1)</w:t>
            </w:r>
          </w:p>
        </w:tc>
        <w:tc>
          <w:tcPr>
            <w:tcW w:w="15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5"/>
              </w:rPr>
              <w:t xml:space="preserve">Per Share </w:t>
            </w:r>
            <w:r>
              <w:rPr>
                <w:rFonts w:ascii="Arial" w:cs="Arial" w:eastAsia="Arial" w:hAnsi="Arial"/>
                <w:sz w:val="16"/>
                <w:szCs w:val="16"/>
                <w:b w:val="1"/>
                <w:bCs w:val="1"/>
                <w:color w:val="auto"/>
                <w:w w:val="95"/>
                <w:vertAlign w:val="superscript"/>
              </w:rPr>
              <w:t>(2)</w:t>
            </w:r>
          </w:p>
        </w:tc>
        <w:tc>
          <w:tcPr>
            <w:tcW w:w="20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5"/>
              </w:rPr>
              <w:t xml:space="preserve">Programs </w:t>
            </w:r>
            <w:r>
              <w:rPr>
                <w:rFonts w:ascii="Arial" w:cs="Arial" w:eastAsia="Arial" w:hAnsi="Arial"/>
                <w:sz w:val="16"/>
                <w:szCs w:val="16"/>
                <w:b w:val="1"/>
                <w:bCs w:val="1"/>
                <w:color w:val="auto"/>
                <w:w w:val="95"/>
                <w:vertAlign w:val="superscript"/>
              </w:rPr>
              <w:t>(3)</w:t>
            </w:r>
          </w:p>
        </w:tc>
        <w:tc>
          <w:tcPr>
            <w:tcW w:w="14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 xml:space="preserve">($ in Millions)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11/1/21 - 11/30/21</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4440" w:type="dxa"/>
            <w:vAlign w:val="bottom"/>
            <w:gridSpan w:val="3"/>
          </w:tcPr>
          <w:p>
            <w:pPr>
              <w:ind w:left="340"/>
              <w:spacing w:after="0"/>
              <w:rPr>
                <w:sz w:val="20"/>
                <w:szCs w:val="20"/>
                <w:color w:val="auto"/>
              </w:rPr>
            </w:pPr>
            <w:r>
              <w:rPr>
                <w:rFonts w:ascii="Arial" w:cs="Arial" w:eastAsia="Arial" w:hAnsi="Arial"/>
                <w:sz w:val="18"/>
                <w:szCs w:val="18"/>
                <w:b w:val="1"/>
                <w:bCs w:val="1"/>
                <w:color w:val="auto"/>
              </w:rPr>
              <w:t>12/1/21 - 12/31/21</w:t>
            </w:r>
          </w:p>
        </w:tc>
        <w:tc>
          <w:tcPr>
            <w:tcW w:w="1240" w:type="dxa"/>
            <w:vAlign w:val="bottom"/>
          </w:tcPr>
          <w:p>
            <w:pPr>
              <w:jc w:val="right"/>
              <w:spacing w:after="0"/>
              <w:rPr>
                <w:sz w:val="20"/>
                <w:szCs w:val="20"/>
                <w:color w:val="auto"/>
              </w:rPr>
            </w:pPr>
            <w:r>
              <w:rPr>
                <w:rFonts w:ascii="Arial" w:cs="Arial" w:eastAsia="Arial" w:hAnsi="Arial"/>
                <w:sz w:val="18"/>
                <w:szCs w:val="18"/>
                <w:color w:val="auto"/>
              </w:rPr>
              <w:t>48,640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$41.71</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Arial" w:cs="Arial" w:eastAsia="Arial" w:hAnsi="Arial"/>
                <w:sz w:val="18"/>
                <w:szCs w:val="18"/>
                <w:color w:val="auto"/>
              </w:rPr>
              <w:t>48,640</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1/3/22 - 1/28/22</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48,640</w:t>
            </w:r>
          </w:p>
        </w:tc>
        <w:tc>
          <w:tcPr>
            <w:tcW w:w="3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3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48,640</w:t>
            </w:r>
          </w:p>
        </w:tc>
        <w:tc>
          <w:tcPr>
            <w:tcW w:w="3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4"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Shares purchased are as of the trade date.</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3" w:lineRule="exact"/>
        <w:rPr>
          <w:rFonts w:ascii="Arial" w:cs="Arial" w:eastAsia="Arial" w:hAnsi="Arial"/>
          <w:sz w:val="23"/>
          <w:szCs w:val="23"/>
          <w:color w:val="auto"/>
          <w:vertAlign w:val="superscript"/>
        </w:rPr>
      </w:pPr>
    </w:p>
    <w:p>
      <w:pPr>
        <w:jc w:val="both"/>
        <w:ind w:left="320" w:right="100" w:hanging="314"/>
        <w:spacing w:after="0" w:line="236" w:lineRule="auto"/>
        <w:tabs>
          <w:tab w:leader="none" w:pos="30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new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The September 2021 program replaced the company's suspended $1,500 million share repurchase program, which has been cancelled.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100" w:type="dxa"/>
            <w:vAlign w:val="bottom"/>
          </w:tcPr>
          <w:p>
            <w:pPr>
              <w:spacing w:after="0"/>
              <w:rPr>
                <w:sz w:val="19"/>
                <w:szCs w:val="19"/>
                <w:color w:val="auto"/>
              </w:rPr>
            </w:pPr>
          </w:p>
        </w:tc>
        <w:tc>
          <w:tcPr>
            <w:tcW w:w="9880" w:type="dxa"/>
            <w:vAlign w:val="bottom"/>
            <w:gridSpan w:val="5"/>
          </w:tcPr>
          <w:p>
            <w:pPr>
              <w:ind w:left="3640"/>
              <w:spacing w:after="0"/>
              <w:rPr>
                <w:sz w:val="20"/>
                <w:szCs w:val="20"/>
                <w:color w:val="auto"/>
              </w:rPr>
            </w:pPr>
            <w:r>
              <w:rPr>
                <w:rFonts w:ascii="Arial" w:cs="Arial" w:eastAsia="Arial" w:hAnsi="Arial"/>
                <w:sz w:val="18"/>
                <w:szCs w:val="18"/>
                <w:color w:val="auto"/>
              </w:rPr>
              <w:t>INDEX TO EXHIBITS</w:t>
            </w:r>
          </w:p>
        </w:tc>
      </w:tr>
      <w:tr>
        <w:trPr>
          <w:trHeight w:val="451"/>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Mark A. Clouse pursuant to Rule 13a-14(a).</w:t>
              </w:r>
            </w:hyperlink>
          </w:p>
        </w:tc>
      </w:tr>
      <w:tr>
        <w:trPr>
          <w:trHeight w:val="20"/>
        </w:trPr>
        <w:tc>
          <w:tcPr>
            <w:tcW w:w="110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Mick J. Beekhuizen pursuant to Rule 13a-14(a)</w:t>
              </w:r>
            </w:hyperlink>
            <w:r>
              <w:rPr>
                <w:rFonts w:ascii="Arial" w:cs="Arial" w:eastAsia="Arial" w:hAnsi="Arial"/>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Mark A. Clouse pursuant to 18 U.S.C. Section 1350.</w:t>
              </w:r>
            </w:hyperlink>
          </w:p>
        </w:tc>
      </w:tr>
      <w:tr>
        <w:trPr>
          <w:trHeight w:val="20"/>
        </w:trPr>
        <w:tc>
          <w:tcPr>
            <w:tcW w:w="110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Mick J. Beekhuizen pursuant to 18 U.S.C. Section 1350.</w:t>
              </w:r>
            </w:hyperlink>
          </w:p>
        </w:tc>
      </w:tr>
      <w:tr>
        <w:trPr>
          <w:trHeight w:val="20"/>
        </w:trPr>
        <w:tc>
          <w:tcPr>
            <w:tcW w:w="110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86"/>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5"/>
          </w:tcPr>
          <w:p>
            <w:pPr>
              <w:spacing w:after="0"/>
              <w:rPr>
                <w:sz w:val="20"/>
                <w:szCs w:val="20"/>
                <w:color w:val="auto"/>
              </w:rPr>
            </w:pPr>
            <w:r>
              <w:rPr>
                <w:rFonts w:ascii="Arial" w:cs="Arial" w:eastAsia="Arial" w:hAnsi="Arial"/>
                <w:sz w:val="18"/>
                <w:szCs w:val="18"/>
                <w:color w:val="auto"/>
                <w:w w:val="88"/>
              </w:rPr>
              <w:t>Inline XBRL Instance Document - the instance document does not appear on the Interactive Data File because its XBRL tags are embedded</w:t>
            </w:r>
          </w:p>
        </w:tc>
      </w:tr>
      <w:tr>
        <w:trPr>
          <w:trHeight w:val="223"/>
        </w:trPr>
        <w:tc>
          <w:tcPr>
            <w:tcW w:w="110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95" w:lineRule="exact"/>
        <w:rPr>
          <w:sz w:val="20"/>
          <w:szCs w:val="20"/>
          <w:color w:val="auto"/>
        </w:rPr>
      </w:pPr>
    </w:p>
    <w:p>
      <w:pPr>
        <w:ind w:left="1140" w:hanging="11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87" w:right="23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CAMPBELL SOUP COMPANY</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10795</wp:posOffset>
            </wp:positionV>
            <wp:extent cx="3171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Mick J. Beekhuizen</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10795</wp:posOffset>
            </wp:positionV>
            <wp:extent cx="3171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Stanley Polomski</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876"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40" w:firstLine="205"/>
        <w:spacing w:after="0" w:line="255" w:lineRule="auto"/>
        <w:tabs>
          <w:tab w:leader="none" w:pos="3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300" w:firstLine="205"/>
        <w:spacing w:after="0" w:line="365" w:lineRule="auto"/>
        <w:tabs>
          <w:tab w:leader="none" w:pos="372"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45" w:lineRule="exact"/>
        <w:rPr>
          <w:sz w:val="20"/>
          <w:szCs w:val="20"/>
          <w:color w:val="auto"/>
        </w:rPr>
      </w:pPr>
    </w:p>
    <w:p>
      <w:pPr>
        <w:ind w:left="4200"/>
        <w:spacing w:after="0"/>
        <w:tabs>
          <w:tab w:leader="none" w:pos="4640" w:val="left"/>
        </w:tabs>
        <w:rPr>
          <w:sz w:val="20"/>
          <w:szCs w:val="20"/>
          <w:color w:val="auto"/>
        </w:rPr>
      </w:pPr>
      <w:r>
        <w:rPr>
          <w:rFonts w:ascii="Arial" w:cs="Arial" w:eastAsia="Arial" w:hAnsi="Arial"/>
          <w:sz w:val="18"/>
          <w:szCs w:val="18"/>
          <w:color w:val="auto"/>
        </w:rPr>
        <w:t>By:</w:t>
        <w:tab/>
        <w:t>/s/ Mark A. Clouse</w:t>
      </w:r>
    </w:p>
    <w:p>
      <w:pPr>
        <w:spacing w:after="0" w:line="16" w:lineRule="exact"/>
        <w:rPr>
          <w:sz w:val="20"/>
          <w:szCs w:val="20"/>
          <w:color w:val="auto"/>
        </w:rPr>
      </w:pPr>
    </w:p>
    <w:tbl>
      <w:tblPr>
        <w:tblLayout w:type="fixed"/>
        <w:tblInd w:w="4640" w:type="dxa"/>
        <w:tblCellMar>
          <w:top w:w="0" w:type="dxa"/>
          <w:left w:w="0" w:type="dxa"/>
          <w:bottom w:w="0" w:type="dxa"/>
          <w:right w:w="0" w:type="dxa"/>
        </w:tblCellMar>
      </w:tblPr>
      <w:tr>
        <w:trPr>
          <w:trHeight w:val="220"/>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23"/>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40" w:firstLine="205"/>
        <w:spacing w:after="0" w:line="255" w:lineRule="auto"/>
        <w:tabs>
          <w:tab w:leader="none" w:pos="3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300" w:firstLine="205"/>
        <w:spacing w:after="0" w:line="365" w:lineRule="auto"/>
        <w:tabs>
          <w:tab w:leader="none" w:pos="37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Mick J. Beekhuizen</w:t>
      </w:r>
    </w:p>
    <w:p>
      <w:pPr>
        <w:spacing w:after="0" w:line="16" w:lineRule="exact"/>
        <w:rPr>
          <w:sz w:val="20"/>
          <w:szCs w:val="20"/>
          <w:color w:val="auto"/>
        </w:rPr>
      </w:pPr>
    </w:p>
    <w:tbl>
      <w:tblPr>
        <w:tblLayout w:type="fixed"/>
        <w:tblInd w:w="4580" w:type="dxa"/>
        <w:tblCellMar>
          <w:top w:w="0" w:type="dxa"/>
          <w:left w:w="0" w:type="dxa"/>
          <w:bottom w:w="0" w:type="dxa"/>
          <w:right w:w="0" w:type="dxa"/>
        </w:tblCellMar>
      </w:tblPr>
      <w:tr>
        <w:trPr>
          <w:trHeight w:val="220"/>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25"/>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7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8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30, 2022 (the “Report”), I, Mark A. Clouse, President and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45"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Mark A. Clouse</w:t>
      </w:r>
    </w:p>
    <w:p>
      <w:pPr>
        <w:spacing w:after="0" w:line="16" w:lineRule="exact"/>
        <w:rPr>
          <w:sz w:val="20"/>
          <w:szCs w:val="20"/>
          <w:color w:val="auto"/>
        </w:rPr>
      </w:pPr>
    </w:p>
    <w:tbl>
      <w:tblPr>
        <w:tblLayout w:type="fixed"/>
        <w:tblInd w:w="4580" w:type="dxa"/>
        <w:tblCellMar>
          <w:top w:w="0" w:type="dxa"/>
          <w:left w:w="0" w:type="dxa"/>
          <w:bottom w:w="0" w:type="dxa"/>
          <w:right w:w="0" w:type="dxa"/>
        </w:tblCellMar>
      </w:tblPr>
      <w:tr>
        <w:trPr>
          <w:trHeight w:val="220"/>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18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30, 2022 (the “Report”), I, Mick J. Beekhuizen, Executive Vice President and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100" w:type="dxa"/>
            <w:vAlign w:val="bottom"/>
            <w:gridSpan w:val="3"/>
          </w:tcPr>
          <w:p>
            <w:pPr>
              <w:ind w:left="5640"/>
              <w:spacing w:after="0"/>
              <w:rPr>
                <w:sz w:val="20"/>
                <w:szCs w:val="20"/>
                <w:color w:val="auto"/>
              </w:rPr>
            </w:pPr>
            <w:r>
              <w:rPr>
                <w:rFonts w:ascii="Arial" w:cs="Arial" w:eastAsia="Arial" w:hAnsi="Arial"/>
                <w:sz w:val="18"/>
                <w:szCs w:val="18"/>
                <w:color w:val="auto"/>
              </w:rPr>
              <w:t>By:   /s/ Mick J. Beekhuizen</w:t>
            </w: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c>
          <w:tcPr>
            <w:tcW w:w="0" w:type="dxa"/>
            <w:vAlign w:val="bottom"/>
          </w:tcPr>
          <w:p>
            <w:pPr>
              <w:spacing w:after="0"/>
              <w:rPr>
                <w:sz w:val="1"/>
                <w:szCs w:val="1"/>
                <w:color w:val="auto"/>
              </w:rPr>
            </w:pPr>
          </w:p>
        </w:tc>
      </w:tr>
      <w:tr>
        <w:trPr>
          <w:trHeight w:val="225"/>
        </w:trPr>
        <w:tc>
          <w:tcPr>
            <w:tcW w:w="60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0" w:type="dxa"/>
            <w:vAlign w:val="bottom"/>
          </w:tcPr>
          <w:p>
            <w:pPr>
              <w:spacing w:after="0"/>
              <w:rPr>
                <w:sz w:val="1"/>
                <w:szCs w:val="1"/>
                <w:color w:val="auto"/>
              </w:rPr>
            </w:pPr>
          </w:p>
        </w:tc>
      </w:tr>
      <w:tr>
        <w:trPr>
          <w:trHeight w:val="225"/>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Date: March 9, 2022</w:t>
            </w:r>
          </w:p>
        </w:tc>
        <w:tc>
          <w:tcPr>
            <w:tcW w:w="4340" w:type="dxa"/>
            <w:vAlign w:val="bottom"/>
          </w:tcPr>
          <w:p>
            <w:pPr>
              <w:ind w:left="18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06"/>
        </w:trPr>
        <w:tc>
          <w:tcPr>
            <w:tcW w:w="6760" w:type="dxa"/>
            <w:vAlign w:val="bottom"/>
            <w:gridSpan w:val="2"/>
            <w:vMerge w:val="continue"/>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2"/>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4"/>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2022-03-09T06:29:26Z</dcterms:created>
  <dcterms:modified xsi:type="dcterms:W3CDTF">2022-03-09T06:29:26Z</dcterms:modified>
</cp:coreProperties>
</file>