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10-K</w:t>
      </w:r>
    </w:p>
    <w:p>
      <w:pPr>
        <w:spacing w:after="0" w:line="5" w:lineRule="exact"/>
        <w:rPr>
          <w:sz w:val="24"/>
          <w:szCs w:val="24"/>
          <w:color w:val="auto"/>
        </w:rPr>
      </w:pPr>
    </w:p>
    <w:p>
      <w:pPr>
        <w:ind w:left="3900"/>
        <w:spacing w:after="0"/>
        <w:rPr>
          <w:sz w:val="20"/>
          <w:szCs w:val="20"/>
          <w:color w:val="auto"/>
        </w:rPr>
      </w:pPr>
      <w:r>
        <w:rPr>
          <w:rFonts w:ascii="Arial" w:cs="Arial" w:eastAsia="Arial" w:hAnsi="Arial"/>
          <w:sz w:val="9"/>
          <w:szCs w:val="9"/>
          <w:b w:val="1"/>
          <w:bCs w:val="1"/>
          <w:color w:val="auto"/>
        </w:rPr>
        <w:t>_________________________________________________________________________________</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OR 15(d)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360" w:right="239" w:bottom="1440" w:gutter="0" w:footer="0" w:header="0"/>
        </w:sectPr>
      </w:pPr>
    </w:p>
    <w:p>
      <w:pPr>
        <w:spacing w:after="0" w:line="137" w:lineRule="exact"/>
        <w:rPr>
          <w:sz w:val="24"/>
          <w:szCs w:val="24"/>
          <w:color w:val="auto"/>
        </w:rPr>
      </w:pPr>
    </w:p>
    <w:p>
      <w:pPr>
        <w:jc w:val="center"/>
        <w:ind w:right="2500"/>
        <w:spacing w:after="0"/>
        <w:rPr>
          <w:sz w:val="20"/>
          <w:szCs w:val="20"/>
          <w:color w:val="auto"/>
        </w:rPr>
      </w:pPr>
      <w:r>
        <w:rPr>
          <w:rFonts w:ascii="Arial" w:cs="Arial" w:eastAsia="Arial" w:hAnsi="Arial"/>
          <w:sz w:val="16"/>
          <w:szCs w:val="16"/>
          <w:b w:val="1"/>
          <w:bCs w:val="1"/>
          <w:color w:val="auto"/>
        </w:rPr>
        <w:t>For the Fiscal Year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July 30, 2017</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-2209800</wp:posOffset>
            </wp:positionH>
            <wp:positionV relativeFrom="paragraph">
              <wp:posOffset>34290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320" w:space="720"/>
            <w:col w:w="3380"/>
          </w:cols>
          <w:pgMar w:left="240" w:top="36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360"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360"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60" w:space="720"/>
            <w:col w:w="4140"/>
          </w:cols>
          <w:pgMar w:left="240" w:top="36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Number: (856) 342-4800</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420"/>
          </w:cols>
          <w:pgMar w:left="240" w:top="360" w:right="239" w:bottom="1440" w:gutter="0" w:footer="0" w:header="0"/>
          <w:type w:val="continuous"/>
        </w:sectPr>
      </w:pPr>
    </w:p>
    <w:p>
      <w:pPr>
        <w:spacing w:after="0" w:line="176" w:lineRule="exact"/>
        <w:rPr>
          <w:sz w:val="24"/>
          <w:szCs w:val="24"/>
          <w:color w:val="auto"/>
        </w:rPr>
      </w:pPr>
    </w:p>
    <w:p>
      <w:pPr>
        <w:ind w:left="222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90" w:lineRule="exact"/>
        <w:rPr>
          <w:sz w:val="24"/>
          <w:szCs w:val="24"/>
          <w:color w:val="auto"/>
        </w:rPr>
      </w:pPr>
    </w:p>
    <w:p>
      <w:pPr>
        <w:sectPr>
          <w:pgSz w:w="11900" w:h="16838" w:orient="portrait"/>
          <w:cols w:equalWidth="0" w:num="2">
            <w:col w:w="6120" w:space="720"/>
            <w:col w:w="4580"/>
          </w:cols>
          <w:pgMar w:left="240" w:top="360" w:right="239" w:bottom="1440" w:gutter="0" w:footer="0" w:header="0"/>
          <w:type w:val="continuous"/>
        </w:sectPr>
      </w:pPr>
    </w:p>
    <w:p>
      <w:pPr>
        <w:ind w:left="1800"/>
        <w:spacing w:after="0"/>
        <w:rPr>
          <w:sz w:val="20"/>
          <w:szCs w:val="20"/>
          <w:color w:val="auto"/>
        </w:rPr>
      </w:pPr>
      <w:r>
        <w:rPr>
          <w:rFonts w:ascii="Arial" w:cs="Arial" w:eastAsia="Arial" w:hAnsi="Arial"/>
          <w:sz w:val="16"/>
          <w:szCs w:val="16"/>
          <w:color w:val="auto"/>
        </w:rPr>
        <w:t>Capital Stock, par value $.0375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55" w:lineRule="exact"/>
        <w:rPr>
          <w:sz w:val="24"/>
          <w:szCs w:val="24"/>
          <w:color w:val="auto"/>
        </w:rPr>
      </w:pPr>
    </w:p>
    <w:p>
      <w:pPr>
        <w:sectPr>
          <w:pgSz w:w="11900" w:h="16838" w:orient="portrait"/>
          <w:cols w:equalWidth="0" w:num="2">
            <w:col w:w="6920" w:space="720"/>
            <w:col w:w="3780"/>
          </w:cols>
          <w:pgMar w:left="240" w:top="36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 None</w:t>
      </w:r>
    </w:p>
    <w:p>
      <w:pPr>
        <w:spacing w:after="0" w:line="34" w:lineRule="exact"/>
        <w:rPr>
          <w:sz w:val="24"/>
          <w:szCs w:val="24"/>
          <w:color w:val="auto"/>
        </w:rPr>
      </w:pPr>
    </w:p>
    <w:p>
      <w:pPr>
        <w:ind w:left="340" w:right="1720"/>
        <w:spacing w:after="0" w:line="304" w:lineRule="exact"/>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rFonts w:ascii="MS PGothic" w:cs="MS PGothic" w:eastAsia="MS PGothic" w:hAnsi="MS PGothic"/>
          <w:sz w:val="14"/>
          <w:szCs w:val="14"/>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333333"/>
        </w:rPr>
        <w:t>☐</w:t>
      </w:r>
      <w:r>
        <w:rPr>
          <w:rFonts w:ascii="Arial" w:cs="Arial" w:eastAsia="Arial" w:hAnsi="Arial"/>
          <w:sz w:val="16"/>
          <w:szCs w:val="16"/>
          <w:color w:val="auto"/>
        </w:rPr>
        <w:t xml:space="preserve"> No Indicate by check mark if the registrant is not required to file reports pursuant to Section 13 or 15(d) of the Act. </w:t>
      </w:r>
      <w:r>
        <w:rPr>
          <w:rFonts w:ascii="MS PGothic" w:cs="MS PGothic" w:eastAsia="MS PGothic" w:hAnsi="MS PGothic"/>
          <w:sz w:val="16"/>
          <w:szCs w:val="16"/>
          <w:color w:val="333333"/>
        </w:rPr>
        <w:t>☐</w:t>
      </w:r>
      <w:r>
        <w:rPr>
          <w:rFonts w:ascii="Arial" w:cs="Arial" w:eastAsia="Arial" w:hAnsi="Arial"/>
          <w:sz w:val="16"/>
          <w:szCs w:val="16"/>
          <w:color w:val="auto"/>
        </w:rPr>
        <w:t xml:space="preserve"> Yes </w:t>
      </w:r>
      <w:r>
        <w:rPr>
          <w:rFonts w:ascii="MS PGothic" w:cs="MS PGothic" w:eastAsia="MS PGothic" w:hAnsi="MS PGothic"/>
          <w:sz w:val="14"/>
          <w:szCs w:val="14"/>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333333"/>
        </w:rPr>
        <w:t>☐</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360"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360"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360"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360" w:right="239" w:bottom="1440" w:gutter="0" w:footer="0" w:header="0"/>
          <w:type w:val="continuous"/>
        </w:sectPr>
      </w:pPr>
    </w:p>
    <w:p>
      <w:pPr>
        <w:spacing w:after="0" w:line="86" w:lineRule="exact"/>
        <w:rPr>
          <w:sz w:val="24"/>
          <w:szCs w:val="24"/>
          <w:color w:val="auto"/>
        </w:rPr>
      </w:pPr>
    </w:p>
    <w:p>
      <w:pPr>
        <w:jc w:val="both"/>
        <w:ind w:firstLine="324"/>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83"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January 27, 2017 (the last business day of the registrant’s most recently completed second fiscal quarter), the aggregate market value of capital stock held by non-affiliates of the registrant was approximately $11,934,667,846. There were 300,528,501 shares of capital stock outstanding as of September 20, 2017.</w:t>
      </w:r>
    </w:p>
    <w:p>
      <w:pPr>
        <w:spacing w:after="0" w:line="46"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Portions of the Registrant’s Proxy Statement for the Annual Meeting of Shareholders to be held on November 15, 2017, are incorporated by reference into Part III.</w:t>
      </w:r>
    </w:p>
    <w:p>
      <w:pPr>
        <w:sectPr>
          <w:pgSz w:w="11900" w:h="16838" w:orient="portrait"/>
          <w:cols w:equalWidth="0" w:num="1">
            <w:col w:w="11420"/>
          </w:cols>
          <w:pgMar w:left="240" w:top="36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46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17"/>
                <w:szCs w:val="17"/>
                <w:color w:val="auto"/>
              </w:rPr>
            </w:pPr>
          </w:p>
        </w:tc>
      </w:tr>
      <w:tr>
        <w:trPr>
          <w:trHeight w:val="615"/>
        </w:trPr>
        <w:tc>
          <w:tcPr>
            <w:tcW w:w="4720" w:type="dxa"/>
            <w:vAlign w:val="bottom"/>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920" w:type="dxa"/>
            <w:vAlign w:val="bottom"/>
            <w:tcBorders>
              <w:top w:val="single" w:sz="8" w:color="auto"/>
            </w:tcBorders>
          </w:tcPr>
          <w:p>
            <w:pPr>
              <w:spacing w:after="0"/>
              <w:rPr>
                <w:sz w:val="24"/>
                <w:szCs w:val="24"/>
                <w:color w:val="auto"/>
              </w:rPr>
            </w:pP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Business</w:t>
              </w:r>
            </w:hyperlink>
          </w:p>
        </w:tc>
        <w:tc>
          <w:tcPr>
            <w:tcW w:w="540" w:type="dxa"/>
            <w:vAlign w:val="bottom"/>
          </w:tcPr>
          <w:p>
            <w:pPr>
              <w:ind w:left="36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5">
              <w:r>
                <w:rPr>
                  <w:rFonts w:ascii="Arial" w:cs="Arial" w:eastAsia="Arial" w:hAnsi="Arial"/>
                  <w:sz w:val="18"/>
                  <w:szCs w:val="18"/>
                  <w:color w:val="0000EE"/>
                </w:rPr>
                <w:t>Item 1A. Risk Factors</w:t>
              </w:r>
            </w:hyperlink>
          </w:p>
        </w:tc>
        <w:tc>
          <w:tcPr>
            <w:tcW w:w="540" w:type="dxa"/>
            <w:vAlign w:val="bottom"/>
          </w:tcPr>
          <w:p>
            <w:pPr>
              <w:ind w:left="360"/>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1B. Unresolved Staff Comments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2. Properties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3. Legal Proceedings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0">
              <w:r>
                <w:rPr>
                  <w:rFonts w:ascii="Arial" w:cs="Arial" w:eastAsia="Arial" w:hAnsi="Arial"/>
                  <w:sz w:val="18"/>
                  <w:szCs w:val="18"/>
                  <w:color w:val="0000EE"/>
                </w:rPr>
                <w:t>Item 4. Mine Safety Disclosures</w:t>
              </w:r>
            </w:hyperlink>
          </w:p>
        </w:tc>
        <w:tc>
          <w:tcPr>
            <w:tcW w:w="540" w:type="dxa"/>
            <w:vAlign w:val="bottom"/>
          </w:tcPr>
          <w:p>
            <w:pPr>
              <w:ind w:left="360"/>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10</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1">
              <w:r>
                <w:rPr>
                  <w:rFonts w:ascii="Arial" w:cs="Arial" w:eastAsia="Arial" w:hAnsi="Arial"/>
                  <w:sz w:val="18"/>
                  <w:szCs w:val="18"/>
                  <w:color w:val="0000EE"/>
                </w:rPr>
                <w:t>Executive Officers of the Company</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PART 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w w:val="94"/>
              </w:rPr>
            </w:pPr>
            <w:hyperlink w:anchor="page11">
              <w:r>
                <w:rPr>
                  <w:rFonts w:ascii="Arial" w:cs="Arial" w:eastAsia="Arial" w:hAnsi="Arial"/>
                  <w:sz w:val="18"/>
                  <w:szCs w:val="18"/>
                  <w:color w:val="0000EE"/>
                  <w:w w:val="94"/>
                </w:rPr>
                <w:t>Item 5. Market for Registrant’s Capital Stock, Related Shareholder Matters and Issuer Purchases of Equity Securities</w:t>
              </w:r>
            </w:hyperlink>
          </w:p>
        </w:tc>
        <w:tc>
          <w:tcPr>
            <w:tcW w:w="540" w:type="dxa"/>
            <w:vAlign w:val="bottom"/>
          </w:tcPr>
          <w:p>
            <w:pPr>
              <w:ind w:left="360"/>
              <w:spacing w:after="0"/>
              <w:rPr>
                <w:rFonts w:ascii="Arial" w:cs="Arial" w:eastAsia="Arial" w:hAnsi="Arial"/>
                <w:sz w:val="18"/>
                <w:szCs w:val="18"/>
                <w:color w:val="0000EE"/>
                <w:w w:val="79"/>
              </w:rPr>
            </w:pPr>
            <w:hyperlink w:anchor="page11">
              <w:r>
                <w:rPr>
                  <w:rFonts w:ascii="Arial" w:cs="Arial" w:eastAsia="Arial" w:hAnsi="Arial"/>
                  <w:sz w:val="18"/>
                  <w:szCs w:val="18"/>
                  <w:color w:val="0000EE"/>
                  <w:w w:val="79"/>
                </w:rPr>
                <w:t>11</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3">
              <w:r>
                <w:rPr>
                  <w:rFonts w:ascii="Arial" w:cs="Arial" w:eastAsia="Arial" w:hAnsi="Arial"/>
                  <w:sz w:val="18"/>
                  <w:szCs w:val="18"/>
                  <w:color w:val="0000EE"/>
                </w:rPr>
                <w:t>Item 6. Selected Financial Data</w:t>
              </w:r>
            </w:hyperlink>
          </w:p>
        </w:tc>
        <w:tc>
          <w:tcPr>
            <w:tcW w:w="540" w:type="dxa"/>
            <w:vAlign w:val="bottom"/>
          </w:tcPr>
          <w:p>
            <w:pPr>
              <w:ind w:left="360"/>
              <w:spacing w:after="0"/>
              <w:rPr>
                <w:rFonts w:ascii="Arial" w:cs="Arial" w:eastAsia="Arial" w:hAnsi="Arial"/>
                <w:sz w:val="18"/>
                <w:szCs w:val="18"/>
                <w:color w:val="0000EE"/>
                <w:w w:val="79"/>
              </w:rPr>
            </w:pPr>
            <w:hyperlink w:anchor="page13">
              <w:r>
                <w:rPr>
                  <w:rFonts w:ascii="Arial" w:cs="Arial" w:eastAsia="Arial" w:hAnsi="Arial"/>
                  <w:sz w:val="18"/>
                  <w:szCs w:val="18"/>
                  <w:color w:val="0000EE"/>
                  <w:w w:val="79"/>
                </w:rPr>
                <w:t>13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14">
              <w:r>
                <w:rPr>
                  <w:rFonts w:ascii="Arial" w:cs="Arial" w:eastAsia="Arial" w:hAnsi="Arial"/>
                  <w:sz w:val="18"/>
                  <w:szCs w:val="18"/>
                  <w:color w:val="0000EE"/>
                </w:rPr>
                <w:t>Item 7. Management's Discussion and Analysis of Financial Condition and Results of Operations</w:t>
              </w:r>
            </w:hyperlink>
          </w:p>
        </w:tc>
        <w:tc>
          <w:tcPr>
            <w:tcW w:w="540" w:type="dxa"/>
            <w:vAlign w:val="bottom"/>
          </w:tcPr>
          <w:p>
            <w:pPr>
              <w:ind w:left="360"/>
              <w:spacing w:after="0"/>
              <w:rPr>
                <w:rFonts w:ascii="Arial" w:cs="Arial" w:eastAsia="Arial" w:hAnsi="Arial"/>
                <w:sz w:val="18"/>
                <w:szCs w:val="18"/>
                <w:color w:val="0000EE"/>
                <w:w w:val="79"/>
              </w:rPr>
            </w:pPr>
            <w:hyperlink w:anchor="page14">
              <w:r>
                <w:rPr>
                  <w:rFonts w:ascii="Arial" w:cs="Arial" w:eastAsia="Arial" w:hAnsi="Arial"/>
                  <w:sz w:val="18"/>
                  <w:szCs w:val="18"/>
                  <w:color w:val="0000EE"/>
                  <w:w w:val="79"/>
                </w:rPr>
                <w:t>14</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2">
              <w:r>
                <w:rPr>
                  <w:rFonts w:ascii="Arial" w:cs="Arial" w:eastAsia="Arial" w:hAnsi="Arial"/>
                  <w:sz w:val="18"/>
                  <w:szCs w:val="18"/>
                  <w:color w:val="0000EE"/>
                </w:rPr>
                <w:t>Item 7A. Quantitative and Qualitative Disclosure about Market Risk</w:t>
              </w:r>
            </w:hyperlink>
          </w:p>
        </w:tc>
        <w:tc>
          <w:tcPr>
            <w:tcW w:w="540" w:type="dxa"/>
            <w:vAlign w:val="bottom"/>
          </w:tcPr>
          <w:p>
            <w:pPr>
              <w:ind w:left="360"/>
              <w:spacing w:after="0"/>
              <w:rPr>
                <w:rFonts w:ascii="Arial" w:cs="Arial" w:eastAsia="Arial" w:hAnsi="Arial"/>
                <w:sz w:val="18"/>
                <w:szCs w:val="18"/>
                <w:color w:val="0000EE"/>
                <w:w w:val="79"/>
              </w:rPr>
            </w:pPr>
            <w:hyperlink w:anchor="page32">
              <w:r>
                <w:rPr>
                  <w:rFonts w:ascii="Arial" w:cs="Arial" w:eastAsia="Arial" w:hAnsi="Arial"/>
                  <w:sz w:val="18"/>
                  <w:szCs w:val="18"/>
                  <w:color w:val="0000EE"/>
                  <w:w w:val="79"/>
                </w:rPr>
                <w:t>32</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33">
              <w:r>
                <w:rPr>
                  <w:rFonts w:ascii="Arial" w:cs="Arial" w:eastAsia="Arial" w:hAnsi="Arial"/>
                  <w:sz w:val="18"/>
                  <w:szCs w:val="18"/>
                  <w:color w:val="0000EE"/>
                </w:rPr>
                <w:t>Item 8. Financial Statements and Supplementary Data</w:t>
              </w:r>
            </w:hyperlink>
          </w:p>
        </w:tc>
        <w:tc>
          <w:tcPr>
            <w:tcW w:w="540" w:type="dxa"/>
            <w:vAlign w:val="bottom"/>
          </w:tcPr>
          <w:p>
            <w:pPr>
              <w:ind w:left="360"/>
              <w:spacing w:after="0"/>
              <w:rPr>
                <w:rFonts w:ascii="Arial" w:cs="Arial" w:eastAsia="Arial" w:hAnsi="Arial"/>
                <w:sz w:val="18"/>
                <w:szCs w:val="18"/>
                <w:color w:val="0000EE"/>
                <w:w w:val="79"/>
              </w:rPr>
            </w:pPr>
            <w:hyperlink w:anchor="page33">
              <w:r>
                <w:rPr>
                  <w:rFonts w:ascii="Arial" w:cs="Arial" w:eastAsia="Arial" w:hAnsi="Arial"/>
                  <w:sz w:val="18"/>
                  <w:szCs w:val="18"/>
                  <w:color w:val="0000EE"/>
                  <w:w w:val="79"/>
                </w:rPr>
                <w:t>33</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9. Changes in and Disagreements with Accountants on Accounting and Financial Disclosure</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9A. Controls and Procedures</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9B. Other Information</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PART III</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10. Directors, Executive Officers and Corporate Governance</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6">
              <w:r>
                <w:rPr>
                  <w:rFonts w:ascii="Arial" w:cs="Arial" w:eastAsia="Arial" w:hAnsi="Arial"/>
                  <w:sz w:val="18"/>
                  <w:szCs w:val="18"/>
                  <w:color w:val="0000EE"/>
                </w:rPr>
                <w:t>Item 11. Executive Compensation</w:t>
              </w:r>
            </w:hyperlink>
          </w:p>
        </w:tc>
        <w:tc>
          <w:tcPr>
            <w:tcW w:w="540" w:type="dxa"/>
            <w:vAlign w:val="bottom"/>
          </w:tcPr>
          <w:p>
            <w:pPr>
              <w:ind w:left="360"/>
              <w:spacing w:after="0"/>
              <w:rPr>
                <w:rFonts w:ascii="Arial" w:cs="Arial" w:eastAsia="Arial" w:hAnsi="Arial"/>
                <w:sz w:val="18"/>
                <w:szCs w:val="18"/>
                <w:color w:val="0000EE"/>
                <w:w w:val="79"/>
              </w:rPr>
            </w:pPr>
            <w:hyperlink w:anchor="page76">
              <w:r>
                <w:rPr>
                  <w:rFonts w:ascii="Arial" w:cs="Arial" w:eastAsia="Arial" w:hAnsi="Arial"/>
                  <w:sz w:val="18"/>
                  <w:szCs w:val="18"/>
                  <w:color w:val="0000EE"/>
                  <w:w w:val="79"/>
                </w:rPr>
                <w:t>76</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12. Security Ownership of Certain Beneficial Owners and Management and Related Shareholder Matters</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13. Certain Relationships and Related Transactions, and Director Independence</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14. Principal Accounting Fees and Services</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70"/>
        </w:trPr>
        <w:tc>
          <w:tcPr>
            <w:tcW w:w="9460" w:type="dxa"/>
            <w:vAlign w:val="bottom"/>
            <w:gridSpan w:val="3"/>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PART IV</w:t>
              </w:r>
            </w:hyperlink>
          </w:p>
        </w:tc>
        <w:tc>
          <w:tcPr>
            <w:tcW w:w="540" w:type="dxa"/>
            <w:vAlign w:val="bottom"/>
          </w:tcPr>
          <w:p>
            <w:pPr>
              <w:spacing w:after="0"/>
              <w:rPr>
                <w:sz w:val="23"/>
                <w:szCs w:val="23"/>
                <w:color w:val="auto"/>
              </w:rPr>
            </w:pPr>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7">
              <w:r>
                <w:rPr>
                  <w:rFonts w:ascii="Arial" w:cs="Arial" w:eastAsia="Arial" w:hAnsi="Arial"/>
                  <w:sz w:val="18"/>
                  <w:szCs w:val="18"/>
                  <w:color w:val="0000EE"/>
                </w:rPr>
                <w:t>Item 15. Exhibits and Financial Statement Schedules</w:t>
              </w:r>
            </w:hyperlink>
          </w:p>
        </w:tc>
        <w:tc>
          <w:tcPr>
            <w:tcW w:w="540" w:type="dxa"/>
            <w:vAlign w:val="bottom"/>
          </w:tcPr>
          <w:p>
            <w:pPr>
              <w:ind w:left="360"/>
              <w:spacing w:after="0"/>
              <w:rPr>
                <w:rFonts w:ascii="Arial" w:cs="Arial" w:eastAsia="Arial" w:hAnsi="Arial"/>
                <w:sz w:val="18"/>
                <w:szCs w:val="18"/>
                <w:color w:val="0000EE"/>
                <w:w w:val="79"/>
              </w:rPr>
            </w:pPr>
            <w:hyperlink w:anchor="page77">
              <w:r>
                <w:rPr>
                  <w:rFonts w:ascii="Arial" w:cs="Arial" w:eastAsia="Arial" w:hAnsi="Arial"/>
                  <w:sz w:val="18"/>
                  <w:szCs w:val="18"/>
                  <w:color w:val="0000EE"/>
                  <w:w w:val="79"/>
                </w:rPr>
                <w:t>77</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8">
              <w:r>
                <w:rPr>
                  <w:rFonts w:ascii="Arial" w:cs="Arial" w:eastAsia="Arial" w:hAnsi="Arial"/>
                  <w:sz w:val="18"/>
                  <w:szCs w:val="18"/>
                  <w:color w:val="0000EE"/>
                </w:rPr>
                <w:t>Item 16. Form 10-K Summary</w:t>
              </w:r>
            </w:hyperlink>
          </w:p>
        </w:tc>
        <w:tc>
          <w:tcPr>
            <w:tcW w:w="540" w:type="dxa"/>
            <w:vAlign w:val="bottom"/>
          </w:tcPr>
          <w:p>
            <w:pPr>
              <w:ind w:left="360"/>
              <w:spacing w:after="0"/>
              <w:rPr>
                <w:rFonts w:ascii="Arial" w:cs="Arial" w:eastAsia="Arial" w:hAnsi="Arial"/>
                <w:sz w:val="18"/>
                <w:szCs w:val="18"/>
                <w:color w:val="0000EE"/>
                <w:w w:val="79"/>
              </w:rPr>
            </w:pPr>
            <w:hyperlink w:anchor="page78">
              <w:r>
                <w:rPr>
                  <w:rFonts w:ascii="Arial" w:cs="Arial" w:eastAsia="Arial" w:hAnsi="Arial"/>
                  <w:sz w:val="18"/>
                  <w:szCs w:val="18"/>
                  <w:color w:val="0000EE"/>
                  <w:w w:val="79"/>
                </w:rPr>
                <w:t>78</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79">
              <w:r>
                <w:rPr>
                  <w:rFonts w:ascii="Arial" w:cs="Arial" w:eastAsia="Arial" w:hAnsi="Arial"/>
                  <w:sz w:val="18"/>
                  <w:szCs w:val="18"/>
                  <w:color w:val="0000EE"/>
                </w:rPr>
                <w:t>Index to Exhibits</w:t>
              </w:r>
            </w:hyperlink>
          </w:p>
        </w:tc>
        <w:tc>
          <w:tcPr>
            <w:tcW w:w="540" w:type="dxa"/>
            <w:vAlign w:val="bottom"/>
          </w:tcPr>
          <w:p>
            <w:pPr>
              <w:ind w:left="360"/>
              <w:spacing w:after="0"/>
              <w:rPr>
                <w:rFonts w:ascii="Arial" w:cs="Arial" w:eastAsia="Arial" w:hAnsi="Arial"/>
                <w:sz w:val="18"/>
                <w:szCs w:val="18"/>
                <w:color w:val="0000EE"/>
                <w:w w:val="79"/>
              </w:rPr>
            </w:pPr>
            <w:hyperlink w:anchor="page79">
              <w:r>
                <w:rPr>
                  <w:rFonts w:ascii="Arial" w:cs="Arial" w:eastAsia="Arial" w:hAnsi="Arial"/>
                  <w:sz w:val="18"/>
                  <w:szCs w:val="18"/>
                  <w:color w:val="0000EE"/>
                  <w:w w:val="79"/>
                </w:rPr>
                <w:t>79</w:t>
              </w:r>
            </w:hyperlink>
          </w:p>
        </w:tc>
      </w:tr>
      <w:tr>
        <w:trPr>
          <w:trHeight w:val="270"/>
        </w:trPr>
        <w:tc>
          <w:tcPr>
            <w:tcW w:w="9460" w:type="dxa"/>
            <w:vAlign w:val="bottom"/>
            <w:gridSpan w:val="3"/>
          </w:tcPr>
          <w:p>
            <w:pPr>
              <w:ind w:left="680"/>
              <w:spacing w:after="0"/>
              <w:rPr>
                <w:rFonts w:ascii="Arial" w:cs="Arial" w:eastAsia="Arial" w:hAnsi="Arial"/>
                <w:sz w:val="18"/>
                <w:szCs w:val="18"/>
                <w:color w:val="0000EE"/>
              </w:rPr>
            </w:pPr>
            <w:hyperlink w:anchor="page82">
              <w:r>
                <w:rPr>
                  <w:rFonts w:ascii="Arial" w:cs="Arial" w:eastAsia="Arial" w:hAnsi="Arial"/>
                  <w:sz w:val="18"/>
                  <w:szCs w:val="18"/>
                  <w:color w:val="0000EE"/>
                </w:rPr>
                <w:t>Signatures</w:t>
              </w:r>
            </w:hyperlink>
          </w:p>
        </w:tc>
        <w:tc>
          <w:tcPr>
            <w:tcW w:w="540" w:type="dxa"/>
            <w:vAlign w:val="bottom"/>
          </w:tcPr>
          <w:p>
            <w:pPr>
              <w:ind w:left="360"/>
              <w:spacing w:after="0"/>
              <w:rPr>
                <w:rFonts w:ascii="Arial" w:cs="Arial" w:eastAsia="Arial" w:hAnsi="Arial"/>
                <w:sz w:val="18"/>
                <w:szCs w:val="18"/>
                <w:color w:val="0000EE"/>
                <w:w w:val="79"/>
              </w:rPr>
            </w:pPr>
            <w:hyperlink w:anchor="page82">
              <w:r>
                <w:rPr>
                  <w:rFonts w:ascii="Arial" w:cs="Arial" w:eastAsia="Arial" w:hAnsi="Arial"/>
                  <w:sz w:val="18"/>
                  <w:szCs w:val="18"/>
                  <w:color w:val="0000EE"/>
                  <w:w w:val="79"/>
                </w:rPr>
                <w:t>82</w:t>
              </w:r>
            </w:hyperlink>
          </w:p>
        </w:tc>
      </w:tr>
      <w:tr>
        <w:trPr>
          <w:trHeight w:val="918"/>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9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and similar expressions. One can also identify forward-looking statements by the fact that they do not relate strictly to historical or current facts. These statements reflect our current plans and expectations and are based on information currently available to us. They rely on several assumptions regarding future events and estimates which could be inaccurate and which are inherently subject to risks and uncertainties. Risks and uncertainties include, but are not limited to, those discussed in "Risk Factors" and in the "Cautionary Factors That May Affect Future Results" in "Management’s Discussion and Analysis of Financial Condition and Results of Operations" in this Report. Our consolidated financial statements and the accompanying notes to the consolidated financial statements are presented in "Financial Statements and Supplementary Data."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are a manufacturer and marketer of high-quality, branded food and beverage products. We organized as a business corporation under the laws of New Jersey on November 23, 1922; however, through predecessor organizations, we trace our heritage in the food business back to 1869. Our principal executive offices are in Camden, New Jersey 08103-1799.</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2013, we acquired BF Bolthouse Holdco LLC (Bolthouse Farms) and Plum, PBC (formerly Plum Inc.) (Plum). In 2014, we acquired Kelsen Group A/S (Kelsen) and divested our European simple meals business. In 2015, we acquired the assets of Garden Fresh Gourmet. In 2017, we entered into an agreement to acquire Pacific Foods of Oregon, Inc. for $700 million. For additional information on this pending acquisition, see our Form 8-K filed with the U.S. Securities and Exchange Commission on July 6, 2017. See also Note 3 to the Consolidated Financial Statements for additional information on our recent acquisitions.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manage our businesses in three segments focused mainly on product categories. The segments are:</w:t>
      </w:r>
    </w:p>
    <w:p>
      <w:pPr>
        <w:spacing w:after="0" w:line="171" w:lineRule="exact"/>
        <w:rPr>
          <w:sz w:val="20"/>
          <w:szCs w:val="20"/>
          <w:color w:val="auto"/>
        </w:rPr>
      </w:pPr>
    </w:p>
    <w:p>
      <w:pPr>
        <w:jc w:val="both"/>
        <w:ind w:left="660" w:hanging="328"/>
        <w:spacing w:after="0" w:line="25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The Americas Simple Meals and Beverages segment, which includes the retail and food service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w:t>
      </w:r>
      <w:r>
        <w:rPr>
          <w:rFonts w:ascii="Arial" w:cs="Arial" w:eastAsia="Arial" w:hAnsi="Arial"/>
          <w:sz w:val="18"/>
          <w:szCs w:val="18"/>
          <w:color w:val="auto"/>
        </w:rPr>
        <w:t>s 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Global Biscuits and Snacks segment, which includes: Pepperidge Farm cookies, crackers, bakery and frozen products in U.S. retail; Arnott’s biscuits in Australia and Asia Pacific; and Kelsen cookies globally. The segment also includes the simple meals and shelf-stable beverages business in Australia and Asia Pacific;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Campbell Fresh segment, which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Beginning in 2018, the business in Latin America will be managed as part of the Global Biscuits and Snacks segment. See Note 6 to the Consolidated Financial Statements and "Management's Discussion and Analysis of Financial Condition and Results of Operations" for additional information regarding our reportable segments.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Ingredients and Packaging</w:t>
      </w:r>
    </w:p>
    <w:p>
      <w:pPr>
        <w:spacing w:after="0" w:line="17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ingredients and packaging materials required for the manufacture of our food and beverage products are purchased from various suppliers. These items are subject to price fluctuations from a number of factors, including changes in crop size, cattle cycles, crop disease and/or crop pests, product scarcity, demand for raw materials, commodity market speculation, energy costs, currency fluctuations, government-sponsored agricultural programs, import and export requirements, drought, water scarcity, temperature extremes, scarcity of suitable agricultural land, scarcity of organic ingredients and other factors that may be beyond our control during the growing and harvesting seasons. To help reduce some of this price volatility, we use a combination of purchase orders, short- and long-term contracts, inventory management practices and various commodity risk management tools for most of our ingredients and packaging. Ingredient inventories are at a peak during the late fall and decline during the winter and spring. Since many ingredients of suitable quality are available in sufficient quantities only during certain seasons, we make commitments for the purchase of such ingredients in their respective seasons. At this time, we do not anticipate any material restrictions on the availability of ingredients or packaging that would have a significant impact on our businesses. For information on the impact of inflation, see "Management’s Discussion and Analysis of Financial Condition and Results of Operations."</w:t>
      </w:r>
    </w:p>
    <w:p>
      <w:pPr>
        <w:sectPr>
          <w:pgSz w:w="11900" w:h="16838" w:orient="portrait"/>
          <w:cols w:equalWidth="0" w:num="1">
            <w:col w:w="11420"/>
          </w:cols>
          <w:pgMar w:left="240" w:top="1310" w:right="239" w:bottom="1440" w:gutter="0" w:footer="0" w:header="0"/>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310" w:right="2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b w:val="1"/>
          <w:bCs w:val="1"/>
          <w:color w:val="auto"/>
        </w:rPr>
        <w:t>Customers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most of our markets, sales and merchandising activities are conducted through our own sales force and/or third-party brokers and distribution partners. In the U.S., Canada and Latin America, our products are generally resold to consumers through retail food chains, mass discounters, mass merchandisers, club stores, convenience stores, drug stores, dollar stores and other retail, commercial and non-commercial establishments. Pepperidge Farm also has a direct-store-delivery distribution model that uses independent contractor distributors. In the Asia Pacific region, our products are generally resold to consumers through retail food chains, convenience stores and other retail, commercial and non-commercial establishments. We make shipments promptly after acceptance of orders.</w:t>
      </w:r>
    </w:p>
    <w:p>
      <w:pPr>
        <w:spacing w:after="0" w:line="13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five largest customers accounted for approximately 39% of our consolidated net sales in 2017, 40% in 2016 and 38% in 2015. Our largest customer, Wal-Mart Stores, Inc. and its affiliates, accounted for approximately 20% of our consolidated net sales in 2017, 2016 and 2015. All of our reportable segments sold products to Wal-Mart Stores, Inc. or its affiliates. No other customer accounted for 10% or more of our consolidated net sales. For additional information on our customers, see "Management’s Discussion and Analysis of Financial Condition and Results of Operations."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Technology</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As of September 20, 2017, we owned over 3,700 trademark registrations and applications in over 160 countries. We believe our trademarks are of material importance to our business. Although the laws vary by jurisdiction, trademarks generally are valid as long as they are in use and/or their registrations are properly maintained and have not been found to have become generic. Trademark registrations generally can be renewed indefinitely as long as the trademarks are in use. We believe that our principal brands, including </w:t>
      </w:r>
      <w:r>
        <w:rPr>
          <w:rFonts w:ascii="Arial" w:cs="Arial" w:eastAsia="Arial" w:hAnsi="Arial"/>
          <w:sz w:val="16"/>
          <w:szCs w:val="16"/>
          <w:i w:val="1"/>
          <w:iCs w:val="1"/>
          <w:color w:val="auto"/>
        </w:rPr>
        <w:t>Arnott's</w:t>
      </w:r>
      <w:r>
        <w:rPr>
          <w:rFonts w:ascii="Arial" w:cs="Arial" w:eastAsia="Arial" w:hAnsi="Arial"/>
          <w:sz w:val="16"/>
          <w:szCs w:val="16"/>
          <w:color w:val="auto"/>
        </w:rPr>
        <w:t xml:space="preserve">, </w:t>
      </w:r>
      <w:r>
        <w:rPr>
          <w:rFonts w:ascii="Arial" w:cs="Arial" w:eastAsia="Arial" w:hAnsi="Arial"/>
          <w:sz w:val="16"/>
          <w:szCs w:val="16"/>
          <w:i w:val="1"/>
          <w:iCs w:val="1"/>
          <w:color w:val="auto"/>
        </w:rPr>
        <w:t>Bolthouse Farms</w:t>
      </w:r>
      <w:r>
        <w:rPr>
          <w:rFonts w:ascii="Arial" w:cs="Arial" w:eastAsia="Arial" w:hAnsi="Arial"/>
          <w:sz w:val="16"/>
          <w:szCs w:val="16"/>
          <w:color w:val="auto"/>
        </w:rPr>
        <w:t xml:space="preserve">, </w:t>
      </w:r>
      <w:r>
        <w:rPr>
          <w:rFonts w:ascii="Arial" w:cs="Arial" w:eastAsia="Arial" w:hAnsi="Arial"/>
          <w:sz w:val="16"/>
          <w:szCs w:val="16"/>
          <w:i w:val="1"/>
          <w:iCs w:val="1"/>
          <w:color w:val="auto"/>
        </w:rPr>
        <w:t>Campbell's</w:t>
      </w:r>
      <w:r>
        <w:rPr>
          <w:rFonts w:ascii="Arial" w:cs="Arial" w:eastAsia="Arial" w:hAnsi="Arial"/>
          <w:sz w:val="16"/>
          <w:szCs w:val="16"/>
          <w:color w:val="auto"/>
        </w:rPr>
        <w:t xml:space="preserve">, </w:t>
      </w:r>
      <w:r>
        <w:rPr>
          <w:rFonts w:ascii="Arial" w:cs="Arial" w:eastAsia="Arial" w:hAnsi="Arial"/>
          <w:sz w:val="16"/>
          <w:szCs w:val="16"/>
          <w:i w:val="1"/>
          <w:iCs w:val="1"/>
          <w:color w:val="auto"/>
        </w:rPr>
        <w:t>Garden Fresh Gourmet</w:t>
      </w:r>
      <w:r>
        <w:rPr>
          <w:rFonts w:ascii="Arial" w:cs="Arial" w:eastAsia="Arial" w:hAnsi="Arial"/>
          <w:sz w:val="16"/>
          <w:szCs w:val="16"/>
          <w:color w:val="auto"/>
        </w:rPr>
        <w:t xml:space="preserve">,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w:t>
      </w:r>
      <w:r>
        <w:rPr>
          <w:rFonts w:ascii="Arial" w:cs="Arial" w:eastAsia="Arial" w:hAnsi="Arial"/>
          <w:sz w:val="16"/>
          <w:szCs w:val="16"/>
          <w:i w:val="1"/>
          <w:iCs w:val="1"/>
          <w:color w:val="auto"/>
        </w:rPr>
        <w:t>Kjeldsens</w:t>
      </w:r>
      <w:r>
        <w:rPr>
          <w:rFonts w:ascii="Arial" w:cs="Arial" w:eastAsia="Arial" w:hAnsi="Arial"/>
          <w:sz w:val="16"/>
          <w:szCs w:val="16"/>
          <w:color w:val="auto"/>
        </w:rPr>
        <w:t xml:space="preserve">, </w:t>
      </w:r>
      <w:r>
        <w:rPr>
          <w:rFonts w:ascii="Arial" w:cs="Arial" w:eastAsia="Arial" w:hAnsi="Arial"/>
          <w:sz w:val="16"/>
          <w:szCs w:val="16"/>
          <w:i w:val="1"/>
          <w:iCs w:val="1"/>
          <w:color w:val="auto"/>
        </w:rPr>
        <w:t>Milano</w:t>
      </w:r>
      <w:r>
        <w:rPr>
          <w:rFonts w:ascii="Arial" w:cs="Arial" w:eastAsia="Arial" w:hAnsi="Arial"/>
          <w:sz w:val="16"/>
          <w:szCs w:val="16"/>
          <w:color w:val="auto"/>
        </w:rPr>
        <w:t>,</w:t>
      </w:r>
      <w:r>
        <w:rPr>
          <w:rFonts w:ascii="Arial" w:cs="Arial" w:eastAsia="Arial" w:hAnsi="Arial"/>
          <w:sz w:val="16"/>
          <w:szCs w:val="16"/>
          <w:i w:val="1"/>
          <w:iCs w:val="1"/>
          <w:color w:val="auto"/>
        </w:rPr>
        <w:t xml:space="preserve"> Pace</w:t>
      </w:r>
      <w:r>
        <w:rPr>
          <w:rFonts w:ascii="Arial" w:cs="Arial" w:eastAsia="Arial" w:hAnsi="Arial"/>
          <w:sz w:val="16"/>
          <w:szCs w:val="16"/>
          <w:color w:val="auto"/>
        </w:rPr>
        <w:t>,</w:t>
      </w:r>
      <w:r>
        <w:rPr>
          <w:rFonts w:ascii="Arial" w:cs="Arial" w:eastAsia="Arial" w:hAnsi="Arial"/>
          <w:sz w:val="16"/>
          <w:szCs w:val="16"/>
          <w:i w:val="1"/>
          <w:iCs w:val="1"/>
          <w:color w:val="auto"/>
        </w:rPr>
        <w:t xml:space="preserve"> Pepperidge Farm</w:t>
      </w:r>
      <w:r>
        <w:rPr>
          <w:rFonts w:ascii="Arial" w:cs="Arial" w:eastAsia="Arial" w:hAnsi="Arial"/>
          <w:sz w:val="16"/>
          <w:szCs w:val="16"/>
          <w:color w:val="auto"/>
        </w:rPr>
        <w:t>,</w:t>
      </w:r>
      <w:r>
        <w:rPr>
          <w:rFonts w:ascii="Arial" w:cs="Arial" w:eastAsia="Arial" w:hAnsi="Arial"/>
          <w:sz w:val="16"/>
          <w:szCs w:val="16"/>
          <w:i w:val="1"/>
          <w:iCs w:val="1"/>
          <w:color w:val="auto"/>
        </w:rPr>
        <w:t xml:space="preserve"> Plum</w:t>
      </w:r>
      <w:r>
        <w:rPr>
          <w:rFonts w:ascii="Arial" w:cs="Arial" w:eastAsia="Arial" w:hAnsi="Arial"/>
          <w:sz w:val="16"/>
          <w:szCs w:val="16"/>
          <w:color w:val="auto"/>
        </w:rPr>
        <w:t>,</w:t>
      </w:r>
      <w:r>
        <w:rPr>
          <w:rFonts w:ascii="Arial" w:cs="Arial" w:eastAsia="Arial" w:hAnsi="Arial"/>
          <w:sz w:val="16"/>
          <w:szCs w:val="16"/>
          <w:i w:val="1"/>
          <w:iCs w:val="1"/>
          <w:color w:val="auto"/>
        </w:rPr>
        <w:t xml:space="preserve"> Prego</w:t>
      </w:r>
      <w:r>
        <w:rPr>
          <w:rFonts w:ascii="Arial" w:cs="Arial" w:eastAsia="Arial" w:hAnsi="Arial"/>
          <w:sz w:val="16"/>
          <w:szCs w:val="16"/>
          <w:color w:val="auto"/>
        </w:rPr>
        <w:t>,</w:t>
      </w:r>
      <w:r>
        <w:rPr>
          <w:rFonts w:ascii="Arial" w:cs="Arial" w:eastAsia="Arial" w:hAnsi="Arial"/>
          <w:sz w:val="16"/>
          <w:szCs w:val="16"/>
          <w:i w:val="1"/>
          <w:iCs w:val="1"/>
          <w:color w:val="auto"/>
        </w:rPr>
        <w:t xml:space="preserve"> Swanson, </w:t>
      </w:r>
      <w:r>
        <w:rPr>
          <w:rFonts w:ascii="Arial" w:cs="Arial" w:eastAsia="Arial" w:hAnsi="Arial"/>
          <w:sz w:val="16"/>
          <w:szCs w:val="16"/>
          <w:color w:val="auto"/>
        </w:rPr>
        <w:t>and</w:t>
      </w:r>
      <w:r>
        <w:rPr>
          <w:rFonts w:ascii="Arial" w:cs="Arial" w:eastAsia="Arial" w:hAnsi="Arial"/>
          <w:sz w:val="16"/>
          <w:szCs w:val="16"/>
          <w:i w:val="1"/>
          <w:iCs w:val="1"/>
          <w:color w:val="auto"/>
        </w:rPr>
        <w:t xml:space="preserve"> V8, </w:t>
      </w:r>
      <w:r>
        <w:rPr>
          <w:rFonts w:ascii="Arial" w:cs="Arial" w:eastAsia="Arial" w:hAnsi="Arial"/>
          <w:sz w:val="16"/>
          <w:szCs w:val="16"/>
          <w:color w:val="auto"/>
        </w:rPr>
        <w:t>are protected by trademark law in the major markets where they are used.</w:t>
      </w:r>
    </w:p>
    <w:p>
      <w:pPr>
        <w:spacing w:after="0" w:line="10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Although we own a number of valuable patents, we do not regard any segment of our business as being dependent upon any single patent or group of related patents. In addition, we own copyrights, both registered and unregistered, proprietary trade secrets, technology, know-how, processes and other intellectual property rights that are not registered.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We operate in a highly competitive industry and experience competition in all of our categories. This competition arises from numerous competitors of varying sizes across multiple food and beverage categories, and includes producers of generic and store brand products, as well as other branded food and beverage manufacturers. All of these competitors vie for trade merchandising support and consumer dollars. The number of competitors cannot be reliably estimated. The principal areas of competition are brand recognition, taste, quality, nutritional value, price, advertising, promotion, convenience and service.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information relating to our cash flows from operations and working capital items, see "Management’s Discussion and Analysis of Financial Condition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2017, our aggregate capital expenditures were $338 million. We expect to spend approximately $400 million for capital projects in 2018. Major capital projects based on planned spend in 2018 include a U.S. warehouse optimization project, insourcing of manufacturing for certain simple meal products, and ongoing refrigeration system replacement projects.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last three fiscal years, our expenditures on research and development activities relating to new products and the improvement and maintenance of existing products were $98 million in 2017, $124 million in 2016, and $117 million in 2015. The decrease from 2016 to 2017 was primarily due to gains on pension and postretirement benefit mark-to-market adjustments in the current year compared to losses in the prior year; increased benefits from cost savings initiatives; and lower incentive compensation costs, partially offset by inflation and other factors, and investments in long-term innovation. The increase from 2015 to 2016 was primarily due to increased losses on pension and postretirement benefit mark-to-market adjustments and increased costs to support long-term innovation, partially offset by benefits from cost savings initiatives.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manufacture and sale of consumer food products is highly regulated. In the U.S., our activities are subject to regulation by various federal government agencies, including the Food and Drug Administration, U.S. Department of Agriculture, Federal Trade Commission, Department of Labor, Department of Commerce and Environmental Protection Agency, as well as various state and local agencies. Our business is also regulated by similar agencies outside of the U.S.</w:t>
      </w:r>
    </w:p>
    <w:p>
      <w:pPr>
        <w:sectPr>
          <w:pgSz w:w="11900" w:h="16838" w:orient="portrait"/>
          <w:cols w:equalWidth="0" w:num="1">
            <w:col w:w="11420"/>
          </w:cols>
          <w:pgMar w:left="240" w:top="13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31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requirements for the operation and design of our facilities that meet or exceed applicable environmental rules and regulations. Of our $338 million in capital expenditures made during 2017, approximately $14 million was for compliance with environmental laws and regulations in the U.S. We further estimate that approximately $13 million of the capital expenditures anticipated during 2018 will be for compliance with U.S. environmental laws and regulations. We believe that continued compliance with existing environmental laws and regulations (both within the U.S. and elsewhere) will not have a material effect on capital expenditures, earnings or our competitive position. In addition, we continue to monitor existing and pending environmental laws and regulations within the U.S. and elsewhere relating to climate change and greenhouse gas emissions. While the impact of these laws and regulations cannot be predicted with certainty, we do not believe that compliance with these laws and regulations will have a material effect on capital expenditures, earnings or our competitive position.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Demand for soup products is seasonal, with the fall and winter months usually accounting for the highest sales volume. Sales of Kelsen products are also highest in the fall and winter months due primarily to holiday gift giving, including the Chinese New Year. Demand for our other products is generally evenly distributed throughout the year.</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July 30, 2017, we had approximately 18,000 employees.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information for our reportable segments and geographic areas is found in Note 6 to the Consolidated Financial Statements. For risks attendant to our foreign operations, see "Risk 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Our primary corporate website can be found at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We make available free of charge at this website (under the "Investor Center — Financial Information — SEC Filings" caption) all of our reports (including amendments) filed or furnished pursuant to Section 13(a) or 15(d) of the Securities Exchange Act of 1934, as amended, including our annual report on Form 10-K, our quarterly reports on Form 10-Q and our current reports on Form 8-K. These reports are made available on the website as soon as reasonably practicable after their filing with, or furnishing to, the Securities and Exchange Commission.</w:t>
      </w:r>
    </w:p>
    <w:p>
      <w:pPr>
        <w:spacing w:after="0" w:line="13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All websites appearing in this Annual Report on Form 10-K are inactive textual references only, and the information in, or accessible through, such websites is not incorporated into this Annual Report on Form 10-K, or into any of our other filings with the Securities and Exchange Commission.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to the factors discussed elsewhere in this Report, the following risks and uncertainties could materially adversely affect our business, financial condition and results of operations. Additional risks and uncertainties not presently known to us or that we currently deem immaterial also may impair our business operations and financial condition.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operate in the highly competitive food and beverage industry and experience competition in all of our categories. The principal areas of competition are brand recognition, taste, quality, nutritional value, price, advertising, promotion, convenience and service. A number of our primary competitors are larger than us and have substantial financial, marketing and other resources. In addition, reduced barriers to entry and easier access to funding are creating new competition. A strong competitive response from one or more of these competitors to our marketplace efforts, or a continued shift towards store brand offerings, could result in us reducing prices, increasing marketing or other expenditures, and/or losing market share.</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are dependent on strengthening our core businesses while diversifying into faster-growing spaces</w:t>
      </w:r>
    </w:p>
    <w:p>
      <w:pPr>
        <w:spacing w:after="0" w:line="175"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Our strategy is focused on strengthening our core businesses while diversifying our portfolio into faster-growing spaces. Our core businesses are concentrated in slower-growing center-store categories in traditional retail grocery channels. Factors that may impact our success include our ability to:</w:t>
      </w:r>
    </w:p>
    <w:p>
      <w:pPr>
        <w:spacing w:after="0" w:line="120" w:lineRule="exact"/>
        <w:rPr>
          <w:sz w:val="20"/>
          <w:szCs w:val="20"/>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capture market share in faster-growing spaces;</w:t>
      </w:r>
    </w:p>
    <w:p>
      <w:pPr>
        <w:spacing w:after="0" w:line="18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identify and capitalize on customer or consumer trends, including those related to fresh or organic products;</w:t>
      </w:r>
    </w:p>
    <w:p>
      <w:pPr>
        <w:spacing w:after="0" w:line="198"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and implement effective retail execution plans;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and implement effective advertising and marketing programs, including digital programs;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secure or maintain sufficient shelf space at retailers.</w:t>
      </w:r>
    </w:p>
    <w:p>
      <w:pPr>
        <w:sectPr>
          <w:pgSz w:w="11900" w:h="16838" w:orient="portrait"/>
          <w:cols w:equalWidth="0" w:num="1">
            <w:col w:w="11420"/>
          </w:cols>
          <w:pgMar w:left="240" w:top="1310" w:right="239"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310" w:right="239" w:bottom="1440" w:gutter="0" w:footer="0" w:header="0"/>
          <w:type w:val="continuous"/>
        </w:sectPr>
      </w:pPr>
    </w:p>
    <w:bookmarkStart w:id="5" w:name="page6"/>
    <w:bookmarkEnd w:id="5"/>
    <w:p>
      <w:pPr>
        <w:jc w:val="both"/>
        <w:spacing w:after="0" w:line="277" w:lineRule="auto"/>
        <w:rPr>
          <w:sz w:val="20"/>
          <w:szCs w:val="20"/>
          <w:color w:val="auto"/>
        </w:rPr>
      </w:pPr>
      <w:r>
        <w:rPr>
          <w:rFonts w:ascii="Arial" w:cs="Arial" w:eastAsia="Arial" w:hAnsi="Arial"/>
          <w:sz w:val="18"/>
          <w:szCs w:val="18"/>
          <w:color w:val="auto"/>
        </w:rPr>
        <w:t>If we are not successful in addressing these factors, or if there are changes in the underlying growth rates of the categories in which we compete, our strategy may not be successful and/or our business or financial results may be adversely impacted.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a changing customer landscape and the increased significance of some of our customers</w:t>
      </w:r>
    </w:p>
    <w:p>
      <w:pPr>
        <w:spacing w:after="0" w:line="17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businesses are largely concentrated in the traditional retail grocery trade, which has experienced slower growth than alternative retail channels, such as dollar stores, drug stores, club stores, Internet-based retailers and meal-delivery services. This trend towards alternative channels is expected to continue in the future. If we are not successful in expanding sales in alternative retail channels, our business or financial results may be adversely impacted. In addition, retailers with increased buying power and negotiating strength are seeking more favorable terms, including increased promotional programs funded by their suppliers. These customers may use more of their shelf space for their store brand products. If we are unable to use our scale, marketing expertise, product innovation and category leadership positions to respond to these customer dynamics, our business or financial results could be adversely impacted.</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2017, our five largest customers accounted for approximately 39% of our consolidated net sales, with the largest customer, Wal-Mart Stores, Inc. and its affiliates, accounting for approximately 20% of our consolidated net sales. There can be no assurance that our largest customers will continue to purchase our products in the same mix or quantities or on the same terms as in the past. Disruption of sales to any of these customers, or to any of our other large customers, for an extended period of time could adversely affect our business or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realize the anticipated benefits from our cost reduction, organizational design or other initiatives</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are pursuing a multi-year cost savings initiative with targeted annualized cost savings of $450 million by the end of 2020. In addition, we are making other organizational changes, including changes to our sales and supply chain functions. These initiatives will require a substantial amount of management and operational resources. Our management team must successfully execute the administrative and operational changes necessary to achieve the anticipated benefits of the initiatives. These and related demands on our resources may divert the organization's attention from other business issues, have adverse effects on existing business relationships with suppliers and customers and impact employee morale. From time-to-time, we may also implement other information technology or related initiatives. Our success is partly dependent upon properly executing, and realizing cost savings or other benefits from, these often complex initiatives. Any failure to implement our initiatives could adversely affect our business or financial results.</w:t>
      </w:r>
    </w:p>
    <w:p>
      <w:pPr>
        <w:spacing w:after="0" w:line="10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may be adversely affected by our inability to complete or realize the projected benefits of acquisitions, divestitures and other strategic transactions</w:t>
      </w:r>
    </w:p>
    <w:p>
      <w:pPr>
        <w:spacing w:after="0" w:line="11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to continue to seek acquisitions and other strategic transactions.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139" w:lineRule="exact"/>
        <w:rPr>
          <w:sz w:val="20"/>
          <w:szCs w:val="20"/>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integrate acquired businesses into our existing operations in a timely and cost-efficient manner;</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loss of key employees, suppliers and/or customers of acquired businesses;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achieve anticipated benefits, including revenues or other operating results;</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costs of acquired businesses may be greater than expected;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promptly implement an effective control environment; and</w:t>
      </w:r>
    </w:p>
    <w:p>
      <w:pPr>
        <w:spacing w:after="0" w:line="211" w:lineRule="exact"/>
        <w:rPr>
          <w:rFonts w:ascii="Arial" w:cs="Arial" w:eastAsia="Arial" w:hAnsi="Arial"/>
          <w:sz w:val="18"/>
          <w:szCs w:val="18"/>
          <w:color w:val="auto"/>
        </w:rPr>
      </w:pPr>
    </w:p>
    <w:p>
      <w:pPr>
        <w:ind w:left="720" w:hanging="388"/>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inherent in entering markets or lines of business with which we have limited or no prior experience.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Acquisitions outside the U.S. may present added unique challenges and increase our exposure to risks associated with foreign operations, including foreign currency risks and risks associated with local regulatory regimes.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For divestitures, our ability to meet our objectives may depend in part on our ability to identify suitable buyers, negotiate favorable financial and other contractual terms and obtain all necessary regulatory approvals on the terms expected. Potential risks of divestitures may also include the inability to separate divested businesses or business units effectively and efficiently from our existing business operations and to reduce or eliminate associated overhead costs.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Disruption to our supply chain could adversely affect our business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manufacture and/or sell our products may be impaired by damage or disruption to our manufacturing or distribution capabilities, or to the capabilities of our suppliers or contract manufacturers, due to factors that are hard to predict or beyond our control, such as product or raw material scarcity, adverse weather conditions, natural disasters, fire, terrorism, pandemics, strikes or other events. Production of the agricultural commodities used in our business may also be adversely affected</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314" w:right="239" w:bottom="1440" w:gutter="0" w:footer="0" w:header="0"/>
          <w:type w:val="continuous"/>
        </w:sectPr>
      </w:pPr>
    </w:p>
    <w:bookmarkStart w:id="6" w:name="page7"/>
    <w:bookmarkEnd w:id="6"/>
    <w:p>
      <w:pPr>
        <w:jc w:val="both"/>
        <w:spacing w:after="0" w:line="257" w:lineRule="auto"/>
        <w:rPr>
          <w:sz w:val="20"/>
          <w:szCs w:val="20"/>
          <w:color w:val="auto"/>
        </w:rPr>
      </w:pPr>
      <w:r>
        <w:rPr>
          <w:rFonts w:ascii="Arial" w:cs="Arial" w:eastAsia="Arial" w:hAnsi="Arial"/>
          <w:sz w:val="18"/>
          <w:szCs w:val="18"/>
          <w:color w:val="auto"/>
        </w:rPr>
        <w:t>by drought, water scarcity, temperature extremes, scarcity of suitable agricultural land, scarcity of organic ingredients, crop size, cattle cycles, crop disease and/or crop pests. Failure to take adequate steps to mitigate the likelihood or potential impact of such events, or to effectively manage such events if they occur, may adversely affect our business or financial results, particularly in circumstances when a product is sourced from a single supplier or location. Disputes with significant suppliers or contract manufacturers, including disputes regarding pricing or performance, may also adversely affect our ability to manufacture and/or sell our products, as well as our business or financial results.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non-U.S. operations pose additional risks to our business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2017, approximately 19% of our consolidated net sales were generated outside of the U.S. Sales outside the U.S. are expected to continue to represent a significant portion of consolidated net sales. Our business or financial condition may be adversely affected due to the risks of doing business in markets outside of the U.S., including but not limited to the following:</w:t>
      </w:r>
    </w:p>
    <w:p>
      <w:pPr>
        <w:spacing w:after="0" w:line="154" w:lineRule="exact"/>
        <w:rPr>
          <w:sz w:val="20"/>
          <w:szCs w:val="20"/>
          <w:color w:val="auto"/>
        </w:rPr>
      </w:pPr>
    </w:p>
    <w:p>
      <w:pPr>
        <w:ind w:left="720" w:hanging="388"/>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changes in tariffs, quotas, trade barriers or other export and import restrictions;</w:t>
      </w:r>
    </w:p>
    <w:p>
      <w:pPr>
        <w:spacing w:after="0" w:line="18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and/or costs of complying with a wide variety of laws, treaties and regulations, including anti-corruption laws and regulations such as the U.S. Foreign Corrupt Practices Act;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and/or costs of designing and implementing an effective control environment across diverse regions and employee bases;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adverse impact of foreign tax treaties and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political or economic instability, including the possibility of civil unrest, public corruption, armed hostilities or terrorist acts;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nationalization of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difficulty of enforcing remedies and protecting intellectual property in various jurisdictions;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the transfer of funds to and from countries outside of the U.S., including potential adverse tax consequences.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hold assets and incur liabilities, generate revenue, and pay expenses in a variety of currencies other than the U.S. dollar, primarily the Australian dollar and the Canadian dollar. Our consolidated financial statements are presented in U.S. dollars, and we must translate our assets, liabilities, sales and expenses into U.S. dollars for external reporting purposes. As a result, changes in the value of the U.S. dollar due to fluctuations in currency exchange rates or currency exchange controls may materially and adversely affect the value of these items in our consolidated financial statements, even if their value has not changed in their local currency.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results may be adversely impacted by increases in the price of raw and packaging materials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raw and packaging materials used in our business include tomato paste, grains, beef, poultry, dairy, vegetables, steel, glass, paper and resin. Many of these materials are subject to price fluctuations from a number of factors, including changes in crop size, cattle cycles, crop disease and/or crop pests, product scarcity, demand for raw materials, commodity market speculation, energy costs, currency fluctuations, government-sponsored agricultural programs, import and export requirements, drought, water scarcity, temperature extremes, scarcity of suitable agricultural land, scarcity of organic ingredients and other factors that may be beyond our control. To the extent any of these factors result in an increase in raw and packaging material prices, we may not be able to offset such increases through productivity or price increases or through our commodity hedging activity.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Price increases may not be sufficient to cover increased costs, or may result in declines in sales volume due to pricing elasticity in the marketplace</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to pass along to customers some or all cost increases in raw and packaging materials and other inputs through increases in the selling prices of, or decreases in the packaging sizes of, some of our products. Higher product prices or smaller packaging sizes may result in reductions in sales volume. To the extent the price increases or packaging size decreases are not sufficient to offset increased raw and packaging materials and other input costs, and/or if they result in significant decreases in sales volume, our business results and financial condition may be adversely affected.</w:t>
      </w:r>
    </w:p>
    <w:p>
      <w:pPr>
        <w:spacing w:after="0" w:line="3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our food products become adulterated or are mislabeled, we might need to recall those items, and we may experience product liability claims and damage to our reputation</w:t>
      </w:r>
    </w:p>
    <w:p>
      <w:pPr>
        <w:spacing w:after="0" w:line="1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in the past and we may, in the future, need to recall some of our products if they become adulterated or if they are mislabeled, and we may also be liable if the consumption of any of our products causes injury to consumers. A widespread product recall could result in significant losses due to the costs of a recall, the destruction of product inventory, and lost sales due to the unavailability of product for a period of time. We could also suffer losses from a significant adverse product liability judgment. A significant product recall or product liability claim could also result in adverse publicity, damage to our reputation, and a loss of consumer confidence in the safety and/or quality of our products, ingredients or packaging. In addition, if another company recalls or experiences negative publicity related to a product in a category in which we compete, consumers might reduce their overall consumption of products in this category.</w:t>
      </w:r>
    </w:p>
    <w:p>
      <w:pPr>
        <w:sectPr>
          <w:pgSz w:w="11900" w:h="16838" w:orient="portrait"/>
          <w:cols w:equalWidth="0" w:num="1">
            <w:col w:w="11420"/>
          </w:cols>
          <w:pgMar w:left="240" w:top="1314" w:right="239" w:bottom="1440" w:gutter="0" w:footer="0" w:header="0"/>
        </w:sect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1314" w:right="2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results may be adversely impacted if consumers do not maintain their favorable perception of our brands</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a number of iconic brands with significant value. Maintaining and continually enhancing the value of these brands is critical to the success of our business. Brand value is based in large part on consumer perceptions. Success in promoting and enhancing brand value depends in large part on our ability to provide high-quality products. Brand value could diminish significantly due to a number of factors, including consumer perception that we have acted in an irresponsible manner, adverse publicity about our products, packaging and/or ingredients (whether or not valid), our failure to maintain the quality of our products, the failure of our products to deliver consistently positive consumer experiences, or the products becoming unavailable to consumers. The growing use of social and digital media by consumers increases the speed and extent that information and opinions can be shared. Negative posts or comments about us, our brands, products or packaging on social or digital media could seriously damage our brands and reputation. If we do not maintain the favorable perception of our brands, our results could be adversely impacted.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inadequacies in, or security breaches of, our information technology systems</w:t>
      </w:r>
    </w:p>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information technology systems are critically important to our operations. We rely on our information technology systems (some of which are outsourced to third parties) to manage the data, communications and business processes for all of our functions, including our marketing, sales, manufacturing, logistics, customer service, accounting and administrative functions. If we do not allocate and effectively manage the resources necessary to build, sustain and protect an appropriate technology infrastructure, our business or financial results could be adversely impacted. Furthermore, our information technology systems may be vulnerable to material security breaches (including the access to or acquisition of customer, consumer or other confidential data), cyber-based attacks or other material system failures. We periodically test our systems to attempt to detect vulnerabilities. If we are unable to prevent or adequately respond to and resolve these events, our operations may be impacted, and we may suffer other adverse consequences such as reputational damage, litigation, remediation costs and/or penalties under various data privacy laws and regulations. Although unauthorized users have attempted and continue to attempt to infiltrate our information technology systems, we are not aware of a material security breach and all immaterial security breaches we have detected have been successfully remediated.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 impairment of the carrying value of goodwill or other indefinite-lived intangible assets could adversely affect our financial results and net worth</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July 30, 2017, we had goodwill of $2.115 billion and other indefinite-lived intangible assets of $912 million. Goodwill and indefinite-lived intangible assets are initially recorded at fair value and not amortized, but are tested for impairment at least annually or more frequently if impairment indicators arise. We test goodwill at the reporting unit level by comparing the carrying value of the net assets of the reporting unit, including goodwill, to the unit's fair value. Similarly, we test indefinite-lived intangible assets by comparing the fair value of the assets to their carrying values. Fair value for both goodwill and other indefinite-lived intangible assets is determined based on a discounted cash flow analysis. If the carrying values of the reporting unit or indefinite-lived intangible assets exceed their fair value, the goodwill or indefinite-lived intangible assets are considered impaired and reduced to fair value. Factors that could result in an impairment include a change in revenue growth rates, operating margins, weighted average cost of capital, future economic and market conditions or assumed royalty rates. See "Significant Accounting Estimates" for additional information on past impairments. We may be required in the future to record additional impairment of the carrying value of goodwill or other indefinite-lived intangible assets, which could adversely affect our financial results and net worth.</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rights are valuable, and any inability to protect them could reduce the value of our products and brands</w:t>
      </w:r>
    </w:p>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consider our intellectual property rights, particularly our trademarks, to be a significant and valuable aspect of our business. We protect our intellectual property rights through a combination of trademark, patent, copyright and trade secret protection, contractual agreements and policing of third-party misuses of our intellectual property. Our failure to obtain or adequately protect our intellectual property or any change in law that lessens or removes the current legal protections of our intellectual property may diminish our competitiveness and adversely affect our business and financial results.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Competing intellectual property claims that impact our brands or products may arise unexpectedly. Any litigation or disputes regarding intellectual property may be costly and time-consuming and may divert the attention of our management and key personnel from our business operations. We also may be subject to significant damages or injunctions against development, launch and sale of certain products. Any of these occurrences may harm our business and financial results.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increased liabilities and costs related to our defined benefit pension plans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sponsor a number of defined benefit pension plans for certain employees in the U.S. and various non-U.S. locations. The major defined benefit pension plans are funded with trust assets invested in a globally diversified portfolio of securities and other investments. Changes in regulatory requirements or the market value of plan assets, investment returns, interest rates and mortality rates may affect the funded status of our defined benefit pension plans and cause volatility in the net periodic benefit cost, future funding requirements of the plans and the funded status as recorded on the balance sheet. A significant increase in our obligations or future funding requirements could have a material adverse effect on our financial results.</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31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We may not be able to attract and retain the highly skilled people we need to support our business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Market Conditions and Other General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related to recession, financial and credit market disruptions and other economic conditions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Customer and consumer demand for our products may be impacted by weak economic conditions, recession, equity market volatility or other negative economic factors in the U.S. or other nations. Similarly, disruptions in financial and/or credit markets may impact our ability to manage normal commercial relationships with our customers, suppliers and creditors. In addition, changes in tax or interest rates in the U.S. or other nations, whether due to recession, financial and credit market disruptions or other reasons, may adversely impact 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Adverse changes in the global climate or extreme weather conditions could adversely affect our business or operations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business or financial results could be adversely affected by changing global temperatures or weather patterns or by extreme or unusual weather conditions. Adverse changes in the global climate or extreme or unusual weather conditions could:</w:t>
      </w:r>
    </w:p>
    <w:p>
      <w:pPr>
        <w:spacing w:after="0" w:line="116"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unfavorably impact the cost or availability of raw or packaging materials, especially if such events have an adverse impact on agricultural productivity or on the supply of water;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 our ability, or the ability of our suppliers or contract manufacturers, to manufacture or distribute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disrupt the retail operations of our customers;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unfavorably impact the demand for, or the consumer's ability to purchase, our products.</w:t>
      </w:r>
    </w:p>
    <w:p>
      <w:pPr>
        <w:spacing w:after="0" w:line="17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In addition, there is growing concern that the release of carbon dioxide and other greenhouse gases into the atmosphere may be impacting global temperatures and weather patterns and contributing to extreme or unusual weather conditions. This growing concern may result in more regional, federal, and/or global legal and regulatory requirements to reduce or mitigate the effects of greenhouse gases. Adoption of such additional regulation may result in increased compliance costs, capital expenditures and other financial obligations that could adversely affect our business or financial results.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Legal and Regulatory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adversely impacted by legal and regulatory proceedings or claims</w:t>
      </w:r>
    </w:p>
    <w:p>
      <w:pPr>
        <w:spacing w:after="0" w:line="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party to a variety of legal and regulatory proceedings and claims arising out of the normal course of business. Since these actions are inherently uncertain, there is no guarantee that we will be successful in defending ourselves against such proceedings or claims, or that our assessment of the materiality or immateriality of these matters, including any reserves taken in connection with such matters, will be consistent with the ultimate outcome of such proceedings or claims. The marketing of food products has come under increased regulatory scrutiny in recent years, and the food industry has been subject to an increasing number of proceedings and claims relating to alleged false or deceptive marketing under federal, state and foreign laws or regulations. In addition, the independent contractor distribution model, which is used by Pepperidge Farm, has come under increased legal and regulatory scrutiny in recent years. We are a defendant in state law class action litigation challenging the independent contractor classification of a small percentage of the total Pepperidge Farm distribution network. We are contesting class certification and the merits as appropriate and plan to defend against these claims vigorously. In the event we are unable to successfully defend ourselves against these proceedings or claims, or if our assessment of the materiality of these proceedings or claims proves inaccurate, our business or financial results may be adversely affected. In addition, our reputation could be damaged by allegations made in proceedings or claims (even if untrue).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Increased regulation or changes in law could adversely affect our business or financial results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manufacture and marketing of food products is extensively regulated. Various laws and regulations govern the processing, packaging, storage, distribution, marketing, advertising, labeling, quality and safety of our food products, as well as the health and safety of our employees and the protection of the environment. In the U.S., we are subject to regulation by various government agencies, including the Food and Drug Administration, the Department of Agriculture, the Federal Trade Commission, the Occupational Safety and Health Administration and the Environmental Protection Agency, as well as various state and local agencies. We are also regulated by similar agencies outside the U.S.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Governmental and administrative bodies within the U.S. are considering a variety of tax, trade and other regulatory reforms. Changes in legal or regulatory requirements (such as new food safety requirements and revised nutrition facts labeling and serving</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10" w:right="239" w:bottom="1440" w:gutter="0" w:footer="0" w:header="0"/>
          <w:type w:val="continuous"/>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size regulations), or evolving interpretations of existing legal or regulatory requirements, may result in increased compliance cost, capital expenditures and other financial obligations that could adversely affect our business or financial results.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executive offices are company-owned and located in Camden, New Jersey. The following table sets forth our principal manufacturing facilities and the business segment that primarily uses each of the facilities: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Manufacturing Facilities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Inside the U.S.</w:t>
            </w:r>
          </w:p>
        </w:tc>
        <w:tc>
          <w:tcPr>
            <w:tcW w:w="3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California</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Michigan</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Texas</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Bakersfield (CF)</w:t>
            </w:r>
          </w:p>
        </w:tc>
        <w:tc>
          <w:tcPr>
            <w:tcW w:w="3040" w:type="dxa"/>
            <w:vAlign w:val="bottom"/>
          </w:tcPr>
          <w:p>
            <w:pPr>
              <w:ind w:left="380"/>
              <w:spacing w:after="0"/>
              <w:rPr>
                <w:sz w:val="20"/>
                <w:szCs w:val="20"/>
                <w:color w:val="auto"/>
              </w:rPr>
            </w:pPr>
            <w:r>
              <w:rPr>
                <w:rFonts w:ascii="Arial" w:cs="Arial" w:eastAsia="Arial" w:hAnsi="Arial"/>
                <w:sz w:val="18"/>
                <w:szCs w:val="18"/>
                <w:color w:val="auto"/>
              </w:rPr>
              <w:t>Ferndale (CF)</w:t>
            </w:r>
          </w:p>
        </w:tc>
        <w:tc>
          <w:tcPr>
            <w:tcW w:w="3200" w:type="dxa"/>
            <w:vAlign w:val="bottom"/>
          </w:tcPr>
          <w:p>
            <w:pPr>
              <w:ind w:left="1100"/>
              <w:spacing w:after="0"/>
              <w:rPr>
                <w:sz w:val="20"/>
                <w:szCs w:val="20"/>
                <w:color w:val="auto"/>
              </w:rPr>
            </w:pPr>
            <w:r>
              <w:rPr>
                <w:rFonts w:ascii="Arial" w:cs="Arial" w:eastAsia="Arial" w:hAnsi="Arial"/>
                <w:sz w:val="18"/>
                <w:szCs w:val="18"/>
                <w:color w:val="auto"/>
              </w:rPr>
              <w:t>Paris (ASMB)</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Dixon (ASMB)</w:t>
            </w:r>
          </w:p>
        </w:tc>
        <w:tc>
          <w:tcPr>
            <w:tcW w:w="3040" w:type="dxa"/>
            <w:vAlign w:val="bottom"/>
          </w:tcPr>
          <w:p>
            <w:pPr>
              <w:ind w:left="380"/>
              <w:spacing w:after="0"/>
              <w:rPr>
                <w:sz w:val="20"/>
                <w:szCs w:val="20"/>
                <w:color w:val="auto"/>
              </w:rPr>
            </w:pPr>
            <w:r>
              <w:rPr>
                <w:rFonts w:ascii="Arial" w:cs="Arial" w:eastAsia="Arial" w:hAnsi="Arial"/>
                <w:sz w:val="18"/>
                <w:szCs w:val="18"/>
                <w:color w:val="auto"/>
              </w:rPr>
              <w:t>Grand Rapids (CF)</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Utah</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Stockton (ASMB)</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New Jersey</w:t>
            </w:r>
          </w:p>
        </w:tc>
        <w:tc>
          <w:tcPr>
            <w:tcW w:w="3200" w:type="dxa"/>
            <w:vAlign w:val="bottom"/>
          </w:tcPr>
          <w:p>
            <w:pPr>
              <w:ind w:left="1100"/>
              <w:spacing w:after="0"/>
              <w:rPr>
                <w:sz w:val="20"/>
                <w:szCs w:val="20"/>
                <w:color w:val="auto"/>
              </w:rPr>
            </w:pPr>
            <w:r>
              <w:rPr>
                <w:rFonts w:ascii="Arial" w:cs="Arial" w:eastAsia="Arial" w:hAnsi="Arial"/>
                <w:sz w:val="18"/>
                <w:szCs w:val="18"/>
                <w:color w:val="auto"/>
              </w:rPr>
              <w:t>Richmond (GBS)</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Connecticut</w:t>
            </w:r>
          </w:p>
        </w:tc>
        <w:tc>
          <w:tcPr>
            <w:tcW w:w="3040" w:type="dxa"/>
            <w:vAlign w:val="bottom"/>
          </w:tcPr>
          <w:p>
            <w:pPr>
              <w:ind w:left="380"/>
              <w:spacing w:after="0"/>
              <w:rPr>
                <w:sz w:val="20"/>
                <w:szCs w:val="20"/>
                <w:color w:val="auto"/>
              </w:rPr>
            </w:pPr>
            <w:r>
              <w:rPr>
                <w:rFonts w:ascii="Arial" w:cs="Arial" w:eastAsia="Arial" w:hAnsi="Arial"/>
                <w:sz w:val="18"/>
                <w:szCs w:val="18"/>
                <w:color w:val="auto"/>
              </w:rPr>
              <w:t>East Brunswick (GBS)</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Washington</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Bloomfield (GBS)</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North Carolina</w:t>
            </w:r>
          </w:p>
        </w:tc>
        <w:tc>
          <w:tcPr>
            <w:tcW w:w="3200" w:type="dxa"/>
            <w:vAlign w:val="bottom"/>
          </w:tcPr>
          <w:p>
            <w:pPr>
              <w:ind w:left="1100"/>
              <w:spacing w:after="0"/>
              <w:rPr>
                <w:sz w:val="20"/>
                <w:szCs w:val="20"/>
                <w:color w:val="auto"/>
              </w:rPr>
            </w:pPr>
            <w:r>
              <w:rPr>
                <w:rFonts w:ascii="Arial" w:cs="Arial" w:eastAsia="Arial" w:hAnsi="Arial"/>
                <w:sz w:val="18"/>
                <w:szCs w:val="18"/>
                <w:color w:val="auto"/>
              </w:rPr>
              <w:t>Everett (CF)</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Florida</w:t>
            </w:r>
          </w:p>
        </w:tc>
        <w:tc>
          <w:tcPr>
            <w:tcW w:w="3040" w:type="dxa"/>
            <w:vAlign w:val="bottom"/>
          </w:tcPr>
          <w:p>
            <w:pPr>
              <w:ind w:left="380"/>
              <w:spacing w:after="0"/>
              <w:rPr>
                <w:sz w:val="20"/>
                <w:szCs w:val="20"/>
                <w:color w:val="auto"/>
              </w:rPr>
            </w:pPr>
            <w:r>
              <w:rPr>
                <w:rFonts w:ascii="Arial" w:cs="Arial" w:eastAsia="Arial" w:hAnsi="Arial"/>
                <w:sz w:val="18"/>
                <w:szCs w:val="18"/>
                <w:color w:val="auto"/>
              </w:rPr>
              <w:t>Maxton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Prosser (CF)</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Lakeland (GBS)</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Ohio</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Wisconsin</w:t>
            </w: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Illinois</w:t>
            </w:r>
          </w:p>
        </w:tc>
        <w:tc>
          <w:tcPr>
            <w:tcW w:w="3040" w:type="dxa"/>
            <w:vAlign w:val="bottom"/>
          </w:tcPr>
          <w:p>
            <w:pPr>
              <w:ind w:left="380"/>
              <w:spacing w:after="0"/>
              <w:rPr>
                <w:sz w:val="20"/>
                <w:szCs w:val="20"/>
                <w:color w:val="auto"/>
              </w:rPr>
            </w:pPr>
            <w:r>
              <w:rPr>
                <w:rFonts w:ascii="Arial" w:cs="Arial" w:eastAsia="Arial" w:hAnsi="Arial"/>
                <w:sz w:val="18"/>
                <w:szCs w:val="18"/>
                <w:color w:val="auto"/>
              </w:rPr>
              <w:t>Napoleon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Milwaukee (ASMB)</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Downers Grove (GBS)</w:t>
            </w:r>
          </w:p>
        </w:tc>
        <w:tc>
          <w:tcPr>
            <w:tcW w:w="3040" w:type="dxa"/>
            <w:vAlign w:val="bottom"/>
          </w:tcPr>
          <w:p>
            <w:pPr>
              <w:ind w:left="380"/>
              <w:spacing w:after="0"/>
              <w:rPr>
                <w:sz w:val="20"/>
                <w:szCs w:val="20"/>
                <w:color w:val="auto"/>
              </w:rPr>
            </w:pPr>
            <w:r>
              <w:rPr>
                <w:rFonts w:ascii="Arial" w:cs="Arial" w:eastAsia="Arial" w:hAnsi="Arial"/>
                <w:sz w:val="18"/>
                <w:szCs w:val="18"/>
                <w:color w:val="auto"/>
              </w:rPr>
              <w:t>Willard (GBS)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Pennsylvania</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40" w:type="dxa"/>
            <w:vAlign w:val="bottom"/>
          </w:tcPr>
          <w:p>
            <w:pPr>
              <w:ind w:left="380"/>
              <w:spacing w:after="0"/>
              <w:rPr>
                <w:sz w:val="20"/>
                <w:szCs w:val="20"/>
                <w:color w:val="auto"/>
              </w:rPr>
            </w:pPr>
            <w:r>
              <w:rPr>
                <w:rFonts w:ascii="Arial" w:cs="Arial" w:eastAsia="Arial" w:hAnsi="Arial"/>
                <w:sz w:val="18"/>
                <w:szCs w:val="18"/>
                <w:color w:val="auto"/>
              </w:rPr>
              <w:t>Denver (GBS)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3040" w:type="dxa"/>
            <w:vAlign w:val="bottom"/>
          </w:tcPr>
          <w:p>
            <w:pPr>
              <w:ind w:left="380"/>
              <w:spacing w:after="0"/>
              <w:rPr>
                <w:sz w:val="20"/>
                <w:szCs w:val="20"/>
                <w:color w:val="auto"/>
              </w:rPr>
            </w:pPr>
            <w:r>
              <w:rPr>
                <w:rFonts w:ascii="Arial" w:cs="Arial" w:eastAsia="Arial" w:hAnsi="Arial"/>
                <w:sz w:val="18"/>
                <w:szCs w:val="18"/>
                <w:color w:val="auto"/>
              </w:rPr>
              <w:t>Downingtown (GBS)</w:t>
            </w:r>
          </w:p>
        </w:tc>
        <w:tc>
          <w:tcPr>
            <w:tcW w:w="3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5"/>
        </w:trPr>
        <w:tc>
          <w:tcPr>
            <w:tcW w:w="3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Outside the U.S.</w:t>
            </w:r>
          </w:p>
        </w:tc>
        <w:tc>
          <w:tcPr>
            <w:tcW w:w="30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2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Australia</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Canada</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Indonesia</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Huntingwood (GBS)</w:t>
            </w:r>
          </w:p>
        </w:tc>
        <w:tc>
          <w:tcPr>
            <w:tcW w:w="3040" w:type="dxa"/>
            <w:vAlign w:val="bottom"/>
          </w:tcPr>
          <w:p>
            <w:pPr>
              <w:ind w:left="380"/>
              <w:spacing w:after="0"/>
              <w:rPr>
                <w:sz w:val="20"/>
                <w:szCs w:val="20"/>
                <w:color w:val="auto"/>
              </w:rPr>
            </w:pPr>
            <w:r>
              <w:rPr>
                <w:rFonts w:ascii="Arial" w:cs="Arial" w:eastAsia="Arial" w:hAnsi="Arial"/>
                <w:sz w:val="18"/>
                <w:szCs w:val="18"/>
                <w:color w:val="auto"/>
              </w:rPr>
              <w:t>Toronto (ASMB)</w:t>
            </w:r>
          </w:p>
        </w:tc>
        <w:tc>
          <w:tcPr>
            <w:tcW w:w="3200" w:type="dxa"/>
            <w:vAlign w:val="bottom"/>
          </w:tcPr>
          <w:p>
            <w:pPr>
              <w:ind w:left="1100"/>
              <w:spacing w:after="0"/>
              <w:rPr>
                <w:sz w:val="20"/>
                <w:szCs w:val="20"/>
                <w:color w:val="auto"/>
              </w:rPr>
            </w:pPr>
            <w:r>
              <w:rPr>
                <w:rFonts w:ascii="Arial" w:cs="Arial" w:eastAsia="Arial" w:hAnsi="Arial"/>
                <w:sz w:val="18"/>
                <w:szCs w:val="18"/>
                <w:color w:val="auto"/>
              </w:rPr>
              <w:t>Jawa Barat (GBS)</w:t>
            </w:r>
          </w:p>
        </w:tc>
        <w:tc>
          <w:tcPr>
            <w:tcW w:w="0" w:type="dxa"/>
            <w:vAlign w:val="bottom"/>
          </w:tcPr>
          <w:p>
            <w:pPr>
              <w:spacing w:after="0"/>
              <w:rPr>
                <w:sz w:val="1"/>
                <w:szCs w:val="1"/>
                <w:color w:val="auto"/>
              </w:rPr>
            </w:pPr>
          </w:p>
        </w:tc>
      </w:tr>
      <w:tr>
        <w:trPr>
          <w:trHeight w:val="270"/>
        </w:trPr>
        <w:tc>
          <w:tcPr>
            <w:tcW w:w="3820" w:type="dxa"/>
            <w:vAlign w:val="bottom"/>
          </w:tcPr>
          <w:p>
            <w:pPr>
              <w:ind w:left="200"/>
              <w:spacing w:after="0"/>
              <w:rPr>
                <w:sz w:val="20"/>
                <w:szCs w:val="20"/>
                <w:color w:val="auto"/>
              </w:rPr>
            </w:pPr>
            <w:r>
              <w:rPr>
                <w:rFonts w:ascii="Arial" w:cs="Arial" w:eastAsia="Arial" w:hAnsi="Arial"/>
                <w:sz w:val="18"/>
                <w:szCs w:val="18"/>
                <w:color w:val="auto"/>
              </w:rPr>
              <w:t>Marleston (GBS)</w:t>
            </w:r>
          </w:p>
        </w:tc>
        <w:tc>
          <w:tcPr>
            <w:tcW w:w="304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Denmark</w:t>
            </w:r>
          </w:p>
        </w:tc>
        <w:tc>
          <w:tcPr>
            <w:tcW w:w="3200" w:type="dxa"/>
            <w:vAlign w:val="bottom"/>
          </w:tcPr>
          <w:p>
            <w:pPr>
              <w:ind w:left="1020"/>
              <w:spacing w:after="0"/>
              <w:rPr>
                <w:sz w:val="20"/>
                <w:szCs w:val="20"/>
                <w:color w:val="auto"/>
              </w:rPr>
            </w:pPr>
            <w:r>
              <w:rPr>
                <w:rFonts w:ascii="Arial" w:cs="Arial" w:eastAsia="Arial" w:hAnsi="Arial"/>
                <w:sz w:val="18"/>
                <w:szCs w:val="18"/>
                <w:b w:val="1"/>
                <w:bCs w:val="1"/>
                <w:i w:val="1"/>
                <w:iCs w:val="1"/>
                <w:color w:val="auto"/>
              </w:rPr>
              <w:t>Malaysia</w:t>
            </w:r>
          </w:p>
        </w:tc>
        <w:tc>
          <w:tcPr>
            <w:tcW w:w="0" w:type="dxa"/>
            <w:vAlign w:val="bottom"/>
          </w:tcPr>
          <w:p>
            <w:pPr>
              <w:spacing w:after="0"/>
              <w:rPr>
                <w:sz w:val="1"/>
                <w:szCs w:val="1"/>
                <w:color w:val="auto"/>
              </w:rPr>
            </w:pPr>
          </w:p>
        </w:tc>
      </w:tr>
      <w:tr>
        <w:trPr>
          <w:trHeight w:val="351"/>
        </w:trPr>
        <w:tc>
          <w:tcPr>
            <w:tcW w:w="3820" w:type="dxa"/>
            <w:vAlign w:val="bottom"/>
            <w:vMerge w:val="restart"/>
          </w:tcPr>
          <w:p>
            <w:pPr>
              <w:ind w:left="200"/>
              <w:spacing w:after="0"/>
              <w:rPr>
                <w:sz w:val="20"/>
                <w:szCs w:val="20"/>
                <w:color w:val="auto"/>
              </w:rPr>
            </w:pPr>
            <w:r>
              <w:rPr>
                <w:rFonts w:ascii="Arial" w:cs="Arial" w:eastAsia="Arial" w:hAnsi="Arial"/>
                <w:sz w:val="18"/>
                <w:szCs w:val="18"/>
                <w:color w:val="auto"/>
              </w:rPr>
              <w:t>Shepparton (GBS)</w:t>
            </w:r>
          </w:p>
        </w:tc>
        <w:tc>
          <w:tcPr>
            <w:tcW w:w="3040" w:type="dxa"/>
            <w:vAlign w:val="bottom"/>
          </w:tcPr>
          <w:p>
            <w:pPr>
              <w:ind w:left="380"/>
              <w:spacing w:after="0"/>
              <w:rPr>
                <w:sz w:val="20"/>
                <w:szCs w:val="20"/>
                <w:color w:val="auto"/>
              </w:rPr>
            </w:pPr>
            <w:r>
              <w:rPr>
                <w:rFonts w:ascii="Arial" w:cs="Arial" w:eastAsia="Arial" w:hAnsi="Arial"/>
                <w:sz w:val="18"/>
                <w:szCs w:val="18"/>
                <w:color w:val="auto"/>
              </w:rPr>
              <w:t>Nørre Snede (GBS)</w:t>
            </w:r>
          </w:p>
        </w:tc>
        <w:tc>
          <w:tcPr>
            <w:tcW w:w="3200" w:type="dxa"/>
            <w:vAlign w:val="bottom"/>
            <w:vMerge w:val="restart"/>
          </w:tcPr>
          <w:p>
            <w:pPr>
              <w:ind w:left="1100"/>
              <w:spacing w:after="0"/>
              <w:rPr>
                <w:sz w:val="20"/>
                <w:szCs w:val="20"/>
                <w:color w:val="auto"/>
              </w:rPr>
            </w:pPr>
            <w:r>
              <w:rPr>
                <w:rFonts w:ascii="Arial" w:cs="Arial" w:eastAsia="Arial" w:hAnsi="Arial"/>
                <w:sz w:val="18"/>
                <w:szCs w:val="18"/>
                <w:color w:val="auto"/>
                <w:w w:val="89"/>
              </w:rPr>
              <w:t>Selangor Darul Ehsan (GBS)</w:t>
            </w: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51"/>
        </w:trPr>
        <w:tc>
          <w:tcPr>
            <w:tcW w:w="3820" w:type="dxa"/>
            <w:vAlign w:val="bottom"/>
            <w:vMerge w:val="restart"/>
          </w:tcPr>
          <w:p>
            <w:pPr>
              <w:ind w:left="200"/>
              <w:spacing w:after="0"/>
              <w:rPr>
                <w:sz w:val="20"/>
                <w:szCs w:val="20"/>
                <w:color w:val="auto"/>
              </w:rPr>
            </w:pPr>
            <w:r>
              <w:rPr>
                <w:rFonts w:ascii="Arial" w:cs="Arial" w:eastAsia="Arial" w:hAnsi="Arial"/>
                <w:sz w:val="18"/>
                <w:szCs w:val="18"/>
                <w:color w:val="auto"/>
              </w:rPr>
              <w:t>Virginia (GBS)</w:t>
            </w:r>
          </w:p>
        </w:tc>
        <w:tc>
          <w:tcPr>
            <w:tcW w:w="3040" w:type="dxa"/>
            <w:vAlign w:val="bottom"/>
          </w:tcPr>
          <w:p>
            <w:pPr>
              <w:ind w:left="380"/>
              <w:spacing w:after="0"/>
              <w:rPr>
                <w:sz w:val="20"/>
                <w:szCs w:val="20"/>
                <w:color w:val="auto"/>
              </w:rPr>
            </w:pPr>
            <w:r>
              <w:rPr>
                <w:rFonts w:ascii="Arial" w:cs="Arial" w:eastAsia="Arial" w:hAnsi="Arial"/>
                <w:sz w:val="18"/>
                <w:szCs w:val="18"/>
                <w:color w:val="auto"/>
              </w:rPr>
              <w:t>Ribe (GBS)</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820" w:type="dxa"/>
            <w:vAlign w:val="bottom"/>
            <w:vMerge w:val="continue"/>
          </w:tcPr>
          <w:p>
            <w:pPr>
              <w:spacing w:after="0"/>
              <w:rPr>
                <w:sz w:val="7"/>
                <w:szCs w:val="7"/>
                <w:color w:val="auto"/>
              </w:rPr>
            </w:pPr>
          </w:p>
        </w:tc>
        <w:tc>
          <w:tcPr>
            <w:tcW w:w="3040" w:type="dxa"/>
            <w:vAlign w:val="bottom"/>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6"/>
                <w:szCs w:val="16"/>
                <w:color w:val="auto"/>
              </w:rPr>
              <w:t>______________________________</w:t>
            </w:r>
          </w:p>
        </w:tc>
        <w:tc>
          <w:tcPr>
            <w:tcW w:w="304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w w:val="99"/>
              </w:rPr>
              <w:t>ASMB - Americas Simple Meals and Beverages</w:t>
            </w:r>
          </w:p>
        </w:tc>
        <w:tc>
          <w:tcPr>
            <w:tcW w:w="3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GBS - Global Biscuits and Snacks</w:t>
            </w:r>
          </w:p>
        </w:tc>
        <w:tc>
          <w:tcPr>
            <w:tcW w:w="304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CF - Campbell Fresh</w:t>
            </w:r>
          </w:p>
        </w:tc>
        <w:tc>
          <w:tcPr>
            <w:tcW w:w="30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the foregoing manufacturing facilities is company-owned, except the Selangor Darul Ehsan, Malaysia, and the East Brunswick, New Jersey, facilities, which are leased. We also maintain principal business unit offices in Norwalk, Connecticut; Santa Monica, California; Emeryville, California; Toronto, Canada; Nørre Snede, Denmark; and North Strathfield, Australia.</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believe that our manufacturing and processing plants are well maintained and, together with facilities operated by our contract manufacturers, are generally adequate to support the current operations of the businesses.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314"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list of our executive officers as of September 20, 2017:</w:t>
      </w:r>
    </w:p>
    <w:p>
      <w:pPr>
        <w:spacing w:after="0" w:line="150"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Year First</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Appointed</w:t>
            </w:r>
          </w:p>
        </w:tc>
        <w:tc>
          <w:tcPr>
            <w:tcW w:w="0" w:type="dxa"/>
            <w:vAlign w:val="bottom"/>
          </w:tcPr>
          <w:p>
            <w:pPr>
              <w:spacing w:after="0"/>
              <w:rPr>
                <w:sz w:val="1"/>
                <w:szCs w:val="1"/>
                <w:color w:val="auto"/>
              </w:rPr>
            </w:pPr>
          </w:p>
        </w:tc>
      </w:tr>
      <w:tr>
        <w:trPr>
          <w:trHeight w:val="149"/>
        </w:trPr>
        <w:tc>
          <w:tcPr>
            <w:tcW w:w="2200" w:type="dxa"/>
            <w:vAlign w:val="bottom"/>
            <w:gridSpan w:val="3"/>
            <w:vMerge w:val="restart"/>
          </w:tcPr>
          <w:p>
            <w:pPr>
              <w:ind w:left="1160"/>
              <w:spacing w:after="0"/>
              <w:rPr>
                <w:sz w:val="20"/>
                <w:szCs w:val="20"/>
                <w:color w:val="auto"/>
              </w:rPr>
            </w:pPr>
            <w:r>
              <w:rPr>
                <w:rFonts w:ascii="Arial" w:cs="Arial" w:eastAsia="Arial" w:hAnsi="Arial"/>
                <w:sz w:val="14"/>
                <w:szCs w:val="14"/>
                <w:b w:val="1"/>
                <w:bCs w:val="1"/>
                <w:color w:val="auto"/>
              </w:rPr>
              <w:t>Name</w:t>
            </w:r>
          </w:p>
        </w:tc>
        <w:tc>
          <w:tcPr>
            <w:tcW w:w="7380" w:type="dxa"/>
            <w:vAlign w:val="bottom"/>
            <w:gridSpan w:val="3"/>
            <w:vMerge w:val="restart"/>
          </w:tcPr>
          <w:p>
            <w:pPr>
              <w:ind w:left="2720"/>
              <w:spacing w:after="0"/>
              <w:rPr>
                <w:sz w:val="20"/>
                <w:szCs w:val="20"/>
                <w:color w:val="auto"/>
              </w:rPr>
            </w:pPr>
            <w:r>
              <w:rPr>
                <w:rFonts w:ascii="Arial" w:cs="Arial" w:eastAsia="Arial" w:hAnsi="Arial"/>
                <w:sz w:val="14"/>
                <w:szCs w:val="14"/>
                <w:b w:val="1"/>
                <w:bCs w:val="1"/>
                <w:color w:val="auto"/>
              </w:rPr>
              <w:t>Present Title &amp; Business Experience</w:t>
            </w:r>
          </w:p>
        </w:tc>
        <w:tc>
          <w:tcPr>
            <w:tcW w:w="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Age</w:t>
            </w:r>
          </w:p>
        </w:tc>
        <w:tc>
          <w:tcPr>
            <w:tcW w:w="11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1"/>
              </w:rPr>
              <w:t>Executive</w:t>
            </w:r>
          </w:p>
        </w:tc>
        <w:tc>
          <w:tcPr>
            <w:tcW w:w="0" w:type="dxa"/>
            <w:vAlign w:val="bottom"/>
          </w:tcPr>
          <w:p>
            <w:pPr>
              <w:spacing w:after="0"/>
              <w:rPr>
                <w:sz w:val="1"/>
                <w:szCs w:val="1"/>
                <w:color w:val="auto"/>
              </w:rPr>
            </w:pPr>
          </w:p>
        </w:tc>
      </w:tr>
      <w:tr>
        <w:trPr>
          <w:trHeight w:val="158"/>
        </w:trPr>
        <w:tc>
          <w:tcPr>
            <w:tcW w:w="2200" w:type="dxa"/>
            <w:vAlign w:val="bottom"/>
            <w:gridSpan w:val="3"/>
            <w:vMerge w:val="continue"/>
          </w:tcPr>
          <w:p>
            <w:pPr>
              <w:spacing w:after="0"/>
              <w:rPr>
                <w:sz w:val="13"/>
                <w:szCs w:val="13"/>
                <w:color w:val="auto"/>
              </w:rPr>
            </w:pPr>
          </w:p>
        </w:tc>
        <w:tc>
          <w:tcPr>
            <w:tcW w:w="7380" w:type="dxa"/>
            <w:vAlign w:val="bottom"/>
            <w:gridSpan w:val="3"/>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Officer</w:t>
            </w: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2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Mark R. Alexander</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8"/>
              </w:rPr>
              <w:t>Senior Vice President. We have employed Mr. Alexander in an executive or managerial</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capacity for at least five years.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2009</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Carlos J. Barroso</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 President and Founder of CJB and Associates, LLC, an R&amp;D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consulting firm (2009 - 2013).</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Edward L. Carolan</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Senior Vice President. We have employed Mr. Carolan in an executive or managerial</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capacity for at least five years.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Adam G. Ciongoli</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w w:val="93"/>
              </w:rPr>
              <w:t>Senior Vice President and General Counsel. Executive Vice President and General Counsel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w w:val="99"/>
              </w:rPr>
              <w:t>of Lincoln Financial Group (2012 - 2015) and Group General Counsel and Secretary of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Willis Group Holdings, PLC (2007 - 2012).</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Anthony P. DiSilvestro</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4"/>
              </w:rPr>
              <w:t>Senior Vice President and Chief Financial Officer. We have employed Mr. DiSilvestro in an</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executive or managerial capacity for at least five years.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2004</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Robert J. Furbee</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 We have employed Mr. Furbee in an executive or managerial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capacity for at least five years.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2017</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Bethmara Kessler</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7"/>
              </w:rPr>
              <w:t>Senior Vice President. Vice President of Campbell Soup Company (2014 - 2016), Senior</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5"/>
              </w:rPr>
              <w:t>Vice President of Warner Music Group (2013 - 2014) and Managing Director of The Fraud</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and Risk Advisory Group (2008 - 2013).</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2016</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Luca Mignini</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w w:val="97"/>
              </w:rPr>
              <w:t>Senior Vice President. Chief Executive Officer of the Findus Italy division of IGLO Group</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20" w:type="dxa"/>
            <w:vAlign w:val="bottom"/>
          </w:tcPr>
          <w:p>
            <w:pPr>
              <w:ind w:left="520"/>
              <w:spacing w:after="0"/>
              <w:rPr>
                <w:sz w:val="20"/>
                <w:szCs w:val="20"/>
                <w:color w:val="auto"/>
              </w:rPr>
            </w:pPr>
            <w:r>
              <w:rPr>
                <w:rFonts w:ascii="Arial" w:cs="Arial" w:eastAsia="Arial" w:hAnsi="Arial"/>
                <w:sz w:val="18"/>
                <w:szCs w:val="18"/>
                <w:color w:val="auto"/>
              </w:rPr>
              <w:t>(2010 - 2012).</w:t>
            </w:r>
          </w:p>
        </w:tc>
        <w:tc>
          <w:tcPr>
            <w:tcW w:w="2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Denise M. Morrison</w:t>
            </w:r>
          </w:p>
        </w:tc>
        <w:tc>
          <w:tcPr>
            <w:tcW w:w="738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5"/>
              </w:rPr>
              <w:t>President and Chief Executive Officer. We have employed Ms. Morrison in an executive or</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38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managerial capacity for at least five years.</w:t>
            </w:r>
          </w:p>
        </w:tc>
        <w:tc>
          <w:tcPr>
            <w:tcW w:w="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center"/>
              <w:ind w:left="254"/>
              <w:spacing w:after="0"/>
              <w:rPr>
                <w:sz w:val="20"/>
                <w:szCs w:val="20"/>
                <w:color w:val="auto"/>
              </w:rPr>
            </w:pPr>
            <w:r>
              <w:rPr>
                <w:rFonts w:ascii="Arial" w:cs="Arial" w:eastAsia="Arial" w:hAnsi="Arial"/>
                <w:sz w:val="18"/>
                <w:szCs w:val="18"/>
                <w:color w:val="auto"/>
                <w:w w:val="89"/>
              </w:rPr>
              <w:t>2003</w:t>
            </w:r>
          </w:p>
        </w:tc>
        <w:tc>
          <w:tcPr>
            <w:tcW w:w="3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200" w:type="dxa"/>
            <w:vAlign w:val="bottom"/>
            <w:gridSpan w:val="3"/>
          </w:tcPr>
          <w:p>
            <w:pPr>
              <w:ind w:left="40"/>
              <w:spacing w:after="0"/>
              <w:rPr>
                <w:sz w:val="20"/>
                <w:szCs w:val="20"/>
                <w:color w:val="auto"/>
              </w:rPr>
            </w:pPr>
            <w:r>
              <w:rPr>
                <w:rFonts w:ascii="Arial" w:cs="Arial" w:eastAsia="Arial" w:hAnsi="Arial"/>
                <w:sz w:val="18"/>
                <w:szCs w:val="18"/>
                <w:color w:val="auto"/>
              </w:rPr>
              <w:t>Robert W. Morrissey</w:t>
            </w: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Senior Vice President and Chief Human Resources Officer. We have employed Mr.</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80" w:type="dxa"/>
            <w:vAlign w:val="bottom"/>
            <w:gridSpan w:val="3"/>
          </w:tcPr>
          <w:p>
            <w:pPr>
              <w:ind w:left="520"/>
              <w:spacing w:after="0"/>
              <w:rPr>
                <w:sz w:val="20"/>
                <w:szCs w:val="20"/>
                <w:color w:val="auto"/>
              </w:rPr>
            </w:pPr>
            <w:r>
              <w:rPr>
                <w:rFonts w:ascii="Arial" w:cs="Arial" w:eastAsia="Arial" w:hAnsi="Arial"/>
                <w:sz w:val="18"/>
                <w:szCs w:val="18"/>
                <w:color w:val="auto"/>
              </w:rPr>
              <w:t>Morrissey in an executive or managerial capacity for at least five years.</w:t>
            </w:r>
          </w:p>
        </w:tc>
        <w:tc>
          <w:tcPr>
            <w:tcW w:w="24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220" w:type="dxa"/>
            <w:vAlign w:val="bottom"/>
          </w:tcPr>
          <w:p>
            <w:pPr>
              <w:spacing w:after="0"/>
              <w:rPr>
                <w:sz w:val="20"/>
                <w:szCs w:val="20"/>
                <w:color w:val="auto"/>
              </w:rPr>
            </w:pPr>
          </w:p>
        </w:tc>
        <w:tc>
          <w:tcPr>
            <w:tcW w:w="780" w:type="dxa"/>
            <w:vAlign w:val="bottom"/>
            <w:gridSpan w:val="2"/>
          </w:tcPr>
          <w:p>
            <w:pPr>
              <w:jc w:val="center"/>
              <w:ind w:left="254"/>
              <w:spacing w:after="0"/>
              <w:rPr>
                <w:sz w:val="20"/>
                <w:szCs w:val="20"/>
                <w:color w:val="auto"/>
              </w:rPr>
            </w:pPr>
            <w:r>
              <w:rPr>
                <w:rFonts w:ascii="Arial" w:cs="Arial" w:eastAsia="Arial" w:hAnsi="Arial"/>
                <w:sz w:val="18"/>
                <w:szCs w:val="18"/>
                <w:color w:val="auto"/>
                <w:w w:val="89"/>
              </w:rPr>
              <w:t>2012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of the executive officers were appointed at the November 2016 meeting of the Board of Directors, except Mr. Furbee was appointed at the May 2017 meeting with this appointment being effective as of June 1, 2017.</w:t>
      </w:r>
    </w:p>
    <w:p>
      <w:pPr>
        <w:spacing w:after="0" w:line="112"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Capital Stock, Related Shareholder Matters and Issuer 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for Registrant’s Capital Stock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capital stock is listed and principally traded on the New York Stock Exchange. On September 20, 2017, there were 19,235 holders of record of our capital stock. Market price and dividend information with respect to our capital stock are set forth in Note 20 to the Consolidated Financial Statements. Future dividends will be dependent upon future earnings, financial requirements and other factors.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Return to Shareholders</w:t>
      </w:r>
      <w:r>
        <w:rPr>
          <w:rFonts w:ascii="Arial" w:cs="Arial" w:eastAsia="Arial" w:hAnsi="Arial"/>
          <w:sz w:val="25"/>
          <w:szCs w:val="25"/>
          <w:b w:val="1"/>
          <w:bCs w:val="1"/>
          <w:color w:val="auto"/>
          <w:vertAlign w:val="superscript"/>
        </w:rPr>
        <w:t>*</w:t>
      </w:r>
      <w:r>
        <w:rPr>
          <w:rFonts w:ascii="Arial" w:cs="Arial" w:eastAsia="Arial" w:hAnsi="Arial"/>
          <w:sz w:val="18"/>
          <w:szCs w:val="18"/>
          <w:b w:val="1"/>
          <w:bCs w:val="1"/>
          <w:color w:val="auto"/>
        </w:rPr>
        <w:t xml:space="preserve"> Performance Graph</w:t>
      </w:r>
    </w:p>
    <w:p>
      <w:pPr>
        <w:spacing w:after="0" w:line="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contained in this Return to Shareholders Performance Graph section shall not be deemed to be "soliciting material" or "filed" or incorporated by reference in future filings with the Securities and Exchange Commission, or subject to the liabilities of Section 18 of the Securities Exchange Act of 1934, as amended (the Exchange Act), except to the extent we specifically incorporate it by reference into a document filed under the Securities Exchange Act of 1933, as amended, or the Exchange Act.</w:t>
      </w:r>
    </w:p>
    <w:p>
      <w:pPr>
        <w:spacing w:after="0" w:line="13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following graph compares the cumulative total shareholder return (TSR) on our stock with the cumulative total return of the Standard &amp; Poor’s 500 Stock Index (the S&amp;P 500) and the Standard &amp; Poor’s Packaged Foods Index (the S&amp;P Packaged Foods Group). The graph assumes that $100 was invested on July 27, 2012, in each of our stock, the S&amp;P 500 and the S&amp;P Packaged Foods Group, and that all dividends were reinvested. The total cumulative dollar returns shown on the graph represent the value that such investments would have had on July 28, 2017.</w:t>
      </w:r>
    </w:p>
    <w:p>
      <w:pPr>
        <w:sectPr>
          <w:pgSz w:w="11900" w:h="16838" w:orient="portrait"/>
          <w:cols w:equalWidth="0" w:num="1">
            <w:col w:w="11420"/>
          </w:cols>
          <w:pgMar w:left="240" w:top="131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10" w:right="23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1255395</wp:posOffset>
            </wp:positionH>
            <wp:positionV relativeFrom="page">
              <wp:posOffset>791845</wp:posOffset>
            </wp:positionV>
            <wp:extent cx="5257165" cy="3430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25716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92" w:hanging="92"/>
        <w:spacing w:after="0"/>
        <w:tabs>
          <w:tab w:leader="none" w:pos="9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Stock appreciation plus dividend reinvestment.</w:t>
      </w:r>
    </w:p>
    <w:p>
      <w:pPr>
        <w:spacing w:after="0" w:line="207" w:lineRule="exact"/>
        <w:rPr>
          <w:sz w:val="20"/>
          <w:szCs w:val="20"/>
          <w:color w:val="auto"/>
        </w:rPr>
      </w:pPr>
    </w:p>
    <w:tbl>
      <w:tblPr>
        <w:tblLayout w:type="fixed"/>
        <w:tblInd w:w="32" w:type="dxa"/>
        <w:tblCellMar>
          <w:top w:w="0" w:type="dxa"/>
          <w:left w:w="0" w:type="dxa"/>
          <w:bottom w:w="0" w:type="dxa"/>
          <w:right w:w="0" w:type="dxa"/>
        </w:tblCellMar>
      </w:tblPr>
      <w:tr>
        <w:trPr>
          <w:trHeight w:val="192"/>
        </w:trPr>
        <w:tc>
          <w:tcPr>
            <w:tcW w:w="3840" w:type="dxa"/>
            <w:vAlign w:val="bottom"/>
            <w:tcBorders>
              <w:bottom w:val="single" w:sz="8" w:color="CCEEFF"/>
            </w:tcBorders>
          </w:tcPr>
          <w:p>
            <w:pPr>
              <w:spacing w:after="0"/>
              <w:rPr>
                <w:sz w:val="16"/>
                <w:szCs w:val="16"/>
                <w:color w:val="auto"/>
              </w:rPr>
            </w:pPr>
          </w:p>
        </w:tc>
        <w:tc>
          <w:tcPr>
            <w:tcW w:w="198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w:t>
            </w:r>
          </w:p>
        </w:tc>
        <w:tc>
          <w:tcPr>
            <w:tcW w:w="2780" w:type="dxa"/>
            <w:vAlign w:val="bottom"/>
            <w:tcBorders>
              <w:bottom w:val="single" w:sz="8" w:color="CCEEFF"/>
            </w:tcBorders>
            <w:gridSpan w:val="2"/>
            <w:shd w:val="clear" w:color="auto" w:fill="CCEEFF"/>
          </w:tcPr>
          <w:p>
            <w:pPr>
              <w:jc w:val="center"/>
              <w:ind w:left="1870"/>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182</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S&amp;P 500</w:t>
            </w:r>
          </w:p>
        </w:tc>
        <w:tc>
          <w:tcPr>
            <w:tcW w:w="2780" w:type="dxa"/>
            <w:vAlign w:val="bottom"/>
            <w:gridSpan w:val="2"/>
          </w:tcPr>
          <w:p>
            <w:pPr>
              <w:jc w:val="center"/>
              <w:ind w:left="1870"/>
              <w:spacing w:after="0"/>
              <w:rPr>
                <w:sz w:val="20"/>
                <w:szCs w:val="20"/>
                <w:color w:val="auto"/>
              </w:rPr>
            </w:pPr>
            <w:r>
              <w:rPr>
                <w:rFonts w:ascii="Arial" w:cs="Arial" w:eastAsia="Arial" w:hAnsi="Arial"/>
                <w:sz w:val="18"/>
                <w:szCs w:val="18"/>
                <w:color w:val="auto"/>
                <w:w w:val="86"/>
              </w:rPr>
              <w:t>100</w:t>
            </w:r>
          </w:p>
        </w:tc>
        <w:tc>
          <w:tcPr>
            <w:tcW w:w="12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125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145</w:t>
            </w:r>
          </w:p>
        </w:tc>
        <w:tc>
          <w:tcPr>
            <w:tcW w:w="10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6"/>
              </w:rPr>
              <w:t>162</w:t>
            </w:r>
          </w:p>
        </w:tc>
        <w:tc>
          <w:tcPr>
            <w:tcW w:w="12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171</w:t>
            </w:r>
          </w:p>
        </w:tc>
        <w:tc>
          <w:tcPr>
            <w:tcW w:w="100" w:type="dxa"/>
            <w:vAlign w:val="bottom"/>
          </w:tcPr>
          <w:p>
            <w:pPr>
              <w:spacing w:after="0"/>
              <w:rPr>
                <w:sz w:val="21"/>
                <w:szCs w:val="21"/>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6"/>
              </w:rPr>
              <w:t>198</w:t>
            </w:r>
          </w:p>
        </w:tc>
      </w:tr>
      <w:tr>
        <w:trPr>
          <w:trHeight w:val="27"/>
        </w:trPr>
        <w:tc>
          <w:tcPr>
            <w:tcW w:w="38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S&amp;P Packaged Foods Group</w:t>
            </w:r>
          </w:p>
        </w:tc>
        <w:tc>
          <w:tcPr>
            <w:tcW w:w="2780" w:type="dxa"/>
            <w:vAlign w:val="bottom"/>
            <w:tcBorders>
              <w:bottom w:val="single" w:sz="8" w:color="CCEEFF"/>
            </w:tcBorders>
            <w:gridSpan w:val="2"/>
            <w:shd w:val="clear" w:color="auto" w:fill="CCEEFF"/>
          </w:tcPr>
          <w:p>
            <w:pPr>
              <w:jc w:val="center"/>
              <w:ind w:left="1870"/>
              <w:spacing w:after="0"/>
              <w:rPr>
                <w:sz w:val="20"/>
                <w:szCs w:val="20"/>
                <w:color w:val="auto"/>
              </w:rPr>
            </w:pPr>
            <w:r>
              <w:rPr>
                <w:rFonts w:ascii="Arial" w:cs="Arial" w:eastAsia="Arial" w:hAnsi="Arial"/>
                <w:sz w:val="18"/>
                <w:szCs w:val="18"/>
                <w:color w:val="auto"/>
                <w:w w:val="86"/>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180</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6"/>
              </w:rPr>
              <w:t>199</w:t>
            </w:r>
          </w:p>
        </w:tc>
      </w:tr>
      <w:tr>
        <w:trPr>
          <w:trHeight w:val="459"/>
        </w:trPr>
        <w:tc>
          <w:tcPr>
            <w:tcW w:w="3840" w:type="dxa"/>
            <w:vAlign w:val="bottom"/>
          </w:tcPr>
          <w:p>
            <w:pPr>
              <w:spacing w:after="0"/>
              <w:rPr>
                <w:sz w:val="24"/>
                <w:szCs w:val="24"/>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12</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392"/>
          </w:cols>
          <w:pgMar w:left="248" w:top="1440"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2"/>
                <w:szCs w:val="12"/>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 xml:space="preserve">Purchased </w:t>
            </w:r>
            <w:r>
              <w:rPr>
                <w:rFonts w:ascii="Arial" w:cs="Arial" w:eastAsia="Arial" w:hAnsi="Arial"/>
                <w:sz w:val="8"/>
                <w:szCs w:val="8"/>
                <w:b w:val="1"/>
                <w:bCs w:val="1"/>
                <w:color w:val="auto"/>
                <w:w w:val="91"/>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4580" w:type="dxa"/>
            <w:vAlign w:val="bottom"/>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5/1/17 - 5/31/17</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840,649</w:t>
            </w:r>
          </w:p>
        </w:tc>
        <w:tc>
          <w:tcPr>
            <w:tcW w:w="34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shd w:val="clear" w:color="auto" w:fill="CCEEFF"/>
          </w:tcPr>
          <w:p>
            <w:pPr>
              <w:ind w:left="620"/>
              <w:spacing w:after="0" w:line="264" w:lineRule="exact"/>
              <w:rPr>
                <w:sz w:val="20"/>
                <w:szCs w:val="20"/>
                <w:color w:val="auto"/>
              </w:rPr>
            </w:pPr>
            <w:r>
              <w:rPr>
                <w:rFonts w:ascii="Arial" w:cs="Arial" w:eastAsia="Arial" w:hAnsi="Arial"/>
                <w:sz w:val="18"/>
                <w:szCs w:val="18"/>
                <w:color w:val="auto"/>
              </w:rPr>
              <w:t xml:space="preserve">$58.25 </w:t>
            </w:r>
            <w:r>
              <w:rPr>
                <w:rFonts w:ascii="Arial" w:cs="Arial" w:eastAsia="Arial" w:hAnsi="Arial"/>
                <w:sz w:val="25"/>
                <w:szCs w:val="25"/>
                <w:color w:val="auto"/>
                <w:vertAlign w:val="superscript"/>
              </w:rPr>
              <w:t>(4)</w:t>
            </w:r>
          </w:p>
        </w:tc>
        <w:tc>
          <w:tcPr>
            <w:tcW w:w="170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783,564</w:t>
            </w:r>
          </w:p>
        </w:tc>
        <w:tc>
          <w:tcPr>
            <w:tcW w:w="340" w:type="dxa"/>
            <w:vAlign w:val="bottom"/>
            <w:shd w:val="clear" w:color="auto" w:fill="CCEEFF"/>
          </w:tcPr>
          <w:p>
            <w:pPr>
              <w:spacing w:after="0"/>
              <w:rPr>
                <w:sz w:val="22"/>
                <w:szCs w:val="2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43"/>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6/1/17 - 6/30/17</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305,694</w:t>
            </w:r>
          </w:p>
        </w:tc>
        <w:tc>
          <w:tcPr>
            <w:tcW w:w="340" w:type="dxa"/>
            <w:vAlign w:val="bottom"/>
          </w:tcPr>
          <w:p>
            <w:pPr>
              <w:spacing w:after="0"/>
              <w:rPr>
                <w:sz w:val="21"/>
                <w:szCs w:val="21"/>
                <w:color w:val="auto"/>
              </w:rPr>
            </w:pPr>
          </w:p>
        </w:tc>
        <w:tc>
          <w:tcPr>
            <w:tcW w:w="1140" w:type="dxa"/>
            <w:vAlign w:val="bottom"/>
          </w:tcPr>
          <w:p>
            <w:pPr>
              <w:ind w:left="620"/>
              <w:spacing w:after="0"/>
              <w:rPr>
                <w:sz w:val="20"/>
                <w:szCs w:val="20"/>
                <w:color w:val="auto"/>
              </w:rPr>
            </w:pPr>
            <w:r>
              <w:rPr>
                <w:rFonts w:ascii="Arial" w:cs="Arial" w:eastAsia="Arial" w:hAnsi="Arial"/>
                <w:sz w:val="18"/>
                <w:szCs w:val="18"/>
                <w:color w:val="auto"/>
                <w:w w:val="90"/>
              </w:rPr>
              <w:t>$55.29</w:t>
            </w:r>
          </w:p>
        </w:tc>
        <w:tc>
          <w:tcPr>
            <w:tcW w:w="340" w:type="dxa"/>
            <w:vAlign w:val="bottom"/>
          </w:tcPr>
          <w:p>
            <w:pPr>
              <w:spacing w:after="0"/>
              <w:rPr>
                <w:sz w:val="21"/>
                <w:szCs w:val="21"/>
                <w:color w:val="auto"/>
              </w:rPr>
            </w:pP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305,694</w:t>
            </w:r>
          </w:p>
        </w:tc>
        <w:tc>
          <w:tcPr>
            <w:tcW w:w="34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7/3/17 - 7/28/17</w:t>
            </w:r>
          </w:p>
        </w:tc>
        <w:tc>
          <w:tcPr>
            <w:tcW w:w="12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1,289,997</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w w:val="90"/>
              </w:rPr>
              <w:t>$51.69</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1,289,997</w:t>
            </w:r>
          </w:p>
        </w:tc>
        <w:tc>
          <w:tcPr>
            <w:tcW w:w="3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80" w:type="dxa"/>
            <w:vAlign w:val="bottom"/>
            <w:gridSpan w:val="3"/>
            <w:vMerge w:val="continue"/>
          </w:tcPr>
          <w:p>
            <w:pPr>
              <w:spacing w:after="0"/>
              <w:rPr>
                <w:sz w:val="20"/>
                <w:szCs w:val="20"/>
                <w:color w:val="auto"/>
              </w:rPr>
            </w:pP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2,436,340</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 xml:space="preserve">$54.40 </w:t>
            </w:r>
            <w:r>
              <w:rPr>
                <w:rFonts w:ascii="Arial" w:cs="Arial" w:eastAsia="Arial" w:hAnsi="Arial"/>
                <w:sz w:val="12"/>
                <w:szCs w:val="12"/>
                <w:color w:val="auto"/>
              </w:rPr>
              <w:t>(4)</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2,379,255</w:t>
            </w:r>
          </w:p>
        </w:tc>
        <w:tc>
          <w:tcPr>
            <w:tcW w:w="3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Shares purchased are as of the trade date.</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Average price paid per share is calculated on a settlement basis and excludes commission.</w:t>
      </w:r>
    </w:p>
    <w:p>
      <w:pPr>
        <w:spacing w:after="0" w:line="56" w:lineRule="exact"/>
        <w:rPr>
          <w:rFonts w:ascii="Arial" w:cs="Arial" w:eastAsia="Arial" w:hAnsi="Arial"/>
          <w:sz w:val="24"/>
          <w:szCs w:val="24"/>
          <w:color w:val="auto"/>
          <w:vertAlign w:val="superscript"/>
        </w:rPr>
      </w:pPr>
    </w:p>
    <w:p>
      <w:pPr>
        <w:jc w:val="both"/>
        <w:ind w:left="340" w:hanging="332"/>
        <w:spacing w:after="0" w:line="227"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During the fourth quarter of 2017, we had a publicly announced strategic share repurchase program. Under this program, which was announced on March 22, 2017 and effective May 1, 2017, our Board of Directors authorized the purchase of up to $1.5 billion of our stock. The program has no expiration date. Pursuant to our longstanding practice, under a separate 2017 authorization, we expect to continue purchasing shares sufficient to offset the impact of dilution from shares issued under our incentive compensation plans.</w:t>
      </w:r>
    </w:p>
    <w:p>
      <w:pPr>
        <w:spacing w:after="0" w:line="43"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Includes 57,085 shares repurchased in open-market transactions at an average price of $57.61 primarily to offset the dilutive impact to existing shareholders of issuances under stock compensation plans.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Financial Data</w:t>
      </w:r>
    </w:p>
    <w:p>
      <w:pPr>
        <w:spacing w:after="0" w:line="23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560" w:type="dxa"/>
            <w:vAlign w:val="bottom"/>
            <w:gridSpan w:val="3"/>
          </w:tcPr>
          <w:p>
            <w:pPr>
              <w:ind w:left="40"/>
              <w:spacing w:after="0"/>
              <w:rPr>
                <w:sz w:val="20"/>
                <w:szCs w:val="20"/>
                <w:color w:val="auto"/>
              </w:rPr>
            </w:pPr>
            <w:r>
              <w:rPr>
                <w:rFonts w:ascii="Arial" w:cs="Arial" w:eastAsia="Arial" w:hAnsi="Arial"/>
                <w:sz w:val="14"/>
                <w:szCs w:val="14"/>
                <w:b w:val="1"/>
                <w:bCs w:val="1"/>
                <w:color w:val="auto"/>
              </w:rPr>
              <w:t>Fiscal Year</w:t>
            </w:r>
          </w:p>
        </w:tc>
        <w:tc>
          <w:tcPr>
            <w:tcW w:w="160" w:type="dxa"/>
            <w:vAlign w:val="bottom"/>
          </w:tcPr>
          <w:p>
            <w:pPr>
              <w:spacing w:after="0"/>
              <w:rPr>
                <w:sz w:val="14"/>
                <w:szCs w:val="14"/>
                <w:color w:val="auto"/>
              </w:rPr>
            </w:pPr>
          </w:p>
        </w:tc>
        <w:tc>
          <w:tcPr>
            <w:tcW w:w="640" w:type="dxa"/>
            <w:vAlign w:val="bottom"/>
          </w:tcPr>
          <w:p>
            <w:pPr>
              <w:jc w:val="right"/>
              <w:ind w:right="131"/>
              <w:spacing w:after="0"/>
              <w:rPr>
                <w:sz w:val="20"/>
                <w:szCs w:val="20"/>
                <w:color w:val="auto"/>
              </w:rPr>
            </w:pPr>
            <w:r>
              <w:rPr>
                <w:rFonts w:ascii="Arial" w:cs="Arial" w:eastAsia="Arial" w:hAnsi="Arial"/>
                <w:sz w:val="14"/>
                <w:szCs w:val="14"/>
                <w:b w:val="1"/>
                <w:bCs w:val="1"/>
                <w:color w:val="auto"/>
                <w:w w:val="97"/>
              </w:rPr>
              <w:t>2017</w:t>
            </w:r>
            <w:r>
              <w:rPr>
                <w:rFonts w:ascii="Arial" w:cs="Arial" w:eastAsia="Arial" w:hAnsi="Arial"/>
                <w:sz w:val="8"/>
                <w:szCs w:val="8"/>
                <w:b w:val="1"/>
                <w:bCs w:val="1"/>
                <w:color w:val="auto"/>
                <w:w w:val="97"/>
              </w:rPr>
              <w:t>(1)</w:t>
            </w:r>
          </w:p>
        </w:tc>
        <w:tc>
          <w:tcPr>
            <w:tcW w:w="24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2016</w:t>
            </w:r>
            <w:r>
              <w:rPr>
                <w:rFonts w:ascii="Arial" w:cs="Arial" w:eastAsia="Arial" w:hAnsi="Arial"/>
                <w:sz w:val="8"/>
                <w:szCs w:val="8"/>
                <w:b w:val="1"/>
                <w:bCs w:val="1"/>
                <w:color w:val="auto"/>
                <w:w w:val="97"/>
              </w:rPr>
              <w:t>(2)</w:t>
            </w:r>
          </w:p>
        </w:tc>
        <w:tc>
          <w:tcPr>
            <w:tcW w:w="22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2015</w:t>
            </w:r>
            <w:r>
              <w:rPr>
                <w:rFonts w:ascii="Arial" w:cs="Arial" w:eastAsia="Arial" w:hAnsi="Arial"/>
                <w:sz w:val="8"/>
                <w:szCs w:val="8"/>
                <w:b w:val="1"/>
                <w:bCs w:val="1"/>
                <w:color w:val="auto"/>
                <w:w w:val="97"/>
              </w:rPr>
              <w:t>(3)</w:t>
            </w:r>
          </w:p>
        </w:tc>
        <w:tc>
          <w:tcPr>
            <w:tcW w:w="240" w:type="dxa"/>
            <w:vAlign w:val="bottom"/>
          </w:tcPr>
          <w:p>
            <w:pPr>
              <w:spacing w:after="0"/>
              <w:rPr>
                <w:sz w:val="14"/>
                <w:szCs w:val="14"/>
                <w:color w:val="auto"/>
              </w:rPr>
            </w:pPr>
          </w:p>
        </w:tc>
        <w:tc>
          <w:tcPr>
            <w:tcW w:w="620" w:type="dxa"/>
            <w:vAlign w:val="bottom"/>
          </w:tcPr>
          <w:p>
            <w:pPr>
              <w:jc w:val="right"/>
              <w:ind w:right="111"/>
              <w:spacing w:after="0"/>
              <w:rPr>
                <w:sz w:val="20"/>
                <w:szCs w:val="20"/>
                <w:color w:val="auto"/>
              </w:rPr>
            </w:pPr>
            <w:r>
              <w:rPr>
                <w:rFonts w:ascii="Arial" w:cs="Arial" w:eastAsia="Arial" w:hAnsi="Arial"/>
                <w:sz w:val="14"/>
                <w:szCs w:val="14"/>
                <w:b w:val="1"/>
                <w:bCs w:val="1"/>
                <w:color w:val="auto"/>
                <w:w w:val="97"/>
              </w:rPr>
              <w:t>2014</w:t>
            </w:r>
            <w:r>
              <w:rPr>
                <w:rFonts w:ascii="Arial" w:cs="Arial" w:eastAsia="Arial" w:hAnsi="Arial"/>
                <w:sz w:val="8"/>
                <w:szCs w:val="8"/>
                <w:b w:val="1"/>
                <w:bCs w:val="1"/>
                <w:color w:val="auto"/>
                <w:w w:val="97"/>
              </w:rPr>
              <w:t>(4)</w:t>
            </w:r>
          </w:p>
        </w:tc>
        <w:tc>
          <w:tcPr>
            <w:tcW w:w="220" w:type="dxa"/>
            <w:vAlign w:val="bottom"/>
          </w:tcPr>
          <w:p>
            <w:pPr>
              <w:spacing w:after="0"/>
              <w:rPr>
                <w:sz w:val="14"/>
                <w:szCs w:val="14"/>
                <w:color w:val="auto"/>
              </w:rPr>
            </w:pPr>
          </w:p>
        </w:tc>
        <w:tc>
          <w:tcPr>
            <w:tcW w:w="600" w:type="dxa"/>
            <w:vAlign w:val="bottom"/>
          </w:tcPr>
          <w:p>
            <w:pPr>
              <w:jc w:val="right"/>
              <w:ind w:right="91"/>
              <w:spacing w:after="0"/>
              <w:rPr>
                <w:sz w:val="20"/>
                <w:szCs w:val="20"/>
                <w:color w:val="auto"/>
              </w:rPr>
            </w:pPr>
            <w:r>
              <w:rPr>
                <w:rFonts w:ascii="Arial" w:cs="Arial" w:eastAsia="Arial" w:hAnsi="Arial"/>
                <w:sz w:val="14"/>
                <w:szCs w:val="14"/>
                <w:b w:val="1"/>
                <w:bCs w:val="1"/>
                <w:color w:val="auto"/>
                <w:w w:val="97"/>
              </w:rPr>
              <w:t>2013</w:t>
            </w:r>
            <w:r>
              <w:rPr>
                <w:rFonts w:ascii="Arial" w:cs="Arial" w:eastAsia="Arial" w:hAnsi="Arial"/>
                <w:sz w:val="8"/>
                <w:szCs w:val="8"/>
                <w:b w:val="1"/>
                <w:bCs w:val="1"/>
                <w:color w:val="auto"/>
                <w:w w:val="97"/>
              </w:rPr>
              <w:t>(5)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8"/>
        </w:trPr>
        <w:tc>
          <w:tcPr>
            <w:tcW w:w="65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Summary of Operations</w:t>
            </w:r>
          </w:p>
        </w:tc>
        <w:tc>
          <w:tcPr>
            <w:tcW w:w="16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7,890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7,961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8,082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8,268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8,052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960</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1,267</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1,474</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Earnings before taxes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1,293</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949</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1,148</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774</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Earnings (loss) from discontinued operations</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855</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887</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563</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866</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712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Financial Position</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Plant assets - net</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2,454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2,347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2,318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7,726</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7,837</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8,100</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8,290</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3,536</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3,533</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4,082</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4,003</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1,645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1,533</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1,602</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1,192</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b w:val="1"/>
                <w:bCs w:val="1"/>
                <w:color w:val="auto"/>
              </w:rPr>
              <w:t>Per Share Data</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6"/>
              </w:rPr>
              <w:t>Earnings from continuing operations attributable to Campbell Soup Company -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9"/>
        </w:trPr>
        <w:tc>
          <w:tcPr>
            <w:tcW w:w="6560" w:type="dxa"/>
            <w:vAlign w:val="bottom"/>
            <w:gridSpan w:val="3"/>
          </w:tcPr>
          <w:p>
            <w:pPr>
              <w:ind w:left="40"/>
              <w:spacing w:after="0"/>
              <w:rPr>
                <w:sz w:val="20"/>
                <w:szCs w:val="20"/>
                <w:color w:val="auto"/>
              </w:rPr>
            </w:pPr>
            <w:r>
              <w:rPr>
                <w:rFonts w:ascii="Arial" w:cs="Arial" w:eastAsia="Arial" w:hAnsi="Arial"/>
                <w:sz w:val="18"/>
                <w:szCs w:val="18"/>
                <w:color w:val="auto"/>
                <w:w w:val="92"/>
              </w:rPr>
              <w:t>Earnings from continuing operations attributable to Campbell Soup Company - assuming</w:t>
            </w:r>
          </w:p>
        </w:tc>
        <w:tc>
          <w:tcPr>
            <w:tcW w:w="160" w:type="dxa"/>
            <w:vAlign w:val="bottom"/>
          </w:tcPr>
          <w:p>
            <w:pPr>
              <w:spacing w:after="0"/>
              <w:rPr>
                <w:sz w:val="19"/>
                <w:szCs w:val="19"/>
                <w:color w:val="auto"/>
              </w:rPr>
            </w:pPr>
          </w:p>
        </w:tc>
        <w:tc>
          <w:tcPr>
            <w:tcW w:w="64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rPr>
              <w:t>2.89</w:t>
            </w: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dilution</w:t>
            </w: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220" w:type="dxa"/>
            <w:vAlign w:val="bottom"/>
          </w:tcPr>
          <w:p>
            <w:pPr>
              <w:spacing w:after="0"/>
              <w:rPr>
                <w:sz w:val="20"/>
                <w:szCs w:val="20"/>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 - basic</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Net earnings attributable to Campbell Soup Company - assuming dilution</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2.89</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1.40</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b w:val="1"/>
                <w:bCs w:val="1"/>
                <w:color w:val="auto"/>
              </w:rPr>
              <w:t>Other Statistics</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338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43"/>
        </w:trPr>
        <w:tc>
          <w:tcPr>
            <w:tcW w:w="6560" w:type="dxa"/>
            <w:vAlign w:val="bottom"/>
            <w:gridSpan w:val="3"/>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640" w:type="dxa"/>
            <w:vAlign w:val="bottom"/>
          </w:tcPr>
          <w:p>
            <w:pPr>
              <w:jc w:val="right"/>
              <w:ind w:right="31"/>
              <w:spacing w:after="0"/>
              <w:rPr>
                <w:sz w:val="20"/>
                <w:szCs w:val="20"/>
                <w:color w:val="auto"/>
              </w:rPr>
            </w:pPr>
            <w:r>
              <w:rPr>
                <w:rFonts w:ascii="Arial" w:cs="Arial" w:eastAsia="Arial" w:hAnsi="Arial"/>
                <w:sz w:val="18"/>
                <w:szCs w:val="18"/>
                <w:b w:val="1"/>
                <w:bCs w:val="1"/>
                <w:color w:val="auto"/>
              </w:rPr>
              <w:t>305</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22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1"/>
                <w:szCs w:val="21"/>
                <w:color w:val="auto"/>
              </w:rPr>
            </w:pPr>
          </w:p>
        </w:tc>
        <w:tc>
          <w:tcPr>
            <w:tcW w:w="620" w:type="dxa"/>
            <w:vAlign w:val="bottom"/>
          </w:tcPr>
          <w:p>
            <w:pPr>
              <w:jc w:val="right"/>
              <w:ind w:right="31"/>
              <w:spacing w:after="0"/>
              <w:rPr>
                <w:sz w:val="20"/>
                <w:szCs w:val="20"/>
                <w:color w:val="auto"/>
              </w:rPr>
            </w:pPr>
            <w:r>
              <w:rPr>
                <w:rFonts w:ascii="Arial" w:cs="Arial" w:eastAsia="Arial" w:hAnsi="Arial"/>
                <w:sz w:val="18"/>
                <w:szCs w:val="18"/>
                <w:color w:val="auto"/>
              </w:rPr>
              <w:t>314</w:t>
            </w:r>
          </w:p>
        </w:tc>
        <w:tc>
          <w:tcPr>
            <w:tcW w:w="220" w:type="dxa"/>
            <w:vAlign w:val="bottom"/>
          </w:tcPr>
          <w:p>
            <w:pPr>
              <w:spacing w:after="0"/>
              <w:rPr>
                <w:sz w:val="21"/>
                <w:szCs w:val="21"/>
                <w:color w:val="auto"/>
              </w:rPr>
            </w:pPr>
          </w:p>
        </w:tc>
        <w:tc>
          <w:tcPr>
            <w:tcW w:w="600" w:type="dxa"/>
            <w:vAlign w:val="bottom"/>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307</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313</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316</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5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0" w:right="2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6"/>
          <w:szCs w:val="16"/>
          <w:color w:val="auto"/>
        </w:rPr>
        <w:t>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(All per share amounts below are on a diluted basis)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2016, the Financial Accounting Standards Board (FASB) issued guidance that amends accounting for share-based payments, including the accounting for income taxes, forfeitures, and statutory withholding requirements, as well as classification in the statement of cash flows. We adopted the guidance in 2017. In accordance with the prospective adoption of the recognition of excess tax benefits and deficiencies in the Consolidated Statements of Earnings, we recognized a $6 million tax benefit in Taxes on earnings in 2017.</w:t>
      </w:r>
    </w:p>
    <w:p>
      <w:pPr>
        <w:spacing w:after="0" w:line="52" w:lineRule="exact"/>
        <w:rPr>
          <w:sz w:val="20"/>
          <w:szCs w:val="20"/>
          <w:color w:val="auto"/>
        </w:rPr>
      </w:pPr>
    </w:p>
    <w:p>
      <w:pPr>
        <w:jc w:val="both"/>
        <w:spacing w:after="0" w:line="334" w:lineRule="auto"/>
        <w:rPr>
          <w:sz w:val="20"/>
          <w:szCs w:val="20"/>
          <w:color w:val="auto"/>
        </w:rPr>
      </w:pPr>
      <w:r>
        <w:rPr>
          <w:rFonts w:ascii="Arial" w:cs="Arial" w:eastAsia="Arial" w:hAnsi="Arial"/>
          <w:sz w:val="16"/>
          <w:szCs w:val="16"/>
          <w:color w:val="auto"/>
        </w:rPr>
        <w:t>In April 2015, the FASB issued guidance that requires debt issuance costs to be presented in the balance sheet as a reduction from the carrying value of the associated debt liability, consistent with the presentation of a debt discount. We adopted the guidance in 2016 and retrospectively adjusted all prior periods.</w:t>
      </w:r>
    </w:p>
    <w:p>
      <w:pPr>
        <w:spacing w:after="0" w:line="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November 2015, the FASB issued guidance that requires deferred tax liabilities and assets to be classified as noncurrent in the balance sheet. We adopted the guidance in 2016 on a prospective basis and modified the presentation of deferred taxes in the Consolidated Balance Sheet as of July 31, 2016.</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2014 fiscal year consisted of 53 weeks. All other periods had 52 weeks.</w:t>
      </w:r>
    </w:p>
    <w:p>
      <w:pPr>
        <w:spacing w:after="0" w:line="90" w:lineRule="exact"/>
        <w:rPr>
          <w:sz w:val="20"/>
          <w:szCs w:val="20"/>
          <w:color w:val="auto"/>
        </w:rPr>
      </w:pPr>
    </w:p>
    <w:p>
      <w:pPr>
        <w:jc w:val="both"/>
        <w:ind w:left="340" w:hanging="332"/>
        <w:spacing w:after="0" w:line="237"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2017 earnings from continuing operations attributable to Campbell Soup Company were impacted by the following: a restructuring charge, related costs and administrative expenses of $37 million ($.12 per share) associated with restructuring and cost savings initiatives; gains of $116 million ($.38 per share) associated with mark-to-market adjustments for defined benefit pension and postretirement plans; impairment charges of $180 million ($.59 per share) related to the intangible assets of the Bolthouse Farms carrot and carrot ingredients reporting unit and the Garden Fresh Gourmet reporting unit; and a tax benefit and reduction to interest expense of $56 million ($.18 per share) primarily associated with the sale of intercompany notes receivable to a financial institution.</w:t>
      </w:r>
    </w:p>
    <w:p>
      <w:pPr>
        <w:spacing w:after="0" w:line="4" w:lineRule="exact"/>
        <w:rPr>
          <w:rFonts w:ascii="Arial" w:cs="Arial" w:eastAsia="Arial" w:hAnsi="Arial"/>
          <w:sz w:val="25"/>
          <w:szCs w:val="25"/>
          <w:color w:val="auto"/>
          <w:vertAlign w:val="superscript"/>
        </w:rPr>
      </w:pPr>
    </w:p>
    <w:p>
      <w:pPr>
        <w:jc w:val="both"/>
        <w:ind w:left="340" w:hanging="332"/>
        <w:spacing w:after="0" w:line="232"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2016 earnings from continuing operations attributable to Campbell Soup Company were impacted by the following: a restructuring charge and administrative expenses of $49 million ($.16 per share) associated with restructuring and cost savings initiatives; losses of $200 million ($.64 per share) associated with mark-to-market adjustments for defined benefit pension and postretirement plans; a gain of $25 million ($.08 per share) associated with a settlement of a claim related to the Kelsen acquisition; and an impairment charge of $127 million ($.41 per share) related to the intangible assets of the Bolthouse Farms carrot and carrot ingredients reporting unit.</w:t>
      </w:r>
    </w:p>
    <w:p>
      <w:pPr>
        <w:spacing w:after="0" w:line="2" w:lineRule="exact"/>
        <w:rPr>
          <w:rFonts w:ascii="Arial" w:cs="Arial" w:eastAsia="Arial" w:hAnsi="Arial"/>
          <w:sz w:val="25"/>
          <w:szCs w:val="25"/>
          <w:color w:val="auto"/>
          <w:vertAlign w:val="superscript"/>
        </w:rPr>
      </w:pPr>
    </w:p>
    <w:p>
      <w:pPr>
        <w:jc w:val="both"/>
        <w:ind w:left="340" w:hanging="332"/>
        <w:spacing w:after="0" w:line="221"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2015 earnings from continuing operations attributable to Campbell Soup Company were impacted by the following: a restructuring charge and administrative expenses of $78 million ($.25 per share) associated with restructuring and cost savings initiatives and losses of $87 million ($.28 per share) associated with mark-to-market adjustments for defined benefit pension and postretirement plans.</w:t>
      </w:r>
    </w:p>
    <w:p>
      <w:pPr>
        <w:spacing w:after="0" w:line="2" w:lineRule="exact"/>
        <w:rPr>
          <w:rFonts w:ascii="Arial" w:cs="Arial" w:eastAsia="Arial" w:hAnsi="Arial"/>
          <w:sz w:val="25"/>
          <w:szCs w:val="25"/>
          <w:color w:val="auto"/>
          <w:vertAlign w:val="superscript"/>
        </w:rPr>
      </w:pPr>
    </w:p>
    <w:p>
      <w:pPr>
        <w:jc w:val="both"/>
        <w:ind w:left="340" w:hanging="332"/>
        <w:spacing w:after="0" w:line="248"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The 2014 earnings from continuing operations attributable to Campbell Soup Company were impacted by the following: a restructuring charge and related costs of $36 million ($.11 per share) associated with restructuring initiatives; losses of $19 million ($.06 per share) associated with mark-to-market adjustments for defined benefit pension and postretirement plans; a loss of $6 million ($.02 per share) on foreign exchange forward contracts used to hedge the proceeds from the sale of the European simple meals business; $7 million ($.02 per share) tax expense associated with the sale of the European simple meals business; and the estimated impact of the additional week of $25 million ($.08 per share). Earnings from discontinued operations included a gain of $72 million ($.23 per share) on the sale of the European simple meals business.</w:t>
      </w:r>
    </w:p>
    <w:p>
      <w:pPr>
        <w:spacing w:after="0" w:line="1" w:lineRule="exact"/>
        <w:rPr>
          <w:rFonts w:ascii="Arial" w:cs="Arial" w:eastAsia="Arial" w:hAnsi="Arial"/>
          <w:sz w:val="24"/>
          <w:szCs w:val="24"/>
          <w:color w:val="auto"/>
          <w:vertAlign w:val="superscript"/>
        </w:rPr>
      </w:pPr>
    </w:p>
    <w:p>
      <w:pPr>
        <w:jc w:val="both"/>
        <w:ind w:left="340" w:hanging="332"/>
        <w:spacing w:after="0" w:line="237"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2013 earnings from continuing operations attributable to Campbell Soup Company were impacted by the following: a restructuring charge and related costs of $87 million ($.27 per share) associated with restructuring initiatives; gains of $183 million ($.58 per share) associated with mark-to-market adjustments for defined benefit pension and postretirement plans; and $7 million ($.02 per share) of transaction costs related to the acquisition of Bolthouse Farms. Earnings from discontinued operations were impacted by an impairment charge on the intangible assets of the simple meals business in Europe of $263 million ($.83 per share) and tax expense of $18 million ($.06 per share) representing taxes on the difference between the book value and tax basis of the business.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should be read in conjunction with the Notes to Consolidated Financial Statements.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our consolidated financial statements and the accompanying notes to the consolidated financial statements presented in "Financial Statements and Supplementary Data," as well as the information contained in "Risk Factors."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1" w:right="239" w:bottom="1440" w:gutter="0" w:footer="0" w:header="0"/>
        </w:sectPr>
      </w:pPr>
    </w:p>
    <w:bookmarkStart w:id="14" w:name="page15"/>
    <w:bookmarkEnd w:id="14"/>
    <w:p>
      <w:pPr>
        <w:ind w:right="1040" w:firstLine="324"/>
        <w:spacing w:after="0" w:line="371" w:lineRule="auto"/>
        <w:rPr>
          <w:sz w:val="20"/>
          <w:szCs w:val="20"/>
          <w:color w:val="auto"/>
        </w:rPr>
      </w:pPr>
      <w:r>
        <w:rPr>
          <w:rFonts w:ascii="Arial" w:cs="Arial" w:eastAsia="Arial" w:hAnsi="Arial"/>
          <w:sz w:val="18"/>
          <w:szCs w:val="18"/>
          <w:color w:val="auto"/>
        </w:rPr>
        <w:t xml:space="preserve">Unless otherwise stated, the terms "we," "us," "our" and the "company" refer to Campbell Soup Company and its consolidated subsidiaries. </w:t>
      </w:r>
      <w:r>
        <w:rPr>
          <w:rFonts w:ascii="Arial" w:cs="Arial" w:eastAsia="Arial" w:hAnsi="Arial"/>
          <w:sz w:val="18"/>
          <w:szCs w:val="18"/>
          <w:b w:val="1"/>
          <w:bCs w:val="1"/>
          <w:i w:val="1"/>
          <w:iCs w:val="1"/>
          <w:color w:val="auto"/>
        </w:rPr>
        <w:t>Executive Summary</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 We manage our businesses in three divisions focused mainly on product categories. The divisions, which represent our operating and reportable segments, are: Americas Simple Meals and Beverages; Global Biscuits and Snacks; and Campbell Fresh. See "Business - Reportable Segments" for a description of the products included in each segment.</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Our goal is to be the leading health and well-being food company. Guided by our purpose - </w:t>
      </w:r>
      <w:r>
        <w:rPr>
          <w:rFonts w:ascii="Arial" w:cs="Arial" w:eastAsia="Arial" w:hAnsi="Arial"/>
          <w:sz w:val="18"/>
          <w:szCs w:val="18"/>
          <w:i w:val="1"/>
          <w:iCs w:val="1"/>
          <w:color w:val="auto"/>
        </w:rPr>
        <w:t>Real food that matters for life’s moments</w:t>
      </w:r>
      <w:r>
        <w:rPr>
          <w:rFonts w:ascii="Arial" w:cs="Arial" w:eastAsia="Arial" w:hAnsi="Arial"/>
          <w:sz w:val="18"/>
          <w:szCs w:val="18"/>
          <w:color w:val="auto"/>
        </w:rPr>
        <w:t>, we are pursuing this goal through a dual strategy of strengthening our core businesses while expanding into faster-growing spaces. We believe that this commitment to health and well-being will build shareholder value by driving sustainable, profitable net sales growth.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businesses are being influenced by a variety of trends that we anticipate will continue in the future, including: shifting demographics; changing consumer preferences for food; technological and digital advancements that are reshaping the retailer landscape and the consumer shopping experience; and socioeconomic shifts.</w:t>
      </w:r>
    </w:p>
    <w:p>
      <w:pPr>
        <w:spacing w:after="0" w:line="4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Millennials and Generation Z are replacing Baby Boomers as the key influencers of societal and cultural norms in the U.S. and are increasingly focused on health and well-being. We expect consumers to continue to seek products that they associate with health and well-being, including fresh, naturally functional and organic foods. While demanding products with these qualities, consumers also continue to gravitate toward store brands and value offerings. Consumers are also changing their eating habits by increasing the type and frequency of snacks consumed.</w:t>
      </w:r>
    </w:p>
    <w:p>
      <w:pPr>
        <w:spacing w:after="0" w:line="3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Digital media and technology are changing the way consumers purchase food. Although e-commerce represents only a small percent of total food sales, we anticipate it will accelerate rapidly through the growth of pure-play e-tailers, increased focus of brick and mortar retailers on e-commerce and the continued growth of meal delivery services. Consumers are also increasingly using technology to customize their diets for their individual lifestyle, physiology and health goals.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Retailers continue to use their buying power and negotiating strength to seek increased promotional programs funded by their suppliers and more favorable terms. We expect consolidations among retailers will continue to create large and sophisticated customers that may further this trend. In addition, new and existing retailers continue to grow and promote store brands that compete with branded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Imperatives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responding to the above-described industry trends by continuing to focus on four strategic imperatives:</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Building greater trust with consumers through real food, transparency and sustainability;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Accelerating digital marketing and e-commerce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Continuing to diversify our portfolio in fresh foods and health and well-being;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presence in the faster-growing snacking category.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Building Greater Trust with Consumers through Real Food, Transparency and Sustainability</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Our goal is to strengthen the trust of our consumers and customers through real food. For example, we are in the process of removing artificial flavors and colors from certain of our products, increasing the use of vegetables and whole grains and transitioning to chicken with no antibiotics. We have also removed Bisphenol A (BPA) from the lining of our U.S. and Canadian soup cans. In addition, we recently entered into an agreement with the Sage Project to partner on customizable and digital labels for our products that include nutrition facts and product attributes. We also support and remain committed to mandatory national genetically modified organism labeling and implementation of the Food and Drug Administration's nutrition facts panel. Our </w:t>
      </w:r>
      <w:r>
        <w:rPr>
          <w:rFonts w:ascii="Arial" w:cs="Arial" w:eastAsia="Arial" w:hAnsi="Arial"/>
          <w:sz w:val="17"/>
          <w:szCs w:val="17"/>
          <w:u w:val="single" w:color="auto"/>
          <w:color w:val="auto"/>
        </w:rPr>
        <w:t>www.whatsinmyfood.com</w:t>
      </w:r>
      <w:r>
        <w:rPr>
          <w:rFonts w:ascii="Arial" w:cs="Arial" w:eastAsia="Arial" w:hAnsi="Arial"/>
          <w:sz w:val="17"/>
          <w:szCs w:val="17"/>
          <w:color w:val="auto"/>
        </w:rPr>
        <w:t xml:space="preserve"> website promotes transparency by providing consumers with a wide range of details about how certain of our foods and beverages are made and the choices behind the ingredients we use in those products.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Accelerating Digital Marketing and E-Commerce Efforts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responding to the growing consumer shift to digital and mobile technologies by investing in digital and e-commerce across our company with a goal of building industry-leading capabilities. We are working to increase the scale of our digital marketing capabilities using content, marketing technology and data analytics. We are building an experienced business team in North America to pursue these initiatives. We are also pursuing digital and e-commerce innovation with new business models and development of cross-portfolio e-commerce solutions. To support these efforts, we are developing a more flexible and cost effective</w:t>
      </w:r>
    </w:p>
    <w:p>
      <w:pPr>
        <w:sectPr>
          <w:pgSz w:w="11900" w:h="16838" w:orient="portrait"/>
          <w:cols w:equalWidth="0" w:num="1">
            <w:col w:w="11420"/>
          </w:cols>
          <w:pgMar w:left="240" w:top="1314"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distribution system that we believe will position us well to grow with the expanding e-commerce market. We also plan to continue partnering with leading e-commerce companies, such as our recently announced partnership with a meal-delivery service.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Continuing to Diversify our Portfolio in Fresh Foods and Health and Well-Being</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Capitalizing on recent consumer and retailer trends, we are continuing to increase our portfolio's commitment to fresh food and health and well-being through internal innovation, changes to recipes and our recent acquisitions. We expect to continue expanding our product offerings in key growth areas, such as in the packaged fresh category and with organic and clean label products. We are focusing on naturally functional foods by leveraging our vegetable and whole grain capabilities. While we are working to develop brands and innovate these products, we are developing increased distribution capabilities in new channels that also support this commitment.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Increasing our Presence in the Faster-Growing Snacking Category</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Through a company-wide approach, we plan to expand our brand footprint by driving our existing snacking portfolio, pursuing expansion in promising emerging markets, building global brands and leveraging global capabilities to build sustainable business models. We are pursuing this goal with a plan to reach new consumers and existing consumers more frequently, including new snacking products that are premium snacks and focused on health and well-being. We also intend to broaden our snacking business beyond cookies and baked snacks to include soup, mini meals and fresh snacks. In addition, we expect to introduce snack products with new packaging formats.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 support these four imperatives, we will continue to pursue different models of innovation, including internal and external development, disciplined mergers and acquisitions, strategic partnerships and venture investing.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Savings Initiative</w:t>
      </w:r>
    </w:p>
    <w:p>
      <w:pPr>
        <w:spacing w:after="0" w:line="90"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are pursuing a multi-year cost savings initiative with targeted annualized cost savings of $450 million by the end of 2020. These savings are above and beyond our existing supply-chain productivity initiatives. See "Restructuring Charges and Cost Savings Initiatives" for additional information on these initiatives. We expect to reinvest a portion of these savings into the businesses that we have identified as high growth and that are consistent with our strategic imperatives.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sales decreased 1% in 2017 to $7.890 billion, primarily due to lower volume and increased promotional spending.</w:t>
      </w:r>
    </w:p>
    <w:p>
      <w:pPr>
        <w:spacing w:after="0" w:line="171" w:lineRule="exact"/>
        <w:rPr>
          <w:rFonts w:ascii="Arial" w:cs="Arial" w:eastAsia="Arial" w:hAnsi="Arial"/>
          <w:sz w:val="18"/>
          <w:szCs w:val="18"/>
          <w:color w:val="auto"/>
        </w:rPr>
      </w:pPr>
    </w:p>
    <w:p>
      <w:pPr>
        <w:jc w:val="both"/>
        <w:ind w:left="660" w:right="20" w:hanging="328"/>
        <w:spacing w:after="0" w:line="31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Gross profit, as a percent of sales, increased to 38.8% from 34.9% a year ago. The increase was primarily due to gains on pension and postretirement benefit mark-to-market adjustments in the current year compared to losses in the prior year, productivity improvements and increased benefits from cost savings initiatives, partially offset by higher supply chain costs and cost inflation, and higher promotional spending.</w:t>
      </w:r>
    </w:p>
    <w:p>
      <w:pPr>
        <w:spacing w:after="0" w:line="92"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Administrative expenses decreased 24% to $488 million from $641 million a year ago. The decrease was primarily due to gains on pension and postretirement benefit mark-to-market adjustments in the current year compared to losses in the prior year, increased benefits from cost savings initiatives, lower incentive compensation costs and lower costs related to the implementation of the new organizational structure and cost savings initiatives, partially offset by inflation and investments in long-term innovation.</w:t>
      </w:r>
    </w:p>
    <w:p>
      <w:pPr>
        <w:spacing w:after="0" w:line="132"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Other expenses increased to $238 million in 2017 from $131 million in 2016, primarily due to non-cash impairment charges of $212 million on the intangible assets of the Bolthouse Farms carrot and carrot ingredients reporting unit and the Garden Fresh Gourmet reporting unit in 2017. In 2016, we recorded a $141 million non-cash impairment charge on the intangible assets of the Bolthouse Farms carrot and carrot ingredients reporting unit, partially offset by a gain from the settlement of a claim related to the Kelsen acquisition.</w:t>
      </w:r>
    </w:p>
    <w:p>
      <w:pPr>
        <w:spacing w:after="0" w:line="117"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 tax rate was 31.4% in 2017, compared to 33.7% in 2016. In 2017, the effective rate reflected a tax benefit of $52 million primarily related to the sale of intercompany notes receivable to a financial institution, which resulted in the recognition of foreign exchange losses on the notes for tax purposes.</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per share were $2.89 in 2017, compared to $1.81 a year ago. The current and prior year included expenses of $.15 and $1.13 per share, respectively, from items impacting comparability as discussed below.</w:t>
      </w:r>
    </w:p>
    <w:p>
      <w:pPr>
        <w:spacing w:after="0" w:line="116"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Cash flow from operations was $1.291 billion in 2017, compared to $1.491 billion in 2016. The decline was primarily due to lapping significant reductions in working capital in the prior year, as well as lower cash earnings and lower receipts from hedging activities in the current year.</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- 2017 Compared with 2016</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314" w:right="239" w:bottom="1440" w:gutter="0" w:footer="0" w:header="0"/>
          <w:type w:val="continuous"/>
        </w:sectPr>
      </w:pPr>
    </w:p>
    <w:bookmarkStart w:id="16" w:name="page17"/>
    <w:bookmarkEnd w:id="16"/>
    <w:p>
      <w:pPr>
        <w:jc w:val="both"/>
        <w:ind w:left="66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2017, we recognized gains of $178 million in Costs and expenses ($116 million after tax, or $.38 per share) associated with mark-to-market adjustments for defined benefit pension and postretirement plans. In 2016, we recognized losses of $313 million in Costs and expenses ($200 million after tax, or $.64 per share) associated with mark-to-market adjustments for defined benefit pension and postretirement plans;</w:t>
      </w:r>
    </w:p>
    <w:p>
      <w:pPr>
        <w:spacing w:after="0" w:line="111"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2015, we implemented a new enterprise design and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2017, we recorded a pre-tax restructuring charge of $18 million and implementation costs and other related costs of $36 million in Administrative expenses and $4 million in Cost of products sold (aggregate impact of $37 million after tax, or $.12 per share) related to these initiatives. In 2016, we recorded a pre-tax restructuring charge of $35 million and implementation costs and other related costs of $47 million in Administrative expenses related to these initiatives. In 2016, we also recorded a reduction to pre-tax restructuring charges of $4 million related to the 2014 initiatives. The aggregate after-tax impact in 2016 of restructuring charges, implementation costs and other related costs was $49 million, or $.16 per share. See Note 7 to the Consolidated Financial Statements and "Restructuring Charges and Cost Savings Initiatives" for additional information;</w:t>
      </w:r>
    </w:p>
    <w:p>
      <w:pPr>
        <w:spacing w:after="0" w:line="127"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 the second quarter of 2017, we performed an interim impairment assessment on the intangible assets of the Bolthouse Farms carrot and carrot ingredients reporting unit and the Garden Fresh Gourmet reporting unit as operating performance was well below expectations and a new leadership team of the Campbell Fresh division initiated a strategic review which led to a revised outlook for future sales, earnings, and cash flow. We recorded a non-cash impairment charge of $147 million ($139 million after tax, or $.45 per share) related to intangible assets of the Bolthouse Farms carrot and carrot ingredients reporting unit and a non-cash impairment charge of $65 million ($41 million after tax, or $.13 per share) related to the intangible assets of the Garden Fresh Gourmet reporting unit (aggregate pre-tax impact of $212 million, $180 million after tax, or $.59 per share). In the fourth quarter of 2016, as part of the annual review of intangible assets, we recorded a non-cash impairment charge of $141 million ($127 million after tax, or $.41 per share) related to the intangible assets of the Bolthouse Farms carrot and carrot ingredients reporting unit. The charges are included in Other expenses / (income). See Note 5 to the Consolidated Financial Statements for additional information;</w:t>
      </w:r>
    </w:p>
    <w:p>
      <w:pPr>
        <w:spacing w:after="0" w:line="112" w:lineRule="exact"/>
        <w:rPr>
          <w:rFonts w:ascii="Arial" w:cs="Arial" w:eastAsia="Arial" w:hAnsi="Arial"/>
          <w:sz w:val="16"/>
          <w:szCs w:val="16"/>
          <w:color w:val="auto"/>
        </w:rPr>
      </w:pPr>
    </w:p>
    <w:p>
      <w:pPr>
        <w:jc w:val="both"/>
        <w:ind w:left="660" w:hanging="328"/>
        <w:spacing w:after="0" w:line="27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2017, we recorded a tax benefit of $52 million in Taxes on earnings primarily related to the sale of intercompany notes receivable to a financial institution, which resulted in the recognition of foreign exchange losses on the notes for tax purposes. In addition, we recorded a $6 million reduction to interest expense ($4 million after tax) related to premiums and fees received on the sale of the notes. The aggregate impact was $56 million after tax, or $.18 per share. See Note 11 to the Consolidated Financial Statements for additional information; and</w:t>
      </w:r>
    </w:p>
    <w:p>
      <w:pPr>
        <w:spacing w:after="0" w:line="117"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2016, we recorded a gain of $25 million ($.08 per share) in Other expenses / (income) from a settlement of a claim related to the Kelsen acquisition. The claim was for a warranty breach and has no meaningful ongoing impact on Kelsen.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2017</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887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2.89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Sale of notes</w:t>
            </w: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Net earnings attributable to Campbell Soup Company were $887 million ($2.89 per share) in 2017, compared to $563 million ($1.81 per share) in 2016. After adjusting for items impacting comparability, earnings increased primarily due to an improved gross profit performance and lower administrative expenses, partially offset by lower sales. Earnings per share benefited from a reduction in the weighted average diluted shares outstanding, primarily due to share repurchases under our strategic share repurchase program.</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 - 2016 Compared with 2015</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 addition to the 2016 items that impacted comparability of Net earnings discussed above, the following items impacted the comparability of earnings and earnings per share:</w:t>
      </w:r>
    </w:p>
    <w:p>
      <w:pPr>
        <w:spacing w:after="0" w:line="116"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2015, we recognized losses of $138 million in Costs and expenses ($87 million after tax, or $.28 per share) associated with mark-to-market adjustments for defined benefit pension and postretirement plans; and</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2015, we recorded a pre-tax restructuring charge of $102 million and implementation costs of $22 million recorded in Administrative expenses related to the 2015 initiatives (aggregate impact of $78 million after tax, or $.25 per share). See Note 7 to the Consolidated Financial Statements and "Restructuring Charges and Cost Savings Initiatives"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4"/>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666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earnings were $563 million ($1.81 per share) in 2016, compared to $666 million ($2.13 per share) in 2015. After adjusting for items impacting comparability, earnings increased primarily due to an improved gross profit performance, lower administrative expenses and lower marketing and selling expenses, partially offset by the negative impact of currency translation and a higher effective tax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(loss) attributable to noncontrolling interests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70% controlling interest in a Malaysian food products manufacturing company.</w:t>
      </w:r>
    </w:p>
    <w:p>
      <w:pPr>
        <w:spacing w:after="0" w:line="17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addition, beginning in 2016, we own a 99.8% interest in Acre Venture Partners, L.P., a limited partnership formed to make venture capital investments in innovative new companies in food and food-related industries. See Note 14 to the Consolidated Financial Statements for additional information.</w:t>
      </w:r>
    </w:p>
    <w:p>
      <w:pPr>
        <w:spacing w:after="0" w:line="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 Change</w:t>
            </w:r>
          </w:p>
        </w:tc>
      </w:tr>
      <w:tr>
        <w:trPr>
          <w:trHeight w:val="264"/>
        </w:trPr>
        <w:tc>
          <w:tcPr>
            <w:tcW w:w="4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center"/>
              <w:ind w:left="254"/>
              <w:spacing w:after="0"/>
              <w:rPr>
                <w:sz w:val="20"/>
                <w:szCs w:val="20"/>
                <w:color w:val="auto"/>
              </w:rPr>
            </w:pPr>
            <w:r>
              <w:rPr>
                <w:rFonts w:ascii="Arial" w:cs="Arial" w:eastAsia="Arial" w:hAnsi="Arial"/>
                <w:sz w:val="14"/>
                <w:szCs w:val="14"/>
                <w:b w:val="1"/>
                <w:bCs w:val="1"/>
                <w:color w:val="auto"/>
                <w:w w:val="93"/>
              </w:rPr>
              <w:t>2017/2016</w:t>
            </w:r>
          </w:p>
        </w:tc>
        <w:tc>
          <w:tcPr>
            <w:tcW w:w="3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2016/2015</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4,325</w:t>
            </w:r>
          </w:p>
        </w:tc>
        <w:tc>
          <w:tcPr>
            <w:tcW w:w="460" w:type="dxa"/>
            <w:vAlign w:val="bottom"/>
            <w:tcBorders>
              <w:bottom w:val="single" w:sz="8" w:color="CCEEFF"/>
            </w:tcBorders>
            <w:gridSpan w:val="2"/>
            <w:shd w:val="clear" w:color="auto" w:fill="CCEEFF"/>
          </w:tcPr>
          <w:p>
            <w:pPr>
              <w:jc w:val="center"/>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4,483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234"/>
              <w:spacing w:after="0"/>
              <w:rPr>
                <w:sz w:val="20"/>
                <w:szCs w:val="20"/>
                <w:color w:val="auto"/>
              </w:rPr>
            </w:pPr>
            <w:r>
              <w:rPr>
                <w:rFonts w:ascii="Arial" w:cs="Arial" w:eastAsia="Arial" w:hAnsi="Arial"/>
                <w:sz w:val="18"/>
                <w:szCs w:val="18"/>
                <w:color w:val="auto"/>
                <w:w w:val="94"/>
              </w:rPr>
              <w:t>(1)%</w:t>
            </w:r>
          </w:p>
        </w:tc>
        <w:tc>
          <w:tcPr>
            <w:tcW w:w="1800" w:type="dxa"/>
            <w:vAlign w:val="bottom"/>
            <w:tcBorders>
              <w:bottom w:val="single" w:sz="8" w:color="CCEEFF"/>
            </w:tcBorders>
            <w:gridSpan w:val="3"/>
            <w:shd w:val="clear" w:color="auto" w:fill="CCEEFF"/>
          </w:tcPr>
          <w:p>
            <w:pPr>
              <w:jc w:val="center"/>
              <w:ind w:left="354"/>
              <w:spacing w:after="0"/>
              <w:rPr>
                <w:sz w:val="20"/>
                <w:szCs w:val="20"/>
                <w:color w:val="auto"/>
              </w:rPr>
            </w:pPr>
            <w:r>
              <w:rPr>
                <w:rFonts w:ascii="Arial" w:cs="Arial" w:eastAsia="Arial" w:hAnsi="Arial"/>
                <w:sz w:val="18"/>
                <w:szCs w:val="18"/>
                <w:color w:val="auto"/>
                <w:w w:val="94"/>
              </w:rPr>
              <w:t>(2)%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4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2,598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2,564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2,631</w:t>
            </w:r>
          </w:p>
        </w:tc>
        <w:tc>
          <w:tcPr>
            <w:tcW w:w="100" w:type="dxa"/>
            <w:vAlign w:val="bottom"/>
          </w:tcPr>
          <w:p>
            <w:pPr>
              <w:spacing w:after="0"/>
              <w:rPr>
                <w:sz w:val="21"/>
                <w:szCs w:val="21"/>
                <w:color w:val="auto"/>
              </w:rPr>
            </w:pPr>
          </w:p>
        </w:tc>
        <w:tc>
          <w:tcPr>
            <w:tcW w:w="1040" w:type="dxa"/>
            <w:vAlign w:val="bottom"/>
          </w:tcPr>
          <w:p>
            <w:pPr>
              <w:jc w:val="center"/>
              <w:ind w:left="254"/>
              <w:spacing w:after="0"/>
              <w:rPr>
                <w:sz w:val="20"/>
                <w:szCs w:val="20"/>
                <w:color w:val="auto"/>
              </w:rPr>
            </w:pPr>
            <w:r>
              <w:rPr>
                <w:rFonts w:ascii="Arial" w:cs="Arial" w:eastAsia="Arial" w:hAnsi="Arial"/>
                <w:sz w:val="18"/>
                <w:szCs w:val="18"/>
                <w:color w:val="auto"/>
                <w:w w:val="99"/>
              </w:rPr>
              <w:t>1</w:t>
            </w:r>
          </w:p>
        </w:tc>
        <w:tc>
          <w:tcPr>
            <w:tcW w:w="1800" w:type="dxa"/>
            <w:vAlign w:val="bottom"/>
            <w:gridSpan w:val="3"/>
          </w:tcPr>
          <w:p>
            <w:pPr>
              <w:jc w:val="center"/>
              <w:ind w:left="354"/>
              <w:spacing w:after="0"/>
              <w:rPr>
                <w:sz w:val="20"/>
                <w:szCs w:val="20"/>
                <w:color w:val="auto"/>
              </w:rPr>
            </w:pPr>
            <w:r>
              <w:rPr>
                <w:rFonts w:ascii="Arial" w:cs="Arial" w:eastAsia="Arial" w:hAnsi="Arial"/>
                <w:sz w:val="18"/>
                <w:szCs w:val="18"/>
                <w:color w:val="auto"/>
                <w:w w:val="90"/>
              </w:rPr>
              <w:t>(3)</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967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968</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center"/>
              <w:ind w:left="254"/>
              <w:spacing w:after="0"/>
              <w:rPr>
                <w:sz w:val="20"/>
                <w:szCs w:val="20"/>
                <w:color w:val="auto"/>
              </w:rPr>
            </w:pPr>
            <w:r>
              <w:rPr>
                <w:rFonts w:ascii="Arial" w:cs="Arial" w:eastAsia="Arial" w:hAnsi="Arial"/>
                <w:sz w:val="18"/>
                <w:szCs w:val="18"/>
                <w:color w:val="auto"/>
                <w:w w:val="99"/>
              </w:rPr>
              <w:t>(5)</w:t>
            </w:r>
          </w:p>
        </w:tc>
        <w:tc>
          <w:tcPr>
            <w:tcW w:w="1800" w:type="dxa"/>
            <w:vAlign w:val="bottom"/>
            <w:tcBorders>
              <w:bottom w:val="single" w:sz="8" w:color="CCEEFF"/>
            </w:tcBorders>
            <w:gridSpan w:val="3"/>
            <w:shd w:val="clear" w:color="auto" w:fill="CCEEFF"/>
          </w:tcPr>
          <w:p>
            <w:pPr>
              <w:jc w:val="center"/>
              <w:ind w:left="354"/>
              <w:spacing w:after="0"/>
              <w:rPr>
                <w:sz w:val="20"/>
                <w:szCs w:val="20"/>
                <w:color w:val="auto"/>
              </w:rPr>
            </w:pPr>
            <w:r>
              <w:rPr>
                <w:rFonts w:ascii="Arial" w:cs="Arial" w:eastAsia="Arial" w:hAnsi="Arial"/>
                <w:sz w:val="18"/>
                <w:szCs w:val="18"/>
                <w:color w:val="auto"/>
                <w:w w:val="79"/>
              </w:rPr>
              <w:t>5</w:t>
            </w:r>
          </w:p>
        </w:tc>
      </w:tr>
      <w:tr>
        <w:trPr>
          <w:trHeight w:val="237"/>
        </w:trPr>
        <w:tc>
          <w:tcPr>
            <w:tcW w:w="4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7,890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7,961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20"/>
                <w:szCs w:val="20"/>
                <w:color w:val="auto"/>
              </w:rPr>
            </w:pPr>
          </w:p>
        </w:tc>
        <w:tc>
          <w:tcPr>
            <w:tcW w:w="1040" w:type="dxa"/>
            <w:vAlign w:val="bottom"/>
            <w:tcBorders>
              <w:top w:val="single" w:sz="8" w:color="auto"/>
            </w:tcBorders>
          </w:tcPr>
          <w:p>
            <w:pPr>
              <w:jc w:val="center"/>
              <w:ind w:left="234"/>
              <w:spacing w:after="0"/>
              <w:rPr>
                <w:sz w:val="20"/>
                <w:szCs w:val="20"/>
                <w:color w:val="auto"/>
              </w:rPr>
            </w:pPr>
            <w:r>
              <w:rPr>
                <w:rFonts w:ascii="Arial" w:cs="Arial" w:eastAsia="Arial" w:hAnsi="Arial"/>
                <w:sz w:val="18"/>
                <w:szCs w:val="18"/>
                <w:color w:val="auto"/>
                <w:w w:val="94"/>
              </w:rPr>
              <w:t>(1)%</w:t>
            </w:r>
          </w:p>
        </w:tc>
        <w:tc>
          <w:tcPr>
            <w:tcW w:w="3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r>
      <w:tr>
        <w:trPr>
          <w:trHeight w:val="27"/>
        </w:trPr>
        <w:tc>
          <w:tcPr>
            <w:tcW w:w="4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4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440"/>
        </w:trPr>
        <w:tc>
          <w:tcPr>
            <w:tcW w:w="4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60" w:type="dxa"/>
            <w:vAlign w:val="bottom"/>
            <w:gridSpan w:val="2"/>
          </w:tcPr>
          <w:p>
            <w:pPr>
              <w:jc w:val="center"/>
              <w:ind w:right="30"/>
              <w:spacing w:after="0"/>
              <w:rPr>
                <w:sz w:val="20"/>
                <w:szCs w:val="20"/>
                <w:color w:val="auto"/>
              </w:rPr>
            </w:pPr>
            <w:r>
              <w:rPr>
                <w:rFonts w:ascii="Arial" w:cs="Arial" w:eastAsia="Arial" w:hAnsi="Arial"/>
                <w:sz w:val="18"/>
                <w:szCs w:val="18"/>
                <w:color w:val="auto"/>
                <w:w w:val="89"/>
              </w:rPr>
              <w:t>18</w:t>
            </w: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314"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2017 versus 2016</w:t>
            </w:r>
          </w:p>
        </w:tc>
        <w:tc>
          <w:tcPr>
            <w:tcW w:w="336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3360" w:type="dxa"/>
            <w:vAlign w:val="bottom"/>
          </w:tcPr>
          <w:p>
            <w:pPr>
              <w:spacing w:after="0"/>
              <w:rPr>
                <w:sz w:val="11"/>
                <w:szCs w:val="11"/>
                <w:color w:val="auto"/>
              </w:rPr>
            </w:pPr>
          </w:p>
        </w:tc>
        <w:tc>
          <w:tcPr>
            <w:tcW w:w="17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and Beverages</w:t>
            </w:r>
            <w:r>
              <w:rPr>
                <w:rFonts w:ascii="Arial" w:cs="Arial" w:eastAsia="Arial" w:hAnsi="Arial"/>
                <w:sz w:val="8"/>
                <w:szCs w:val="8"/>
                <w:b w:val="1"/>
                <w:bCs w:val="1"/>
                <w:color w:val="auto"/>
                <w:w w:val="91"/>
              </w:rPr>
              <w:t>(2)</w:t>
            </w: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700" w:type="dxa"/>
            <w:vAlign w:val="bottom"/>
            <w:gridSpan w:val="2"/>
          </w:tcPr>
          <w:p>
            <w:pPr>
              <w:ind w:left="260"/>
              <w:spacing w:after="0" w:line="125" w:lineRule="exact"/>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(2)</w:t>
            </w:r>
          </w:p>
        </w:tc>
        <w:tc>
          <w:tcPr>
            <w:tcW w:w="1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7"/>
              </w:rPr>
              <w:t>Total</w:t>
            </w:r>
            <w:r>
              <w:rPr>
                <w:rFonts w:ascii="Arial" w:cs="Arial" w:eastAsia="Arial" w:hAnsi="Arial"/>
                <w:sz w:val="8"/>
                <w:szCs w:val="8"/>
                <w:b w:val="1"/>
                <w:bCs w:val="1"/>
                <w:color w:val="auto"/>
                <w:w w:val="97"/>
              </w:rPr>
              <w:t>(2)</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0"/>
        </w:trPr>
        <w:tc>
          <w:tcPr>
            <w:tcW w:w="470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(Increased)/Decreased Promotional Spending</w:t>
            </w:r>
            <w:r>
              <w:rPr>
                <w:rFonts w:ascii="Arial" w:cs="Arial" w:eastAsia="Arial" w:hAnsi="Arial"/>
                <w:sz w:val="25"/>
                <w:szCs w:val="25"/>
                <w:color w:val="auto"/>
                <w:vertAlign w:val="superscript"/>
              </w:rPr>
              <w:t>(1)</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3"/>
                <w:szCs w:val="23"/>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40" w:type="dxa"/>
            <w:vAlign w:val="bottom"/>
          </w:tcPr>
          <w:p>
            <w:pPr>
              <w:spacing w:after="0"/>
              <w:rPr>
                <w:sz w:val="24"/>
                <w:szCs w:val="24"/>
                <w:color w:val="auto"/>
              </w:rPr>
            </w:pPr>
          </w:p>
        </w:tc>
        <w:tc>
          <w:tcPr>
            <w:tcW w:w="1300" w:type="dxa"/>
            <w:vAlign w:val="bottom"/>
            <w:vMerge w:val="restart"/>
          </w:tcPr>
          <w:p>
            <w:pPr>
              <w:spacing w:after="0"/>
              <w:rPr>
                <w:sz w:val="20"/>
                <w:szCs w:val="20"/>
                <w:color w:val="auto"/>
              </w:rPr>
            </w:pPr>
            <w:r>
              <w:rPr>
                <w:rFonts w:ascii="Arial" w:cs="Arial" w:eastAsia="Arial" w:hAnsi="Arial"/>
                <w:sz w:val="18"/>
                <w:szCs w:val="18"/>
                <w:b w:val="1"/>
                <w:bCs w:val="1"/>
                <w:color w:val="auto"/>
                <w:w w:val="86"/>
              </w:rPr>
              <w:t>2016 versus 2015</w:t>
            </w:r>
          </w:p>
        </w:tc>
        <w:tc>
          <w:tcPr>
            <w:tcW w:w="3360" w:type="dxa"/>
            <w:vAlign w:val="bottom"/>
          </w:tcPr>
          <w:p>
            <w:pPr>
              <w:spacing w:after="0"/>
              <w:rPr>
                <w:sz w:val="24"/>
                <w:szCs w:val="2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1300" w:type="dxa"/>
            <w:vAlign w:val="bottom"/>
            <w:tcBorders>
              <w:bottom w:val="single" w:sz="8" w:color="auto"/>
            </w:tcBorders>
            <w:vMerge w:val="continue"/>
          </w:tcPr>
          <w:p>
            <w:pPr>
              <w:spacing w:after="0"/>
              <w:rPr>
                <w:sz w:val="11"/>
                <w:szCs w:val="11"/>
                <w:color w:val="auto"/>
              </w:rPr>
            </w:pPr>
          </w:p>
        </w:tc>
        <w:tc>
          <w:tcPr>
            <w:tcW w:w="3360" w:type="dxa"/>
            <w:vAlign w:val="bottom"/>
          </w:tcPr>
          <w:p>
            <w:pPr>
              <w:spacing w:after="0"/>
              <w:rPr>
                <w:sz w:val="11"/>
                <w:szCs w:val="11"/>
                <w:color w:val="auto"/>
              </w:rPr>
            </w:pPr>
          </w:p>
        </w:tc>
        <w:tc>
          <w:tcPr>
            <w:tcW w:w="17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88"/>
              </w:rPr>
              <w:t>and Beverages</w:t>
            </w:r>
          </w:p>
        </w:tc>
        <w:tc>
          <w:tcPr>
            <w:tcW w:w="1700" w:type="dxa"/>
            <w:vAlign w:val="bottom"/>
            <w:gridSpan w:val="2"/>
          </w:tcPr>
          <w:p>
            <w:pPr>
              <w:jc w:val="center"/>
              <w:ind w:right="100"/>
              <w:spacing w:after="0" w:line="125" w:lineRule="exact"/>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(2)</w:t>
            </w:r>
          </w:p>
        </w:tc>
        <w:tc>
          <w:tcPr>
            <w:tcW w:w="1700" w:type="dxa"/>
            <w:vAlign w:val="bottom"/>
            <w:gridSpan w:val="2"/>
          </w:tcPr>
          <w:p>
            <w:pPr>
              <w:ind w:left="260"/>
              <w:spacing w:after="0" w:line="125" w:lineRule="exact"/>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(2)</w:t>
            </w:r>
          </w:p>
        </w:tc>
        <w:tc>
          <w:tcPr>
            <w:tcW w:w="1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336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Price and Sales Allowances</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Currency</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(4)</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Acquisitions</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(3)%</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7"/>
        </w:trPr>
        <w:tc>
          <w:tcPr>
            <w:tcW w:w="470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gridSpan w:val="3"/>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gridSpan w:val="3"/>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Sum of the individual amounts does not add due to rounding.</w:t>
      </w:r>
    </w:p>
    <w:p>
      <w:pPr>
        <w:spacing w:after="0" w:line="8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 xml:space="preserve">In 2017, Americas Simple Meals and Beverages sales decreased 1% primarily due to declines in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and soup, partly offset by gains in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and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pasta. U.S. soup sales decreased 1% due to declines in condensed soups and broth, partly offset by gains in ready-to-serve soups. Gains in ready-to-serve soups were primarily driven by </w:t>
      </w:r>
      <w:r>
        <w:rPr>
          <w:rFonts w:ascii="Arial" w:cs="Arial" w:eastAsia="Arial" w:hAnsi="Arial"/>
          <w:sz w:val="17"/>
          <w:szCs w:val="17"/>
          <w:i w:val="1"/>
          <w:iCs w:val="1"/>
          <w:color w:val="auto"/>
        </w:rPr>
        <w:t>Campbell’s Chunky</w:t>
      </w:r>
      <w:r>
        <w:rPr>
          <w:rFonts w:ascii="Arial" w:cs="Arial" w:eastAsia="Arial" w:hAnsi="Arial"/>
          <w:sz w:val="17"/>
          <w:szCs w:val="17"/>
          <w:color w:val="auto"/>
        </w:rPr>
        <w:t xml:space="preserve"> soups due to improved execution, including merchandising and dedicated advertising, as well as new items, and the launch of </w:t>
      </w:r>
      <w:r>
        <w:rPr>
          <w:rFonts w:ascii="Arial" w:cs="Arial" w:eastAsia="Arial" w:hAnsi="Arial"/>
          <w:sz w:val="17"/>
          <w:szCs w:val="17"/>
          <w:i w:val="1"/>
          <w:iCs w:val="1"/>
          <w:color w:val="auto"/>
        </w:rPr>
        <w:t>Well Yes!</w:t>
      </w:r>
      <w:r>
        <w:rPr>
          <w:rFonts w:ascii="Arial" w:cs="Arial" w:eastAsia="Arial" w:hAnsi="Arial"/>
          <w:sz w:val="17"/>
          <w:szCs w:val="17"/>
          <w:color w:val="auto"/>
        </w:rPr>
        <w:t xml:space="preserve"> soups. Promotional spending had a negative impact of 1% on sales, with increases on broth, in Canada and on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We increased promotional spending on broth and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to remain competitive, and in Canada to hold certain promoted prices following list price increases. For 2018, we were unable to reach an agreement with a large customer on a promotional program for U.S. soup. As a result, we expect our U.S. soup sales to decline in 2018.</w:t>
      </w:r>
    </w:p>
    <w:p>
      <w:pPr>
        <w:spacing w:after="0" w:line="1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2016, Americas Simple Meals and Beverages sales decreased 2%. Sales decreased primarily due to declines in soup and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partially offset by gains in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Plum</w:t>
      </w:r>
      <w:r>
        <w:rPr>
          <w:rFonts w:ascii="Arial" w:cs="Arial" w:eastAsia="Arial" w:hAnsi="Arial"/>
          <w:sz w:val="17"/>
          <w:szCs w:val="17"/>
          <w:color w:val="auto"/>
        </w:rPr>
        <w:t xml:space="preserve"> products and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U.S. soup sales decreased 4% primarily as a result of the impact of our net price realization actions and category declines, which were partly related to warmer weather. Further details of U.S. soup include:</w:t>
      </w:r>
    </w:p>
    <w:p>
      <w:pPr>
        <w:spacing w:after="0" w:line="1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Sales of condensed soups were comparable to the prior year.</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Sales of ready-to-serve soups declined 13%. The sales decrease in ready-to-serve soups was also due to marketing execution issues on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Chunky </w:t>
      </w:r>
      <w:r>
        <w:rPr>
          <w:rFonts w:ascii="Arial" w:cs="Arial" w:eastAsia="Arial" w:hAnsi="Arial"/>
          <w:sz w:val="18"/>
          <w:szCs w:val="18"/>
          <w:color w:val="auto"/>
        </w:rPr>
        <w:t>soups.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Broth sales increased 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V8 </w:t>
      </w:r>
      <w:r>
        <w:rPr>
          <w:rFonts w:ascii="Arial" w:cs="Arial" w:eastAsia="Arial" w:hAnsi="Arial"/>
          <w:sz w:val="18"/>
          <w:szCs w:val="18"/>
          <w:color w:val="auto"/>
        </w:rPr>
        <w:t>beverages continued to be under pressure from competition from specialty and packaged fresh beverages.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In 2017, Global Biscuits and Snacks sales increased 1% reflecting a 1% favorable impact from currency translation. Excluding the favorable impact of currency translation, segment sales were comparable to the prior year as gains in Pepperidge Farm were offset by declines in Kelsen, mostly in the U.S., and in Arnott's in Indonesia. Pepperidge Farm sales increased due to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in cookies, benefiting from new items, partly offset by declines in fresh bakery and frozen products.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2016, Global Biscuits and Snacks sales decreased 3% reflecting a 4% negative impact from currency translation. Excluding the negative impact of currency translation, segment sales increased primarily due to gains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Arnott's biscuits in Australia, partially offset by declines in Kelsen.</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 xml:space="preserve">In 2017, Campbell Fresh sales decreased 5% primarily due to lower sales of refrigerated beverages and carrots, partly offset by gains in refrigerated soup. The decrease in refrigerated beverages reflects the adverse impact of supply constraints related to enhanced quality processes following the voluntary recall of </w:t>
      </w:r>
      <w:r>
        <w:rPr>
          <w:rFonts w:ascii="Arial" w:cs="Arial" w:eastAsia="Arial" w:hAnsi="Arial"/>
          <w:sz w:val="17"/>
          <w:szCs w:val="17"/>
          <w:i w:val="1"/>
          <w:iCs w:val="1"/>
          <w:color w:val="auto"/>
        </w:rPr>
        <w:t xml:space="preserve">Bolthouse Farms Protein PLUS </w:t>
      </w:r>
      <w:r>
        <w:rPr>
          <w:rFonts w:ascii="Arial" w:cs="Arial" w:eastAsia="Arial" w:hAnsi="Arial"/>
          <w:sz w:val="17"/>
          <w:szCs w:val="17"/>
          <w:color w:val="auto"/>
        </w:rPr>
        <w:t>drinks in June 2016. The carrot sales performance reflects the market share impact of quality and execution issues</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experienced in 2016, as well as the adverse impact of weather conditions in the second quarter of 2017.</w:t>
      </w:r>
    </w:p>
    <w:p>
      <w:pPr>
        <w:sectPr>
          <w:pgSz w:w="11900" w:h="16838" w:orient="portrait"/>
          <w:cols w:equalWidth="0" w:num="1">
            <w:col w:w="11420"/>
          </w:cols>
          <w:pgMar w:left="240" w:top="1314" w:right="239" w:bottom="1440" w:gutter="0" w:footer="0" w:header="0"/>
        </w:sect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jc w:val="both"/>
        <w:ind w:firstLine="324"/>
        <w:spacing w:after="0" w:line="273" w:lineRule="auto"/>
        <w:rPr>
          <w:sz w:val="20"/>
          <w:szCs w:val="20"/>
          <w:color w:val="auto"/>
        </w:rPr>
      </w:pPr>
      <w:r>
        <w:rPr>
          <w:rFonts w:ascii="Arial" w:cs="Arial" w:eastAsia="Arial" w:hAnsi="Arial"/>
          <w:sz w:val="17"/>
          <w:szCs w:val="17"/>
          <w:color w:val="auto"/>
        </w:rPr>
        <w:t xml:space="preserve">In 2016, Campbell Fresh sales increased 5% primarily due to the acquisition of Garden Fresh Gourmet, which was acquired on June 29, 2015. Excluding the acquisition, sales declined reflecting lower sales in carrots and carrot ingredients, partially offset by gains in refrigerated beverages and salad dressings. In 2016, carrot sales performance primarily reflected the adverse impact of weather conditions on crop yields, and execution issues in response to those conditions, which led to customer dissatisfaction and a loss of business in the second half of the year. The increase in refrigerated beverages was primarily due to new product launches, partially offset by the impact of the voluntary recall of </w:t>
      </w:r>
      <w:r>
        <w:rPr>
          <w:rFonts w:ascii="Arial" w:cs="Arial" w:eastAsia="Arial" w:hAnsi="Arial"/>
          <w:sz w:val="17"/>
          <w:szCs w:val="17"/>
          <w:i w:val="1"/>
          <w:iCs w:val="1"/>
          <w:color w:val="auto"/>
        </w:rPr>
        <w:t>Bolthouse Farms Protein PLUS</w:t>
      </w:r>
      <w:r>
        <w:rPr>
          <w:rFonts w:ascii="Arial" w:cs="Arial" w:eastAsia="Arial" w:hAnsi="Arial"/>
          <w:sz w:val="17"/>
          <w:szCs w:val="17"/>
          <w:color w:val="auto"/>
        </w:rPr>
        <w:t xml:space="preserve"> drinks in June 2016. In 2016, promotional spending was increased to remain competitive and to support new product launches.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$279 million in 2017 from 2016 and decreased by $2 million in 2016 from 2015. As a percent of sales, gross profit was 38.8% in 2017, 34.9% in 2016 and 34.4% in 2015.</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3.9 percentage-point increase in gross profit percentage in 2017 and 0.5 percentage-point increase in gross profit percentage in 2016 were due to the following factors: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center"/>
              <w:ind w:left="332"/>
              <w:spacing w:after="0"/>
              <w:rPr>
                <w:sz w:val="20"/>
                <w:szCs w:val="20"/>
                <w:color w:val="auto"/>
              </w:rPr>
            </w:pPr>
            <w:r>
              <w:rPr>
                <w:rFonts w:ascii="Arial" w:cs="Arial" w:eastAsia="Arial" w:hAnsi="Arial"/>
                <w:sz w:val="14"/>
                <w:szCs w:val="14"/>
                <w:b w:val="1"/>
                <w:bCs w:val="1"/>
                <w:color w:val="auto"/>
                <w:w w:val="96"/>
              </w:rPr>
              <w:t>2017</w:t>
            </w:r>
          </w:p>
        </w:tc>
        <w:tc>
          <w:tcPr>
            <w:tcW w:w="4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Pension and postretirement benefit mark-to-market adjustments</w:t>
            </w:r>
            <w:r>
              <w:rPr>
                <w:rFonts w:ascii="Arial" w:cs="Arial" w:eastAsia="Arial" w:hAnsi="Arial"/>
                <w:sz w:val="25"/>
                <w:szCs w:val="25"/>
                <w:color w:val="auto"/>
                <w:vertAlign w:val="superscript"/>
              </w:rPr>
              <w:t>(1)</w:t>
            </w:r>
          </w:p>
        </w:tc>
        <w:tc>
          <w:tcPr>
            <w:tcW w:w="840" w:type="dxa"/>
            <w:vAlign w:val="bottom"/>
            <w:shd w:val="clear" w:color="auto" w:fill="CCEEFF"/>
          </w:tcPr>
          <w:p>
            <w:pPr>
              <w:jc w:val="center"/>
              <w:ind w:left="332"/>
              <w:spacing w:after="0"/>
              <w:rPr>
                <w:sz w:val="20"/>
                <w:szCs w:val="20"/>
                <w:color w:val="auto"/>
              </w:rPr>
            </w:pPr>
            <w:r>
              <w:rPr>
                <w:rFonts w:ascii="Arial" w:cs="Arial" w:eastAsia="Arial" w:hAnsi="Arial"/>
                <w:sz w:val="18"/>
                <w:szCs w:val="18"/>
                <w:b w:val="1"/>
                <w:bCs w:val="1"/>
                <w:color w:val="auto"/>
              </w:rPr>
              <w:t>3.3%</w:t>
            </w:r>
          </w:p>
        </w:tc>
        <w:tc>
          <w:tcPr>
            <w:tcW w:w="1780" w:type="dxa"/>
            <w:vAlign w:val="bottom"/>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0"/>
              </w:rPr>
              <w:t>(1.2)%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Productivity improvements</w:t>
            </w:r>
          </w:p>
        </w:tc>
        <w:tc>
          <w:tcPr>
            <w:tcW w:w="84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1.8</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95"/>
              </w:rPr>
              <w:t>2.0</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selling prices</w:t>
            </w:r>
          </w:p>
        </w:tc>
        <w:tc>
          <w:tcPr>
            <w:tcW w:w="840" w:type="dxa"/>
            <w:vAlign w:val="bottom"/>
            <w:tcBorders>
              <w:bottom w:val="single" w:sz="8" w:color="CCEEFF"/>
            </w:tcBorders>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87"/>
              </w:rPr>
              <w:t>0.1</w:t>
            </w:r>
          </w:p>
        </w:tc>
        <w:tc>
          <w:tcPr>
            <w:tcW w:w="1780" w:type="dxa"/>
            <w:vAlign w:val="bottom"/>
            <w:tcBorders>
              <w:bottom w:val="single" w:sz="8" w:color="CCEEFF"/>
            </w:tcBorders>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5"/>
              </w:rPr>
              <w:t>0.6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Mix</w:t>
            </w:r>
          </w:p>
        </w:tc>
        <w:tc>
          <w:tcPr>
            <w:tcW w:w="84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0.1</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95"/>
              </w:rPr>
              <w:t>0.4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840" w:type="dxa"/>
            <w:vAlign w:val="bottom"/>
            <w:tcBorders>
              <w:bottom w:val="single" w:sz="8" w:color="CCEEFF"/>
            </w:tcBorders>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91"/>
              </w:rPr>
              <w:t>(0.4)</w:t>
            </w:r>
          </w:p>
        </w:tc>
        <w:tc>
          <w:tcPr>
            <w:tcW w:w="1780" w:type="dxa"/>
            <w:vAlign w:val="bottom"/>
            <w:tcBorders>
              <w:bottom w:val="single" w:sz="8" w:color="CCEEFF"/>
            </w:tcBorders>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7"/>
              </w:rPr>
              <w:t>(0.2)</w:t>
            </w:r>
          </w:p>
        </w:tc>
        <w:tc>
          <w:tcPr>
            <w:tcW w:w="0" w:type="dxa"/>
            <w:vAlign w:val="bottom"/>
          </w:tcPr>
          <w:p>
            <w:pPr>
              <w:spacing w:after="0"/>
              <w:rPr>
                <w:sz w:val="1"/>
                <w:szCs w:val="1"/>
                <w:color w:val="auto"/>
              </w:rPr>
            </w:pPr>
          </w:p>
        </w:tc>
      </w:tr>
      <w:tr>
        <w:trPr>
          <w:trHeight w:val="270"/>
        </w:trPr>
        <w:tc>
          <w:tcPr>
            <w:tcW w:w="8800" w:type="dxa"/>
            <w:vAlign w:val="bottom"/>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(2)</w:t>
            </w:r>
          </w:p>
        </w:tc>
        <w:tc>
          <w:tcPr>
            <w:tcW w:w="840" w:type="dxa"/>
            <w:vAlign w:val="bottom"/>
          </w:tcPr>
          <w:p>
            <w:pPr>
              <w:jc w:val="center"/>
              <w:ind w:left="332"/>
              <w:spacing w:after="0"/>
              <w:rPr>
                <w:sz w:val="20"/>
                <w:szCs w:val="20"/>
                <w:color w:val="auto"/>
              </w:rPr>
            </w:pPr>
            <w:r>
              <w:rPr>
                <w:rFonts w:ascii="Arial" w:cs="Arial" w:eastAsia="Arial" w:hAnsi="Arial"/>
                <w:sz w:val="18"/>
                <w:szCs w:val="18"/>
                <w:b w:val="1"/>
                <w:bCs w:val="1"/>
                <w:color w:val="auto"/>
                <w:w w:val="91"/>
              </w:rPr>
              <w:t>(1.0)</w:t>
            </w:r>
          </w:p>
        </w:tc>
        <w:tc>
          <w:tcPr>
            <w:tcW w:w="1780" w:type="dxa"/>
            <w:vAlign w:val="bottom"/>
            <w:gridSpan w:val="3"/>
          </w:tcPr>
          <w:p>
            <w:pPr>
              <w:jc w:val="center"/>
              <w:ind w:left="452"/>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acquisitions</w:t>
            </w:r>
          </w:p>
        </w:tc>
        <w:tc>
          <w:tcPr>
            <w:tcW w:w="840" w:type="dxa"/>
            <w:vAlign w:val="bottom"/>
            <w:tcBorders>
              <w:bottom w:val="single" w:sz="8" w:color="CCEEFF"/>
            </w:tcBorders>
            <w:shd w:val="clear" w:color="auto" w:fill="CCEEFF"/>
          </w:tcPr>
          <w:p>
            <w:pPr>
              <w:jc w:val="center"/>
              <w:ind w:left="332"/>
              <w:spacing w:after="0"/>
              <w:rPr>
                <w:sz w:val="20"/>
                <w:szCs w:val="20"/>
                <w:color w:val="auto"/>
              </w:rPr>
            </w:pPr>
            <w:r>
              <w:rPr>
                <w:rFonts w:ascii="Arial" w:cs="Arial" w:eastAsia="Arial" w:hAnsi="Arial"/>
                <w:sz w:val="18"/>
                <w:szCs w:val="18"/>
                <w:b w:val="1"/>
                <w:bCs w:val="1"/>
                <w:color w:val="auto"/>
                <w:w w:val="99"/>
              </w:rPr>
              <w:t>—</w:t>
            </w:r>
          </w:p>
        </w:tc>
        <w:tc>
          <w:tcPr>
            <w:tcW w:w="1780" w:type="dxa"/>
            <w:vAlign w:val="bottom"/>
            <w:tcBorders>
              <w:bottom w:val="single" w:sz="8" w:color="CCEEFF"/>
            </w:tcBorders>
            <w:gridSpan w:val="3"/>
            <w:shd w:val="clear" w:color="auto" w:fill="CCEEFF"/>
          </w:tcPr>
          <w:p>
            <w:pPr>
              <w:jc w:val="center"/>
              <w:ind w:left="452"/>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237"/>
        </w:trPr>
        <w:tc>
          <w:tcPr>
            <w:tcW w:w="8800" w:type="dxa"/>
            <w:vAlign w:val="bottom"/>
          </w:tcPr>
          <w:p>
            <w:pPr>
              <w:spacing w:after="0"/>
              <w:rPr>
                <w:sz w:val="20"/>
                <w:szCs w:val="20"/>
                <w:color w:val="auto"/>
              </w:rPr>
            </w:pPr>
          </w:p>
        </w:tc>
        <w:tc>
          <w:tcPr>
            <w:tcW w:w="840" w:type="dxa"/>
            <w:vAlign w:val="bottom"/>
            <w:tcBorders>
              <w:top w:val="single" w:sz="8" w:color="auto"/>
            </w:tcBorders>
          </w:tcPr>
          <w:p>
            <w:pPr>
              <w:jc w:val="center"/>
              <w:ind w:left="332"/>
              <w:spacing w:after="0"/>
              <w:rPr>
                <w:sz w:val="20"/>
                <w:szCs w:val="20"/>
                <w:color w:val="auto"/>
              </w:rPr>
            </w:pPr>
            <w:r>
              <w:rPr>
                <w:rFonts w:ascii="Arial" w:cs="Arial" w:eastAsia="Arial" w:hAnsi="Arial"/>
                <w:sz w:val="18"/>
                <w:szCs w:val="18"/>
                <w:b w:val="1"/>
                <w:bCs w:val="1"/>
                <w:color w:val="auto"/>
              </w:rPr>
              <w:t>3.9%</w:t>
            </w: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0.5%</w:t>
            </w:r>
          </w:p>
        </w:tc>
        <w:tc>
          <w:tcPr>
            <w:tcW w:w="0" w:type="dxa"/>
            <w:vAlign w:val="bottom"/>
          </w:tcPr>
          <w:p>
            <w:pPr>
              <w:spacing w:after="0"/>
              <w:rPr>
                <w:sz w:val="1"/>
                <w:szCs w:val="1"/>
                <w:color w:val="auto"/>
              </w:rPr>
            </w:pPr>
          </w:p>
        </w:tc>
      </w:tr>
      <w:tr>
        <w:trPr>
          <w:trHeight w:val="27"/>
        </w:trPr>
        <w:tc>
          <w:tcPr>
            <w:tcW w:w="88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80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800" w:type="dxa"/>
            <w:vAlign w:val="bottom"/>
            <w:vMerge w:val="continue"/>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Pension and postretirement benefit mark-to-market gains were $85 in 2017 and losses were $176 million in 2016.</w:t>
      </w:r>
    </w:p>
    <w:p>
      <w:pPr>
        <w:spacing w:after="0" w:line="55" w:lineRule="exact"/>
        <w:rPr>
          <w:rFonts w:ascii="Arial" w:cs="Arial" w:eastAsia="Arial" w:hAnsi="Arial"/>
          <w:sz w:val="25"/>
          <w:szCs w:val="25"/>
          <w:color w:val="auto"/>
          <w:vertAlign w:val="superscript"/>
        </w:rPr>
      </w:pPr>
    </w:p>
    <w:p>
      <w:pPr>
        <w:ind w:left="340" w:right="20" w:hanging="332"/>
        <w:spacing w:after="0" w:line="208"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2017 includes a positive margin impact of 1 point from cost savings initiatives. 2016 includes a positive margin impact of 0.6 points from cost savings initiatives.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Marketing and selling expenses as a percent of sales were 10.4% in 2017, 11.2% in 2016 and 10.9% in 2015. Marketing and selling expenses decreased 9% in 2017 from 2016. The decrease was primarily due to gains on pension and postretirement benefit mark-to-market adjustments in the current year compared to losses in the prior year (approximately 8 percentage points); increased benefits from cost savings initiatives (approximately 2 percentage points); and lower incentive compensation costs (approximately 1 percentage point), partially offset by higher selling expenses (approximately 1 percentage point) and inflation (approximately 1 percentage point).</w:t>
      </w:r>
    </w:p>
    <w:p>
      <w:pPr>
        <w:spacing w:after="0" w:line="13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Marketing and selling expenses increased 1% in 2016 from 2015. The increase was due to increased losses on pension and postretirement benefit mark-to-market adjustments (approximately 3 percentage points); higher advertising and consumer promotion expenses (approximately 2 percentage points); lower marketing overhead expenses and lower selling expenses (approximately 1 percentage point); and inflation (approximately 1 percentage point), partially offset by benefits from cost savings initiatives (approximately 4 percentage points) and the impact of currency translation (approximately 2 percentage points). The increase in advertising and consumer promotion expenses in 2016 was primarily in Global Biscuits and Snacks.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Administrative expenses as a percent of sales were 6.2% in 2017, 8.1% in 2016 and 7.4% in 2015. Administrative expenses decreased 24% in 2017 from 2016. The decrease was primarily due to gains on pension and postretirement benefit mark-to-market adjustments in the current year compared to losses in the prior year (approximately 19 percentage points); increased benefits from cost savings initiatives (approximately 3 percentage points); lower incentive compensation costs (approximately 3 percentage points); and lower costs related to the implementation of the new organizational structure and cost savings initiatives (approximately 2 percentage points), partially offset by inflation (approximately 2 percentage points) and investments in long-term innovation (approximately 1 percentage point).</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increased 7% in 2016 from 2015. The increase was primarily due to increased losses on pension and postretirement benefit mark-to-market adjustments (approximately 7 percentage points); higher costs related to the implementation of the new organizational structure and cost savings initiatives (approximately 4 percentage points); inflation (approximately 2 percentage points); and higher incentive compensation costs (approximately 1 percentage point), partially offset by benefits from</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ind w:right="1740"/>
        <w:spacing w:after="0" w:line="438" w:lineRule="auto"/>
        <w:rPr>
          <w:sz w:val="20"/>
          <w:szCs w:val="20"/>
          <w:color w:val="auto"/>
        </w:rPr>
      </w:pPr>
      <w:r>
        <w:rPr>
          <w:rFonts w:ascii="Arial" w:cs="Arial" w:eastAsia="Arial" w:hAnsi="Arial"/>
          <w:sz w:val="18"/>
          <w:szCs w:val="18"/>
          <w:color w:val="auto"/>
        </w:rPr>
        <w:t xml:space="preserve">cost savings initiatives (approximately 6 percentage points) and the impact of currency translation (approximately 1 percentage point). </w:t>
      </w:r>
      <w:r>
        <w:rPr>
          <w:rFonts w:ascii="Arial" w:cs="Arial" w:eastAsia="Arial" w:hAnsi="Arial"/>
          <w:sz w:val="18"/>
          <w:szCs w:val="18"/>
          <w:b w:val="1"/>
          <w:bCs w:val="1"/>
          <w:i w:val="1"/>
          <w:iCs w:val="1"/>
          <w:color w:val="auto"/>
        </w:rPr>
        <w:t>Research and Development Expenses</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Research and development expenses decreased $26 million, or 21%, in 2017 from 2016. The decrease was primarily due to gains on pension and postretirement benefit mark-to-market adjustments in the current year compared to losses in the prior year (approximately 25 percentage points); increased benefits from cost savings initiatives (approximately 2 percentage points); and lower incentive compensation costs (approximately 2 percentage points), partially offset by inflation and other factors (approximately 7 percentage points) and investments in long-term innovation (approximately 1 percentage point).</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Research and development expenses increased $7 million, or 6%, in 2016 from 2015. The increase was primarily due to increased losses on pension and postretirement benefit mark-to-market adjustments (approximately 9 percentage points) and increased costs to support long-term innovation (approximately 3 percentage points), partially offset by benefits from cost savings initiatives (approximately 6 percentage points).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expenses in 2017 included non-cash impairment charges of $212 million on the intangible assets of the Bolthouse Farms carrot and carrot ingredients reporting unit, and the Garden Fresh Gourmet reporting unit, which are part of the Campbell Fresh segment. The impairment charges were recorded as a result of an interim impairment assessment on the intangible assets of these reporting units in the second quarter. In addition, 2017 included $19 million of amortization of intangible assets.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expenses in 2016 included a non-cash impairment charge of $141 million on the intangible assets of the Bolthouse Farms carrot and carrot ingredients reporting unit. The impairment charge was recorded as a result of our annual review of intangible assets. In addition, 2016 included $20 million of amortization of intangible assets and a $25 million gain from a settlement of a claim related to the Kelsen acquisition.</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Other expenses in 2015 included $17 million of amortization of intangible assets and an impairment charge of $6 million related to minor trademarks used in the Global Biscuits and Snacks segment.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the Consolidated Financial Statements for additional information on the impairment charges.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1% in 2017 from 2016 and increased 11% in 2016 from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tcBorders>
              <w:bottom w:val="single" w:sz="8" w:color="auto"/>
            </w:tcBorders>
            <w:gridSpan w:val="3"/>
          </w:tcPr>
          <w:p>
            <w:pPr>
              <w:jc w:val="right"/>
              <w:ind w:right="554"/>
              <w:spacing w:after="0"/>
              <w:rPr>
                <w:sz w:val="20"/>
                <w:szCs w:val="20"/>
                <w:color w:val="auto"/>
              </w:rPr>
            </w:pPr>
            <w:r>
              <w:rPr>
                <w:rFonts w:ascii="Arial" w:cs="Arial" w:eastAsia="Arial" w:hAnsi="Arial"/>
                <w:sz w:val="14"/>
                <w:szCs w:val="14"/>
                <w:b w:val="1"/>
                <w:bCs w:val="1"/>
                <w:color w:val="auto"/>
              </w:rPr>
              <w:t>% Change</w:t>
            </w:r>
            <w:r>
              <w:rPr>
                <w:rFonts w:ascii="Arial" w:cs="Arial" w:eastAsia="Arial" w:hAnsi="Arial"/>
                <w:sz w:val="8"/>
                <w:szCs w:val="8"/>
                <w:b w:val="1"/>
                <w:bCs w:val="1"/>
                <w:color w:val="auto"/>
              </w:rPr>
              <w:t>(2)</w:t>
            </w:r>
          </w:p>
        </w:tc>
      </w:tr>
      <w:tr>
        <w:trPr>
          <w:trHeight w:val="264"/>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2017/2016</w:t>
            </w:r>
          </w:p>
        </w:tc>
        <w:tc>
          <w:tcPr>
            <w:tcW w:w="12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2016/2015</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w:t>
            </w:r>
          </w:p>
        </w:tc>
        <w:tc>
          <w:tcPr>
            <w:tcW w:w="100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454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383</w:t>
            </w:r>
          </w:p>
        </w:tc>
        <w:tc>
          <w:tcPr>
            <w:tcW w:w="10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21"/>
                <w:szCs w:val="21"/>
                <w:color w:val="auto"/>
              </w:rPr>
            </w:pPr>
          </w:p>
        </w:tc>
        <w:tc>
          <w:tcPr>
            <w:tcW w:w="1020" w:type="dxa"/>
            <w:vAlign w:val="bottom"/>
          </w:tcPr>
          <w:p>
            <w:pPr>
              <w:jc w:val="right"/>
              <w:ind w:right="134"/>
              <w:spacing w:after="0"/>
              <w:rPr>
                <w:sz w:val="20"/>
                <w:szCs w:val="20"/>
                <w:color w:val="auto"/>
              </w:rPr>
            </w:pPr>
            <w:r>
              <w:rPr>
                <w:rFonts w:ascii="Arial" w:cs="Arial" w:eastAsia="Arial" w:hAnsi="Arial"/>
                <w:sz w:val="18"/>
                <w:szCs w:val="18"/>
                <w:color w:val="auto"/>
              </w:rPr>
              <w:t>10</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n/m</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w:t>
            </w:r>
          </w:p>
        </w:tc>
      </w:tr>
      <w:tr>
        <w:trPr>
          <w:trHeight w:val="237"/>
        </w:trPr>
        <w:tc>
          <w:tcPr>
            <w:tcW w:w="57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1,565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1,392</w:t>
            </w:r>
          </w:p>
        </w:tc>
        <w:tc>
          <w:tcPr>
            <w:tcW w:w="10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5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0"/>
        </w:trPr>
        <w:tc>
          <w:tcPr>
            <w:tcW w:w="57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020" w:type="dxa"/>
            <w:vAlign w:val="bottom"/>
            <w:tcBorders>
              <w:bottom w:val="single" w:sz="8" w:color="CCEEFF"/>
            </w:tcBorders>
          </w:tcPr>
          <w:p>
            <w:pPr>
              <w:spacing w:after="0"/>
              <w:rPr>
                <w:sz w:val="23"/>
                <w:szCs w:val="23"/>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16"/>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Americas Simple Meals and Beverages increased 5% in 2017 versus 2016. The increase was primarily due to a higher gross profit percentage, benefiting from productivity improvements, and lower administrative expenses, partly offset by volume declines.</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Americas Simple Meals and Beverages increased 13% in 2016 versus 2015. The increase was primarily due to a higher gross profit percentage, benefiting from productivity improvements and increased net price realization, as well as lower marketing and selling expenses, partially offset by volume declines.</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Operating earnings from Global Biscuits and Snacks increased 8% in 2017 versus 2016. The increase was primarily due to lower administrative expenses, lower marketing and selling expenses and the favorable impact of currency translation.</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4" w:right="239" w:bottom="1440" w:gutter="0" w:footer="0" w:header="0"/>
          <w:type w:val="continuous"/>
        </w:sectPr>
      </w:pPr>
    </w:p>
    <w:bookmarkStart w:id="21" w:name="page22"/>
    <w:bookmarkEnd w:id="21"/>
    <w:p>
      <w:pPr>
        <w:jc w:val="both"/>
        <w:ind w:firstLine="324"/>
        <w:spacing w:after="0" w:line="264" w:lineRule="auto"/>
        <w:rPr>
          <w:sz w:val="20"/>
          <w:szCs w:val="20"/>
          <w:color w:val="auto"/>
        </w:rPr>
      </w:pPr>
      <w:r>
        <w:rPr>
          <w:rFonts w:ascii="Arial" w:cs="Arial" w:eastAsia="Arial" w:hAnsi="Arial"/>
          <w:sz w:val="18"/>
          <w:szCs w:val="18"/>
          <w:color w:val="auto"/>
        </w:rPr>
        <w:t>Operating earnings from Global Biscuits and Snacks increased 10% in 2016 versus 2015. The increase was primarily due to a higher gross profit percentage, volume gains, lower selling expenses and lower administrative expenses, partly offset by the negative impact of currency translation and higher advertising and consumer promotion expenses.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Operating earnings from Campbell Fresh decreased from $60 million in 2016 to a loss of $9 million in 2017. The decrease was primarily due to lower volume and unfavorable mix; higher carrot costs, which were partly associated with the adverse impact on crop yields of heavy rains in December and January of this fiscal year, as well as excess organic carrots; the cost impact of both lower beverage operating efficiencies and enhanced quality processes; and higher administrative expenses.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Operating earnings from Campbell Fresh decreased 2% in 2016 versus 2015. The decrease was primarily due to higher carrot costs, and the impact of the voluntary recall of </w:t>
      </w:r>
      <w:r>
        <w:rPr>
          <w:rFonts w:ascii="Arial" w:cs="Arial" w:eastAsia="Arial" w:hAnsi="Arial"/>
          <w:sz w:val="18"/>
          <w:szCs w:val="18"/>
          <w:i w:val="1"/>
          <w:iCs w:val="1"/>
          <w:color w:val="auto"/>
        </w:rPr>
        <w:t>Bolthouse Farms Protein PLUS</w:t>
      </w:r>
      <w:r>
        <w:rPr>
          <w:rFonts w:ascii="Arial" w:cs="Arial" w:eastAsia="Arial" w:hAnsi="Arial"/>
          <w:sz w:val="18"/>
          <w:szCs w:val="18"/>
          <w:color w:val="auto"/>
        </w:rPr>
        <w:t xml:space="preserve"> drinks and the related production outages, partially offset by productivity improvements and lower administrative expenses.</w:t>
      </w:r>
    </w:p>
    <w:p>
      <w:pPr>
        <w:spacing w:after="0" w:line="12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Corporate in 2017 included a $178 million gain associated with pension and postretirement benefit mark-to-market adjustments, non-cash impairment charges of $212 million on the intangible assets of the Bolthouse Farms carrot and carrot ingredients reporting unit and the Garden Fresh Gourmet reporting unit, and costs of $40 million related to the implementation of our new organizational structure and cost savings initiatives. Corporate in 2016 included a $313 million loss associated with pension and postretirement benefit mark-to-market adjustments, a non-cash impairment charge of $141 million on the intangible assets of the Bolthouse Farms carrot and carrot ingredients reporting unit, costs of $47 million related to the implementation of our new organizational structure and cost savings initiatives, and a $25 million gain from a settlement of a claim related to the Kelsen acquisition. The remaining decrease in 2017 was primarily due to lower postretirement benefit costs as a result of amortization of prior service credit, partially offset by investments in long-term innovation.</w:t>
      </w:r>
    </w:p>
    <w:p>
      <w:pPr>
        <w:spacing w:after="0" w:line="1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Corporate in 2015 included a $138 million loss associated with pension and postretirement benefit mark-to-market adjustments and costs of $22 million related to the implementation of our new organizational structure and cost savings initiatives. The remaining increase in 2016 was primarily due to an increase in pension benefit cost, resulting from a reduction in expected return on assets partially offset by lower interest cost.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Interest expense decreased to $112 million in 2017 from $115 million in 2016. In 2017, we recorded a $6 million reduction to interest expense related to premiums and fees received from the sale of intercompany notes receivable to a financial institution. Excluding the premium and fees, interest expense increased reflecting higher average interest rates on the debt portfolio, partially offset by lower average levels of debt.</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$115 million in 2016 from $108 million in 2015, reflecting higher average interest rates on the debt portfolio, partially offset by lower average levels of debt.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31.4% in 2017, 33.7% in 2016 and 29.8% in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tax rate in 2017 and 2016:</w:t>
      </w:r>
    </w:p>
    <w:p>
      <w:pPr>
        <w:spacing w:after="0" w:line="171" w:lineRule="exact"/>
        <w:rPr>
          <w:sz w:val="20"/>
          <w:szCs w:val="20"/>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2017, we recognized a tax benefit of $52 million primarily related to the sale of intercompany notes receivable to a financial institution, which resulted in the recognition of foreign exchange losses on the notes for tax purposes;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2017, we recognized tax expense of $62 million on $178 million of pension and postretirement benefit mark-to-market gains. In 2016, we recognized a tax benefit of $113 million on $313 million of pension and postretirement benefit mark-to-market losses;</w:t>
      </w:r>
    </w:p>
    <w:p>
      <w:pPr>
        <w:spacing w:after="0" w:line="11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2017, we recognized a $32 million tax benefit on the $212 million impairment charges on the intangible assets of the Bolthouse Farms carrot and carrot ingredients reporting unit and the Garden Fresh Gourmet reporting unit. In 2016, we recognized a $14 million tax benefit on the $141 million impairment charge on the trademark and goodwill associated with the Bolthouse Farms carrot and carrot ingredients reporting unit;</w:t>
      </w:r>
    </w:p>
    <w:p>
      <w:pPr>
        <w:spacing w:after="0" w:line="92" w:lineRule="exact"/>
        <w:rPr>
          <w:rFonts w:ascii="Arial" w:cs="Arial" w:eastAsia="Arial" w:hAnsi="Arial"/>
          <w:sz w:val="16"/>
          <w:szCs w:val="16"/>
          <w:color w:val="auto"/>
        </w:rPr>
      </w:pPr>
    </w:p>
    <w:p>
      <w:pPr>
        <w:ind w:left="660" w:right="20" w:hanging="328"/>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 2017, we recognized a $21 million tax benefit on $58 million of restructuring charges, implementation costs and other related costs. In 2016, we recognized a $29 million tax benefit on $78 million of restructuring charges, implementation costs and other related costs; and</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2016, the $25 million gain from a settlement of a claim related to the Kelsen acquisition was not subject to tax.</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in 2017 the effective rate was favorably impacted by the recognition of $6 million of excess tax benefits in connection with the adoption of new accounting guidance on stock-based compensation in the first quarter. See Note 2 to the Consolidated Financial Statements for additional information on the adoption of the new accounting guidance.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2015, we recognized a tax benefit of $51 million on $138 million of pension and postretirement benefit mark-to-market losses and a $46 million tax benefit on $124 million of restructuring charges and implementation costs. After adjusting for the</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items above, the remaining increase in the effective tax rate in 2016 was primarily due to lapping the favorable resolution of an intercompany pricing agreement between the U.S. and Canada in 2015.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such as adopting zero-based budgeting over time.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and Cost of products sold related to the implementation of the new organizational structure and costs savings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(Millions, except per share amounts)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2015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6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680" w:type="dxa"/>
            <w:vAlign w:val="bottom"/>
            <w:tcBorders>
              <w:top w:val="single" w:sz="8" w:color="auto"/>
            </w:tcBorders>
          </w:tcPr>
          <w:p>
            <w:pPr>
              <w:jc w:val="right"/>
              <w:ind w:right="494"/>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8120" w:type="dxa"/>
            <w:vAlign w:val="bottom"/>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Aggregate after-tax impact</w:t>
            </w:r>
          </w:p>
        </w:tc>
        <w:tc>
          <w:tcPr>
            <w:tcW w:w="680" w:type="dxa"/>
            <w:vAlign w:val="bottom"/>
          </w:tcPr>
          <w:p>
            <w:pPr>
              <w:jc w:val="right"/>
              <w:ind w:right="494"/>
              <w:spacing w:after="0"/>
              <w:rPr>
                <w:sz w:val="20"/>
                <w:szCs w:val="20"/>
                <w:color w:val="auto"/>
              </w:rPr>
            </w:pPr>
            <w:r>
              <w:rPr>
                <w:rFonts w:ascii="Arial" w:cs="Arial" w:eastAsia="Arial" w:hAnsi="Arial"/>
                <w:sz w:val="18"/>
                <w:szCs w:val="18"/>
                <w:b w:val="1"/>
                <w:bCs w:val="1"/>
                <w:color w:val="auto"/>
                <w:w w:val="79"/>
              </w:rPr>
              <w:t>$</w:t>
            </w:r>
          </w:p>
        </w:tc>
        <w:tc>
          <w:tcPr>
            <w:tcW w:w="360" w:type="dxa"/>
            <w:vAlign w:val="bottom"/>
          </w:tcPr>
          <w:p>
            <w:pPr>
              <w:jc w:val="right"/>
              <w:ind w:right="30"/>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0"/>
                <w:szCs w:val="20"/>
                <w:color w:val="auto"/>
              </w:rPr>
            </w:pPr>
          </w:p>
        </w:tc>
        <w:tc>
          <w:tcPr>
            <w:tcW w:w="540" w:type="dxa"/>
            <w:vAlign w:val="bottom"/>
          </w:tcPr>
          <w:p>
            <w:pPr>
              <w:jc w:val="right"/>
              <w:ind w:right="33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60" w:type="dxa"/>
            <w:vAlign w:val="bottom"/>
          </w:tcPr>
          <w:p>
            <w:pPr>
              <w:jc w:val="right"/>
              <w:ind w:right="154"/>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8120" w:type="dxa"/>
            <w:vAlign w:val="bottom"/>
            <w:tcBorders>
              <w:bottom w:val="single" w:sz="8" w:color="CCEEFF"/>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Per share impact</w:t>
            </w:r>
          </w:p>
        </w:tc>
        <w:tc>
          <w:tcPr>
            <w:tcW w:w="680" w:type="dxa"/>
            <w:vAlign w:val="bottom"/>
            <w:tcBorders>
              <w:bottom w:val="single" w:sz="8" w:color="CCEEFF"/>
            </w:tcBorders>
            <w:shd w:val="clear" w:color="auto" w:fill="CCEEFF"/>
          </w:tcPr>
          <w:p>
            <w:pPr>
              <w:jc w:val="right"/>
              <w:ind w:right="494"/>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7"/>
              </w:rPr>
              <w:t>.12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2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Recognized as of July 30,</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vMerge w:val="continue"/>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6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264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$380 million to $420 million. This estimate will be updated as costs for the expanded initiatives are developed.</w:t>
      </w:r>
    </w:p>
    <w:p>
      <w:pPr>
        <w:spacing w:after="0" w:line="116"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$135 million in severance pay and benefits; approximately $20 million in asset impairment and accelerated depreciation; and approximately $225 million to $265 million in implementation costs and other related costs.We expect these pre-tax costs to be associated with our segments as follows: Americas Simple Meals and Beverages - approximately 30%; Global Biscuits and Snacks - approximately 38%; Campbell Fresh - approximately 4%; and Corporate - approximately 28%.</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Of the aggregate $380 million to $420 million of pre-tax costs identified to date, we expect approximately $350 million to $390 million will be cash expenditures. In addition, we expect to invest approximately $180 million in capital expenditures through 2019 primarily related to the construction of a network of distribution centers for our U.S. thermal plants and insourcing of manufacturing for certain simple meal products, of which we invested approximately $10 million as of July 30, 2017.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to incur substantially all of the costs through 2019 and to fund the costs through cash flows from operations and short-term borrowings.</w:t>
      </w:r>
    </w:p>
    <w:p>
      <w:pPr>
        <w:sectPr>
          <w:pgSz w:w="11900" w:h="16838" w:orient="portrait"/>
          <w:cols w:equalWidth="0" w:num="1">
            <w:col w:w="11420"/>
          </w:cols>
          <w:pgMar w:left="240" w:top="1314"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314" w:right="239" w:bottom="1440" w:gutter="0" w:footer="0" w:header="0"/>
          <w:type w:val="continuous"/>
        </w:sectPr>
      </w:pPr>
    </w:p>
    <w:bookmarkStart w:id="23" w:name="page24"/>
    <w:bookmarkEnd w:id="23"/>
    <w:p>
      <w:pPr>
        <w:jc w:val="both"/>
        <w:ind w:firstLine="324"/>
        <w:spacing w:after="0" w:line="264" w:lineRule="auto"/>
        <w:rPr>
          <w:sz w:val="20"/>
          <w:szCs w:val="20"/>
          <w:color w:val="auto"/>
        </w:rPr>
      </w:pPr>
      <w:r>
        <w:rPr>
          <w:rFonts w:ascii="Arial" w:cs="Arial" w:eastAsia="Arial" w:hAnsi="Arial"/>
          <w:sz w:val="18"/>
          <w:szCs w:val="18"/>
          <w:color w:val="auto"/>
        </w:rPr>
        <w:t>We expect the initiatives for actions that have been identified to date to generate pre-tax savings of $390 million in 2018, and once all phases are implemented, to generate annual ongoing savings of approximately $450 million beginning in 2020. The annual pre-tax savings generated by the initiatives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243"/>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660" w:type="dxa"/>
            <w:vAlign w:val="bottom"/>
            <w:shd w:val="clear" w:color="auto" w:fill="CCEEFF"/>
          </w:tcPr>
          <w:p>
            <w:pPr>
              <w:jc w:val="right"/>
              <w:ind w:right="459"/>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325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85</w:t>
            </w:r>
          </w:p>
        </w:tc>
      </w:tr>
      <w:tr>
        <w:trPr>
          <w:trHeight w:val="27"/>
        </w:trPr>
        <w:tc>
          <w:tcPr>
            <w:tcW w:w="80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Costs Incurred to Date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8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2016, we recorded a reduction to restructuring charges of $4 million ($3 million after tax, or $.01 per share) related to the 2014 initiatives. As of July 31, 2016, we incurred substantially all of the costs related to the 2014 initiatives.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40" w:type="dxa"/>
            <w:vAlign w:val="bottom"/>
          </w:tcPr>
          <w:p>
            <w:pPr>
              <w:spacing w:after="0"/>
              <w:rPr>
                <w:sz w:val="14"/>
                <w:szCs w:val="14"/>
                <w:color w:val="auto"/>
              </w:rPr>
            </w:pPr>
          </w:p>
        </w:tc>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0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Recognized as of August 2, 2015.</w:t>
      </w:r>
    </w:p>
    <w:p>
      <w:pPr>
        <w:spacing w:after="0" w:line="147"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generated cash flows from operations of $1.291 billion in 2017, compared to $1.491 billion in 2016. The decline in 2017 was primarily due to lapping significant reductions in working capital in the prior year, as well as lower cash earnings and lower receipts from hedging activities in the current year.</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generated cash flows from operations of $1.491 billion in 2016, compared to $1.206 billion in 2015. The increase in 2016 was primarily due to higher cash earnings and lower working capital requirements, primarily inventories.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$495 million as of July 30, 2017, and $647 million as of July 31, 2016. Debt maturing within one year was $1.037 billion as of July 30, 2017, and $1.219 billion as of July 31, 2016.</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were $338 million in 2017, $341 million in 2016 and $380 million in 2015. Capital expenditures are expected to total approximately $400 million in 2018. Capital expenditures in 2017 included projects to expand: Australian multi-pack biscuit capacity (approximately $15 million); beverage and salad dressing capacity at Bolthouse Farms (approximately $8 million); and capacity at Garden Fresh (approximately $3 million); as well as the continued enhancement of our corporate</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jc w:val="both"/>
        <w:spacing w:after="0" w:line="270" w:lineRule="auto"/>
        <w:rPr>
          <w:sz w:val="20"/>
          <w:szCs w:val="20"/>
          <w:color w:val="auto"/>
        </w:rPr>
      </w:pPr>
      <w:r>
        <w:rPr>
          <w:rFonts w:ascii="Arial" w:cs="Arial" w:eastAsia="Arial" w:hAnsi="Arial"/>
          <w:sz w:val="17"/>
          <w:szCs w:val="17"/>
          <w:color w:val="auto"/>
        </w:rPr>
        <w:t>headquarters (approximately $11 million); replacement of a Pepperidge Farm refrigeration system (approximately $12 million); and a U.S. warehouse optimization project (approximately $10 million). Capital expenditures in 2016 included projects to expand: beverage and salad dressing capacity at Bolthouse Farms (approximately $22 million); biscuit capacity in Indonesia (approximately $11 million); warehouse capacity in North America (approximately $11 million); cracker capacity at Pepperidge Farm (approximately $9 million); and capacity in Malaysia (approximately $6 million); as well as the continued enhancement of our corporate headquarters (approximately $15 million) and the ongoing initiative to simplify the soup-making process in North America (also known as the soup common platform initiative) (approximately $5 million). Capital expenditures in 2015 included projects to expand: cracker capacity at Pepperidge Farm (approximately $36 million); beverage and salad dressing capacity at Bolthouse Farms (approximately $33 million); warehouse capacity at Bolthouse Farms (approximately $13 million); biscuit capacity in Indonesia (approximately $13 million); and aseptic broth capacity (approximately $6 million); as well as the ongoing soup common platform initiative in North America (approximately $30 million); and continued enhancement of our corporate headquarters (approximately $12 million).</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The purchase price was $232 million, and was funded through the issuance of commercial paper.</w:t>
      </w:r>
    </w:p>
    <w:p>
      <w:pPr>
        <w:spacing w:after="0" w:line="11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July 6, 2017, we entered into an agreement to acquire Pacific Foods of Oregon, Inc. (Pacific Foods) for $700 million, subject to customary purchase price adjustments related to the amount of Pacific Foods' cash, debt, working capital and transaction expenses. We expect to fund the acquisition through debt. The closing of the transaction is subject to customary closing conditions and termination rights. The agreement provides that if we fail to close the transaction when all conditions to closing have been satisfied or if we are in breach of the agreement, we will be required to pay Pacific Foods a $50 million termination fee. On August 21, 2017, the estate of a former Pacific Foods shareholder, Edward C. Lynch, filed a lawsuit against Pacific Foods and certain of its directors, among others, seeking in excess of $250 million in damages. Because of the impediment that the lawsuit creates to closing, on September 27, 2017, we noticed Pacific Foods that it has 60 days under the terms of the agreement to resolve the issues arising from the suit if the transaction is to close. After the 60-day period, we may in our sole discretion extend the cure period or terminate the agreement. We do not believe a termination of the agreement under these circumstances will result in any termination fee payable by us. For additional information on this pending acquisition, see our Form 8-K filed with the U.S. Securities and Exchange Commission on July 6, 2017.</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June 2017, we sold intercompany notes to a financial institution, including an AUD $280 million, or $224 million, note with an interest rate of 4.88% that matures on September 18, 2018, and an AUD $190 million, or $152 million, note with an interest rate of 6.98% that matures on March 29, 2021, but is payable upon demand. Interest on both notes is due semi-annually on January 23 and July 23. The net proceeds were used for general corporate purposes.</w:t>
      </w:r>
    </w:p>
    <w:p>
      <w:pPr>
        <w:spacing w:after="0" w:line="9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2015, we issued $300 million of 3.30% notes that mature on March 19, 2025. Interest on the notes is due semi-annually on March 19 and September 19, commencing on September 19, 2015. The notes may be redeemed in whole, or in part, at our option at any time at the applicable redemption price. In certain circumstances, we may be required to repurchase some or all of the notes upon a change in control of our company and a downgrade of the notes below investment grade. The net proceeds were used for general corporate purposes.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Dividend payments were $420 million in 2017, $390 million in 2016 and $394 million in 2015. Annual dividends declared were $1.40 per share in 2017, and $1.248 per share in 2016 and 2015. The 2017 fourth quarter dividend was $.35 per share.</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repurchased approximately 8 million shares at a cost of $437 million in 2017, approximately 3 million shares at a cost of $143 million in 2016, and approximately 5 million shares at a cost of $244 million in 2015. See Note 16 to the Consolidated Financial Statements and "Market for Registrant's Capital Stock, Related Shareholder Matters and Issuer Purchases of Equity Securities" for more information.</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As of July 30, 2017, we had $1.037 billion of short-term borrowings due within one year, of which $874 million was comprised of commercial paper borrowings. As of July 30, 2017, we issued $48 million of standby letters of credit. We have a committed revolving credit facility totaling $1.85 billion that matures in December 2021. This U.S. facility remained unused at July 30, 2017, except for $1 million of standby letters of credit that we issued under it. The U.S. facility supports our commercial paper programs and other general corporate purposes. In July 2016, we entered into a Canadian committed revolving credit facility that matures in July 2019. As of July 30, 2017, the total commitment under the Canadian facility was CAD $170 million, or $137 million, and we had borrowings of CAD $162 million, or $130 million, at a rate of 2.09% under this facility. The Canadian facility supports general corporate purposes.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July 2017, we filed a shelf registration statement with the Securities and Exchange Commission that registered an indeterminate amount of debt securities. Under the registration statement, we may issue debt securities from time to time, depending on market conditions.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table summarizes our obligations and commitments to make future payments under certain contractual obligations as of July 30, 2017. For additional information on debt, see Note 12 to the Consolidated Financial Statements. Operating leases are primarily entered into for warehouse and office facilities and certain equipment. Purchase commitments represent purchase orders and long-term purchase arrangements related to the procurement of ingredients, supplies, machinery, equipment and services. These commitments are not expected to have a material impact on liquidity. Other long-term liabilities primarily represent payments related to deferred compensation obligations. For additional information on other long-term liabilities, see Note 19 to the Consolidated Financial Statements.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240"/>
              <w:spacing w:after="0"/>
              <w:rPr>
                <w:sz w:val="20"/>
                <w:szCs w:val="20"/>
                <w:color w:val="auto"/>
              </w:rPr>
            </w:pPr>
            <w:r>
              <w:rPr>
                <w:rFonts w:ascii="Arial" w:cs="Arial" w:eastAsia="Arial" w:hAnsi="Arial"/>
                <w:sz w:val="14"/>
                <w:szCs w:val="14"/>
                <w:b w:val="1"/>
                <w:bCs w:val="1"/>
                <w:color w:val="auto"/>
              </w:rPr>
              <w:t>Contractual Payments Due by Fiscal Year</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240" w:type="dxa"/>
            <w:vAlign w:val="bottom"/>
          </w:tcPr>
          <w:p>
            <w:pPr>
              <w:ind w:left="20"/>
              <w:spacing w:after="0"/>
              <w:rPr>
                <w:sz w:val="20"/>
                <w:szCs w:val="20"/>
                <w:color w:val="auto"/>
              </w:rPr>
            </w:pPr>
            <w:r>
              <w:rPr>
                <w:rFonts w:ascii="Arial" w:cs="Arial" w:eastAsia="Arial" w:hAnsi="Arial"/>
                <w:sz w:val="14"/>
                <w:szCs w:val="14"/>
                <w:b w:val="1"/>
                <w:bCs w:val="1"/>
                <w:color w:val="auto"/>
              </w:rPr>
              <w:t>(Millions)</w:t>
            </w:r>
          </w:p>
        </w:tc>
        <w:tc>
          <w:tcPr>
            <w:tcW w:w="280" w:type="dxa"/>
            <w:vAlign w:val="bottom"/>
          </w:tcPr>
          <w:p>
            <w:pPr>
              <w:spacing w:after="0"/>
              <w:rPr>
                <w:sz w:val="22"/>
                <w:szCs w:val="22"/>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2019-2020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w w:val="98"/>
              </w:rPr>
              <w:t>2021-2022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Borders>
              <w:top w:val="single" w:sz="8" w:color="CCEEFF"/>
            </w:tcBorders>
            <w:shd w:val="clear" w:color="auto" w:fill="CCEEFF"/>
          </w:tcPr>
          <w:p>
            <w:pPr>
              <w:ind w:left="160"/>
              <w:spacing w:after="0" w:line="270" w:lineRule="exact"/>
              <w:rPr>
                <w:sz w:val="20"/>
                <w:szCs w:val="20"/>
                <w:color w:val="auto"/>
              </w:rPr>
            </w:pPr>
            <w:r>
              <w:rPr>
                <w:rFonts w:ascii="Arial" w:cs="Arial" w:eastAsia="Arial" w:hAnsi="Arial"/>
                <w:sz w:val="18"/>
                <w:szCs w:val="18"/>
                <w:color w:val="auto"/>
              </w:rPr>
              <w:t>Debt obligations</w:t>
            </w:r>
            <w:r>
              <w:rPr>
                <w:rFonts w:ascii="Arial" w:cs="Arial" w:eastAsia="Arial" w:hAnsi="Arial"/>
                <w:sz w:val="25"/>
                <w:szCs w:val="25"/>
                <w:color w:val="auto"/>
                <w:vertAlign w:val="superscript"/>
              </w:rPr>
              <w:t>(1)</w:t>
            </w: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3,548</w:t>
            </w: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701</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Interest payments</w:t>
            </w:r>
            <w:r>
              <w:rPr>
                <w:rFonts w:ascii="Arial" w:cs="Arial" w:eastAsia="Arial" w:hAnsi="Arial"/>
                <w:sz w:val="25"/>
                <w:szCs w:val="25"/>
                <w:color w:val="auto"/>
                <w:vertAlign w:val="superscript"/>
              </w:rPr>
              <w:t>(2)</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Derivative payments</w:t>
            </w:r>
            <w:r>
              <w:rPr>
                <w:rFonts w:ascii="Arial" w:cs="Arial" w:eastAsia="Arial" w:hAnsi="Arial"/>
                <w:sz w:val="25"/>
                <w:szCs w:val="25"/>
                <w:color w:val="auto"/>
                <w:vertAlign w:val="superscript"/>
              </w:rPr>
              <w:t>(3)</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Purchase commitments</w:t>
            </w:r>
          </w:p>
        </w:tc>
        <w:tc>
          <w:tcPr>
            <w:tcW w:w="28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Operating leases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tcPr>
          <w:p>
            <w:pPr>
              <w:ind w:left="160"/>
              <w:spacing w:after="0" w:line="270" w:lineRule="exact"/>
              <w:rPr>
                <w:sz w:val="20"/>
                <w:szCs w:val="20"/>
                <w:color w:val="auto"/>
              </w:rPr>
            </w:pPr>
            <w:r>
              <w:rPr>
                <w:rFonts w:ascii="Arial" w:cs="Arial" w:eastAsia="Arial" w:hAnsi="Arial"/>
                <w:sz w:val="18"/>
                <w:szCs w:val="18"/>
                <w:color w:val="auto"/>
              </w:rPr>
              <w:t>Other long-term payments</w:t>
            </w:r>
            <w:r>
              <w:rPr>
                <w:rFonts w:ascii="Arial" w:cs="Arial" w:eastAsia="Arial" w:hAnsi="Arial"/>
                <w:sz w:val="25"/>
                <w:szCs w:val="25"/>
                <w:color w:val="auto"/>
                <w:vertAlign w:val="superscript"/>
              </w:rPr>
              <w:t>(4)</w:t>
            </w:r>
          </w:p>
        </w:tc>
        <w:tc>
          <w:tcPr>
            <w:tcW w:w="2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cash obligations</w:t>
            </w: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60" w:type="dxa"/>
            <w:vAlign w:val="bottom"/>
            <w:gridSpan w:val="2"/>
            <w:vMerge w:val="restart"/>
          </w:tcPr>
          <w:p>
            <w:pPr>
              <w:jc w:val="right"/>
              <w:ind w:right="1652"/>
              <w:spacing w:after="0"/>
              <w:rPr>
                <w:sz w:val="20"/>
                <w:szCs w:val="20"/>
                <w:color w:val="auto"/>
              </w:rPr>
            </w:pPr>
            <w:r>
              <w:rPr>
                <w:rFonts w:ascii="Arial" w:cs="Arial" w:eastAsia="Arial" w:hAnsi="Arial"/>
                <w:sz w:val="18"/>
                <w:szCs w:val="18"/>
                <w:color w:val="auto"/>
                <w:w w:val="89"/>
              </w:rPr>
              <w:t>_______________________________________</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6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Excludes unamortized net discount/premium on debt issuances and debt issuance costs. For additional information on debt obligations, see Note 12 to the Consolidated Financial Statements.</w:t>
      </w:r>
    </w:p>
    <w:p>
      <w:pPr>
        <w:spacing w:after="0" w:line="1"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Interest payments for short- and long-term borrowings are based on principal amounts and coupons or contractual rates at fiscal year end.</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9"/>
        </w:numPr>
        <w:rPr>
          <w:rFonts w:ascii="Arial" w:cs="Arial" w:eastAsia="Arial" w:hAnsi="Arial"/>
          <w:sz w:val="24"/>
          <w:szCs w:val="24"/>
          <w:color w:val="auto"/>
          <w:vertAlign w:val="superscript"/>
        </w:rPr>
      </w:pPr>
      <w:r>
        <w:rPr>
          <w:rFonts w:ascii="Arial" w:cs="Arial" w:eastAsia="Arial" w:hAnsi="Arial"/>
          <w:sz w:val="17"/>
          <w:szCs w:val="17"/>
          <w:color w:val="auto"/>
        </w:rPr>
        <w:t>Represents payments of foreign exchange forward contracts, commodity contracts and forward starting interest rate swaps.</w:t>
      </w:r>
    </w:p>
    <w:p>
      <w:pPr>
        <w:spacing w:after="0" w:line="2"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Represents other long-term liabilities, excluding unrecognized tax benefits, postretirement benefits and payments related to pension plans. For additional information on pension and postretirement benefits, see Note 10 to the Consolidated Financial Statements. For additional information on unrecognized tax benefits, see Note 11 to the Consolidated Financial Statements.</w:t>
      </w:r>
    </w:p>
    <w:p>
      <w:pPr>
        <w:spacing w:after="0" w:line="67" w:lineRule="exact"/>
        <w:rPr>
          <w:sz w:val="20"/>
          <w:szCs w:val="20"/>
          <w:color w:val="auto"/>
        </w:rPr>
      </w:pPr>
    </w:p>
    <w:p>
      <w:pPr>
        <w:ind w:left="60" w:firstLine="324"/>
        <w:spacing w:after="0" w:line="308" w:lineRule="auto"/>
        <w:rPr>
          <w:sz w:val="20"/>
          <w:szCs w:val="20"/>
          <w:color w:val="auto"/>
        </w:rPr>
      </w:pPr>
      <w:r>
        <w:rPr>
          <w:rFonts w:ascii="Arial" w:cs="Arial" w:eastAsia="Arial" w:hAnsi="Arial"/>
          <w:sz w:val="17"/>
          <w:szCs w:val="17"/>
          <w:color w:val="auto"/>
        </w:rPr>
        <w:t>In July 2017, we entered into an agreement to acquire Pacific Foods for $700 million. For additional information on this pending acquisition, see our Form 8-K filed with the U.S. Securities and Exchange Commission on July 6, 2017, and Note 3 to the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 and Other Commitments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guarantee approximately 2,000 bank loans to Pepperidge Farm independent contractor distributors by third-party financial institutions used to purchase distribution routes. The maximum potential amount of the future payments under existing guarantees we could be required to make is $204 million. Our guarantees are indirectly secured by the distribution routes. We do not believe that it is probable that we will be required to make material guarantee payments as a result of defaults on the bank loans guaranteed. See also Note 18 to the Consolidated Financial Statements for information on off-balance sheet arrangements.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exposed to the impact of inflation on our cost of products sold. We use a number of strategies to mitigate the effects of cost inflation including increasing prices, commodity hedging and pursuing cost productivity initiatives such as global procurement strategies and capital investments that improve the efficiency of operations.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principal market risks to which we are exposed are changes in foreign currency exchange rates, interest rates and commodity prices. In addition, we are exposed to equity price changes related to certain deferred compensation obligations. We manage our exposure to changes in interest rates by optimizing the use of variable-rate and fixed-rate debt and by utilizing interest rate swaps in order to maintain our variable-to-total debt ratio within targeted guidelines. International operations, which accounted for 19% of 2017 net sales, are concentrated principally in Australia and Canada. We manage our foreign currency exposures by borrowing in various foreign currencies and utilizing cross-currency swaps and foreign exchange forward contracts. We enter into cross-currency swaps and foreign exchange forward contracts for periods consistent with related underlying exposures, and the contracts do not constitute positions independent of those exposures. We do not enter into derivative contracts for speculative purposes and do not use leveraged instruments.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0" w:right="239" w:bottom="1440" w:gutter="0" w:footer="0" w:header="0"/>
        </w:sectPr>
      </w:pPr>
    </w:p>
    <w:bookmarkStart w:id="26" w:name="page27"/>
    <w:bookmarkEnd w:id="26"/>
    <w:p>
      <w:pPr>
        <w:jc w:val="both"/>
        <w:ind w:firstLine="324"/>
        <w:spacing w:after="0" w:line="259"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butter, corn, soybean meal and cheese, which impact the cost of raw materials.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below summarizes our market risks associated with debt obligations and other significant financial instruments as of July 30, 2017. Fair values included herein have been determined based on quoted market prices or pricing models using current market rates. The information presented below should be read in conjunction with Notes 12, 13 and 15 to the Consolidated Financial Statements.</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table presents principal cash flows and related interest rates by fiscal year of maturity for debt obligations. Interest rates disclosed on variable-rate debt represent the weighted-average rates at July 30, 2017. Notional amounts and related interest rates of interest rate swaps are presented by fiscal year of maturity. For the swaps, variable rates are the weighted-average forward rates for the term of each contract.</w:t>
      </w: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4"/>
          <w:szCs w:val="14"/>
          <w:b w:val="1"/>
          <w:bCs w:val="1"/>
          <w:color w:val="auto"/>
        </w:rPr>
        <w:t>Expected Fiscal Year of Maturity</w:t>
      </w:r>
    </w:p>
    <w:tbl>
      <w:tblPr>
        <w:tblLayout w:type="fixed"/>
        <w:tblInd w:w="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restart"/>
          </w:tcPr>
          <w:p>
            <w:pPr>
              <w:jc w:val="right"/>
              <w:ind w:right="14"/>
              <w:spacing w:after="0" w:line="133" w:lineRule="exact"/>
              <w:rPr>
                <w:sz w:val="20"/>
                <w:szCs w:val="20"/>
                <w:color w:val="auto"/>
              </w:rPr>
            </w:pPr>
            <w:r>
              <w:rPr>
                <w:rFonts w:ascii="Arial" w:cs="Arial" w:eastAsia="Arial" w:hAnsi="Arial"/>
                <w:sz w:val="14"/>
                <w:szCs w:val="14"/>
                <w:b w:val="1"/>
                <w:bCs w:val="1"/>
                <w:color w:val="auto"/>
              </w:rPr>
              <w:t>Fair Value of</w:t>
            </w:r>
          </w:p>
        </w:tc>
        <w:tc>
          <w:tcPr>
            <w:tcW w:w="0" w:type="dxa"/>
            <w:vAlign w:val="bottom"/>
          </w:tcPr>
          <w:p>
            <w:pPr>
              <w:spacing w:after="0"/>
              <w:rPr>
                <w:sz w:val="1"/>
                <w:szCs w:val="1"/>
                <w:color w:val="auto"/>
              </w:rPr>
            </w:pPr>
          </w:p>
        </w:tc>
      </w:tr>
      <w:tr>
        <w:trPr>
          <w:trHeight w:val="65"/>
        </w:trPr>
        <w:tc>
          <w:tcPr>
            <w:tcW w:w="294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5"/>
                <w:szCs w:val="5"/>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Thereafter</w:t>
            </w:r>
          </w:p>
        </w:tc>
        <w:tc>
          <w:tcPr>
            <w:tcW w:w="220" w:type="dxa"/>
            <w:vAlign w:val="bottom"/>
          </w:tcPr>
          <w:p>
            <w:pPr>
              <w:spacing w:after="0"/>
              <w:rPr>
                <w:sz w:val="5"/>
                <w:szCs w:val="5"/>
                <w:color w:val="auto"/>
              </w:rPr>
            </w:pPr>
          </w:p>
        </w:tc>
        <w:tc>
          <w:tcPr>
            <w:tcW w:w="76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94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4"/>
              <w:spacing w:after="0"/>
              <w:rPr>
                <w:sz w:val="20"/>
                <w:szCs w:val="20"/>
                <w:color w:val="auto"/>
              </w:rPr>
            </w:pPr>
            <w:r>
              <w:rPr>
                <w:rFonts w:ascii="Arial" w:cs="Arial" w:eastAsia="Arial" w:hAnsi="Arial"/>
                <w:sz w:val="14"/>
                <w:szCs w:val="14"/>
                <w:b w:val="1"/>
                <w:bCs w:val="1"/>
                <w:color w:val="auto"/>
                <w:w w:val="99"/>
              </w:rPr>
              <w:t>Liabilities</w:t>
            </w:r>
          </w:p>
        </w:tc>
        <w:tc>
          <w:tcPr>
            <w:tcW w:w="0" w:type="dxa"/>
            <w:vAlign w:val="bottom"/>
          </w:tcPr>
          <w:p>
            <w:pPr>
              <w:spacing w:after="0"/>
              <w:rPr>
                <w:sz w:val="1"/>
                <w:szCs w:val="1"/>
                <w:color w:val="auto"/>
              </w:rPr>
            </w:pPr>
          </w:p>
        </w:tc>
      </w:tr>
      <w:tr>
        <w:trPr>
          <w:trHeight w:val="189"/>
        </w:trPr>
        <w:tc>
          <w:tcPr>
            <w:tcW w:w="294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5"/>
                <w:szCs w:val="15"/>
                <w:b w:val="1"/>
                <w:bCs w:val="1"/>
                <w:color w:val="auto"/>
              </w:rPr>
              <w:t>Debt</w:t>
            </w:r>
            <w:r>
              <w:rPr>
                <w:rFonts w:ascii="Arial" w:cs="Arial" w:eastAsia="Arial" w:hAnsi="Arial"/>
                <w:sz w:val="21"/>
                <w:szCs w:val="21"/>
                <w:b w:val="1"/>
                <w:bCs w:val="1"/>
                <w:color w:val="auto"/>
                <w:vertAlign w:val="superscript"/>
              </w:rPr>
              <w:t>(1)</w:t>
            </w: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11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7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29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Fixed rate</w:t>
            </w:r>
            <w:r>
              <w:rPr>
                <w:rFonts w:ascii="Arial" w:cs="Arial" w:eastAsia="Arial" w:hAnsi="Arial"/>
                <w:sz w:val="25"/>
                <w:szCs w:val="25"/>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2"/>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2,534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2,620</w:t>
            </w: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40" w:type="dxa"/>
            <w:vAlign w:val="bottom"/>
            <w:gridSpan w:val="4"/>
          </w:tcPr>
          <w:p>
            <w:pPr>
              <w:ind w:left="40"/>
              <w:spacing w:after="0" w:line="270" w:lineRule="exact"/>
              <w:rPr>
                <w:sz w:val="20"/>
                <w:szCs w:val="20"/>
                <w:color w:val="auto"/>
              </w:rPr>
            </w:pPr>
            <w:r>
              <w:rPr>
                <w:rFonts w:ascii="Arial" w:cs="Arial" w:eastAsia="Arial" w:hAnsi="Arial"/>
                <w:sz w:val="18"/>
                <w:szCs w:val="18"/>
                <w:color w:val="auto"/>
              </w:rPr>
              <w:t>Variable rate</w:t>
            </w:r>
            <w:r>
              <w:rPr>
                <w:rFonts w:ascii="Arial" w:cs="Arial" w:eastAsia="Arial" w:hAnsi="Arial"/>
                <w:sz w:val="25"/>
                <w:szCs w:val="25"/>
                <w:color w:val="auto"/>
                <w:vertAlign w:val="superscript"/>
              </w:rPr>
              <w:t>(3)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12"/>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1,014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5"/>
        </w:trPr>
        <w:tc>
          <w:tcPr>
            <w:tcW w:w="2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Weighted-average interest rate</w:t>
            </w: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294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Interest Rate Swaps</w:t>
            </w: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1180" w:type="dxa"/>
            <w:vAlign w:val="bottom"/>
            <w:tcBorders>
              <w:top w:val="single" w:sz="8" w:color="auto"/>
            </w:tcBorders>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94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Cash-flow swaps</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Variable to fixed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300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9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Average pay rate</w:t>
            </w:r>
          </w:p>
        </w:tc>
        <w:tc>
          <w:tcPr>
            <w:tcW w:w="2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Average receive rate</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340" w:hanging="332"/>
        <w:spacing w:after="0"/>
        <w:tabs>
          <w:tab w:leader="none" w:pos="340" w:val="left"/>
        </w:tabs>
        <w:numPr>
          <w:ilvl w:val="0"/>
          <w:numId w:val="20"/>
        </w:numPr>
        <w:rPr>
          <w:rFonts w:ascii="Arial" w:cs="Arial" w:eastAsia="Arial" w:hAnsi="Arial"/>
          <w:sz w:val="25"/>
          <w:szCs w:val="25"/>
          <w:color w:val="auto"/>
          <w:vertAlign w:val="superscript"/>
        </w:rPr>
      </w:pPr>
      <w:r>
        <w:rPr>
          <w:rFonts w:ascii="Arial" w:cs="Arial" w:eastAsia="Arial" w:hAnsi="Arial"/>
          <w:sz w:val="18"/>
          <w:szCs w:val="18"/>
          <w:color w:val="auto"/>
        </w:rPr>
        <w:t>Expected maturities exclude unamortized net discount/premium on debt issuances and debt issuance costs.</w:t>
      </w:r>
    </w:p>
    <w:p>
      <w:pPr>
        <w:spacing w:after="0" w:line="55" w:lineRule="exact"/>
        <w:rPr>
          <w:rFonts w:ascii="Arial" w:cs="Arial" w:eastAsia="Arial" w:hAnsi="Arial"/>
          <w:sz w:val="25"/>
          <w:szCs w:val="25"/>
          <w:color w:val="auto"/>
          <w:vertAlign w:val="superscript"/>
        </w:rPr>
      </w:pPr>
    </w:p>
    <w:p>
      <w:pPr>
        <w:ind w:left="340" w:hanging="332"/>
        <w:spacing w:after="0" w:line="203"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Represents $2.150 billion of USD borrowings, $376 million equivalent of AUD borrowings and $8 million equivalent of borrowings in other currencies.</w:t>
      </w:r>
    </w:p>
    <w:p>
      <w:pPr>
        <w:spacing w:after="0" w:line="2" w:lineRule="exact"/>
        <w:rPr>
          <w:rFonts w:ascii="Arial" w:cs="Arial" w:eastAsia="Arial" w:hAnsi="Arial"/>
          <w:sz w:val="22"/>
          <w:szCs w:val="22"/>
          <w:color w:val="auto"/>
          <w:vertAlign w:val="superscript"/>
        </w:rPr>
      </w:pPr>
    </w:p>
    <w:p>
      <w:pPr>
        <w:ind w:left="340" w:hanging="332"/>
        <w:spacing w:after="0" w:line="203" w:lineRule="auto"/>
        <w:tabs>
          <w:tab w:leader="none" w:pos="34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Represents $874 million of USD borrowings, $130 million equivalent of CAD borrowings and $10 million equivalent of borrowings in other currencies.</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As of July 31, 2016, fixed-rate debt of approximately $2.56 billion with an average interest rate of 3.97% and variable-rate debt of approximately $991 million with an average interest rate of 1.02% were outstanding. As of July 31, 2016, forward starting interest rate swaps with a notional amount of $300 million were outstanding. The average rate to be received on these swaps was 1.47%, and the average rate to be paid was estimated to be 3.09% over the remaining life of the swaps.</w:t>
      </w:r>
    </w:p>
    <w:p>
      <w:pPr>
        <w:spacing w:after="0" w:line="13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foreign exchange risk related to our international operations, including non-functional currency intercompany debt and net investments in subsidiaries.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cross-currency swap contracts outstanding as of July 30, 2017, or July 31, 2016.</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also exposed to foreign exchange risk as a result of transactions in currencies other than the functional currency of certain subsidiaries, including subsidiary debt. We utilize foreign exchange forward purchase and sale contracts to hedge these exposures. The following table summarizes the foreign exchange forward contracts outstanding and the related weighted-average contract exchange rates as of July 30, 2017.</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gridSpan w:val="3"/>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Average Contractual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Exchange Rate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920" w:type="dxa"/>
            <w:vAlign w:val="bottom"/>
            <w:vMerge w:val="restart"/>
          </w:tcPr>
          <w:p>
            <w:pPr>
              <w:spacing w:after="0"/>
              <w:rPr>
                <w:sz w:val="20"/>
                <w:szCs w:val="20"/>
                <w:color w:val="auto"/>
              </w:rPr>
            </w:pPr>
            <w:r>
              <w:rPr>
                <w:rFonts w:ascii="Arial" w:cs="Arial" w:eastAsia="Arial" w:hAnsi="Arial"/>
                <w:sz w:val="18"/>
                <w:szCs w:val="18"/>
                <w:b w:val="1"/>
                <w:bCs w:val="1"/>
                <w:color w:val="auto"/>
                <w:w w:val="90"/>
              </w:rPr>
              <w:t>Foreign Exchange Forward Contracts</w:t>
            </w:r>
          </w:p>
        </w:tc>
        <w:tc>
          <w:tcPr>
            <w:tcW w:w="5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(currency paid/ currency</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20" w:type="dxa"/>
            <w:vAlign w:val="bottom"/>
            <w:tcBorders>
              <w:bottom w:val="single" w:sz="8" w:color="auto"/>
            </w:tcBorders>
            <w:vMerge w:val="continue"/>
          </w:tcPr>
          <w:p>
            <w:pPr>
              <w:spacing w:after="0"/>
              <w:rPr>
                <w:sz w:val="11"/>
                <w:szCs w:val="11"/>
                <w:color w:val="auto"/>
              </w:rPr>
            </w:pPr>
          </w:p>
        </w:tc>
        <w:tc>
          <w:tcPr>
            <w:tcW w:w="5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80" w:type="dxa"/>
            <w:vAlign w:val="bottom"/>
            <w:gridSpan w:val="2"/>
          </w:tcPr>
          <w:p>
            <w:pPr>
              <w:ind w:left="120"/>
              <w:spacing w:after="0" w:line="125" w:lineRule="exact"/>
              <w:rPr>
                <w:sz w:val="20"/>
                <w:szCs w:val="20"/>
                <w:color w:val="auto"/>
              </w:rPr>
            </w:pPr>
            <w:r>
              <w:rPr>
                <w:rFonts w:ascii="Arial" w:cs="Arial" w:eastAsia="Arial" w:hAnsi="Arial"/>
                <w:sz w:val="14"/>
                <w:szCs w:val="14"/>
                <w:b w:val="1"/>
                <w:bCs w:val="1"/>
                <w:color w:val="auto"/>
              </w:rPr>
              <w:t>Notional Value</w:t>
            </w:r>
          </w:p>
        </w:tc>
        <w:tc>
          <w:tcPr>
            <w:tcW w:w="160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1"/>
              </w:rPr>
              <w:t>received)</w:t>
            </w:r>
          </w:p>
        </w:tc>
        <w:tc>
          <w:tcPr>
            <w:tcW w:w="0" w:type="dxa"/>
            <w:vAlign w:val="bottom"/>
          </w:tcPr>
          <w:p>
            <w:pPr>
              <w:spacing w:after="0"/>
              <w:rPr>
                <w:sz w:val="1"/>
                <w:szCs w:val="1"/>
                <w:color w:val="auto"/>
              </w:rPr>
            </w:pPr>
          </w:p>
        </w:tc>
      </w:tr>
      <w:tr>
        <w:trPr>
          <w:trHeight w:val="48"/>
        </w:trPr>
        <w:tc>
          <w:tcPr>
            <w:tcW w:w="8120" w:type="dxa"/>
            <w:vAlign w:val="bottom"/>
            <w:gridSpan w:val="3"/>
            <w:vMerge w:val="restart"/>
          </w:tcPr>
          <w:p>
            <w:pPr>
              <w:ind w:left="40"/>
              <w:spacing w:after="0"/>
              <w:rPr>
                <w:sz w:val="20"/>
                <w:szCs w:val="20"/>
                <w:color w:val="auto"/>
              </w:rPr>
            </w:pPr>
            <w:r>
              <w:rPr>
                <w:rFonts w:ascii="Arial" w:cs="Arial" w:eastAsia="Arial" w:hAnsi="Arial"/>
                <w:sz w:val="18"/>
                <w:szCs w:val="18"/>
                <w:color w:val="auto"/>
              </w:rPr>
              <w:t>Receive USD/Pay AUD</w:t>
            </w:r>
          </w:p>
        </w:tc>
        <w:tc>
          <w:tcPr>
            <w:tcW w:w="22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8120" w:type="dxa"/>
            <w:vAlign w:val="bottom"/>
            <w:gridSpan w:val="3"/>
            <w:vMerge w:val="continue"/>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1.3292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Receive USD/Pay CAD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1.3167</w:t>
            </w:r>
          </w:p>
        </w:tc>
        <w:tc>
          <w:tcPr>
            <w:tcW w:w="0" w:type="dxa"/>
            <w:vAlign w:val="bottom"/>
          </w:tcPr>
          <w:p>
            <w:pPr>
              <w:spacing w:after="0"/>
              <w:rPr>
                <w:sz w:val="1"/>
                <w:szCs w:val="1"/>
                <w:color w:val="auto"/>
              </w:rPr>
            </w:pPr>
          </w:p>
        </w:tc>
      </w:tr>
      <w:tr>
        <w:trPr>
          <w:trHeight w:val="243"/>
        </w:trPr>
        <w:tc>
          <w:tcPr>
            <w:tcW w:w="8120" w:type="dxa"/>
            <w:vAlign w:val="bottom"/>
            <w:gridSpan w:val="3"/>
          </w:tcPr>
          <w:p>
            <w:pPr>
              <w:ind w:left="40"/>
              <w:spacing w:after="0"/>
              <w:rPr>
                <w:sz w:val="20"/>
                <w:szCs w:val="20"/>
                <w:color w:val="auto"/>
              </w:rPr>
            </w:pPr>
            <w:r>
              <w:rPr>
                <w:rFonts w:ascii="Arial" w:cs="Arial" w:eastAsia="Arial" w:hAnsi="Arial"/>
                <w:sz w:val="18"/>
                <w:szCs w:val="18"/>
                <w:color w:val="auto"/>
              </w:rPr>
              <w:t>Receive AUD/Pay NZD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1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Receive DKK/Pay USD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0.1482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2920" w:type="dxa"/>
            <w:vAlign w:val="bottom"/>
            <w:shd w:val="clear" w:color="auto" w:fill="CCEEFF"/>
          </w:tcPr>
          <w:p>
            <w:pPr>
              <w:spacing w:after="0"/>
              <w:rPr>
                <w:sz w:val="2"/>
                <w:szCs w:val="2"/>
                <w:color w:val="auto"/>
              </w:rPr>
            </w:pPr>
          </w:p>
        </w:tc>
        <w:tc>
          <w:tcPr>
            <w:tcW w:w="5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4" w:right="239" w:bottom="1440" w:gutter="0" w:footer="0" w:header="0"/>
          <w:type w:val="continuous"/>
        </w:sectPr>
      </w:pPr>
    </w:p>
    <w:bookmarkStart w:id="27" w:name="page28"/>
    <w:bookmarkEnd w:id="27"/>
    <w:p>
      <w:pPr>
        <w:jc w:val="both"/>
        <w:ind w:firstLine="324"/>
        <w:spacing w:after="0" w:line="264" w:lineRule="auto"/>
        <w:rPr>
          <w:sz w:val="20"/>
          <w:szCs w:val="20"/>
          <w:color w:val="auto"/>
        </w:rPr>
      </w:pPr>
      <w:r>
        <w:rPr>
          <w:rFonts w:ascii="Arial" w:cs="Arial" w:eastAsia="Arial" w:hAnsi="Arial"/>
          <w:sz w:val="18"/>
          <w:szCs w:val="18"/>
          <w:color w:val="auto"/>
        </w:rPr>
        <w:t>We had an additional number of smaller contracts to purchase or sell various other currencies with a notional value of $12 million as of July 30, 2017. The aggregate fair value of all contracts was a loss of $18 million as of July 30, 2017. The total notional value of foreign exchange forward contracts outstanding was $266 million, and the aggregate fair value was a loss of $10 million as of July 31, 2016.</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enter into commodity futures, options and swap contracts to reduce the volatility of price fluctuations for commodities. The notional value of these contracts was $90 million, and the aggregate fair value of these contracts was a gain of $5 million as of July 30, 2017. The notional value of these contracts was $88 million, and the aggregate fair value of these contracts was a loss of $1 million as of July 31, 2016.</w:t>
      </w:r>
    </w:p>
    <w:p>
      <w:pPr>
        <w:spacing w:after="0" w:line="12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 notional value of the contract that is linked to the total return on our capital stock was $9 million at July 30, 2017, and $15 million at July 31, 2016. The average forward interest rate applicable to this contract, which expires in April 2018, was 1.82% at July 30, 2017. The notional value of the contract that is linked to the return on the Standard &amp; Poor's 500 Index was $26 million at July 30, 2017, and $22 million at July 31, 2016. The average forward interest rate applicable to this contract, which expires in March 2018, was 1.66% at July 30, 2017. The notional value of the contract that is linked to the total return of the iShares MSCI EAFE Index was $8 million at July 30, 2017, and $7 million at July 31, 2016. The average forward interest rate applicable to this contract, which expires in March 2018, was 1.41% at July 30, 2017. The fair value of these contracts was not material at July 30, 2017, and July 31, 2016.</w:t>
      </w:r>
    </w:p>
    <w:p>
      <w:pPr>
        <w:spacing w:after="0" w:line="1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utilization of financial instruments in managing market risk exposures described above is consistent with the prior year. Changes in the portfolio of financial instruments are a function of the results of operations, debt repayment and debt issuances, market effects on debt and foreign currency, and our acquisition and divestiture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See Note 1 to the Consolidated Financial Statements for a discussion of significant accounting policies. The following areas all require the use of subjective or complex judgments, estimates and assumptions:</w:t>
      </w:r>
    </w:p>
    <w:p>
      <w:pPr>
        <w:spacing w:after="0" w:line="13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Trade and consumer promotion programs — </w:t>
      </w:r>
      <w:r>
        <w:rPr>
          <w:rFonts w:ascii="Arial" w:cs="Arial" w:eastAsia="Arial" w:hAnsi="Arial"/>
          <w:sz w:val="17"/>
          <w:szCs w:val="17"/>
          <w:color w:val="auto"/>
        </w:rPr>
        <w:t>We offer various sales incentive programs to customers and consumers, such as feature price discounts, in-store display incentives, cooperative advertising programs, new product introduction fees, and coupons. The mix between promotion programs, which are classified as reductions in revenue,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 Estimates are made based on historical experience and other factors. Typically, programs that are offered have a very short duration. Historically, the difference between actual experience compared to estimated redemptions and performance has not been significant to the quarterly or annual financial statements. However, actual expenses may differ if the level of redemption rates and performance were to vary from estimates.</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Valuation of long-lived assets — </w:t>
      </w:r>
      <w:r>
        <w:rPr>
          <w:rFonts w:ascii="Arial" w:cs="Arial" w:eastAsia="Arial" w:hAnsi="Arial"/>
          <w:sz w:val="18"/>
          <w:szCs w:val="18"/>
          <w:color w:val="auto"/>
        </w:rPr>
        <w:t>Fixed assets and amortizable intangible assets are reviewed for impairment as events or changes in circumstances occur</w:t>
      </w:r>
      <w:r>
        <w:rPr>
          <w:rFonts w:ascii="Arial" w:cs="Arial" w:eastAsia="Arial" w:hAnsi="Arial"/>
          <w:sz w:val="18"/>
          <w:szCs w:val="18"/>
          <w:i w:val="1"/>
          <w:iCs w:val="1"/>
          <w:color w:val="auto"/>
        </w:rPr>
        <w:t xml:space="preserve"> </w:t>
      </w:r>
      <w:r>
        <w:rPr>
          <w:rFonts w:ascii="Arial" w:cs="Arial" w:eastAsia="Arial" w:hAnsi="Arial"/>
          <w:sz w:val="18"/>
          <w:szCs w:val="18"/>
          <w:color w:val="auto"/>
        </w:rPr>
        <w:t>indicating that the carrying value of the asset may not be recoverable. Undiscounted cash flow analyses are used to determine if impairment exists. If impairment is determined to exist, the loss is calculated based on estimated fair value.</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Goodwill and intangible assets deemed to have indefinite lives are not amortized but rather are tested at least annually for impairment, or more often if events or changes in circumstances indicate that more likely than not the carrying amount of the asset may not be recoverable. Goodwill is tested for impairment at the reporting unit level. A reporting unit represents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In January 2017, the FASB issued revised guidance that simplifies the test for goodwill impairment, effective for fiscal years beginning after December 15, 2019, with early adoption</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4" w:right="239" w:bottom="1440" w:gutter="0" w:footer="0" w:header="0"/>
        </w:sectPr>
      </w:pPr>
    </w:p>
    <w:bookmarkStart w:id="28" w:name="page29"/>
    <w:bookmarkEnd w:id="28"/>
    <w:p>
      <w:pPr>
        <w:jc w:val="both"/>
        <w:spacing w:after="0" w:line="286" w:lineRule="auto"/>
        <w:rPr>
          <w:sz w:val="20"/>
          <w:szCs w:val="20"/>
          <w:color w:val="auto"/>
        </w:rPr>
      </w:pPr>
      <w:r>
        <w:rPr>
          <w:rFonts w:ascii="Arial" w:cs="Arial" w:eastAsia="Arial" w:hAnsi="Arial"/>
          <w:sz w:val="17"/>
          <w:szCs w:val="17"/>
          <w:color w:val="auto"/>
        </w:rPr>
        <w:t>permitted.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carrying value exceeds fair value, an impairment charge will be recorded to reduce the asset to fair value.</w:t>
      </w:r>
    </w:p>
    <w:p>
      <w:pPr>
        <w:spacing w:after="0" w:line="1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fourth quarter of 2015, as part of our annual review of intangible assets, we recognized an impairment charge of $6 million on minor trademarks used in the Global Biscuits and Snacks segment. The trademarks were determined to be impaired as a result of a decrease in the fair value of the brands, resulting from reduced expectations for future sales and discounted cash flows.</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the fourth quarter of 2016, as part of our annual review of intangible assets, we recognized an impairment charge of $106 million on goodwill and $35 million on a trademark within the Bolthouse Farms carrot and carrot ingredients reporting unit, which is included in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w:t>
      </w:r>
    </w:p>
    <w:p>
      <w:pPr>
        <w:spacing w:after="0" w:line="13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During the second quarter of 2017, sales and operating profit performance for Bolthouse Farms carrot and carrot ingredients were well below our revised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current-year performance and the strategic review, we lowered our sales outlook for future fiscal years.We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impairment assessment as of December 31, 2016, which resulted in a $127 million impairment charge on goodwill and $20 million on a trademark in the reporting unit. The updated cash flow projections include expectations that operating margins will improve from reduced levels in 2016 and 2017. We performed our annual review of intangible assets in the fourth quarter. Our long-term outlook for the business is consistent with the second quarter assessment. We will continue to monitor the performance of the business.</w:t>
      </w:r>
    </w:p>
    <w:p>
      <w:pPr>
        <w:spacing w:after="0" w:line="12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acquired Garden Fresh Gourmet on June 29, 2015. During 2017, sales and operating profit performance for Garden Fresh Gourmet, which is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impairment assessment as of December 31, 2016, which resulted in a $64 million impairment charge on goodwill and $1 million on a trademark in the reporting unit. The updated cash flow projections include expectations that we will build distribution in the U.S., operating margins will expand partly driven by the benefits from further integration, and sales growth rates will exceed the company's overall sales growth rates. We performed our annual review of intangible assets in the fourth quarter. Our long-term outlook for the business is consistent with the second quarter assessment. We will continue to monitor the performance of the business.</w:t>
      </w:r>
    </w:p>
    <w:p>
      <w:pPr>
        <w:spacing w:after="0" w:line="4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During the third quarter of 2017, we reduced our expectations for 2017 Bolthouse Farms refrigerated beverages and salad dressings sales performance, principally due to constrained production capacity related to the voluntary recall of </w:t>
      </w:r>
      <w:r>
        <w:rPr>
          <w:rFonts w:ascii="Arial" w:cs="Arial" w:eastAsia="Arial" w:hAnsi="Arial"/>
          <w:sz w:val="18"/>
          <w:szCs w:val="18"/>
          <w:i w:val="1"/>
          <w:iCs w:val="1"/>
          <w:color w:val="auto"/>
        </w:rPr>
        <w:t>Bolthouse Farms Protein PLUS</w:t>
      </w:r>
      <w:r>
        <w:rPr>
          <w:rFonts w:ascii="Arial" w:cs="Arial" w:eastAsia="Arial" w:hAnsi="Arial"/>
          <w:sz w:val="18"/>
          <w:szCs w:val="18"/>
          <w:color w:val="auto"/>
        </w:rPr>
        <w:t xml:space="preserve"> drinks in the fourth quarter of 2016. Consistent with the strategic review conducted during the second quarter, we expect that the rate of future sales growth will be above the company's overall sales growth but from a lower base in 2017. We continue to focus on improving profitability by pursuing various supply chain initiatives. While we did not believe that an interim impairment assessment was required, we performed a sensitivity analysis for the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and salad dressings trademark and goodwill as of the third quarter. We concluded that the trademark and reporting unit had risk of decreasing coverage. We performed our annual review of intangible assets in the fourth quarter, which indicated the fair value of the reporting unit and the trademark exceeded the respective carrying values by less than 10%. The carrying value of the goodwill in the reporting unit was $384 million at July 30, 2017. The carrying value of the trademark related to the Bolthouse Farms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4"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refrigerated beverages and salad dressings reporting unit was $280 million at July 30, 2017. We will continue to monitor the performance of the business.</w:t>
      </w:r>
    </w:p>
    <w:p>
      <w:pPr>
        <w:spacing w:after="0" w:line="2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As of July 30, 2017, the carrying value of goodwill was $2.115 billion, of which $75 million related to the Bolthouse Farms carrot and carrot ingredients reporting unit and $52 million related to the Garden Fresh Gourmet reporting unit, each of which approximates fair value as a result of the impairment charges in 2017. Goodwill related to the Bolthouse Farms refrigerated beverages and salad dressings reporting unit was $384 million as of July 30, 2017. For the reporting units which comprised substantially all of the remaining goodwill, the estimated fair value of each reporting unit exceeded the carrying value by at least 30% as of the 2017 measurement. Excluding the Bolthouse Farms carrot and carrot ingredients reporting unit, the Bolthouse Farms refrigerated beverages and salad dressings reporting unit, and the Garden Fresh Gourmet reporting unit, holding all other assumptions used in the 2017 fair value measurement constant, a 1% increase in the weighted-average cost of capital assumption for our other reporting units would not result in any material impairment.</w:t>
      </w:r>
    </w:p>
    <w:p>
      <w:pPr>
        <w:spacing w:after="0" w:line="13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Holding all other assumptions used in the 2017 fair value measurement constant, changes in the assumptions below would reduce fair value of the three reporting units and result in impairment charges of approximately:</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Bolthouse Farms</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Bolthouse Farms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Refrigerated</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Carrot and Carrot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Beverages and</w:t>
            </w:r>
          </w:p>
        </w:tc>
        <w:tc>
          <w:tcPr>
            <w:tcW w:w="160" w:type="dxa"/>
            <w:vAlign w:val="bottom"/>
          </w:tcPr>
          <w:p>
            <w:pPr>
              <w:spacing w:after="0"/>
              <w:rPr>
                <w:sz w:val="12"/>
                <w:szCs w:val="12"/>
                <w:color w:val="auto"/>
              </w:rPr>
            </w:pPr>
          </w:p>
        </w:tc>
        <w:tc>
          <w:tcPr>
            <w:tcW w:w="1100" w:type="dxa"/>
            <w:vAlign w:val="bottom"/>
            <w:vMerge w:val="restart"/>
          </w:tcPr>
          <w:p>
            <w:pPr>
              <w:jc w:val="right"/>
              <w:ind w:right="117"/>
              <w:spacing w:after="0"/>
              <w:rPr>
                <w:sz w:val="20"/>
                <w:szCs w:val="20"/>
                <w:color w:val="auto"/>
              </w:rPr>
            </w:pPr>
            <w:r>
              <w:rPr>
                <w:rFonts w:ascii="Arial" w:cs="Arial" w:eastAsia="Arial" w:hAnsi="Arial"/>
                <w:sz w:val="14"/>
                <w:szCs w:val="14"/>
                <w:b w:val="1"/>
                <w:bCs w:val="1"/>
                <w:color w:val="auto"/>
                <w:w w:val="96"/>
              </w:rPr>
              <w:t>Garden Fresh</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Ingredients</w:t>
            </w:r>
          </w:p>
        </w:tc>
        <w:tc>
          <w:tcPr>
            <w:tcW w:w="140" w:type="dxa"/>
            <w:vAlign w:val="bottom"/>
          </w:tcPr>
          <w:p>
            <w:pPr>
              <w:spacing w:after="0"/>
              <w:rPr>
                <w:sz w:val="7"/>
                <w:szCs w:val="7"/>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Salad Dressings</w:t>
            </w: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right"/>
              <w:ind w:right="257"/>
              <w:spacing w:after="0"/>
              <w:rPr>
                <w:sz w:val="20"/>
                <w:szCs w:val="20"/>
                <w:color w:val="auto"/>
              </w:rPr>
            </w:pPr>
            <w:r>
              <w:rPr>
                <w:rFonts w:ascii="Arial" w:cs="Arial" w:eastAsia="Arial" w:hAnsi="Arial"/>
                <w:sz w:val="14"/>
                <w:szCs w:val="14"/>
                <w:b w:val="1"/>
                <w:bCs w:val="1"/>
                <w:color w:val="auto"/>
              </w:rPr>
              <w:t>Gourmet</w:t>
            </w:r>
          </w:p>
        </w:tc>
        <w:tc>
          <w:tcPr>
            <w:tcW w:w="0" w:type="dxa"/>
            <w:vAlign w:val="bottom"/>
          </w:tcPr>
          <w:p>
            <w:pPr>
              <w:spacing w:after="0"/>
              <w:rPr>
                <w:sz w:val="1"/>
                <w:szCs w:val="1"/>
                <w:color w:val="auto"/>
              </w:rPr>
            </w:pPr>
          </w:p>
        </w:tc>
      </w:tr>
      <w:tr>
        <w:trPr>
          <w:trHeight w:val="87"/>
        </w:trPr>
        <w:tc>
          <w:tcPr>
            <w:tcW w:w="744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88"/>
        </w:trPr>
        <w:tc>
          <w:tcPr>
            <w:tcW w:w="7440" w:type="dxa"/>
            <w:vAlign w:val="bottom"/>
            <w:tcBorders>
              <w:bottom w:val="single" w:sz="8" w:color="CCEEFF"/>
            </w:tcBorders>
            <w:shd w:val="clear" w:color="auto" w:fill="CCEEFF"/>
          </w:tcPr>
          <w:p>
            <w:pPr>
              <w:spacing w:after="0"/>
              <w:rPr>
                <w:sz w:val="7"/>
                <w:szCs w:val="7"/>
                <w:color w:val="auto"/>
              </w:rPr>
            </w:pPr>
          </w:p>
        </w:tc>
        <w:tc>
          <w:tcPr>
            <w:tcW w:w="200" w:type="dxa"/>
            <w:vAlign w:val="bottom"/>
            <w:tcBorders>
              <w:bottom w:val="single" w:sz="8" w:color="CCEEFF"/>
            </w:tcBorders>
            <w:vMerge w:val="continue"/>
            <w:shd w:val="clear" w:color="auto" w:fill="CCEEFF"/>
          </w:tcPr>
          <w:p>
            <w:pPr>
              <w:spacing w:after="0"/>
              <w:rPr>
                <w:sz w:val="7"/>
                <w:szCs w:val="7"/>
                <w:color w:val="auto"/>
              </w:rPr>
            </w:pPr>
          </w:p>
        </w:tc>
        <w:tc>
          <w:tcPr>
            <w:tcW w:w="10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40" w:type="dxa"/>
            <w:vAlign w:val="bottom"/>
            <w:tcBorders>
              <w:bottom w:val="single" w:sz="8" w:color="CCEEFF"/>
            </w:tcBorders>
            <w:vMerge w:val="continue"/>
            <w:shd w:val="clear" w:color="auto" w:fill="CCEEFF"/>
          </w:tcPr>
          <w:p>
            <w:pPr>
              <w:spacing w:after="0"/>
              <w:rPr>
                <w:sz w:val="7"/>
                <w:szCs w:val="7"/>
                <w:color w:val="auto"/>
              </w:rPr>
            </w:pPr>
          </w:p>
        </w:tc>
        <w:tc>
          <w:tcPr>
            <w:tcW w:w="11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60" w:type="dxa"/>
            <w:vAlign w:val="bottom"/>
            <w:tcBorders>
              <w:bottom w:val="single" w:sz="8" w:color="CCEEFF"/>
            </w:tcBorders>
            <w:vMerge w:val="continue"/>
            <w:shd w:val="clear" w:color="auto" w:fill="CCEEFF"/>
          </w:tcPr>
          <w:p>
            <w:pPr>
              <w:spacing w:after="0"/>
              <w:rPr>
                <w:sz w:val="7"/>
                <w:szCs w:val="7"/>
                <w:color w:val="auto"/>
              </w:rPr>
            </w:pPr>
          </w:p>
        </w:tc>
        <w:tc>
          <w:tcPr>
            <w:tcW w:w="11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7440" w:type="dxa"/>
            <w:vAlign w:val="bottom"/>
          </w:tcPr>
          <w:p>
            <w:pPr>
              <w:ind w:left="40"/>
              <w:spacing w:after="0"/>
              <w:rPr>
                <w:sz w:val="20"/>
                <w:szCs w:val="20"/>
                <w:color w:val="auto"/>
              </w:rPr>
            </w:pPr>
            <w:r>
              <w:rPr>
                <w:rFonts w:ascii="Arial" w:cs="Arial" w:eastAsia="Arial" w:hAnsi="Arial"/>
                <w:sz w:val="18"/>
                <w:szCs w:val="18"/>
                <w:color w:val="auto"/>
              </w:rPr>
              <w:t>1% reduction in revenue growth</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51"/>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reduction in EBITDA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margin</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54"/>
        </w:trPr>
        <w:tc>
          <w:tcPr>
            <w:tcW w:w="7440" w:type="dxa"/>
            <w:vAlign w:val="bottom"/>
            <w:shd w:val="clear" w:color="auto" w:fill="CCEEFF"/>
          </w:tcPr>
          <w:p>
            <w:pPr>
              <w:spacing w:after="0"/>
              <w:rPr>
                <w:sz w:val="4"/>
                <w:szCs w:val="4"/>
                <w:color w:val="auto"/>
              </w:rPr>
            </w:pPr>
          </w:p>
        </w:tc>
        <w:tc>
          <w:tcPr>
            <w:tcW w:w="200" w:type="dxa"/>
            <w:vAlign w:val="bottom"/>
            <w:vMerge w:val="continue"/>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40" w:type="dxa"/>
            <w:vAlign w:val="bottom"/>
            <w:vMerge w:val="continue"/>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11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w:t>
      </w:r>
    </w:p>
    <w:p>
      <w:pPr>
        <w:spacing w:after="0" w:line="9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Earnings before interest, taxes, depreciation and amortization.</w:t>
      </w:r>
    </w:p>
    <w:p>
      <w:pPr>
        <w:spacing w:after="0" w:line="8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If assumptions are not achieved or market conditions decline, potential additional impairment charges could result.</w:t>
      </w:r>
    </w:p>
    <w:p>
      <w:pPr>
        <w:spacing w:after="0" w:line="15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July 30, 2017, the carrying value of indefinite-lived trademarks was $912 million, of which $48 million related to the Bolthouse Farms carrot and carrot ingredients reporting unit, $280 million related to the Bolthouse Farms refrigerated beverages and salad dressings reporting unit, and $37 million related to the Garden Fresh Gourmet reporting unit. Holding all other assumptions used in the 2017 fair value measurement constant, changes in the weighted-average cost of capital assumption would reduce fair value of the trademarks and result in impairment charges of approximately:</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13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Bolthouse Farms</w:t>
            </w: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Bolthouse Farms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Refrigerated</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13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Carrot and Carrot</w:t>
            </w: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Beverages and</w:t>
            </w:r>
          </w:p>
        </w:tc>
        <w:tc>
          <w:tcPr>
            <w:tcW w:w="160" w:type="dxa"/>
            <w:vAlign w:val="bottom"/>
          </w:tcPr>
          <w:p>
            <w:pPr>
              <w:spacing w:after="0"/>
              <w:rPr>
                <w:sz w:val="12"/>
                <w:szCs w:val="12"/>
                <w:color w:val="auto"/>
              </w:rPr>
            </w:pPr>
          </w:p>
        </w:tc>
        <w:tc>
          <w:tcPr>
            <w:tcW w:w="1100" w:type="dxa"/>
            <w:vAlign w:val="bottom"/>
            <w:vMerge w:val="restart"/>
          </w:tcPr>
          <w:p>
            <w:pPr>
              <w:jc w:val="center"/>
              <w:ind w:right="82"/>
              <w:spacing w:after="0"/>
              <w:rPr>
                <w:sz w:val="20"/>
                <w:szCs w:val="20"/>
                <w:color w:val="auto"/>
              </w:rPr>
            </w:pPr>
            <w:r>
              <w:rPr>
                <w:rFonts w:ascii="Arial" w:cs="Arial" w:eastAsia="Arial" w:hAnsi="Arial"/>
                <w:sz w:val="14"/>
                <w:szCs w:val="14"/>
                <w:b w:val="1"/>
                <w:bCs w:val="1"/>
                <w:color w:val="auto"/>
                <w:w w:val="94"/>
              </w:rPr>
              <w:t>Garden Fresh</w:t>
            </w:r>
          </w:p>
        </w:tc>
        <w:tc>
          <w:tcPr>
            <w:tcW w:w="0" w:type="dxa"/>
            <w:vAlign w:val="bottom"/>
          </w:tcPr>
          <w:p>
            <w:pPr>
              <w:spacing w:after="0"/>
              <w:rPr>
                <w:sz w:val="1"/>
                <w:szCs w:val="1"/>
                <w:color w:val="auto"/>
              </w:rPr>
            </w:pPr>
          </w:p>
        </w:tc>
      </w:tr>
      <w:tr>
        <w:trPr>
          <w:trHeight w:val="81"/>
        </w:trPr>
        <w:tc>
          <w:tcPr>
            <w:tcW w:w="7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Ingredients</w:t>
            </w:r>
          </w:p>
        </w:tc>
        <w:tc>
          <w:tcPr>
            <w:tcW w:w="140" w:type="dxa"/>
            <w:vAlign w:val="bottom"/>
          </w:tcPr>
          <w:p>
            <w:pPr>
              <w:spacing w:after="0"/>
              <w:rPr>
                <w:sz w:val="7"/>
                <w:szCs w:val="7"/>
                <w:color w:val="auto"/>
              </w:rPr>
            </w:pPr>
          </w:p>
        </w:tc>
        <w:tc>
          <w:tcPr>
            <w:tcW w:w="12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Salad Dressings</w:t>
            </w:r>
          </w:p>
        </w:tc>
        <w:tc>
          <w:tcPr>
            <w:tcW w:w="1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4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restart"/>
          </w:tcPr>
          <w:p>
            <w:pPr>
              <w:jc w:val="center"/>
              <w:ind w:right="62"/>
              <w:spacing w:after="0"/>
              <w:rPr>
                <w:sz w:val="20"/>
                <w:szCs w:val="20"/>
                <w:color w:val="auto"/>
              </w:rPr>
            </w:pPr>
            <w:r>
              <w:rPr>
                <w:rFonts w:ascii="Arial" w:cs="Arial" w:eastAsia="Arial" w:hAnsi="Arial"/>
                <w:sz w:val="14"/>
                <w:szCs w:val="14"/>
                <w:b w:val="1"/>
                <w:bCs w:val="1"/>
                <w:color w:val="auto"/>
                <w:w w:val="95"/>
              </w:rPr>
              <w:t>Gourmet</w:t>
            </w:r>
          </w:p>
        </w:tc>
        <w:tc>
          <w:tcPr>
            <w:tcW w:w="0" w:type="dxa"/>
            <w:vAlign w:val="bottom"/>
          </w:tcPr>
          <w:p>
            <w:pPr>
              <w:spacing w:after="0"/>
              <w:rPr>
                <w:sz w:val="1"/>
                <w:szCs w:val="1"/>
                <w:color w:val="auto"/>
              </w:rPr>
            </w:pPr>
          </w:p>
        </w:tc>
      </w:tr>
      <w:tr>
        <w:trPr>
          <w:trHeight w:val="87"/>
        </w:trPr>
        <w:tc>
          <w:tcPr>
            <w:tcW w:w="744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7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200" w:type="dxa"/>
            <w:vAlign w:val="bottom"/>
            <w:vMerge w:val="restart"/>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4"/>
                <w:szCs w:val="2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81"/>
        </w:trPr>
        <w:tc>
          <w:tcPr>
            <w:tcW w:w="744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06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60" w:type="dxa"/>
            <w:vAlign w:val="bottom"/>
            <w:vMerge w:val="continue"/>
            <w:shd w:val="clear" w:color="auto" w:fill="CCEEFF"/>
          </w:tcPr>
          <w:p>
            <w:pPr>
              <w:spacing w:after="0"/>
              <w:rPr>
                <w:sz w:val="7"/>
                <w:szCs w:val="7"/>
                <w:color w:val="auto"/>
              </w:rPr>
            </w:pPr>
          </w:p>
        </w:tc>
        <w:tc>
          <w:tcPr>
            <w:tcW w:w="11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Holding all other assumptions used in the 2017 fair value measurement constant, a 1% reduction in the revenue growth assumption would not result in any material impairment on these trademarks.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carrying value of the </w:t>
      </w:r>
      <w:r>
        <w:rPr>
          <w:rFonts w:ascii="Arial" w:cs="Arial" w:eastAsia="Arial" w:hAnsi="Arial"/>
          <w:sz w:val="18"/>
          <w:szCs w:val="18"/>
          <w:i w:val="1"/>
          <w:iCs w:val="1"/>
          <w:color w:val="auto"/>
        </w:rPr>
        <w:t>Pace</w:t>
      </w:r>
      <w:r>
        <w:rPr>
          <w:rFonts w:ascii="Arial" w:cs="Arial" w:eastAsia="Arial" w:hAnsi="Arial"/>
          <w:sz w:val="18"/>
          <w:szCs w:val="18"/>
          <w:color w:val="auto"/>
        </w:rPr>
        <w:t xml:space="preserve"> trademark was $292 million as of July 30, 2017, and the estimated fair value exceeded the carrying value by less than 10%. Holding all other assumptions used in the 2017 fair value measurement of the </w:t>
      </w:r>
      <w:r>
        <w:rPr>
          <w:rFonts w:ascii="Arial" w:cs="Arial" w:eastAsia="Arial" w:hAnsi="Arial"/>
          <w:sz w:val="18"/>
          <w:szCs w:val="18"/>
          <w:i w:val="1"/>
          <w:iCs w:val="1"/>
          <w:color w:val="auto"/>
        </w:rPr>
        <w:t>Pace</w:t>
      </w:r>
      <w:r>
        <w:rPr>
          <w:rFonts w:ascii="Arial" w:cs="Arial" w:eastAsia="Arial" w:hAnsi="Arial"/>
          <w:sz w:val="18"/>
          <w:szCs w:val="18"/>
          <w:color w:val="auto"/>
        </w:rPr>
        <w:t xml:space="preserve"> trademark constant, a 1% increase in the weighted-average cost of capital assumption would result in an impairment charge of approximately $30 million, and a 1% reduction in the revenue growth assumption would result in an impairment charge of approximately $10 million.</w:t>
      </w:r>
    </w:p>
    <w:p>
      <w:pPr>
        <w:spacing w:after="0" w:line="13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all of our other trademarks, holding all other assumptions used in the 2017 fair value measurement constant, neither a 1% increase in the weighted-average cost of capital assumption nor a 1% reduction in the revenue growth assumption would result in any material impairment.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assumptions are not achieved or market conditions decline, potential additional impairment charges could result.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5 to the Consolidated Financial Statements for additional information on goodwill and intangible assets.</w:t>
      </w:r>
    </w:p>
    <w:p>
      <w:pPr>
        <w:sectPr>
          <w:pgSz w:w="11900" w:h="16838" w:orient="portrait"/>
          <w:cols w:equalWidth="0" w:num="1">
            <w:col w:w="11420"/>
          </w:cols>
          <w:pgMar w:left="240" w:top="1233"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33" w:right="239" w:bottom="1440" w:gutter="0" w:footer="0" w:header="0"/>
          <w:type w:val="continuous"/>
        </w:sectPr>
      </w:pPr>
    </w:p>
    <w:bookmarkStart w:id="30" w:name="page31"/>
    <w:bookmarkEnd w:id="30"/>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Pension and postretirement benefits — </w:t>
      </w:r>
      <w:r>
        <w:rPr>
          <w:rFonts w:ascii="Arial" w:cs="Arial" w:eastAsia="Arial" w:hAnsi="Arial"/>
          <w:sz w:val="18"/>
          <w:szCs w:val="18"/>
          <w:color w:val="auto"/>
        </w:rPr>
        <w:t>We provide certain pension and postretirement benefits to employees and retirees. Determining the cost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benefits is dependent on various actuarial assumptions, including discount rates, expected return on plan assets, compensation increases, turnover rates and health care trend rates. Independent actuaries, in accordance with accounting principles generally accepted in the United States, perform the required calculations to determine expense.</w:t>
      </w:r>
    </w:p>
    <w:p>
      <w:pPr>
        <w:spacing w:after="0" w:line="14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7"/>
          <w:szCs w:val="17"/>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Beginning in 2018, we will change the method we use to estimate the service and interest cost components of the net periodic benefit expense. We will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are making this change to provide a more precise measurement of service cost and interest cost by improving the correlation between projected benefit cash flows and the corresponding spot yield curve rates. This change will not affect the measurement of our benefit obligations. We will account for this change prospectively in 2018 as a change in accounting estimate</w:t>
      </w:r>
      <w:r>
        <w:rPr>
          <w:rFonts w:ascii="Arial" w:cs="Arial" w:eastAsia="Arial" w:hAnsi="Arial"/>
          <w:sz w:val="18"/>
          <w:szCs w:val="18"/>
          <w:color w:val="auto"/>
        </w:rPr>
        <w:t>.</w:t>
      </w:r>
    </w:p>
    <w:p>
      <w:pPr>
        <w:spacing w:after="0" w:line="11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 Within any given fiscal period, significant differences may arise between the actual return and the expected return on plan assets. Gains and losses resulting from differences between actual experience and the assumptions are determined at each measurement date.</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periodic pension and postretirement expense (income) was $(258) million in 2017, $317 million in 2016 and $125 million in 2015.</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weighted-average assumptions as of the end of the year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772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02"/>
        </w:trPr>
        <w:tc>
          <w:tcPr>
            <w:tcW w:w="880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Pension</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auto"/>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77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0" w:type="dxa"/>
            <w:vAlign w:val="bottom"/>
            <w:tcBorders>
              <w:top w:val="single" w:sz="8" w:color="CCEEFF"/>
            </w:tcBorders>
            <w:shd w:val="clear" w:color="auto" w:fill="CCEEFF"/>
          </w:tcPr>
          <w:p>
            <w:pPr>
              <w:spacing w:after="0"/>
              <w:rPr>
                <w:sz w:val="4"/>
                <w:szCs w:val="4"/>
                <w:color w:val="auto"/>
              </w:rPr>
            </w:pP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Discount rate for benefit obligations</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3.74%</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3.39%</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4.19%</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6.84%</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7.35%</w:t>
            </w:r>
          </w:p>
        </w:tc>
      </w:tr>
      <w:tr>
        <w:trPr>
          <w:trHeight w:val="203"/>
        </w:trPr>
        <w:tc>
          <w:tcPr>
            <w:tcW w:w="88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Postretirement</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6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7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r>
      <w:tr>
        <w:trPr>
          <w:trHeight w:val="250"/>
        </w:trPr>
        <w:tc>
          <w:tcPr>
            <w:tcW w:w="88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Discount rate for obligations</w:t>
            </w:r>
          </w:p>
        </w:tc>
        <w:tc>
          <w:tcPr>
            <w:tcW w:w="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3.45%</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4.00%</w:t>
            </w:r>
          </w:p>
        </w:tc>
      </w:tr>
      <w:tr>
        <w:trPr>
          <w:trHeight w:val="243"/>
        </w:trPr>
        <w:tc>
          <w:tcPr>
            <w:tcW w:w="8800" w:type="dxa"/>
            <w:vAlign w:val="bottom"/>
            <w:gridSpan w:val="4"/>
          </w:tcPr>
          <w:p>
            <w:pPr>
              <w:ind w:left="40"/>
              <w:spacing w:after="0"/>
              <w:rPr>
                <w:sz w:val="20"/>
                <w:szCs w:val="20"/>
                <w:color w:val="auto"/>
              </w:rPr>
            </w:pPr>
            <w:r>
              <w:rPr>
                <w:rFonts w:ascii="Arial" w:cs="Arial" w:eastAsia="Arial" w:hAnsi="Arial"/>
                <w:sz w:val="18"/>
                <w:szCs w:val="18"/>
                <w:color w:val="auto"/>
              </w:rPr>
              <w:t>Initial health care trend rate</w:t>
            </w: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97"/>
              </w:rPr>
              <w:t>7.25%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7.25%</w:t>
            </w:r>
          </w:p>
        </w:tc>
        <w:tc>
          <w:tcPr>
            <w:tcW w:w="100" w:type="dxa"/>
            <w:vAlign w:val="bottom"/>
          </w:tcPr>
          <w:p>
            <w:pPr>
              <w:spacing w:after="0"/>
              <w:rPr>
                <w:sz w:val="21"/>
                <w:szCs w:val="21"/>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7.75%</w:t>
            </w:r>
          </w:p>
        </w:tc>
      </w:tr>
      <w:tr>
        <w:trPr>
          <w:trHeight w:val="27"/>
        </w:trPr>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7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88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Ultimate health care trend rate</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77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Estimated sensitivities to annual net periodic pension cost are as follows: a 50-basis-point decline in the discount rate would decrease expense by approximately $7 million and would result in an immediate loss recognition of approximately $135 million. A 50-basis-point reduction in the estimated return on assets assumption would increase expense by approximately $11 million. A one-percentage-point increase in assumed health care costs would have no impact on postretirement service and interest cost and would result in an immediate loss recognition of $3 million.</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 contributions were made to U.S. pension plans in 2017, 2016 and 2015. Contributions to non-U.S. plans were $5 million in 2017, $2 million in 2016 and $5 million in 2015. We do not expect to contribute to the U.S. pension plans in 2018. Contributions to non-U.S. plans are expected to be approximately $5 million in 2018.</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 10 to the Consolidated Financial Statements for additional information on pension and postretirement benefits.</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Income taxes — </w:t>
      </w:r>
      <w:r>
        <w:rPr>
          <w:rFonts w:ascii="Arial" w:cs="Arial" w:eastAsia="Arial" w:hAnsi="Arial"/>
          <w:sz w:val="17"/>
          <w:szCs w:val="17"/>
          <w:color w:val="auto"/>
        </w:rPr>
        <w:t>The effective tax rate reflects statutory tax rates, tax planning opportunities available in the various jurisdictions in which we operate and</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estimate of the ultimate outcome of various tax audits and issues. Significant judgment is required in determining the effective tax rate and in evaluating tax positions. Income taxes are recorded based on amounts refundable or payable in the current year and include the effect of deferred taxes. Deferred tax assets and liabilities are recognized for the future impact of differences between the financial statement carrying amounts of assets and liabilities and their respective tax bases, as well as for operating loss and tax credit carryforwards. Deferred tax assets and liabilities are measured using enacted tax rates expected to apply to taxable income in the years in which those differences are expected to be recovered or settled. Valuation allowances are established for deferred tax assets when it is more likely than not that a tax benefit will not be realized.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also Notes 1 and 11 to the Consolidated Financial Statements for further discussion on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14"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CAUTIONARY FACTORS THAT MAY AFFECT FUTURE RESULTS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and similar expressions. One can also identify forward-looking statements by the fact that they do not relate strictly to historical or current facts.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Part 1, Item 1A and elsewhere in this Report, or in our other Securities and Exchange Commission filings, could affect our actual results and could cause such results to vary materially from those expressed in any forward-looking statements made by, or on behalf of, us:</w:t>
      </w:r>
    </w:p>
    <w:p>
      <w:pPr>
        <w:spacing w:after="0" w:line="127"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continue to increase their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complete and to realize the projected benefits of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impact of non-U.S. operations, including export and import restrictions, public corruption and compliance with foreign laws and regulations;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presented in the section entitled "Management’s Discussion and Analysis of Financial Condition and Results of Operations — Market Risk Sensitivity" is incorporated herein by reference.</w:t>
      </w:r>
    </w:p>
    <w:p>
      <w:pPr>
        <w:sectPr>
          <w:pgSz w:w="11900" w:h="16838" w:orient="portrait"/>
          <w:cols w:equalWidth="0" w:num="1">
            <w:col w:w="11420"/>
          </w:cols>
          <w:pgMar w:left="240" w:top="1310" w:right="239" w:bottom="1109"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10" w:right="239" w:bottom="1109"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2015</w:t>
            </w: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8,082</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5,300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817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893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884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102</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6,490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7,028</w:t>
            </w:r>
          </w:p>
        </w:tc>
      </w:tr>
      <w:tr>
        <w:trPr>
          <w:trHeight w:val="23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1,400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960</w:t>
            </w:r>
          </w:p>
        </w:tc>
        <w:tc>
          <w:tcPr>
            <w:tcW w:w="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406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283</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887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7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80" w:type="dxa"/>
            <w:vAlign w:val="bottom"/>
          </w:tcPr>
          <w:p>
            <w:pPr>
              <w:spacing w:after="0"/>
              <w:rPr>
                <w:sz w:val="19"/>
                <w:szCs w:val="19"/>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312</w:t>
            </w:r>
          </w:p>
        </w:tc>
      </w:tr>
      <w:tr>
        <w:trPr>
          <w:trHeight w:val="67"/>
        </w:trPr>
        <w:tc>
          <w:tcPr>
            <w:tcW w:w="7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2.89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2.13</w:t>
            </w:r>
          </w:p>
        </w:tc>
      </w:tr>
      <w:tr>
        <w:trPr>
          <w:trHeight w:val="67"/>
        </w:trPr>
        <w:tc>
          <w:tcPr>
            <w:tcW w:w="778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0"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60" w:type="dxa"/>
            <w:vAlign w:val="bottom"/>
          </w:tcPr>
          <w:p>
            <w:pPr>
              <w:spacing w:after="0"/>
              <w:rPr>
                <w:sz w:val="13"/>
                <w:szCs w:val="13"/>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666</w:t>
            </w:r>
          </w:p>
        </w:tc>
        <w:tc>
          <w:tcPr>
            <w:tcW w:w="0" w:type="dxa"/>
            <w:vAlign w:val="bottom"/>
          </w:tcPr>
          <w:p>
            <w:pPr>
              <w:spacing w:after="0"/>
              <w:rPr>
                <w:sz w:val="1"/>
                <w:szCs w:val="1"/>
                <w:color w:val="auto"/>
              </w:rPr>
            </w:pPr>
          </w:p>
        </w:tc>
      </w:tr>
      <w:tr>
        <w:trPr>
          <w:trHeight w:val="237"/>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rPr>
              <w:t>Foreign currency translation</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9"/>
                <w:szCs w:val="19"/>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adjustments</w:t>
            </w:r>
          </w:p>
        </w:tc>
        <w:tc>
          <w:tcPr>
            <w:tcW w:w="14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3"/>
              </w:rPr>
              <w:t>Unrealized gains (losses) arising during</w:t>
            </w:r>
          </w:p>
        </w:tc>
        <w:tc>
          <w:tcPr>
            <w:tcW w:w="140" w:type="dxa"/>
            <w:vAlign w:val="bottom"/>
          </w:tcPr>
          <w:p>
            <w:pPr>
              <w:spacing w:after="0"/>
              <w:rPr>
                <w:sz w:val="19"/>
                <w:szCs w:val="19"/>
                <w:color w:val="auto"/>
              </w:rPr>
            </w:pPr>
          </w:p>
        </w:tc>
        <w:tc>
          <w:tcPr>
            <w:tcW w:w="680" w:type="dxa"/>
            <w:vAlign w:val="bottom"/>
            <w:vMerge w:val="restart"/>
          </w:tcPr>
          <w:p>
            <w:pPr>
              <w:jc w:val="right"/>
              <w:ind w:right="41"/>
              <w:spacing w:after="0"/>
              <w:rPr>
                <w:sz w:val="20"/>
                <w:szCs w:val="20"/>
                <w:color w:val="auto"/>
              </w:rPr>
            </w:pPr>
            <w:r>
              <w:rPr>
                <w:rFonts w:ascii="Arial" w:cs="Arial" w:eastAsia="Arial" w:hAnsi="Arial"/>
                <w:sz w:val="16"/>
                <w:szCs w:val="16"/>
                <w:b w:val="1"/>
                <w:bCs w:val="1"/>
                <w:color w:val="auto"/>
              </w:rPr>
              <w:t>19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w w:val="96"/>
              </w:rPr>
              <w:t>Reclassification adjustment for (gains)</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losses included in net earnings</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180"/>
              <w:spacing w:after="0"/>
              <w:rPr>
                <w:sz w:val="20"/>
                <w:szCs w:val="20"/>
                <w:color w:val="auto"/>
              </w:rPr>
            </w:pPr>
            <w:r>
              <w:rPr>
                <w:rFonts w:ascii="Arial" w:cs="Arial" w:eastAsia="Arial" w:hAnsi="Arial"/>
                <w:sz w:val="16"/>
                <w:szCs w:val="16"/>
                <w:b w:val="1"/>
                <w:bCs w:val="1"/>
                <w:color w:val="auto"/>
              </w:rPr>
              <w:t>benefits: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9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Prior service credit arising during the</w:t>
            </w:r>
          </w:p>
        </w:tc>
        <w:tc>
          <w:tcPr>
            <w:tcW w:w="140" w:type="dxa"/>
            <w:vAlign w:val="bottom"/>
            <w:shd w:val="clear" w:color="auto" w:fill="CCEEFF"/>
          </w:tcPr>
          <w:p>
            <w:pPr>
              <w:spacing w:after="0"/>
              <w:rPr>
                <w:sz w:val="19"/>
                <w:szCs w:val="19"/>
                <w:color w:val="auto"/>
              </w:rPr>
            </w:pPr>
          </w:p>
        </w:tc>
        <w:tc>
          <w:tcPr>
            <w:tcW w:w="6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period</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980" w:type="dxa"/>
            <w:vAlign w:val="bottom"/>
          </w:tcPr>
          <w:p>
            <w:pPr>
              <w:ind w:left="340"/>
              <w:spacing w:after="0"/>
              <w:rPr>
                <w:sz w:val="20"/>
                <w:szCs w:val="20"/>
                <w:color w:val="auto"/>
              </w:rPr>
            </w:pPr>
            <w:r>
              <w:rPr>
                <w:rFonts w:ascii="Arial" w:cs="Arial" w:eastAsia="Arial" w:hAnsi="Arial"/>
                <w:sz w:val="16"/>
                <w:szCs w:val="16"/>
                <w:color w:val="auto"/>
                <w:w w:val="99"/>
              </w:rPr>
              <w:t>Reclassification of prior service credit</w:t>
            </w:r>
          </w:p>
        </w:tc>
        <w:tc>
          <w:tcPr>
            <w:tcW w:w="14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vMerge w:val="restart"/>
          </w:tcPr>
          <w:p>
            <w:pPr>
              <w:jc w:val="right"/>
              <w:ind w:right="43"/>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980" w:type="dxa"/>
            <w:vAlign w:val="bottom"/>
          </w:tcPr>
          <w:p>
            <w:pPr>
              <w:ind w:left="340"/>
              <w:spacing w:after="0"/>
              <w:rPr>
                <w:sz w:val="20"/>
                <w:szCs w:val="20"/>
                <w:color w:val="auto"/>
              </w:rPr>
            </w:pPr>
            <w:r>
              <w:rPr>
                <w:rFonts w:ascii="Arial" w:cs="Arial" w:eastAsia="Arial" w:hAnsi="Arial"/>
                <w:sz w:val="16"/>
                <w:szCs w:val="16"/>
                <w:color w:val="auto"/>
              </w:rPr>
              <w:t>included in net earnings</w:t>
            </w: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57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31"/>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938</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630</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352</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noncontrolling interests</w:t>
            </w: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29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80" w:type="dxa"/>
            <w:vAlign w:val="bottom"/>
          </w:tcPr>
          <w:p>
            <w:pPr>
              <w:ind w:left="40"/>
              <w:spacing w:after="0"/>
              <w:rPr>
                <w:sz w:val="20"/>
                <w:szCs w:val="20"/>
                <w:color w:val="auto"/>
              </w:rPr>
            </w:pPr>
            <w:r>
              <w:rPr>
                <w:rFonts w:ascii="Arial" w:cs="Arial" w:eastAsia="Arial" w:hAnsi="Arial"/>
                <w:sz w:val="16"/>
                <w:szCs w:val="16"/>
                <w:b w:val="1"/>
                <w:bCs w:val="1"/>
                <w:color w:val="auto"/>
                <w:w w:val="95"/>
              </w:rPr>
              <w:t>attributable to Campbell Soup Company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ind w:right="40"/>
              <w:spacing w:after="0"/>
              <w:rPr>
                <w:sz w:val="20"/>
                <w:szCs w:val="20"/>
                <w:color w:val="auto"/>
              </w:rPr>
            </w:pPr>
            <w:r>
              <w:rPr>
                <w:rFonts w:ascii="Arial" w:cs="Arial" w:eastAsia="Arial" w:hAnsi="Arial"/>
                <w:sz w:val="16"/>
                <w:szCs w:val="16"/>
                <w:b w:val="1"/>
                <w:bCs w:val="1"/>
                <w:color w:val="auto"/>
              </w:rPr>
              <w:t>938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0"/>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33"/>
        </w:trPr>
        <w:tc>
          <w:tcPr>
            <w:tcW w:w="2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9"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jc w:val="right"/>
              <w:ind w:right="431"/>
              <w:spacing w:after="0"/>
              <w:rPr>
                <w:sz w:val="20"/>
                <w:szCs w:val="20"/>
                <w:color w:val="auto"/>
              </w:rPr>
            </w:pPr>
            <w:r>
              <w:rPr>
                <w:rFonts w:ascii="Arial" w:cs="Arial" w:eastAsia="Arial" w:hAnsi="Arial"/>
                <w:sz w:val="14"/>
                <w:szCs w:val="14"/>
                <w:b w:val="1"/>
                <w:bCs w:val="1"/>
                <w:color w:val="auto"/>
              </w:rPr>
              <w:t>July 30,</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31,</w:t>
            </w:r>
          </w:p>
        </w:tc>
      </w:tr>
      <w:tr>
        <w:trPr>
          <w:trHeight w:val="192"/>
        </w:trPr>
        <w:tc>
          <w:tcPr>
            <w:tcW w:w="74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2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319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296</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902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940</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74</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1,900</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1,908</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2,454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2,115</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2,263</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1,118</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 ($51 as of 2017 and $34 as of 2016 attributable to variable interest entity)</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139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7,726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7,837</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1,037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666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610</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111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2,395</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2,555</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2,499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490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396</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697</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6,081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6,304</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354</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4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b w:val="1"/>
                <w:bCs w:val="1"/>
                <w:color w:val="auto"/>
              </w:rPr>
              <w:t>2,385</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1,927</w:t>
            </w:r>
          </w:p>
        </w:tc>
      </w:tr>
      <w:tr>
        <w:trPr>
          <w:trHeight w:val="27"/>
        </w:trPr>
        <w:tc>
          <w:tcPr>
            <w:tcW w:w="74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(1,066)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b w:val="1"/>
                <w:bCs w:val="1"/>
                <w:color w:val="auto"/>
              </w:rPr>
              <w:t>(53)</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1,637</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1,525</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4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1,645</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1,533</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7,726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7,837</w:t>
            </w:r>
          </w:p>
        </w:tc>
      </w:tr>
      <w:tr>
        <w:trPr>
          <w:trHeight w:val="27"/>
        </w:trPr>
        <w:tc>
          <w:tcPr>
            <w:tcW w:w="7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7420" w:type="dxa"/>
            <w:vAlign w:val="bottom"/>
          </w:tcPr>
          <w:p>
            <w:pPr>
              <w:ind w:left="5620"/>
              <w:spacing w:after="0"/>
              <w:rPr>
                <w:sz w:val="20"/>
                <w:szCs w:val="20"/>
                <w:color w:val="auto"/>
              </w:rPr>
            </w:pPr>
            <w:r>
              <w:rPr>
                <w:rFonts w:ascii="Arial" w:cs="Arial" w:eastAsia="Arial" w:hAnsi="Arial"/>
                <w:sz w:val="18"/>
                <w:szCs w:val="18"/>
                <w:color w:val="auto"/>
              </w:rPr>
              <w:t>35</w:t>
            </w: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2015</w:t>
            </w:r>
          </w:p>
        </w:tc>
      </w:tr>
      <w:tr>
        <w:trPr>
          <w:trHeight w:val="21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60"/>
        </w:trPr>
        <w:tc>
          <w:tcPr>
            <w:tcW w:w="77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887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563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666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Impairment charges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60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57</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Pension and postretirement benefit expense (income)</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118</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318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308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303</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working capital, net of acquisitions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Prepaid assets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Pension fund contributions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receipts from hedging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1,291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1,491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1,206</w:t>
            </w:r>
          </w:p>
        </w:tc>
      </w:tr>
      <w:tr>
        <w:trPr>
          <w:trHeight w:val="21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plant assets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Sales of plant assets</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Business acquired, net of cash acquired</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(603)</w:t>
            </w:r>
          </w:p>
        </w:tc>
      </w:tr>
      <w:tr>
        <w:trPr>
          <w:trHeight w:val="217"/>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47"/>
        </w:trPr>
        <w:tc>
          <w:tcPr>
            <w:tcW w:w="7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short-term borrowings (repayments)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100</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Long-term borrowings</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211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300</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Long-term repayments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Repayments of notes payable</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(400)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Dividends paid</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(437)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(244)</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Treasury stock issuances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r>
      <w:tr>
        <w:trPr>
          <w:trHeight w:val="231"/>
        </w:trPr>
        <w:tc>
          <w:tcPr>
            <w:tcW w:w="7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11</w:t>
            </w:r>
          </w:p>
        </w:tc>
        <w:tc>
          <w:tcPr>
            <w:tcW w:w="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b w:val="1"/>
                <w:bCs w:val="1"/>
                <w:color w:val="auto"/>
              </w:rPr>
              <w:t>296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232</w:t>
            </w:r>
          </w:p>
        </w:tc>
      </w:tr>
      <w:tr>
        <w:trPr>
          <w:trHeight w:val="33"/>
        </w:trPr>
        <w:tc>
          <w:tcPr>
            <w:tcW w:w="7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319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253</w:t>
            </w:r>
          </w:p>
        </w:tc>
      </w:tr>
      <w:tr>
        <w:trPr>
          <w:trHeight w:val="20"/>
        </w:trPr>
        <w:tc>
          <w:tcPr>
            <w:tcW w:w="7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7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29"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29" w:right="239" w:bottom="1440" w:gutter="0" w:footer="0" w:header="0"/>
          <w:type w:val="continuous"/>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0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restart"/>
          </w:tcPr>
          <w:p>
            <w:pPr>
              <w:jc w:val="right"/>
              <w:ind w:right="168"/>
              <w:spacing w:after="0" w:line="13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August 3, 2014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Pr>
          <w:p>
            <w:pPr>
              <w:ind w:left="40"/>
              <w:spacing w:after="0"/>
              <w:rPr>
                <w:sz w:val="20"/>
                <w:szCs w:val="20"/>
                <w:color w:val="auto"/>
              </w:rPr>
            </w:pPr>
            <w:r>
              <w:rPr>
                <w:rFonts w:ascii="Arial" w:cs="Arial" w:eastAsia="Arial" w:hAnsi="Arial"/>
                <w:sz w:val="14"/>
                <w:szCs w:val="14"/>
                <w:color w:val="auto"/>
              </w:rPr>
              <w:t>interest</w:t>
            </w: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666</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(313)</w:t>
            </w: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($1.248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(395)</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(244)</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issued under</w:t>
            </w: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30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August 2, 2015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w:t>
            </w: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1,754</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w:t>
            </w: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1,377</w:t>
            </w:r>
          </w:p>
        </w:tc>
        <w:tc>
          <w:tcPr>
            <w:tcW w:w="0" w:type="dxa"/>
            <w:vAlign w:val="bottom"/>
          </w:tcPr>
          <w:p>
            <w:pPr>
              <w:spacing w:after="0"/>
              <w:rPr>
                <w:sz w:val="1"/>
                <w:szCs w:val="1"/>
                <w:color w:val="auto"/>
              </w:rPr>
            </w:pPr>
          </w:p>
        </w:tc>
      </w:tr>
      <w:tr>
        <w:trPr>
          <w:trHeight w:val="143"/>
        </w:trPr>
        <w:tc>
          <w:tcPr>
            <w:tcW w:w="242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Contribution from noncontrolling</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w:t>
            </w: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563</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($1.248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(390)</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354</w:t>
            </w: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887</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887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Dividends ($1.40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(429)</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(437)</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1</w:t>
            </w:r>
          </w:p>
        </w:tc>
        <w:tc>
          <w:tcPr>
            <w:tcW w:w="18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35</w:t>
            </w:r>
          </w:p>
        </w:tc>
        <w:tc>
          <w:tcPr>
            <w:tcW w:w="240" w:type="dxa"/>
            <w:vAlign w:val="bottom"/>
          </w:tcPr>
          <w:p>
            <w:pPr>
              <w:spacing w:after="0"/>
              <w:rPr>
                <w:sz w:val="12"/>
                <w:szCs w:val="12"/>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40</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July 30,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2,385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1,645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29"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75" w:lineRule="exact"/>
        <w:rPr>
          <w:rFonts w:ascii="Arial" w:cs="Arial" w:eastAsia="Arial" w:hAnsi="Arial"/>
          <w:sz w:val="18"/>
          <w:szCs w:val="18"/>
          <w:b w:val="1"/>
          <w:bCs w:val="1"/>
          <w:color w:val="auto"/>
        </w:rPr>
      </w:pPr>
    </w:p>
    <w:p>
      <w:pPr>
        <w:ind w:left="340"/>
        <w:spacing w:after="0" w:line="438" w:lineRule="auto"/>
        <w:rPr>
          <w:rFonts w:ascii="Arial" w:cs="Arial" w:eastAsia="Arial" w:hAnsi="Arial"/>
          <w:sz w:val="18"/>
          <w:szCs w:val="18"/>
          <w:b w:val="1"/>
          <w:bCs w:val="1"/>
          <w:color w:val="auto"/>
        </w:rPr>
      </w:pPr>
      <w:r>
        <w:rPr>
          <w:rFonts w:ascii="Arial" w:cs="Arial" w:eastAsia="Arial" w:hAnsi="Arial"/>
          <w:sz w:val="18"/>
          <w:szCs w:val="18"/>
          <w:color w:val="auto"/>
        </w:rPr>
        <w:t>In this Report, unless otherwise stated, the terms "we," "us," "our" and the "company" refer to Campbell Soup Company and its consolidated subsidiaries. We are a manufacturer and marketer of high-quality, branded food and beverage products.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Basis of Presentation </w:t>
      </w:r>
      <w:r>
        <w:rPr>
          <w:rFonts w:ascii="Arial" w:cs="Arial" w:eastAsia="Arial" w:hAnsi="Arial"/>
          <w:sz w:val="18"/>
          <w:szCs w:val="18"/>
          <w:color w:val="auto"/>
        </w:rPr>
        <w:t>— The consolidated financial statements include our accounts and entities in which we maintain a controlling financial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a variable interest entity (VIE) for which we are the primary beneficiary. Intercompany transactions are eliminated in consolidation. Certain amounts in prior-year financial statements were reclassified to conform to the current-year presentation. See Note 2. Our fiscal year ends on the Sunday nearest July 31. There were 52 weeks in 2017, 2016, and 2015.</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Generally accepted accounting principles require management to make estimates and assumptions that affect assets,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revenues and expenses. Actual results could differ from those estimates.</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Revenues are recognized when the earnings process is complete. This occurs when products are shipped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terms of agreements, title and risk of loss transfer to customers, collection is probable and pricing is fixed or determinable. Revenues are recognized net of provisions for returns, discounts and allowances. Certain sales promotion expenses, such as feature price discounts, in-store display incentives, cooperative advertising programs, new product introduction fees and coupon redemption costs, are classified as a reduction of sales. The recognition of costs for promotion programs involves the use of judgment related to performance and redemption estimates. Estimates are made based on historical experience and other factors. Costs are recognized either upon sale or when the incentive is offered, based on the program. Revenues are presented on a net basis for arrangements under which suppliers perform certain additional services.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and Cash Equivalents </w:t>
      </w:r>
      <w:r>
        <w:rPr>
          <w:rFonts w:ascii="Arial" w:cs="Arial" w:eastAsia="Arial" w:hAnsi="Arial"/>
          <w:sz w:val="16"/>
          <w:szCs w:val="16"/>
          <w:color w:val="auto"/>
        </w:rPr>
        <w:t>— All highly liquid debt instruments purchased with a maturity of three months or less are classified as cash equivalents.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All inventories are valued at the lower of average cost or net realizable value.</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 Property, plant and equipment are recorded at historical cost and are depreciated over estimated useful lives using the</w:t>
      </w:r>
      <w:r>
        <w:rPr>
          <w:rFonts w:ascii="Arial" w:cs="Arial" w:eastAsia="Arial" w:hAnsi="Arial"/>
          <w:sz w:val="17"/>
          <w:szCs w:val="17"/>
          <w:i w:val="1"/>
          <w:iCs w:val="1"/>
          <w:color w:val="auto"/>
        </w:rPr>
        <w:t xml:space="preserve"> </w:t>
      </w:r>
      <w:r>
        <w:rPr>
          <w:rFonts w:ascii="Arial" w:cs="Arial" w:eastAsia="Arial" w:hAnsi="Arial"/>
          <w:sz w:val="17"/>
          <w:szCs w:val="17"/>
          <w:color w:val="auto"/>
        </w:rPr>
        <w:t>straight-line method. Buildings and machinery and equipment are depreciated over periods not exceeding 45 years and 20 years, respectively. Assets are evaluated for impairment when conditions indicate that the carrying value may not be recoverable. Such conditions include significant adverse changes in business climate or a plan of disposal. Repairs and maintenance are charged to expense as incurred.</w:t>
      </w:r>
    </w:p>
    <w:p>
      <w:pPr>
        <w:spacing w:after="0" w:line="11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Goodwill and Intangible Assets </w:t>
      </w:r>
      <w:r>
        <w:rPr>
          <w:rFonts w:ascii="Arial" w:cs="Arial" w:eastAsia="Arial" w:hAnsi="Arial"/>
          <w:sz w:val="17"/>
          <w:szCs w:val="17"/>
          <w:color w:val="auto"/>
        </w:rPr>
        <w:t>— Goodwill and intangible assets deemed to have indefinite lives are not amortized but rather are tested at least annually</w:t>
      </w:r>
      <w:r>
        <w:rPr>
          <w:rFonts w:ascii="Arial" w:cs="Arial" w:eastAsia="Arial" w:hAnsi="Arial"/>
          <w:sz w:val="17"/>
          <w:szCs w:val="17"/>
          <w:i w:val="1"/>
          <w:iCs w:val="1"/>
          <w:color w:val="auto"/>
        </w:rPr>
        <w:t xml:space="preserve"> </w:t>
      </w:r>
      <w:r>
        <w:rPr>
          <w:rFonts w:ascii="Arial" w:cs="Arial" w:eastAsia="Arial" w:hAnsi="Arial"/>
          <w:sz w:val="17"/>
          <w:szCs w:val="17"/>
          <w:color w:val="auto"/>
        </w:rPr>
        <w:t>for impairment, or when circumstances indicate that the carrying amount of the asset may not be recoverable. Goodwill is tested for impairment at the reporting unit level. A reporting unit is an operating segment or a component of an operating segment. Goodwill is tested for impairment by either performing a qualitative evaluation or a quantitative test. The qualitative evaluation is an assessment of factors to determine whether it is more likely than not that the fair value of a reporting unit is less than its carrying amount, including goodwill. We may elect not to perform the qualitative assessment for some or all reporting units and perform a quantitative impairment test. Fair value is determined based on discounted cash flow analyses. The discounted estimates of future cash flows include significant management assumptions such as revenue growth rates, operating margins, weighted average cost of capital, and future economic and market conditions. If the carrying value of the reporting unit exceeds fair value, goodwill is considered impaired. In January 2017, the Financial Accounting Standards Board (FASB) issued revised guidance that simplifies the test for goodwill impairment, effective for fiscal years beginning after December 15, 2019, with early adoption permitted. Under the revised guidance, if a reporting unit’s carrying value exceeds its fair value, an impairment charge will be recorded to reduce the reporting unit to fair value. Prior to the revised guidance, the amount of the impairment was the difference between the carrying value of the goodwill and the "implied" fair value, which was calculated as if the reporting unit had just been acquired and accounted for as a business combination.</w:t>
      </w:r>
    </w:p>
    <w:p>
      <w:pPr>
        <w:spacing w:after="0" w:line="13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Indefinite-lived intangible assets are tested for impairment by comparing the fair value of the asset to the carrying value. Fair value is determined based on discounted cash flow analyses that include significant management assumptions such as revenue growth rates, weighted average cost of capital, and assumed royalty rates. If the carrying value exceeds fair value, an impairment charge will be recorded to reduce the asset to fair value.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for information on intangible assets and impairment charges.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 We use derivative financial instruments primarily for purposes of hedging exposures to fluctuations in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exchange rates, interest rates, commodities and equity-linked employee benefit obligations.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strategies that qualify and strategies that do not qualify for hedge accounting</w:t>
      </w:r>
    </w:p>
    <w:p>
      <w:pPr>
        <w:sectPr>
          <w:pgSz w:w="11900" w:h="16838" w:orient="portrait"/>
          <w:cols w:equalWidth="0" w:num="1">
            <w:col w:w="11420"/>
          </w:cols>
          <w:pgMar w:left="240" w:top="1229"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9" w:right="239" w:bottom="1440" w:gutter="0" w:footer="0" w:header="0"/>
          <w:type w:val="continuous"/>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treatment. To qualify for hedge accounting, the hedging relationship, both at inception of the hedge and on an ongoing basis, is expected to be highly effective in achieving offsetting changes in the fair value of the hedged risk during the period that the hedge is designated.</w:t>
      </w:r>
    </w:p>
    <w:p>
      <w:pPr>
        <w:spacing w:after="0" w:line="11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All derivatives are recognized on the balance sheet at fair value. For derivatives that qualify for hedge accounting, on the date the derivative contract is entered into, we designate the derivative as a hedge of the fair value of a recognized asset or liability or a firm commitment (fair-value hedge), a hedge of a forecasted transaction or of the variability of cash flows to be received or paid related to a recognized asset or liability (cash-flow hedge), or a hedge of a net investment in a foreign operation. Some derivatives may also be considered natural hedging instruments (changes in fair value act as economic offsets to changes in fair value of the underlying hedged item) and are not designated for hedge accounting.</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Changes in the fair value of a fair-value hedge, along with the gain or loss on the underlying hedged asset or liability (including losses or gains on firm commitments), are recorded in current-period earnings. The effective portion of gains and losses on cash-flow hedges are recorded in other comprehensive income (loss), until earnings are affected by the variability of cash flows. If the hedge is no longer effective, all changes in the fair value of the derivative are included in earnings each period until the instrument matures. If a derivative is used as a hedge of a net investment in a foreign operation, its changes in fair value, to the extent effective as a hedge, are recorded in other comprehensive income (loss). Any ineffective portion of designated hedges is recognized in current-period earnings. Changes in the fair value of derivatives that are not designated for hedge accounting are recognized in current-period earnings.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flows from derivative contracts are included in Net cash provided by operating activities.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Advertising Production Costs </w:t>
      </w:r>
      <w:r>
        <w:rPr>
          <w:rFonts w:ascii="Arial" w:cs="Arial" w:eastAsia="Arial" w:hAnsi="Arial"/>
          <w:sz w:val="18"/>
          <w:szCs w:val="18"/>
          <w:color w:val="auto"/>
        </w:rPr>
        <w:t>— Advertising production costs are expensed in the period that the advertisement first takes place or when a decision is</w:t>
      </w:r>
      <w:r>
        <w:rPr>
          <w:rFonts w:ascii="Arial" w:cs="Arial" w:eastAsia="Arial" w:hAnsi="Arial"/>
          <w:sz w:val="18"/>
          <w:szCs w:val="18"/>
          <w:i w:val="1"/>
          <w:iCs w:val="1"/>
          <w:color w:val="auto"/>
        </w:rPr>
        <w:t xml:space="preserve"> </w:t>
      </w:r>
      <w:r>
        <w:rPr>
          <w:rFonts w:ascii="Arial" w:cs="Arial" w:eastAsia="Arial" w:hAnsi="Arial"/>
          <w:sz w:val="18"/>
          <w:szCs w:val="18"/>
          <w:color w:val="auto"/>
        </w:rPr>
        <w:t>made not to use an advertisement.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Research and Development Costs </w:t>
      </w:r>
      <w:r>
        <w:rPr>
          <w:rFonts w:ascii="Arial" w:cs="Arial" w:eastAsia="Arial" w:hAnsi="Arial"/>
          <w:sz w:val="18"/>
          <w:szCs w:val="18"/>
          <w:color w:val="auto"/>
        </w:rPr>
        <w:t>— The costs of research and development are expensed as incurred. Costs include expenditures for new product and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process innovation, and improvements to existing products and processes. Costs primarily consist of salaries, wages, consulting, and depreciation and maintenance of research facilities and equipment.</w:t>
      </w:r>
    </w:p>
    <w:p>
      <w:pPr>
        <w:spacing w:after="0" w:line="12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Deferred tax assets and liabilities are recognized for the future impact of differences between the financial statement carrying amounts</w:t>
      </w:r>
      <w:r>
        <w:rPr>
          <w:rFonts w:ascii="Arial" w:cs="Arial" w:eastAsia="Arial" w:hAnsi="Arial"/>
          <w:sz w:val="17"/>
          <w:szCs w:val="17"/>
          <w:i w:val="1"/>
          <w:iCs w:val="1"/>
          <w:color w:val="auto"/>
        </w:rPr>
        <w:t xml:space="preserve"> </w:t>
      </w:r>
      <w:r>
        <w:rPr>
          <w:rFonts w:ascii="Arial" w:cs="Arial" w:eastAsia="Arial" w:hAnsi="Arial"/>
          <w:sz w:val="17"/>
          <w:szCs w:val="17"/>
          <w:color w:val="auto"/>
        </w:rPr>
        <w:t>of assets and liabilities and their respective tax bases, as well as for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recorded to reduce deferred tax assets when it is more likely than not that a tax benefit will not be realized.</w:t>
      </w:r>
    </w:p>
    <w:p>
      <w:pPr>
        <w:spacing w:after="0" w:line="11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i w:val="1"/>
          <w:iCs w:val="1"/>
          <w:color w:val="auto"/>
        </w:rPr>
        <w:t xml:space="preserve">Changes in Accounting Policy </w:t>
      </w:r>
      <w:r>
        <w:rPr>
          <w:rFonts w:ascii="Arial" w:cs="Arial" w:eastAsia="Arial" w:hAnsi="Arial"/>
          <w:sz w:val="18"/>
          <w:szCs w:val="18"/>
          <w:color w:val="auto"/>
        </w:rPr>
        <w:t>— In the first quarter of 2016, we elected to change our method of accounting for the recognition of actuarial gains and</w:t>
      </w:r>
      <w:r>
        <w:rPr>
          <w:rFonts w:ascii="Arial" w:cs="Arial" w:eastAsia="Arial" w:hAnsi="Arial"/>
          <w:sz w:val="18"/>
          <w:szCs w:val="18"/>
          <w:i w:val="1"/>
          <w:iCs w:val="1"/>
          <w:color w:val="auto"/>
        </w:rPr>
        <w:t xml:space="preserve"> </w:t>
      </w:r>
      <w:r>
        <w:rPr>
          <w:rFonts w:ascii="Arial" w:cs="Arial" w:eastAsia="Arial" w:hAnsi="Arial"/>
          <w:sz w:val="18"/>
          <w:szCs w:val="18"/>
          <w:color w:val="auto"/>
        </w:rPr>
        <w:t>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actuarial gains and losses will be recognized immediately in our Consolidated Statements of Earnings as of the measurement date, which is our fiscal year end, or more frequently if an interim remeasurement is required. In addition, we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 Results have been adjusted retrospectively to reflect these revisions.</w:t>
      </w:r>
    </w:p>
    <w:p>
      <w:pPr>
        <w:spacing w:after="0" w:line="139"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In May 2014, the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performing a diagnostic review of our arrangements with customers across our significant businesses, including our practices of offering rebates, refunds, discounts and other price allowances, and trade and consumer promotion programs. We are evaluating our methods of estimating the amount and timing of these various forms of variable consideration. We are continuing to evaluate the impact that the new guidance will have on our consolidated financial statements, as well as which transition method we will use. We will adopt the new guidance in 2019.</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April 2015, the FASB issued guidance to clarify the accounting for fees paid by a customer in a cloud computing arrangement. The guidance is effective for fiscal years beginning after December 15, 2015, and interim periods within those years. Early adoption is permitted. The new guidance should be applied either prospectively to all arrangements entered into or materially modified after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14" w:right="239" w:bottom="1440" w:gutter="0" w:footer="0" w:header="0"/>
        </w:sectPr>
      </w:pPr>
    </w:p>
    <w:bookmarkStart w:id="39" w:name="page40"/>
    <w:bookmarkEnd w:id="39"/>
    <w:p>
      <w:pPr>
        <w:jc w:val="both"/>
        <w:ind w:right="20"/>
        <w:spacing w:after="0" w:line="277" w:lineRule="auto"/>
        <w:rPr>
          <w:sz w:val="20"/>
          <w:szCs w:val="20"/>
          <w:color w:val="auto"/>
        </w:rPr>
      </w:pPr>
      <w:r>
        <w:rPr>
          <w:rFonts w:ascii="Arial" w:cs="Arial" w:eastAsia="Arial" w:hAnsi="Arial"/>
          <w:sz w:val="18"/>
          <w:szCs w:val="18"/>
          <w:color w:val="auto"/>
        </w:rPr>
        <w:t>the effective date or retrospectively. In 2017, we prospectively adopted the guidance. The adoption did not have a material impact on our consolidated financial statements.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In March 2016, the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adopted the guidance in 2017. In accordance with the prospective adoption of the recognition of excess tax benefits and deficiencies in the Consolidated Statements of Earnings, we recognized a $6 tax benefit in Taxes on earnings in 2017. We elected to continue to estimate forfeitures expected to occur. In addition, we elected to adopt retrospectively the amendment to present excess tax benefits on share-based compensation as an operating activity, which resulted in a reclassification of $7 and $6 from Net cash used in financing activities to Net cash provided by operating activities in the Consolidated Statements of Cash Flows for 2016, and 2015, respectively. We also adopted retrospectively the amendment to present cash payments to tax authorities in connection with shares withheld to meet statutory tax withholding requirements as a financing activity. As a result, there was a reclassification of $21 and $18 from Net cash provided by operating activities to Net cash used in financing activities in the Consolidated Statements of Cash Flows for 2016, and 2015, respectively.</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We will prospectively apply the guidance to applicable transactions.</w:t>
      </w:r>
    </w:p>
    <w:p>
      <w:pPr>
        <w:spacing w:after="0" w:line="1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January 2017, the FASB issued guidance that simplifies the test for goodwill impairment. Under the revised guidance, if a reporting unit’s carrying amount exceeds its fair value, an entity will record an impairment charge to reduce the reporting unit to fair value. The impairment charge will be limited to the amount of goodwill allocated to that reporting unit. The revised guidance eliminates the current requirement to determine the fair value of individual assets and liabilities of a reporting unit to measure the goodwill impairment. The guidance is effective for fiscal years beginning after December 15, 2019, and interim periods within those years. Early adoption is permitted. We elected to early adopt the guidance in the fourth quarter 2017. The adoption did not have an impact on our consolidated financial statements.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2017, the FASB issued guidance that improves the presentation of net periodic pension cost and net periodic postretirement benefit cost. Under the revised guidance, the service cost component of benefit cost is classified in the same line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14" w:right="239" w:bottom="1440" w:gutter="0" w:footer="0" w:header="0"/>
        </w:sectPr>
      </w:pPr>
    </w:p>
    <w:bookmarkStart w:id="40" w:name="page41"/>
    <w:bookmarkEnd w:id="40"/>
    <w:p>
      <w:pPr>
        <w:jc w:val="both"/>
        <w:spacing w:after="0" w:line="290" w:lineRule="auto"/>
        <w:rPr>
          <w:sz w:val="20"/>
          <w:szCs w:val="20"/>
          <w:color w:val="auto"/>
        </w:rPr>
      </w:pPr>
      <w:r>
        <w:rPr>
          <w:rFonts w:ascii="Arial" w:cs="Arial" w:eastAsia="Arial" w:hAnsi="Arial"/>
          <w:sz w:val="16"/>
          <w:szCs w:val="16"/>
          <w:color w:val="auto"/>
        </w:rPr>
        <w:t>item or items as other compensation costs arising from services rendered by the pertinent employees during the period. The other components of net benefit cost (such as interest expense, return on assets, amortization of prior service credit, actuarial gains and losses, settlements and curtailments) are required to be presented in the income statement separately from the service cost component. The guidance also allows only the service cost component to be eligible for capitalization when applicable (for example, as a cost of internally manufactured inventory). The guidance should be applied retrospectively for the presentation of the service cost component and the other components of benefit cost in the income statement, and applied prospectively on and after the effective date for the capitalization of the service cost component. The guidance is effective for fiscal years beginning after December 15, 2017, and interim periods within those years. Early adoption is permitted. We plan to adopt the new guidance in the first quarter of 2018. If net periodic benefit cost was presented in accordance with the new guidance, the estimated impact on classification of expense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Increase / (decrease) in expense</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2015</w:t>
            </w: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Marketing and selling expenses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81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812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8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81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83</w:t>
            </w:r>
          </w:p>
        </w:tc>
      </w:tr>
      <w:tr>
        <w:trPr>
          <w:trHeight w:val="27"/>
        </w:trPr>
        <w:tc>
          <w:tcPr>
            <w:tcW w:w="8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13"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July 6, 2017, we entered into an agreement to acquire Pacific Foods of Oregon, Inc. (Pacific Foods) for $700, subject to customary purchase price adjustments related to the amount of Pacific Foods' cash, debt, working capital and transaction expenses. The closing of the transaction is subject to customary closing conditions and termination rights. The agreement provides that if we fail to close the transaction when all conditions to closing have been satisfied or if we are in breach of the agreement, we will be required to pay Pacific Foods a $50 termination fee. On August 21, 2017, the estate of a former Pacific Foods shareholder, Edward C. Lynch, filed a lawsuit against Pacific Foods and certain of its directors, among others, seeking in excess of $250 in damages. Because of the impediment that the lawsuit creates to closing, on September 27, 2017, we noticed Pacific Foods that it has 60 days under the terms of the agreement to resolve the issues arising from the suit if the transaction is to close. After the 60-day period, we may in our sole discretion extend the cure period or terminate the agreement. We do not believe a termination of the agreement under these circumstances will result in any termination fee payable by us.</w:t>
      </w:r>
    </w:p>
    <w:p>
      <w:pPr>
        <w:spacing w:after="0" w:line="1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for $232. Garden Fresh Gourmet is a provider of refrigerated salsa, hummus, dips and tortilla chips.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contribution of the Garden Fresh Gourmet acquisition to Net sales and Net earnings from June 29, 2015, through August 2, 2015 was not material.</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Garden Fresh Gourmet acquisition had occurred on July 29,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r>
      <w:tr>
        <w:trPr>
          <w:trHeight w:val="250"/>
        </w:trPr>
        <w:tc>
          <w:tcPr>
            <w:tcW w:w="10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8,174</w:t>
            </w:r>
          </w:p>
        </w:tc>
      </w:tr>
      <w:tr>
        <w:trPr>
          <w:trHeight w:val="243"/>
        </w:trPr>
        <w:tc>
          <w:tcPr>
            <w:tcW w:w="10520" w:type="dxa"/>
            <w:vAlign w:val="bottom"/>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668</w:t>
            </w:r>
          </w:p>
        </w:tc>
      </w:tr>
      <w:tr>
        <w:trPr>
          <w:trHeight w:val="27"/>
        </w:trPr>
        <w:tc>
          <w:tcPr>
            <w:tcW w:w="10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10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per share attributable to Campbell Soup Company - assuming dilution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2.13</w:t>
            </w:r>
          </w:p>
        </w:tc>
      </w:tr>
      <w:tr>
        <w:trPr>
          <w:trHeight w:val="27"/>
        </w:trPr>
        <w:tc>
          <w:tcPr>
            <w:tcW w:w="10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pro forma amounts include additional interest expense on the debt issued to finance the purchase, amortization and depreciation expense based on the estimated fair value and useful lives of intangible assets and plant assets, and related tax effects. The pro forma results are not necessarily indicative of the combined results had the Garden Fresh Gourmet acquisition been completed on July 29, 2013, nor are they indicative of future combined results.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14" w:right="239" w:bottom="1440" w:gutter="0" w:footer="0" w:header="0"/>
        </w:sectPr>
      </w:pPr>
    </w:p>
    <w:bookmarkStart w:id="41" w:name="page42"/>
    <w:bookmarkEnd w:id="41"/>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3"/>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3"/>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3,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2, 2015</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July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3"/>
          <w:szCs w:val="13"/>
          <w:color w:val="auto"/>
        </w:rPr>
      </w:pPr>
      <w:r>
        <w:rPr>
          <w:rFonts w:ascii="Arial" w:cs="Arial" w:eastAsia="Arial" w:hAnsi="Arial"/>
          <w:sz w:val="18"/>
          <w:szCs w:val="18"/>
          <w:color w:val="auto"/>
        </w:rPr>
        <w:t>Included a tax expense of $6 as of July 30, 2017, July 31, 2016, and August 2, 2015, and $7 as of August 3, 2014.</w:t>
      </w:r>
    </w:p>
    <w:p>
      <w:pPr>
        <w:ind w:left="340" w:hanging="332"/>
        <w:spacing w:after="0" w:line="203"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8"/>
          <w:szCs w:val="18"/>
          <w:color w:val="auto"/>
        </w:rPr>
        <w:t>Included a tax benefit of $12 as of July 30, 2017, $23 as of July 31, 2016, $5 as of August 2, 2015, and $1 as of August 3, 2014.</w:t>
      </w:r>
    </w:p>
    <w:p>
      <w:pPr>
        <w:ind w:left="340" w:right="1780" w:hanging="332"/>
        <w:spacing w:after="0" w:line="319" w:lineRule="auto"/>
        <w:tabs>
          <w:tab w:leader="none" w:pos="340" w:val="left"/>
        </w:tabs>
        <w:numPr>
          <w:ilvl w:val="0"/>
          <w:numId w:val="27"/>
        </w:numPr>
        <w:rPr>
          <w:rFonts w:ascii="Arial" w:cs="Arial" w:eastAsia="Arial" w:hAnsi="Arial"/>
          <w:sz w:val="13"/>
          <w:szCs w:val="13"/>
          <w:color w:val="auto"/>
        </w:rPr>
      </w:pPr>
      <w:r>
        <w:rPr>
          <w:rFonts w:ascii="Arial" w:cs="Arial" w:eastAsia="Arial" w:hAnsi="Arial"/>
          <w:sz w:val="18"/>
          <w:szCs w:val="18"/>
          <w:color w:val="auto"/>
        </w:rPr>
        <w:t>Included a tax expense of $30 as of July 30, 2017, $35 as of July 31, 2016, $1 as of August 2, 2015, and $2 as of August 3, 2014. Amounts related to noncontrolling interests were not material.</w:t>
      </w:r>
    </w:p>
    <w:p>
      <w:pPr>
        <w:ind w:left="340"/>
        <w:spacing w:after="0"/>
        <w:rPr>
          <w:rFonts w:ascii="Arial" w:cs="Arial" w:eastAsia="Arial" w:hAnsi="Arial"/>
          <w:sz w:val="13"/>
          <w:szCs w:val="13"/>
          <w:color w:val="auto"/>
        </w:rPr>
      </w:pPr>
      <w:r>
        <w:rPr>
          <w:rFonts w:ascii="Arial" w:cs="Arial" w:eastAsia="Arial" w:hAnsi="Arial"/>
          <w:sz w:val="18"/>
          <w:szCs w:val="18"/>
          <w:color w:val="auto"/>
        </w:rPr>
        <w:t>The amounts reclassified from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4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280" w:type="dxa"/>
            <w:vAlign w:val="bottom"/>
          </w:tcPr>
          <w:p>
            <w:pPr>
              <w:spacing w:after="0"/>
              <w:rPr>
                <w:sz w:val="14"/>
                <w:szCs w:val="14"/>
                <w:color w:val="auto"/>
              </w:rPr>
            </w:pPr>
          </w:p>
        </w:tc>
        <w:tc>
          <w:tcPr>
            <w:tcW w:w="880" w:type="dxa"/>
            <w:vAlign w:val="bottom"/>
            <w:vMerge w:val="restart"/>
          </w:tcPr>
          <w:p>
            <w:pPr>
              <w:jc w:val="right"/>
              <w:ind w:right="35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(2)</w:t>
            </w:r>
          </w:p>
        </w:tc>
        <w:tc>
          <w:tcPr>
            <w:tcW w:w="2820" w:type="dxa"/>
            <w:vAlign w:val="bottom"/>
            <w:gridSpan w:val="2"/>
          </w:tcPr>
          <w:p>
            <w:pPr>
              <w:ind w:left="14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900" w:type="dxa"/>
            <w:vAlign w:val="bottom"/>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574"/>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jc w:val="right"/>
              <w:ind w:right="1413"/>
              <w:spacing w:after="0"/>
              <w:rPr>
                <w:sz w:val="20"/>
                <w:szCs w:val="20"/>
                <w:color w:val="auto"/>
              </w:rPr>
            </w:pPr>
            <w:r>
              <w:rPr>
                <w:rFonts w:ascii="Arial" w:cs="Arial" w:eastAsia="Arial" w:hAnsi="Arial"/>
                <w:sz w:val="18"/>
                <w:szCs w:val="18"/>
                <w:color w:val="auto"/>
                <w:w w:val="89"/>
              </w:rPr>
              <w:t>_____________________________________</w:t>
            </w: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40" w:type="dxa"/>
            <w:vAlign w:val="bottom"/>
            <w:gridSpan w:val="2"/>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3940" w:hanging="5612"/>
        <w:spacing w:after="0" w:line="528" w:lineRule="auto"/>
        <w:tabs>
          <w:tab w:leader="none" w:pos="328" w:val="left"/>
        </w:tabs>
        <w:numPr>
          <w:ilvl w:val="0"/>
          <w:numId w:val="28"/>
        </w:numPr>
        <w:rPr>
          <w:rFonts w:ascii="Arial" w:cs="Arial" w:eastAsia="Arial" w:hAnsi="Arial"/>
          <w:sz w:val="13"/>
          <w:szCs w:val="13"/>
          <w:color w:val="auto"/>
        </w:rPr>
      </w:pPr>
      <w:r>
        <w:rPr>
          <w:rFonts w:ascii="Arial" w:cs="Arial" w:eastAsia="Arial" w:hAnsi="Arial"/>
          <w:sz w:val="18"/>
          <w:szCs w:val="18"/>
          <w:color w:val="auto"/>
        </w:rPr>
        <w:t>This is included in the components of net periodic benefit costs (see Note 10 for additional details). 42</w:t>
      </w:r>
    </w:p>
    <w:p>
      <w:pPr>
        <w:sectPr>
          <w:pgSz w:w="11900" w:h="16838" w:orient="portrait"/>
          <w:cols w:equalWidth="0" w:num="1">
            <w:col w:w="11420"/>
          </w:cols>
          <w:pgMar w:left="240" w:top="1310" w:right="239" w:bottom="1440" w:gutter="0" w:footer="0" w:header="0"/>
        </w:sectPr>
      </w:pPr>
    </w:p>
    <w:bookmarkStart w:id="42" w:name="page43"/>
    <w:bookmarkEnd w:id="42"/>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Americas</w:t>
            </w: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Simple</w:t>
            </w: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2, 2015</w:t>
            </w:r>
          </w:p>
        </w:tc>
        <w:tc>
          <w:tcPr>
            <w:tcW w:w="2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line="264" w:lineRule="exact"/>
              <w:rPr>
                <w:sz w:val="20"/>
                <w:szCs w:val="20"/>
                <w:color w:val="auto"/>
              </w:rPr>
            </w:pPr>
            <w:r>
              <w:rPr>
                <w:rFonts w:ascii="Arial" w:cs="Arial" w:eastAsia="Arial" w:hAnsi="Arial"/>
                <w:sz w:val="18"/>
                <w:szCs w:val="18"/>
                <w:color w:val="auto"/>
              </w:rPr>
              <w:t>Net balance at July 31, 2016</w:t>
            </w:r>
            <w:r>
              <w:rPr>
                <w:rFonts w:ascii="Arial" w:cs="Arial" w:eastAsia="Arial" w:hAnsi="Arial"/>
                <w:sz w:val="25"/>
                <w:szCs w:val="25"/>
                <w:color w:val="auto"/>
                <w:vertAlign w:val="superscript"/>
              </w:rPr>
              <w:t>(1)</w:t>
            </w:r>
          </w:p>
        </w:tc>
        <w:tc>
          <w:tcPr>
            <w:tcW w:w="2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775</w:t>
            </w:r>
          </w:p>
        </w:tc>
        <w:tc>
          <w:tcPr>
            <w:tcW w:w="120" w:type="dxa"/>
            <w:vAlign w:val="bottom"/>
          </w:tcPr>
          <w:p>
            <w:pPr>
              <w:spacing w:after="0"/>
              <w:rPr>
                <w:sz w:val="22"/>
                <w:szCs w:val="22"/>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2"/>
                <w:szCs w:val="22"/>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Net balance at July 30, 2017</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780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540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2,115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ind w:left="340" w:hanging="332"/>
        <w:spacing w:after="0" w:line="195" w:lineRule="auto"/>
        <w:tabs>
          <w:tab w:leader="none" w:pos="3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The balance of goodwill is reflected net of accumulated impairment charges of $297 as of July 30, 2017 and $106 as of July 31, 2016, respectively.</w:t>
      </w:r>
    </w:p>
    <w:p>
      <w:pPr>
        <w:spacing w:after="0" w:line="8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the fourth quarter of 2016, as part of our annual review of intangible assets, an impairment charge of $106 was recorded on goodwill for the Bolthouse Farms carrot and carrot ingredients reporting unit within the Campbell Fresh segment. In 2016, carrot performance primarily reflected the adverse impact of weather conditions on crop yields, and execution issues in response to those conditions, which led to customer dissatisfaction, a loss of business, and higher carrot costs in the second half of the year. The impairment was attributable to a decline in profitability in the second half of 2016 and a revised outlook for the business, with reduced expectations for sales, operating margins, and discounted cash flows.</w:t>
      </w:r>
    </w:p>
    <w:p>
      <w:pPr>
        <w:spacing w:after="0" w:line="136" w:lineRule="exact"/>
        <w:rPr>
          <w:sz w:val="20"/>
          <w:szCs w:val="20"/>
          <w:color w:val="auto"/>
        </w:rPr>
      </w:pPr>
    </w:p>
    <w:p>
      <w:pPr>
        <w:jc w:val="both"/>
        <w:ind w:firstLine="405"/>
        <w:spacing w:after="0" w:line="285" w:lineRule="auto"/>
        <w:rPr>
          <w:sz w:val="20"/>
          <w:szCs w:val="20"/>
          <w:color w:val="auto"/>
        </w:rPr>
      </w:pPr>
      <w:r>
        <w:rPr>
          <w:rFonts w:ascii="Arial" w:cs="Arial" w:eastAsia="Arial" w:hAnsi="Arial"/>
          <w:sz w:val="17"/>
          <w:szCs w:val="17"/>
          <w:color w:val="auto"/>
        </w:rPr>
        <w:t>During the second quarter of 2017, sales and operating profit performance for the Bolthouse Farms carrot and carrot ingredients reporting unit were well below our revised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current-year performance and the strategic review, we lowered our sales outlook for future fiscal years. We also lowered our average margin expectations due in part to cost volatility, which has been higher than expected. Based upon the business performance in the second quarter of 2017, our reduced near-term outlook, and reduced expectations for sales, operating margins and discounted cash flows, we performed an interim goodwill impairment assessment as of December 31, 2016, which resulted in a $127 impairment charge to reduce the carrying amount to $75. The updated cash flow projections include expectations that operating margins will improve from reduced levels in 2016 and 2017.</w:t>
      </w:r>
    </w:p>
    <w:p>
      <w:pPr>
        <w:spacing w:after="0" w:line="37"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Garden Fresh Gourmet was acquired in June 2015 and is a reporting unit within the Campbell Fresh segment. During 2017, sales and operating profit performance for Garden Fresh Gourmet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goodwill impairment assessment on this reporting unit as of December 31, 2016, which resulted in a $64 impairment charge to reduce the carrying amount to $52. The updated cash flow projections include expectations that we will build distribution in the U.S., operating margins will expand partly driven by the benefits from further integration, and sales growth rates will exceed the company's overall sales growth rates.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1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auto"/>
            </w:tcBorders>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222</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297</w:t>
            </w: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w:t>
            </w: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w:t>
            </w: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1,118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1,152</w:t>
            </w: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Amortization of intangible assets was $19 for 2017, $20 for 2016 and $17 for 2015. Amortization expense for the next 5 years is estimated to be $16 in 2018 and 2019, and $15 in 2020 through 2022. Asset useful lives range from 5 to 20 years.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fourth quarter of 2016, as part of our annual review of intangible assets, an impairment charge of $35 was recognized on the Bolthouse Farms carrot and carrot ingredients reporting unit trademark as a result of the factors previously described. Due to the factors previously described, we performed an interim impairment assessment as of December 31, 2016, which resulted in a $20 impairment charge on the trademark to reduce the carrying amount to $48.</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Due to the factors previously described, we also performed an interim impairment assessment as of December 31, 2016, on the trademark in the Garden Fresh Gourmet reporting unit, which resulted in a $1 impairment charge to reduce the carrying amount to $37.</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part of our annual review of intangible assets, an impairment charge of $6 was recognized in the fourth quarter of 2015 related to minor trademarks used in the Global Biscuits and Snacks segment. The trademarks were determined to be impaired as a result of a decrease in the fair value of the brands, resulting from reduced expectations for future sales and discontinued cash flows.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impairment charges were recorded in Other expenses / (income) in the Consolidated Statements of Earnings.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estimates of future cash flows used in determining the fair value of goodwill and intangible assets involve significant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13"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manage our businesses in three segments focused mainly on product categories. The segments are:</w:t>
      </w:r>
    </w:p>
    <w:p>
      <w:pPr>
        <w:spacing w:after="0" w:line="171" w:lineRule="exact"/>
        <w:rPr>
          <w:rFonts w:ascii="Arial" w:cs="Arial" w:eastAsia="Arial" w:hAnsi="Arial"/>
          <w:sz w:val="18"/>
          <w:szCs w:val="18"/>
          <w:b w:val="1"/>
          <w:bCs w:val="1"/>
          <w:color w:val="auto"/>
        </w:rPr>
      </w:pPr>
    </w:p>
    <w:p>
      <w:pPr>
        <w:jc w:val="both"/>
        <w:ind w:left="660" w:hanging="328"/>
        <w:spacing w:after="0" w:line="259"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 xml:space="preserve">Campbell’s </w:t>
      </w:r>
      <w:r>
        <w:rPr>
          <w:rFonts w:ascii="Arial" w:cs="Arial" w:eastAsia="Arial" w:hAnsi="Arial"/>
          <w:sz w:val="18"/>
          <w:szCs w:val="18"/>
          <w:color w:val="auto"/>
        </w:rPr>
        <w:t>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 and</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in 2018, the business in Latin America will be managed as part of the Global Biscuits and Snacks segment.</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314" w:right="239" w:bottom="1440" w:gutter="0" w:footer="0" w:header="0"/>
          <w:type w:val="continuous"/>
        </w:sectPr>
      </w:pPr>
    </w:p>
    <w:bookmarkStart w:id="44" w:name="page45"/>
    <w:bookmarkEnd w:id="44"/>
    <w:p>
      <w:pPr>
        <w:jc w:val="both"/>
        <w:ind w:firstLine="324"/>
        <w:spacing w:after="0" w:line="291" w:lineRule="auto"/>
        <w:rPr>
          <w:sz w:val="20"/>
          <w:szCs w:val="20"/>
          <w:color w:val="auto"/>
        </w:rPr>
      </w:pPr>
      <w:r>
        <w:rPr>
          <w:rFonts w:ascii="Arial" w:cs="Arial" w:eastAsia="Arial" w:hAnsi="Arial"/>
          <w:sz w:val="16"/>
          <w:szCs w:val="16"/>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 Therefore, only geographic segment asset information is provided.</w:t>
      </w:r>
    </w:p>
    <w:p>
      <w:pPr>
        <w:spacing w:after="0" w:line="11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largest customer, Wal-Mart Stores, Inc. and its affiliates, accounted for approximately 20% of consolidated net sales in 2017, 2016 and 2015. All of our reportable segments sold products to Wal-Mart Stores, Inc. or its affiliates.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4,325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4,380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2,631</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967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1,017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7,890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8,082</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1,120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8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840" w:type="dxa"/>
            <w:vAlign w:val="bottom"/>
            <w:shd w:val="clear" w:color="auto" w:fill="CCEEFF"/>
          </w:tcPr>
          <w:p>
            <w:pPr>
              <w:spacing w:after="0"/>
              <w:rPr>
                <w:sz w:val="23"/>
                <w:szCs w:val="2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0"/>
        </w:trPr>
        <w:tc>
          <w:tcPr>
            <w:tcW w:w="71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1,400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8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318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117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(3)</w:t>
            </w:r>
          </w:p>
        </w:tc>
        <w:tc>
          <w:tcPr>
            <w:tcW w:w="84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338</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341</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7"/>
        </w:trPr>
        <w:tc>
          <w:tcPr>
            <w:tcW w:w="71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100" w:type="dxa"/>
            <w:vAlign w:val="bottom"/>
            <w:vMerge w:val="continue"/>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100" w:type="dxa"/>
            <w:vAlign w:val="bottom"/>
            <w:vMerge w:val="continue"/>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73" w:lineRule="auto"/>
        <w:tabs>
          <w:tab w:leader="none" w:pos="34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Represents unallocated items. Pension and postretirement benefit mark-to-market adjustments are included in Corporate. There were gains of $178 in 2017, and losses of $313 and $138 in 2016 and 2015, respectively. Costs related to the implementation of our new organizational structure and cost savings initiatives were $40, $47 and $22 in 2017, 2016 and 2015, respectively. Impairment charges of $212 on the intangible assets of the Bolthouse Farms carrot and carrot ingredients reporting unit and the Garden Fresh Gourmet reporting unit were included in 2017 and an impairment charge of $141 on the intangible assets of the Bolthouse Farms carrot and carrot ingredients reporting unit was included in 2016. See Note 5 for information on the impairment charges. A gain of $25 from a settlement of a claim related to the Kelsen acquisition was also included in 2016.</w:t>
      </w:r>
    </w:p>
    <w:p>
      <w:pPr>
        <w:sectPr>
          <w:pgSz w:w="11900" w:h="16838" w:orient="portrait"/>
          <w:cols w:equalWidth="0" w:num="1">
            <w:col w:w="11420"/>
          </w:cols>
          <w:pgMar w:left="240" w:top="1314"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314" w:right="239" w:bottom="1440" w:gutter="0" w:footer="0" w:header="0"/>
          <w:type w:val="continuous"/>
        </w:sectPr>
      </w:pPr>
    </w:p>
    <w:bookmarkStart w:id="45" w:name="page46"/>
    <w:bookmarkEnd w:id="45"/>
    <w:p>
      <w:pPr>
        <w:ind w:left="340" w:hanging="332"/>
        <w:spacing w:after="0"/>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Represents primarily corporate offices.</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Soup</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2,673</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2,690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2,798</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Baked snacks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2,511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2,479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2,502</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1,698</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1,702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1,648</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1,008</w:t>
            </w:r>
          </w:p>
        </w:tc>
        <w:tc>
          <w:tcPr>
            <w:tcW w:w="1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1,090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r>
      <w:tr>
        <w:trPr>
          <w:trHeight w:val="237"/>
        </w:trPr>
        <w:tc>
          <w:tcPr>
            <w:tcW w:w="7100" w:type="dxa"/>
            <w:vAlign w:val="bottom"/>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7,890</w:t>
            </w:r>
          </w:p>
        </w:tc>
        <w:tc>
          <w:tcPr>
            <w:tcW w:w="100" w:type="dxa"/>
            <w:vAlign w:val="bottom"/>
          </w:tcPr>
          <w:p>
            <w:pPr>
              <w:spacing w:after="0"/>
              <w:rPr>
                <w:sz w:val="20"/>
                <w:szCs w:val="20"/>
                <w:color w:val="auto"/>
              </w:rPr>
            </w:pP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7,961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8,082</w:t>
            </w:r>
          </w:p>
        </w:tc>
      </w:tr>
      <w:tr>
        <w:trPr>
          <w:trHeight w:val="27"/>
        </w:trPr>
        <w:tc>
          <w:tcPr>
            <w:tcW w:w="7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Area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about operations in different geographic areas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6,357</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6,437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6,400</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610</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923</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1,036</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7,890</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7,961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8,082</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80"/>
        </w:trPr>
        <w:tc>
          <w:tcPr>
            <w:tcW w:w="7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250"/>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assets</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840" w:type="dxa"/>
            <w:vAlign w:val="bottom"/>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1,987</w:t>
            </w:r>
          </w:p>
        </w:tc>
        <w:tc>
          <w:tcPr>
            <w:tcW w:w="100" w:type="dxa"/>
            <w:vAlign w:val="bottom"/>
          </w:tcPr>
          <w:p>
            <w:pPr>
              <w:spacing w:after="0"/>
              <w:rPr>
                <w:sz w:val="21"/>
                <w:szCs w:val="21"/>
                <w:color w:val="auto"/>
              </w:rPr>
            </w:pPr>
          </w:p>
        </w:tc>
        <w:tc>
          <w:tcPr>
            <w:tcW w:w="840" w:type="dxa"/>
            <w:vAlign w:val="bottom"/>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1,967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1,942</w:t>
            </w:r>
          </w:p>
        </w:tc>
      </w:tr>
      <w:tr>
        <w:trPr>
          <w:trHeight w:val="27"/>
        </w:trPr>
        <w:tc>
          <w:tcPr>
            <w:tcW w:w="7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Australia</w:t>
            </w: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w:t>
            </w:r>
          </w:p>
        </w:tc>
      </w:tr>
      <w:tr>
        <w:trPr>
          <w:trHeight w:val="243"/>
        </w:trPr>
        <w:tc>
          <w:tcPr>
            <w:tcW w:w="7100" w:type="dxa"/>
            <w:vAlign w:val="bottom"/>
          </w:tcPr>
          <w:p>
            <w:pPr>
              <w:ind w:left="180"/>
              <w:spacing w:after="0"/>
              <w:rPr>
                <w:sz w:val="20"/>
                <w:szCs w:val="20"/>
                <w:color w:val="auto"/>
              </w:rPr>
            </w:pPr>
            <w:r>
              <w:rPr>
                <w:rFonts w:ascii="Arial" w:cs="Arial" w:eastAsia="Arial" w:hAnsi="Arial"/>
                <w:sz w:val="18"/>
                <w:szCs w:val="18"/>
                <w:color w:val="auto"/>
              </w:rPr>
              <w:t>Other countries</w:t>
            </w:r>
          </w:p>
        </w:tc>
        <w:tc>
          <w:tcPr>
            <w:tcW w:w="8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b w:val="1"/>
                <w:bCs w:val="1"/>
                <w:color w:val="auto"/>
              </w:rPr>
              <w:t>202</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173</w:t>
            </w:r>
          </w:p>
        </w:tc>
      </w:tr>
      <w:tr>
        <w:trPr>
          <w:trHeight w:val="27"/>
        </w:trPr>
        <w:tc>
          <w:tcPr>
            <w:tcW w:w="7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8"/>
              </w:rPr>
              <w:t>2,454</w:t>
            </w: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2,407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structure,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support of the new structure, we designed and implemented a new Integrated Global Services organization to deliver shared services across the company. We also streamlined our organizational structure, implemented an initiative to reduce overhead across the organization and are pursuing other initiatives to reduce costs and increase effectiveness, such as adopting zero-based budgeting over time. 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that date.</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February 2017, we announced that we are expanding these cost savings initiatives by further optimizing our supply chain network, primarily in North America, continuing to evolve our operating model to drive efficiencies, and more fully integrating our recent acquisitions. We have extended the time horizon for the initiatives from 2018 to 2020. Cost estimates for these expanded initiatives, as well as timing for certain activities, are being developed.</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30" w:right="239" w:bottom="1440" w:gutter="0" w:footer="0" w:header="0"/>
        </w:sectPr>
      </w:pPr>
    </w:p>
    <w:bookmarkStart w:id="46" w:name="page47"/>
    <w:bookmarkEnd w:id="46"/>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we recorded and charges incurred in Administrative expenses and Cost of products sold related to the implementation of the new organizational structure and costs savings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680" w:type="dxa"/>
            <w:vAlign w:val="bottom"/>
            <w:tcBorders>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4"/>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35</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68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Total pre-tax charges</w:t>
            </w:r>
          </w:p>
        </w:tc>
        <w:tc>
          <w:tcPr>
            <w:tcW w:w="68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58</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4"/>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82</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tc>
        <w:tc>
          <w:tcPr>
            <w:tcW w:w="6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tcPr>
          <w:p>
            <w:pPr>
              <w:jc w:val="right"/>
              <w:ind w:right="192"/>
              <w:spacing w:after="0"/>
              <w:rPr>
                <w:sz w:val="20"/>
                <w:szCs w:val="20"/>
                <w:color w:val="auto"/>
              </w:rPr>
            </w:pPr>
            <w:r>
              <w:rPr>
                <w:rFonts w:ascii="Arial" w:cs="Arial" w:eastAsia="Arial" w:hAnsi="Arial"/>
                <w:sz w:val="14"/>
                <w:szCs w:val="14"/>
                <w:b w:val="1"/>
                <w:bCs w:val="1"/>
                <w:color w:val="auto"/>
                <w:w w:val="98"/>
              </w:rPr>
              <w:t>Recognized as of</w:t>
            </w:r>
          </w:p>
        </w:tc>
        <w:tc>
          <w:tcPr>
            <w:tcW w:w="0" w:type="dxa"/>
            <w:vAlign w:val="bottom"/>
          </w:tcPr>
          <w:p>
            <w:pPr>
              <w:spacing w:after="0"/>
              <w:rPr>
                <w:sz w:val="1"/>
                <w:szCs w:val="1"/>
                <w:color w:val="auto"/>
              </w:rPr>
            </w:pPr>
          </w:p>
        </w:tc>
      </w:tr>
      <w:tr>
        <w:trPr>
          <w:trHeight w:val="192"/>
        </w:trPr>
        <w:tc>
          <w:tcPr>
            <w:tcW w:w="812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w w:val="94"/>
              </w:rPr>
              <w:t>July 30, 2017</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6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$380 to $420. We expect to incur substantially all of the costs through 2019. This estimate will be updated as costs for the expanded initiatives are developed.</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$135 in severance pay and benefits; approximately $20 in asset impairment and accelerated depreciation; and approximately $225 to $265 in implementation costs and other related costs.We expect these pre-tax costs to be associated with our segments as follows: Americas Simple Meals and Beverages - approximately 30%; Global Biscuits and Snacks - approximately 38%; Campbell Fresh - approximately 4%; and Corporate - approximately 28%.</w:t>
      </w:r>
    </w:p>
    <w:p>
      <w:pPr>
        <w:spacing w:after="0" w:line="11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 aggregate $380 to $420 of pre-tax costs identified to date, we expect approximately $350 to $390 will be cash expenditures. In addition, we expect to invest approximately $180 in capital expenditures through 2019 primarily related to the construction of a network of distribution centers for our U.S. thermal plants and insourcing of manufacturing for certain simple meal products, of which we invested approximately $10 as of July 30, 2017.</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initiatives at July 30, 2017, is as follows:</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Severance Pay and</w:t>
            </w:r>
          </w:p>
        </w:tc>
        <w:tc>
          <w:tcPr>
            <w:tcW w:w="160" w:type="dxa"/>
            <w:vAlign w:val="bottom"/>
          </w:tcPr>
          <w:p>
            <w:pPr>
              <w:spacing w:after="0"/>
              <w:rPr>
                <w:sz w:val="14"/>
                <w:szCs w:val="14"/>
                <w:color w:val="auto"/>
              </w:rPr>
            </w:pPr>
          </w:p>
        </w:tc>
        <w:tc>
          <w:tcPr>
            <w:tcW w:w="1080" w:type="dxa"/>
            <w:vAlign w:val="bottom"/>
          </w:tcPr>
          <w:p>
            <w:pPr>
              <w:jc w:val="center"/>
              <w:ind w:right="74"/>
              <w:spacing w:after="0"/>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4"/>
                <w:szCs w:val="14"/>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Non-Cash</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Implementation</w:t>
            </w:r>
          </w:p>
        </w:tc>
        <w:tc>
          <w:tcPr>
            <w:tcW w:w="16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Asset</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94"/>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6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Costs and Other</w:t>
            </w: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Impairment/Accelerated</w:t>
            </w:r>
          </w:p>
        </w:tc>
        <w:tc>
          <w:tcPr>
            <w:tcW w:w="100" w:type="dxa"/>
            <w:vAlign w:val="bottom"/>
          </w:tcPr>
          <w:p>
            <w:pPr>
              <w:spacing w:after="0"/>
              <w:rPr>
                <w:sz w:val="12"/>
                <w:szCs w:val="12"/>
                <w:color w:val="auto"/>
              </w:rPr>
            </w:pPr>
          </w:p>
        </w:tc>
        <w:tc>
          <w:tcPr>
            <w:tcW w:w="100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Total Charges</w:t>
            </w:r>
          </w:p>
        </w:tc>
        <w:tc>
          <w:tcPr>
            <w:tcW w:w="0" w:type="dxa"/>
            <w:vAlign w:val="bottom"/>
          </w:tcPr>
          <w:p>
            <w:pPr>
              <w:spacing w:after="0"/>
              <w:rPr>
                <w:sz w:val="1"/>
                <w:szCs w:val="1"/>
                <w:color w:val="auto"/>
              </w:rPr>
            </w:pPr>
          </w:p>
        </w:tc>
      </w:tr>
      <w:tr>
        <w:trPr>
          <w:trHeight w:val="192"/>
        </w:trPr>
        <w:tc>
          <w:tcPr>
            <w:tcW w:w="3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Benefits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8"/>
                <w:szCs w:val="8"/>
                <w:b w:val="1"/>
                <w:bCs w:val="1"/>
                <w:color w:val="auto"/>
              </w:rPr>
              <w:t>(4)</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Related Costs</w:t>
            </w:r>
            <w:r>
              <w:rPr>
                <w:rFonts w:ascii="Arial" w:cs="Arial" w:eastAsia="Arial" w:hAnsi="Arial"/>
                <w:sz w:val="8"/>
                <w:szCs w:val="8"/>
                <w:b w:val="1"/>
                <w:bCs w:val="1"/>
                <w:color w:val="auto"/>
              </w:rPr>
              <w:t>(5)</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Depreciation</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balance at August 3, 2014</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Arial" w:cs="Arial" w:eastAsia="Arial" w:hAnsi="Arial"/>
                <w:sz w:val="18"/>
                <w:szCs w:val="18"/>
                <w:color w:val="auto"/>
              </w:rPr>
              <w:t>2015 charges</w:t>
            </w: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right"/>
              <w:ind w:right="39"/>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60" w:type="dxa"/>
            <w:vAlign w:val="bottom"/>
            <w:gridSpan w:val="2"/>
          </w:tcPr>
          <w:p>
            <w:pPr>
              <w:ind w:left="120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2015 cash payments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Arial" w:cs="Arial" w:eastAsia="Arial" w:hAnsi="Arial"/>
                <w:sz w:val="18"/>
                <w:szCs w:val="18"/>
                <w:color w:val="auto"/>
                <w:w w:val="96"/>
              </w:rPr>
              <w:t>Foreign currency translation adjustment</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Accrued balance at August 2, 2015</w:t>
            </w:r>
            <w:r>
              <w:rPr>
                <w:rFonts w:ascii="Arial" w:cs="Arial" w:eastAsia="Arial" w:hAnsi="Arial"/>
                <w:sz w:val="25"/>
                <w:szCs w:val="25"/>
                <w:color w:val="auto"/>
                <w:vertAlign w:val="superscript"/>
              </w:rPr>
              <w:t>(1)</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20" w:type="dxa"/>
            <w:vAlign w:val="bottom"/>
          </w:tcPr>
          <w:p>
            <w:pPr>
              <w:ind w:left="260"/>
              <w:spacing w:after="0"/>
              <w:rPr>
                <w:sz w:val="20"/>
                <w:szCs w:val="20"/>
                <w:color w:val="auto"/>
              </w:rPr>
            </w:pPr>
            <w:r>
              <w:rPr>
                <w:rFonts w:ascii="Arial" w:cs="Arial" w:eastAsia="Arial" w:hAnsi="Arial"/>
                <w:sz w:val="18"/>
                <w:szCs w:val="18"/>
                <w:color w:val="auto"/>
              </w:rPr>
              <w:t>2016 charges</w:t>
            </w:r>
          </w:p>
        </w:tc>
        <w:tc>
          <w:tcPr>
            <w:tcW w:w="24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166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2016 cash payments</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320" w:type="dxa"/>
            <w:vAlign w:val="bottom"/>
          </w:tcPr>
          <w:p>
            <w:pPr>
              <w:ind w:left="20"/>
              <w:spacing w:after="0" w:line="264" w:lineRule="exact"/>
              <w:rPr>
                <w:sz w:val="20"/>
                <w:szCs w:val="20"/>
                <w:color w:val="auto"/>
              </w:rPr>
            </w:pPr>
            <w:r>
              <w:rPr>
                <w:rFonts w:ascii="Arial" w:cs="Arial" w:eastAsia="Arial" w:hAnsi="Arial"/>
                <w:sz w:val="18"/>
                <w:szCs w:val="18"/>
                <w:color w:val="auto"/>
              </w:rPr>
              <w:t>Accrued balance at July 31, 2016</w:t>
            </w:r>
            <w:r>
              <w:rPr>
                <w:rFonts w:ascii="Arial" w:cs="Arial" w:eastAsia="Arial" w:hAnsi="Arial"/>
                <w:sz w:val="25"/>
                <w:szCs w:val="25"/>
                <w:color w:val="auto"/>
                <w:vertAlign w:val="superscript"/>
              </w:rPr>
              <w:t>(2)</w:t>
            </w:r>
          </w:p>
        </w:tc>
        <w:tc>
          <w:tcPr>
            <w:tcW w:w="2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2017 charges</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20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43"/>
        </w:trPr>
        <w:tc>
          <w:tcPr>
            <w:tcW w:w="3320" w:type="dxa"/>
            <w:vAlign w:val="bottom"/>
          </w:tcPr>
          <w:p>
            <w:pPr>
              <w:ind w:left="240"/>
              <w:spacing w:after="0"/>
              <w:rPr>
                <w:sz w:val="20"/>
                <w:szCs w:val="20"/>
                <w:color w:val="auto"/>
              </w:rPr>
            </w:pPr>
            <w:r>
              <w:rPr>
                <w:rFonts w:ascii="Arial" w:cs="Arial" w:eastAsia="Arial" w:hAnsi="Arial"/>
                <w:sz w:val="18"/>
                <w:szCs w:val="18"/>
                <w:b w:val="1"/>
                <w:bCs w:val="1"/>
                <w:color w:val="auto"/>
              </w:rPr>
              <w:t>2017 cash payments</w:t>
            </w: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320" w:type="dxa"/>
            <w:vAlign w:val="bottom"/>
            <w:tcBorders>
              <w:bottom w:val="single" w:sz="8" w:color="CCEEFF"/>
            </w:tcBorders>
            <w:shd w:val="clear" w:color="auto" w:fill="CCEEFF"/>
          </w:tcPr>
          <w:p>
            <w:pPr>
              <w:ind w:left="20"/>
              <w:spacing w:after="0" w:line="264" w:lineRule="exact"/>
              <w:rPr>
                <w:sz w:val="20"/>
                <w:szCs w:val="20"/>
                <w:color w:val="auto"/>
              </w:rPr>
            </w:pPr>
            <w:r>
              <w:rPr>
                <w:rFonts w:ascii="Arial" w:cs="Arial" w:eastAsia="Arial" w:hAnsi="Arial"/>
                <w:sz w:val="18"/>
                <w:szCs w:val="18"/>
                <w:b w:val="1"/>
                <w:bCs w:val="1"/>
                <w:color w:val="auto"/>
              </w:rPr>
              <w:t>Accrued balance at July 30, 2017</w:t>
            </w:r>
            <w:r>
              <w:rPr>
                <w:rFonts w:ascii="Arial" w:cs="Arial" w:eastAsia="Arial" w:hAnsi="Arial"/>
                <w:sz w:val="25"/>
                <w:szCs w:val="25"/>
                <w:b w:val="1"/>
                <w:bCs w:val="1"/>
                <w:color w:val="auto"/>
                <w:vertAlign w:val="superscript"/>
              </w:rPr>
              <w:t>(3)</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_______________________________________</w:t>
      </w:r>
    </w:p>
    <w:p>
      <w:pPr>
        <w:ind w:left="340" w:hanging="332"/>
        <w:spacing w:after="0" w:line="187"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$45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Includes $17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Includes $2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4"/>
        </w:numPr>
        <w:rPr>
          <w:rFonts w:ascii="Arial" w:cs="Arial" w:eastAsia="Arial" w:hAnsi="Arial"/>
          <w:sz w:val="24"/>
          <w:szCs w:val="24"/>
          <w:color w:val="auto"/>
          <w:vertAlign w:val="superscript"/>
        </w:rPr>
      </w:pPr>
      <w:r>
        <w:rPr>
          <w:rFonts w:ascii="Arial" w:cs="Arial" w:eastAsia="Arial" w:hAnsi="Arial"/>
          <w:sz w:val="17"/>
          <w:szCs w:val="17"/>
          <w:color w:val="auto"/>
        </w:rPr>
        <w:t>Represents postretirement and pension curtailment costs. See Note 10.</w:t>
      </w:r>
    </w:p>
    <w:p>
      <w:pPr>
        <w:spacing w:after="0" w:line="2" w:lineRule="exact"/>
        <w:rPr>
          <w:rFonts w:ascii="Arial" w:cs="Arial" w:eastAsia="Arial" w:hAnsi="Arial"/>
          <w:sz w:val="24"/>
          <w:szCs w:val="24"/>
          <w:color w:val="auto"/>
          <w:vertAlign w:val="superscript"/>
        </w:rPr>
      </w:pPr>
    </w:p>
    <w:p>
      <w:pPr>
        <w:ind w:left="340" w:right="80" w:hanging="332"/>
        <w:spacing w:after="0" w:line="208"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and Cost of products sold in the Consolidated Statements of Earnings.</w:t>
      </w:r>
    </w:p>
    <w:p>
      <w:pPr>
        <w:sectPr>
          <w:pgSz w:w="11900" w:h="16838" w:orient="portrait"/>
          <w:cols w:equalWidth="0" w:num="1">
            <w:col w:w="11420"/>
          </w:cols>
          <w:pgMar w:left="240" w:top="1314" w:right="2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314" w:right="239" w:bottom="1440" w:gutter="0" w:footer="0" w:header="0"/>
          <w:type w:val="continuous"/>
        </w:sectPr>
      </w:pPr>
    </w:p>
    <w:bookmarkStart w:id="47" w:name="page48"/>
    <w:bookmarkEnd w:id="47"/>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7"/>
              </w:rPr>
              <w:t>Costs Incurred to Date</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120" w:type="dxa"/>
            <w:vAlign w:val="bottom"/>
            <w:tcBorders>
              <w:bottom w:val="single" w:sz="8" w:color="CCEEFF"/>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78</w:t>
            </w:r>
          </w:p>
        </w:tc>
      </w:tr>
      <w:tr>
        <w:trPr>
          <w:trHeight w:val="27"/>
        </w:trPr>
        <w:tc>
          <w:tcPr>
            <w:tcW w:w="8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12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w:t>
            </w:r>
          </w:p>
        </w:tc>
      </w:tr>
      <w:tr>
        <w:trPr>
          <w:trHeight w:val="27"/>
        </w:trPr>
        <w:tc>
          <w:tcPr>
            <w:tcW w:w="8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w:t>
            </w:r>
          </w:p>
        </w:tc>
      </w:tr>
      <w:tr>
        <w:trPr>
          <w:trHeight w:val="20"/>
        </w:trPr>
        <w:tc>
          <w:tcPr>
            <w:tcW w:w="8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we implemented initiatives to reduce overhead across the organization, restructure manufacturing and streamline operations for our soup and broth business in China and improve supply chain efficiency in Australia.</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2016, we recorded a reduction to restructuring charges of $4 related to the 2014 initiatives. As of July 31, 2016, we incurred substantially all of the costs related to the 2014 initiatives. A summary of the pre-tax costs associated with the 2014 initiatives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20" w:type="dxa"/>
            <w:vAlign w:val="bottom"/>
          </w:tcPr>
          <w:p>
            <w:pPr>
              <w:spacing w:after="0"/>
              <w:rPr>
                <w:sz w:val="14"/>
                <w:szCs w:val="14"/>
                <w:color w:val="auto"/>
              </w:rPr>
            </w:pPr>
          </w:p>
        </w:tc>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Estimate</w:t>
            </w:r>
          </w:p>
        </w:tc>
        <w:tc>
          <w:tcPr>
            <w:tcW w:w="146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July</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right"/>
              <w:ind w:right="394"/>
              <w:spacing w:after="0"/>
              <w:rPr>
                <w:sz w:val="20"/>
                <w:szCs w:val="20"/>
                <w:color w:val="auto"/>
              </w:rPr>
            </w:pPr>
            <w:r>
              <w:rPr>
                <w:rFonts w:ascii="Arial" w:cs="Arial" w:eastAsia="Arial" w:hAnsi="Arial"/>
                <w:sz w:val="14"/>
                <w:szCs w:val="14"/>
                <w:b w:val="1"/>
                <w:bCs w:val="1"/>
                <w:color w:val="auto"/>
              </w:rPr>
              <w:t>31, 2016</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80" w:type="dxa"/>
            <w:vAlign w:val="bottom"/>
          </w:tcPr>
          <w:p>
            <w:pPr>
              <w:spacing w:after="0"/>
              <w:rPr>
                <w:sz w:val="21"/>
                <w:szCs w:val="21"/>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spacing w:after="0"/>
        <w:tabs>
          <w:tab w:leader="none" w:pos="320" w:val="left"/>
        </w:tabs>
        <w:rPr>
          <w:sz w:val="20"/>
          <w:szCs w:val="20"/>
          <w:color w:val="auto"/>
        </w:rPr>
      </w:pPr>
      <w:r>
        <w:rPr>
          <w:rFonts w:ascii="Arial" w:cs="Arial" w:eastAsia="Arial" w:hAnsi="Arial"/>
          <w:sz w:val="25"/>
          <w:szCs w:val="25"/>
          <w:color w:val="auto"/>
          <w:vertAlign w:val="superscript"/>
        </w:rPr>
        <w:t>(1)</w:t>
      </w:r>
      <w:r>
        <w:rPr>
          <w:sz w:val="20"/>
          <w:szCs w:val="20"/>
          <w:color w:val="auto"/>
        </w:rPr>
        <w:tab/>
      </w:r>
      <w:r>
        <w:rPr>
          <w:rFonts w:ascii="Arial" w:cs="Arial" w:eastAsia="Arial" w:hAnsi="Arial"/>
          <w:sz w:val="18"/>
          <w:szCs w:val="18"/>
          <w:color w:val="auto"/>
        </w:rPr>
        <w:t>Recognized as of August 2, 2015.</w:t>
      </w:r>
    </w:p>
    <w:p>
      <w:pPr>
        <w:spacing w:after="0" w:line="14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2017 and 2016 excludes less than 1 million stock options that would have been antidilutive. There were no antidilutive stock options in 2015.</w:t>
      </w:r>
    </w:p>
    <w:p>
      <w:pPr>
        <w:spacing w:after="0" w:line="129"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 We contributed cash of $14 and the joint venture partner contributed cash of $9 in 2015.</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own a 70% controlling interest in a Malaysian food products manufacturing company.</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own a 99.8% interest in Acre Venture Partners, L.P. (Acre), a limited partnership formed to make venture capital investments in innovative new companies in food and food-related industries. See also Note 14.</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Pension and Postretirement Benefits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Pension Benefits — </w:t>
      </w:r>
      <w:r>
        <w:rPr>
          <w:rFonts w:ascii="Arial" w:cs="Arial" w:eastAsia="Arial" w:hAnsi="Arial"/>
          <w:sz w:val="17"/>
          <w:szCs w:val="17"/>
          <w:color w:val="auto"/>
        </w:rPr>
        <w:t>We sponsor a number of noncontributory defined benefit pension plans to provide retirement benefits to all eligible U.S. and non-U.S. employees. The benefits provided under these plans are based primarily on years of service and compensation levels. Benefits are paid from funds previously provided to trustees and insurance companies or are paid directly by us from general funds. In 1999, we implemented significant amendments to certain U.S. pension plans. Under a new formula, retirement benefits are determined based on percentages of annual pay and age. To minimize the impact of converting to the new formula, service and earnings credit continued to accrue through the year 2014 for certain active employees participating in the plans under the old formula prior to the amendments. Employees will receive the benefit from either the new or old formula, whichever is higher. Benefits become vested upon the completion of three years of service. Effective as of January 1, 2011, our</w:t>
      </w:r>
    </w:p>
    <w:p>
      <w:pPr>
        <w:sectPr>
          <w:pgSz w:w="11900" w:h="16838" w:orient="portrait"/>
          <w:cols w:equalWidth="0" w:num="1">
            <w:col w:w="11420"/>
          </w:cols>
          <w:pgMar w:left="240" w:top="1314" w:right="239" w:bottom="1440" w:gutter="0" w:footer="0" w:header="0"/>
        </w:sect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314" w:right="239" w:bottom="1440" w:gutter="0" w:footer="0" w:header="0"/>
          <w:type w:val="continuous"/>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U.S. pension plans were amended so that employees hired or rehired on or after that date and who are not covered by collective bargaining agreements will not be eligible to participate in the plans.</w:t>
      </w:r>
    </w:p>
    <w:p>
      <w:pPr>
        <w:spacing w:after="0" w:line="11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Postretirement Benefits — </w:t>
      </w:r>
      <w:r>
        <w:rPr>
          <w:rFonts w:ascii="Arial" w:cs="Arial" w:eastAsia="Arial" w:hAnsi="Arial"/>
          <w:sz w:val="16"/>
          <w:szCs w:val="16"/>
          <w:color w:val="auto"/>
        </w:rPr>
        <w:t>We provide postretirement benefits, including health care and life insurance, to substantially all retired U.S.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their dependents. We established retiree medical account benefits for eligible U.S. retirees. The accounts were intended to provide reimbursement for eligible health care expenses on a tax-favored basis. Effective as of January 1, 2011, the retirement medical program was amended to eliminate the retiree medical account benefit for employees not covered by collective bargaining agreements. To preserve the benefit for employees close to retirement age, the retiree medical account will be available to employees who were at least age 50 with at least 10 years of service as of December 31, 2010, and who satisfy the other eligibility requirements for the retiree medical program. In July 2016, the retirement medical program was amended and effective as of January 1, 2017, we no longer sponsor our own medical coverage for certain Medicare-eligible retirees. Instead, we offer these Medicare-eligible retirees access to health care coverage through a private exchange and offer a health reimbursement account to subsidize benefits for a select group of such retirees. In July 2017, the retirement medical program was once again amended and beginning on January 1, 2018, we will no longer sponsor our own medical coverage for certain Medicare-eligible retirees covered by one of our collective bargaining agreements. Instead, we will offer these Medicare-eligible retirees access to health care coverage through a private exchange and offer a health reimbursement account to subsidize benefits for a select group of such retirees.</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fiscal year end as the measurement date for the benefit plans.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0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105</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net actuarial (gain) loss</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9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70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expense (income)</w:t>
            </w: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curtailment loss of $1 in 2015 was related to a voluntary employee separation program and was included in Restructuring charges. See also Note 7.</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Postretirement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73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7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Recognized net actuarial (gain) loss</w:t>
            </w:r>
          </w:p>
        </w:tc>
        <w:tc>
          <w:tcPr>
            <w:tcW w:w="8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w:t>
            </w:r>
          </w:p>
        </w:tc>
      </w:tr>
      <w:tr>
        <w:trPr>
          <w:trHeight w:val="27"/>
        </w:trPr>
        <w:tc>
          <w:tcPr>
            <w:tcW w:w="7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Curtailment loss</w:t>
            </w:r>
          </w:p>
        </w:tc>
        <w:tc>
          <w:tcPr>
            <w:tcW w:w="84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Net periodic benefit expense (income)</w:t>
            </w:r>
          </w:p>
        </w:tc>
        <w:tc>
          <w:tcPr>
            <w:tcW w:w="840" w:type="dxa"/>
            <w:vAlign w:val="bottom"/>
            <w:tcBorders>
              <w:top w:val="single" w:sz="8" w:color="auto"/>
            </w:tcBorders>
          </w:tcPr>
          <w:p>
            <w:pPr>
              <w:jc w:val="right"/>
              <w:ind w:right="63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29</w:t>
            </w:r>
          </w:p>
        </w:tc>
      </w:tr>
      <w:tr>
        <w:trPr>
          <w:trHeight w:val="27"/>
        </w:trPr>
        <w:tc>
          <w:tcPr>
            <w:tcW w:w="73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curtailment loss of $6 in 2015 was related to a voluntary employee separation program and was included in Restructuring charges. See also Note 7.</w:t>
      </w:r>
    </w:p>
    <w:p>
      <w:pPr>
        <w:spacing w:after="0" w:line="1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estimated prior service credit that will be amortized from Accumulated other comprehensive loss into net periodic postretirement expense during 2018 is $27. The prior service credit is primarily related to the amendments in July 2016 and July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14" w:right="239" w:bottom="1440" w:gutter="0" w:footer="0" w:header="0"/>
        </w:sectPr>
      </w:pPr>
    </w:p>
    <w:bookmarkStart w:id="49" w:name="page50"/>
    <w:bookmarkEnd w:id="49"/>
    <w:p>
      <w:pPr>
        <w:ind w:left="180"/>
        <w:spacing w:after="0"/>
        <w:rPr>
          <w:sz w:val="20"/>
          <w:szCs w:val="20"/>
          <w:color w:val="auto"/>
        </w:rPr>
      </w:pPr>
      <w:r>
        <w:rPr>
          <w:rFonts w:ascii="Arial" w:cs="Arial" w:eastAsia="Arial" w:hAnsi="Arial"/>
          <w:sz w:val="18"/>
          <w:szCs w:val="18"/>
          <w:b w:val="1"/>
          <w:bCs w:val="1"/>
          <w:i w:val="1"/>
          <w:iCs w:val="1"/>
          <w:color w:val="auto"/>
        </w:rPr>
        <w:t>Change in benefit obligation: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Pension</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4"/>
                <w:szCs w:val="14"/>
                <w:b w:val="1"/>
                <w:bCs w:val="1"/>
                <w:color w:val="auto"/>
                <w:w w:val="95"/>
              </w:rPr>
              <w:t>Postretirement</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Obligation at beginning of year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2,626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9"/>
              </w:rPr>
              <w:t>313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Service cost</w:t>
            </w:r>
          </w:p>
        </w:tc>
        <w:tc>
          <w:tcPr>
            <w:tcW w:w="300" w:type="dxa"/>
            <w:vAlign w:val="bottom"/>
          </w:tcPr>
          <w:p>
            <w:pPr>
              <w:spacing w:after="0"/>
              <w:rPr>
                <w:sz w:val="21"/>
                <w:szCs w:val="21"/>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b w:val="1"/>
                <w:bCs w:val="1"/>
                <w:color w:val="auto"/>
              </w:rPr>
              <w:t>26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cost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Actuarial (gain) loss</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Participant contributions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Plan amendments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Benefits paid</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Medicare subsidies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080" w:type="dxa"/>
            <w:vAlign w:val="bottom"/>
          </w:tcPr>
          <w:p>
            <w:pPr>
              <w:ind w:left="40"/>
              <w:spacing w:after="0"/>
              <w:rPr>
                <w:sz w:val="20"/>
                <w:szCs w:val="20"/>
                <w:color w:val="auto"/>
              </w:rPr>
            </w:pPr>
            <w:r>
              <w:rPr>
                <w:rFonts w:ascii="Arial" w:cs="Arial" w:eastAsia="Arial" w:hAnsi="Arial"/>
                <w:sz w:val="18"/>
                <w:szCs w:val="18"/>
                <w:color w:val="auto"/>
              </w:rPr>
              <w:t>Benefit obligation at end of year</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2,450</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2,626</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w w:val="99"/>
              </w:rPr>
              <w:t>276</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9"/>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80"/>
              <w:spacing w:after="0"/>
              <w:rPr>
                <w:sz w:val="20"/>
                <w:szCs w:val="20"/>
                <w:color w:val="auto"/>
              </w:rPr>
            </w:pPr>
            <w:r>
              <w:rPr>
                <w:rFonts w:ascii="Arial" w:cs="Arial" w:eastAsia="Arial" w:hAnsi="Arial"/>
                <w:sz w:val="18"/>
                <w:szCs w:val="18"/>
                <w:b w:val="1"/>
                <w:bCs w:val="1"/>
                <w:i w:val="1"/>
                <w:iCs w:val="1"/>
                <w:color w:val="auto"/>
              </w:rPr>
              <w:t>Change in the fair value of pension plan assets:</w:t>
            </w: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39"/>
              <w:spacing w:after="0"/>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7620</wp:posOffset>
            </wp:positionV>
            <wp:extent cx="721233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180340"/>
                    </a:xfrm>
                    <a:prstGeom prst="rect">
                      <a:avLst/>
                    </a:prstGeom>
                    <a:noFill/>
                  </pic:spPr>
                </pic:pic>
              </a:graphicData>
            </a:graphic>
          </wp:anchor>
        </w:drawing>
      </w:r>
    </w:p>
    <w:p>
      <w:pPr>
        <w:sectPr>
          <w:pgSz w:w="11900" w:h="16838" w:orient="portrait"/>
          <w:cols w:equalWidth="0" w:num="1">
            <w:col w:w="11420"/>
          </w:cols>
          <w:pgMar w:left="240" w:top="1233" w:right="239" w:bottom="1440" w:gutter="0" w:footer="0" w:header="0"/>
        </w:sectPr>
      </w:pPr>
    </w:p>
    <w:p>
      <w:pPr>
        <w:spacing w:after="0" w:line="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beginning of year</w:t>
      </w:r>
    </w:p>
    <w:p>
      <w:pPr>
        <w:spacing w:after="0" w:line="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Actual return on plan assets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Employer contributions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Benefits paid</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Settlements</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Foreign currency adjustment</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at end of year</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Net amounts recognized in the Consolidated Balance Sheets: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2,111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2,316</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54</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70"/>
        </w:trPr>
        <w:tc>
          <w:tcPr>
            <w:tcW w:w="100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1000" w:type="dxa"/>
            <w:vAlign w:val="bottom"/>
          </w:tcPr>
          <w:p>
            <w:pPr>
              <w:spacing w:after="0"/>
              <w:rPr>
                <w:sz w:val="20"/>
                <w:szCs w:val="20"/>
                <w:color w:val="auto"/>
              </w:rPr>
            </w:pPr>
          </w:p>
        </w:tc>
        <w:tc>
          <w:tcPr>
            <w:tcW w:w="22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2,183</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2,111</w:t>
            </w:r>
          </w:p>
        </w:tc>
      </w:tr>
      <w:tr>
        <w:trPr>
          <w:trHeight w:val="27"/>
        </w:trPr>
        <w:tc>
          <w:tcPr>
            <w:tcW w:w="10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77"/>
        </w:trPr>
        <w:tc>
          <w:tcPr>
            <w:tcW w:w="1000" w:type="dxa"/>
            <w:vAlign w:val="bottom"/>
          </w:tcPr>
          <w:p>
            <w:pPr>
              <w:spacing w:after="0"/>
              <w:rPr>
                <w:sz w:val="24"/>
                <w:szCs w:val="24"/>
                <w:color w:val="auto"/>
              </w:rPr>
            </w:pPr>
          </w:p>
        </w:tc>
        <w:tc>
          <w:tcPr>
            <w:tcW w:w="226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Pension</w:t>
            </w: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Postretirement</w:t>
            </w:r>
          </w:p>
        </w:tc>
        <w:tc>
          <w:tcPr>
            <w:tcW w:w="900" w:type="dxa"/>
            <w:vAlign w:val="bottom"/>
          </w:tcPr>
          <w:p>
            <w:pPr>
              <w:spacing w:after="0"/>
              <w:rPr>
                <w:sz w:val="24"/>
                <w:szCs w:val="24"/>
                <w:color w:val="auto"/>
              </w:rPr>
            </w:pPr>
          </w:p>
        </w:tc>
      </w:tr>
      <w:tr>
        <w:trPr>
          <w:trHeight w:val="258"/>
        </w:trPr>
        <w:tc>
          <w:tcPr>
            <w:tcW w:w="10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2017</w:t>
            </w:r>
          </w:p>
        </w:tc>
        <w:tc>
          <w:tcPr>
            <w:tcW w:w="1820" w:type="dxa"/>
            <w:vAlign w:val="bottom"/>
            <w:tcBorders>
              <w:top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-3545840</wp:posOffset>
            </wp:positionH>
            <wp:positionV relativeFrom="paragraph">
              <wp:posOffset>-1509395</wp:posOffset>
            </wp:positionV>
            <wp:extent cx="721233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-1166495</wp:posOffset>
            </wp:positionV>
            <wp:extent cx="721233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171450"/>
                    </a:xfrm>
                    <a:prstGeom prst="rect">
                      <a:avLst/>
                    </a:prstGeom>
                    <a:noFill/>
                  </pic:spPr>
                </pic:pic>
              </a:graphicData>
            </a:graphic>
          </wp:anchor>
        </w:drawing>
        <w:drawing>
          <wp:anchor simplePos="0" relativeHeight="251657728" behindDoc="1" locked="0" layoutInCell="0" allowOverlap="1">
            <wp:simplePos x="0" y="0"/>
            <wp:positionH relativeFrom="column">
              <wp:posOffset>-3545840</wp:posOffset>
            </wp:positionH>
            <wp:positionV relativeFrom="paragraph">
              <wp:posOffset>-823595</wp:posOffset>
            </wp:positionV>
            <wp:extent cx="7212330" cy="188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900" w:space="720"/>
            <w:col w:w="5800"/>
          </w:cols>
          <w:pgMar w:left="240" w:top="1233"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40" w:type="dxa"/>
            <w:vAlign w:val="bottom"/>
          </w:tcPr>
          <w:p>
            <w:pPr>
              <w:spacing w:after="0"/>
              <w:rPr>
                <w:sz w:val="22"/>
                <w:szCs w:val="22"/>
                <w:color w:val="auto"/>
              </w:rPr>
            </w:pPr>
          </w:p>
        </w:tc>
        <w:tc>
          <w:tcPr>
            <w:tcW w:w="5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700" w:type="dxa"/>
            <w:vAlign w:val="bottom"/>
            <w:tcBorders>
              <w:top w:val="single" w:sz="8" w:color="auto"/>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gridSpan w:val="2"/>
            <w:shd w:val="clear" w:color="auto" w:fill="CCEEFF"/>
          </w:tcPr>
          <w:p>
            <w:pPr>
              <w:jc w:val="right"/>
              <w:ind w:right="728"/>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gridSpan w:val="2"/>
            <w:shd w:val="clear" w:color="auto" w:fill="CCEEFF"/>
          </w:tcPr>
          <w:p>
            <w:pPr>
              <w:spacing w:after="0"/>
              <w:rPr>
                <w:sz w:val="22"/>
                <w:szCs w:val="22"/>
                <w:color w:val="auto"/>
              </w:rPr>
            </w:pPr>
          </w:p>
        </w:tc>
        <w:tc>
          <w:tcPr>
            <w:tcW w:w="520" w:type="dxa"/>
            <w:vAlign w:val="bottom"/>
            <w:tcBorders>
              <w:top w:val="single" w:sz="8" w:color="auto"/>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jc w:val="right"/>
              <w:ind w:right="13"/>
              <w:spacing w:after="0"/>
              <w:rPr>
                <w:sz w:val="20"/>
                <w:szCs w:val="20"/>
                <w:color w:val="auto"/>
              </w:rPr>
            </w:pPr>
            <w:r>
              <w:rPr>
                <w:rFonts w:ascii="Arial" w:cs="Arial" w:eastAsia="Arial" w:hAnsi="Arial"/>
                <w:sz w:val="18"/>
                <w:szCs w:val="18"/>
                <w:b w:val="1"/>
                <w:bCs w:val="1"/>
                <w:color w:val="auto"/>
              </w:rPr>
              <w:t>29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5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tcPr>
          <w:p>
            <w:pPr>
              <w:spacing w:after="0"/>
              <w:rPr>
                <w:sz w:val="23"/>
                <w:szCs w:val="23"/>
                <w:color w:val="auto"/>
              </w:rPr>
            </w:pPr>
          </w:p>
        </w:tc>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247</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20" w:type="dxa"/>
            <w:vAlign w:val="bottom"/>
          </w:tcPr>
          <w:p>
            <w:pPr>
              <w:spacing w:after="0"/>
              <w:rPr>
                <w:sz w:val="23"/>
                <w:szCs w:val="23"/>
                <w:color w:val="auto"/>
              </w:rPr>
            </w:pPr>
          </w:p>
        </w:tc>
      </w:tr>
      <w:tr>
        <w:trPr>
          <w:trHeight w:val="257"/>
        </w:trPr>
        <w:tc>
          <w:tcPr>
            <w:tcW w:w="40" w:type="dxa"/>
            <w:vAlign w:val="bottom"/>
          </w:tcPr>
          <w:p>
            <w:pPr>
              <w:spacing w:after="0"/>
              <w:rPr>
                <w:sz w:val="22"/>
                <w:szCs w:val="22"/>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Net amounts recognized</w:t>
            </w:r>
          </w:p>
        </w:tc>
        <w:tc>
          <w:tcPr>
            <w:tcW w:w="7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267</w:t>
            </w:r>
          </w:p>
        </w:tc>
        <w:tc>
          <w:tcPr>
            <w:tcW w:w="100" w:type="dxa"/>
            <w:vAlign w:val="bottom"/>
          </w:tcPr>
          <w:p>
            <w:pPr>
              <w:spacing w:after="0"/>
              <w:rPr>
                <w:sz w:val="22"/>
                <w:szCs w:val="22"/>
                <w:color w:val="auto"/>
              </w:rPr>
            </w:pP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2"/>
                <w:szCs w:val="22"/>
                <w:color w:val="auto"/>
              </w:rPr>
            </w:pPr>
          </w:p>
        </w:tc>
        <w:tc>
          <w:tcPr>
            <w:tcW w:w="920" w:type="dxa"/>
            <w:vAlign w:val="bottom"/>
            <w:tcBorders>
              <w:top w:val="single" w:sz="8" w:color="auto"/>
              <w:bottom w:val="single" w:sz="8" w:color="auto"/>
            </w:tcBorders>
            <w:gridSpan w:val="2"/>
          </w:tcPr>
          <w:p>
            <w:pPr>
              <w:jc w:val="right"/>
              <w:ind w:right="728"/>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276</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313</w:t>
            </w:r>
          </w:p>
        </w:tc>
        <w:tc>
          <w:tcPr>
            <w:tcW w:w="20" w:type="dxa"/>
            <w:vAlign w:val="bottom"/>
          </w:tcPr>
          <w:p>
            <w:pPr>
              <w:spacing w:after="0"/>
              <w:rPr>
                <w:sz w:val="22"/>
                <w:szCs w:val="22"/>
                <w:color w:val="auto"/>
              </w:rPr>
            </w:pPr>
          </w:p>
        </w:tc>
      </w:tr>
      <w:tr>
        <w:trPr>
          <w:trHeight w:val="20"/>
        </w:trPr>
        <w:tc>
          <w:tcPr>
            <w:tcW w:w="5620" w:type="dxa"/>
            <w:vAlign w:val="bottom"/>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02"/>
        </w:trPr>
        <w:tc>
          <w:tcPr>
            <w:tcW w:w="6320" w:type="dxa"/>
            <w:vAlign w:val="bottom"/>
            <w:gridSpan w:val="3"/>
          </w:tcPr>
          <w:p>
            <w:pPr>
              <w:ind w:left="40"/>
              <w:spacing w:after="0"/>
              <w:rPr>
                <w:sz w:val="20"/>
                <w:szCs w:val="20"/>
                <w:color w:val="auto"/>
              </w:rPr>
            </w:pPr>
            <w:r>
              <w:rPr>
                <w:rFonts w:ascii="Arial" w:cs="Arial" w:eastAsia="Arial" w:hAnsi="Arial"/>
                <w:sz w:val="18"/>
                <w:szCs w:val="18"/>
                <w:color w:val="auto"/>
                <w:w w:val="94"/>
              </w:rPr>
              <w:t>Amounts recognized in accumulated other comprehensive income (loss) consist of:</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9"/>
              </w:rPr>
              <w:t>Postretirement</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tcPr>
          <w:p>
            <w:pPr>
              <w:spacing w:after="0"/>
              <w:rPr>
                <w:sz w:val="22"/>
                <w:szCs w:val="22"/>
                <w:color w:val="auto"/>
              </w:rPr>
            </w:pPr>
          </w:p>
        </w:tc>
        <w:tc>
          <w:tcPr>
            <w:tcW w:w="700" w:type="dxa"/>
            <w:vAlign w:val="bottom"/>
            <w:tcBorders>
              <w:bottom w:val="single" w:sz="8" w:color="CCEEFF"/>
            </w:tcBorders>
          </w:tcPr>
          <w:p>
            <w:pPr>
              <w:spacing w:after="0"/>
              <w:rPr>
                <w:sz w:val="22"/>
                <w:szCs w:val="22"/>
                <w:color w:val="auto"/>
              </w:rPr>
            </w:pPr>
          </w:p>
        </w:tc>
        <w:tc>
          <w:tcPr>
            <w:tcW w:w="6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r>
      <w:tr>
        <w:trPr>
          <w:trHeight w:val="24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Prior service credit</w:t>
            </w: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708"/>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 w:type="dxa"/>
            <w:vAlign w:val="bottom"/>
            <w:shd w:val="clear" w:color="auto" w:fill="CCEEFF"/>
          </w:tcPr>
          <w:p>
            <w:pPr>
              <w:spacing w:after="0"/>
              <w:rPr>
                <w:sz w:val="21"/>
                <w:szCs w:val="21"/>
                <w:color w:val="auto"/>
              </w:rPr>
            </w:pPr>
          </w:p>
        </w:tc>
      </w:tr>
      <w:tr>
        <w:trPr>
          <w:trHeight w:val="27"/>
        </w:trPr>
        <w:tc>
          <w:tcPr>
            <w:tcW w:w="40" w:type="dxa"/>
            <w:vAlign w:val="bottom"/>
            <w:shd w:val="clear" w:color="auto" w:fill="CCEEFF"/>
          </w:tcPr>
          <w:p>
            <w:pPr>
              <w:spacing w:after="0"/>
              <w:rPr>
                <w:sz w:val="2"/>
                <w:szCs w:val="2"/>
                <w:color w:val="auto"/>
              </w:rPr>
            </w:pPr>
          </w:p>
        </w:tc>
        <w:tc>
          <w:tcPr>
            <w:tcW w:w="55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amounts recognized in accumulated other comprehensive income (loss) associated with postretirement benefits was due to the plan amendments in July 2016 and July 2017, net of amortization.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for pension plans with accumulated benefit obligations in excess of plan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Projected benefit obligation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2,434</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14"/>
              <w:spacing w:after="0"/>
              <w:rPr>
                <w:sz w:val="20"/>
                <w:szCs w:val="20"/>
                <w:color w:val="auto"/>
              </w:rPr>
            </w:pPr>
            <w:r>
              <w:rPr>
                <w:rFonts w:ascii="Arial" w:cs="Arial" w:eastAsia="Arial" w:hAnsi="Arial"/>
                <w:sz w:val="18"/>
                <w:szCs w:val="18"/>
                <w:b w:val="1"/>
                <w:bCs w:val="1"/>
                <w:color w:val="auto"/>
              </w:rPr>
              <w:t>2,232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2,385</w:t>
            </w:r>
          </w:p>
        </w:tc>
      </w:tr>
      <w:tr>
        <w:trPr>
          <w:trHeight w:val="27"/>
        </w:trPr>
        <w:tc>
          <w:tcPr>
            <w:tcW w:w="8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1,995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1,933</w:t>
            </w:r>
          </w:p>
        </w:tc>
      </w:tr>
      <w:tr>
        <w:trPr>
          <w:trHeight w:val="297"/>
        </w:trPr>
        <w:tc>
          <w:tcPr>
            <w:tcW w:w="8700" w:type="dxa"/>
            <w:vAlign w:val="bottom"/>
          </w:tcPr>
          <w:p>
            <w:pPr>
              <w:ind w:left="340"/>
              <w:spacing w:after="0"/>
              <w:rPr>
                <w:sz w:val="20"/>
                <w:szCs w:val="20"/>
                <w:color w:val="auto"/>
              </w:rPr>
            </w:pPr>
            <w:r>
              <w:rPr>
                <w:rFonts w:ascii="Arial" w:cs="Arial" w:eastAsia="Arial" w:hAnsi="Arial"/>
                <w:sz w:val="18"/>
                <w:szCs w:val="18"/>
                <w:color w:val="auto"/>
                <w:w w:val="91"/>
              </w:rPr>
              <w:t>The accumulated benefit obligation for all pension plans was $2,399 at July 30, 2017, and $2,557 at July 31, 2016.</w:t>
            </w: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420"/>
          </w:cols>
          <w:pgMar w:left="240" w:top="1233" w:right="239" w:bottom="1440" w:gutter="0" w:footer="0" w:header="0"/>
          <w:type w:val="continuous"/>
        </w:sectPr>
      </w:pP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33" w:right="239" w:bottom="1440" w:gutter="0" w:footer="0" w:header="0"/>
          <w:type w:val="continuous"/>
        </w:sectPr>
      </w:pPr>
    </w:p>
    <w:bookmarkStart w:id="50" w:name="page51"/>
    <w:bookmarkEnd w:id="50"/>
    <w:p>
      <w:pPr>
        <w:ind w:left="180"/>
        <w:spacing w:after="0"/>
        <w:rPr>
          <w:sz w:val="20"/>
          <w:szCs w:val="20"/>
          <w:color w:val="auto"/>
        </w:rPr>
      </w:pPr>
      <w:r>
        <w:rPr>
          <w:rFonts w:ascii="Arial" w:cs="Arial" w:eastAsia="Arial" w:hAnsi="Arial"/>
          <w:sz w:val="18"/>
          <w:szCs w:val="18"/>
          <w:b w:val="1"/>
          <w:bCs w:val="1"/>
          <w:i w:val="1"/>
          <w:iCs w:val="1"/>
          <w:color w:val="auto"/>
        </w:rPr>
        <w:t>Weighted-average assumptions used to determine benefit obligations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580" w:type="dxa"/>
            <w:vAlign w:val="bottom"/>
          </w:tcPr>
          <w:p>
            <w:pPr>
              <w:spacing w:after="0"/>
              <w:rPr>
                <w:sz w:val="16"/>
                <w:szCs w:val="16"/>
                <w:color w:val="auto"/>
              </w:rPr>
            </w:pPr>
          </w:p>
        </w:tc>
        <w:tc>
          <w:tcPr>
            <w:tcW w:w="178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Pension</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Postretirement</w:t>
            </w: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2017</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color w:val="auto"/>
                <w:w w:val="93"/>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b w:val="1"/>
                <w:bCs w:val="1"/>
                <w:color w:val="auto"/>
                <w:w w:val="93"/>
              </w:rPr>
              <w:t>3.45%</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3.20%</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3.24%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color w:val="auto"/>
                <w:w w:val="93"/>
              </w:rPr>
              <w:t>3.25%</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b w:val="1"/>
                <w:bCs w:val="1"/>
                <w:color w:val="auto"/>
                <w:w w:val="93"/>
              </w:rPr>
              <w:t>3.25%</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3.25%</w:t>
            </w:r>
          </w:p>
        </w:tc>
      </w:tr>
      <w:tr>
        <w:trPr>
          <w:trHeight w:val="324"/>
        </w:trPr>
        <w:tc>
          <w:tcPr>
            <w:tcW w:w="7360" w:type="dxa"/>
            <w:vAlign w:val="bottom"/>
            <w:gridSpan w:val="4"/>
          </w:tcPr>
          <w:p>
            <w:pPr>
              <w:ind w:left="140"/>
              <w:spacing w:after="0"/>
              <w:rPr>
                <w:sz w:val="20"/>
                <w:szCs w:val="20"/>
                <w:color w:val="auto"/>
              </w:rPr>
            </w:pPr>
            <w:r>
              <w:rPr>
                <w:rFonts w:ascii="Arial" w:cs="Arial" w:eastAsia="Arial" w:hAnsi="Arial"/>
                <w:sz w:val="18"/>
                <w:szCs w:val="18"/>
                <w:b w:val="1"/>
                <w:bCs w:val="1"/>
                <w:i w:val="1"/>
                <w:iCs w:val="1"/>
                <w:color w:val="auto"/>
                <w:w w:val="87"/>
              </w:rPr>
              <w:t>Weighted-average assumptions used to determine net periodic benefit cost for the years ended:</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5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w w:val="91"/>
              </w:rPr>
              <w:t>Pension</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r>
      <w:tr>
        <w:trPr>
          <w:trHeight w:val="264"/>
        </w:trPr>
        <w:tc>
          <w:tcPr>
            <w:tcW w:w="55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center"/>
              <w:ind w:left="337"/>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337"/>
              <w:spacing w:after="0"/>
              <w:rPr>
                <w:sz w:val="20"/>
                <w:szCs w:val="20"/>
                <w:color w:val="auto"/>
              </w:rPr>
            </w:pPr>
            <w:r>
              <w:rPr>
                <w:rFonts w:ascii="Arial" w:cs="Arial" w:eastAsia="Arial" w:hAnsi="Arial"/>
                <w:sz w:val="18"/>
                <w:szCs w:val="18"/>
                <w:color w:val="auto"/>
                <w:w w:val="93"/>
              </w:rPr>
              <w:t>4.19%</w:t>
            </w:r>
          </w:p>
        </w:tc>
        <w:tc>
          <w:tcPr>
            <w:tcW w:w="1880" w:type="dxa"/>
            <w:vAlign w:val="bottom"/>
            <w:tcBorders>
              <w:bottom w:val="single" w:sz="8" w:color="CCEEFF"/>
            </w:tcBorders>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4.33%</w:t>
            </w: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center"/>
              <w:ind w:right="215"/>
              <w:spacing w:after="0"/>
              <w:rPr>
                <w:sz w:val="20"/>
                <w:szCs w:val="20"/>
                <w:color w:val="auto"/>
              </w:rPr>
            </w:pPr>
            <w:r>
              <w:rPr>
                <w:rFonts w:ascii="Arial" w:cs="Arial" w:eastAsia="Arial" w:hAnsi="Arial"/>
                <w:sz w:val="18"/>
                <w:szCs w:val="18"/>
                <w:b w:val="1"/>
                <w:bCs w:val="1"/>
                <w:color w:val="auto"/>
                <w:w w:val="93"/>
              </w:rPr>
              <w:t>7.09%</w:t>
            </w:r>
          </w:p>
        </w:tc>
        <w:tc>
          <w:tcPr>
            <w:tcW w:w="120" w:type="dxa"/>
            <w:vAlign w:val="bottom"/>
          </w:tcPr>
          <w:p>
            <w:pPr>
              <w:spacing w:after="0"/>
              <w:rPr>
                <w:sz w:val="21"/>
                <w:szCs w:val="21"/>
                <w:color w:val="auto"/>
              </w:rPr>
            </w:pPr>
          </w:p>
        </w:tc>
        <w:tc>
          <w:tcPr>
            <w:tcW w:w="940" w:type="dxa"/>
            <w:vAlign w:val="bottom"/>
          </w:tcPr>
          <w:p>
            <w:pPr>
              <w:jc w:val="center"/>
              <w:ind w:left="337"/>
              <w:spacing w:after="0"/>
              <w:rPr>
                <w:sz w:val="20"/>
                <w:szCs w:val="20"/>
                <w:color w:val="auto"/>
              </w:rPr>
            </w:pPr>
            <w:r>
              <w:rPr>
                <w:rFonts w:ascii="Arial" w:cs="Arial" w:eastAsia="Arial" w:hAnsi="Arial"/>
                <w:sz w:val="18"/>
                <w:szCs w:val="18"/>
                <w:color w:val="auto"/>
                <w:w w:val="93"/>
              </w:rPr>
              <w:t>7.35%</w:t>
            </w:r>
          </w:p>
        </w:tc>
        <w:tc>
          <w:tcPr>
            <w:tcW w:w="1880" w:type="dxa"/>
            <w:vAlign w:val="bottom"/>
            <w:gridSpan w:val="3"/>
          </w:tcPr>
          <w:p>
            <w:pPr>
              <w:jc w:val="center"/>
              <w:ind w:left="433"/>
              <w:spacing w:after="0"/>
              <w:rPr>
                <w:sz w:val="20"/>
                <w:szCs w:val="20"/>
                <w:color w:val="auto"/>
              </w:rPr>
            </w:pPr>
            <w:r>
              <w:rPr>
                <w:rFonts w:ascii="Arial" w:cs="Arial" w:eastAsia="Arial" w:hAnsi="Arial"/>
                <w:sz w:val="18"/>
                <w:szCs w:val="18"/>
                <w:color w:val="auto"/>
                <w:w w:val="93"/>
              </w:rPr>
              <w:t>7.62%</w:t>
            </w:r>
          </w:p>
        </w:tc>
      </w:tr>
      <w:tr>
        <w:trPr>
          <w:trHeight w:val="27"/>
        </w:trPr>
        <w:tc>
          <w:tcPr>
            <w:tcW w:w="5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center"/>
              <w:ind w:right="215"/>
              <w:spacing w:after="0"/>
              <w:rPr>
                <w:sz w:val="20"/>
                <w:szCs w:val="20"/>
                <w:color w:val="auto"/>
              </w:rPr>
            </w:pPr>
            <w:r>
              <w:rPr>
                <w:rFonts w:ascii="Arial" w:cs="Arial" w:eastAsia="Arial" w:hAnsi="Arial"/>
                <w:sz w:val="18"/>
                <w:szCs w:val="18"/>
                <w:b w:val="1"/>
                <w:bCs w:val="1"/>
                <w:color w:val="auto"/>
                <w:w w:val="93"/>
              </w:rPr>
              <w:t>3.25%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337"/>
              <w:spacing w:after="0"/>
              <w:rPr>
                <w:sz w:val="20"/>
                <w:szCs w:val="20"/>
                <w:color w:val="auto"/>
              </w:rPr>
            </w:pPr>
            <w:r>
              <w:rPr>
                <w:rFonts w:ascii="Arial" w:cs="Arial" w:eastAsia="Arial" w:hAnsi="Arial"/>
                <w:sz w:val="18"/>
                <w:szCs w:val="18"/>
                <w:color w:val="auto"/>
                <w:w w:val="93"/>
              </w:rPr>
              <w:t>3.29%</w:t>
            </w:r>
          </w:p>
        </w:tc>
        <w:tc>
          <w:tcPr>
            <w:tcW w:w="1880" w:type="dxa"/>
            <w:vAlign w:val="bottom"/>
            <w:gridSpan w:val="3"/>
            <w:shd w:val="clear" w:color="auto" w:fill="CCEEFF"/>
          </w:tcPr>
          <w:p>
            <w:pPr>
              <w:jc w:val="center"/>
              <w:ind w:left="433"/>
              <w:spacing w:after="0"/>
              <w:rPr>
                <w:sz w:val="20"/>
                <w:szCs w:val="20"/>
                <w:color w:val="auto"/>
              </w:rPr>
            </w:pPr>
            <w:r>
              <w:rPr>
                <w:rFonts w:ascii="Arial" w:cs="Arial" w:eastAsia="Arial" w:hAnsi="Arial"/>
                <w:sz w:val="18"/>
                <w:szCs w:val="18"/>
                <w:color w:val="auto"/>
                <w:w w:val="93"/>
              </w:rPr>
              <w:t>3.30%</w:t>
            </w:r>
          </w:p>
        </w:tc>
      </w:tr>
      <w:tr>
        <w:trPr>
          <w:trHeight w:val="27"/>
        </w:trPr>
        <w:tc>
          <w:tcPr>
            <w:tcW w:w="5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discount rate is established as of our fiscal year-end measurement date. In establishing the discount rate, we review published market indices of high-quality debt securities, adjusted as appropriate for duration. In addition, independent actuaries apply high-quality bond yield curves to the expected benefit payments of the plans. The expected return on plan assets is a long-term assumption based upon historical experience and expected future performance, considering our current and projected investment mix. This estimate is based on an estimate of future inflation, long-term projected real returns for each asset class, and a premium for active management.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discount rate used to determine net periodic postretirement expense was 3.20% in 2017, and 4.00% in 2016 and 2015.</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Assumed health care cost trend rates at the end of the year:</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Health care cost trend rate assumed for next year</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7.25%</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Rate to which the cost trend rate is assumed to decline (ultimate trend rate)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7"/>
              </w:rPr>
              <w:t>4.50%</w:t>
            </w:r>
          </w:p>
        </w:tc>
        <w:tc>
          <w:tcPr>
            <w:tcW w:w="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4.50%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that the rate reaches the ultimate trend rate</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2023</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r>
      <w:tr>
        <w:trPr>
          <w:trHeight w:val="27"/>
        </w:trPr>
        <w:tc>
          <w:tcPr>
            <w:tcW w:w="85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one-percentage-point change in assumed health care costs would have the following effects on 2017 reported amounts: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Increase</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Decrease</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on service and interest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Effect on the 2017 accumulated benefit obligation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520" w:type="dxa"/>
            <w:vAlign w:val="bottom"/>
          </w:tcPr>
          <w:p>
            <w:pPr>
              <w:ind w:left="140"/>
              <w:spacing w:after="0"/>
              <w:rPr>
                <w:sz w:val="20"/>
                <w:szCs w:val="20"/>
                <w:color w:val="auto"/>
              </w:rPr>
            </w:pPr>
            <w:r>
              <w:rPr>
                <w:rFonts w:ascii="Arial" w:cs="Arial" w:eastAsia="Arial" w:hAnsi="Arial"/>
                <w:sz w:val="18"/>
                <w:szCs w:val="18"/>
                <w:b w:val="1"/>
                <w:bCs w:val="1"/>
                <w:i w:val="1"/>
                <w:iCs w:val="1"/>
                <w:color w:val="auto"/>
              </w:rPr>
              <w:t>Pension Plan Assets</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fundamental goal underlying the investment policy is to ensure that the assets of the plans are invested in a prudent manner to meet the obligations of the plans as these obligations come due. The primary investment objectives include providing a total return which will promote the goal of benefit security by attaining an appropriate ratio of plan assets to plan obligations, to provide for real asset growth while also tracking plan obligations, to diversify investments across and within asset classes, to reduce the impact of losses in single investments, and to follow investment practices that comply with applicable laws and regulations.</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primary policy objectives will be met by investing assets to achieve a reasonable tradeoff between return and risk relative to plan obligations. This includes investing a portion of the assets in funds selected in part to hedge the interest rate sensitivity to plan obligations.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portfolio includes investments in the following asset classes: fixed income, equity, real estate and alternatives. Fixed income will provide a moderate expected return and partially hedge the exposure to interest rate risk of the plans’ obligations. Equities are used for their high expected return. Additional asset classes are used to provide diversification.</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Asset allocation is monitored on an ongoing basis relative to the established asset class targets. The interaction between plan assets and benefit obligations is periodically studied to assist in the establishment of strategic asset allocation targets. The investment policy permits variances from the targets within certain parameters. Asset rebalancing occurs when the underlying asset class allocations move outside these parameters, at which time the asset allocation is rebalanced back to the policy target weight.</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14"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color w:val="auto"/>
        </w:rPr>
        <w:t>Our year-end pension plan weighted-average asset allocations by category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Strategic Target</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w:t>
            </w:r>
          </w:p>
        </w:tc>
        <w:tc>
          <w:tcPr>
            <w:tcW w:w="13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Debt securities</w:t>
            </w: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9"/>
              </w:rPr>
              <w:t>40%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35%</w:t>
            </w:r>
          </w:p>
        </w:tc>
      </w:tr>
      <w:tr>
        <w:trPr>
          <w:trHeight w:val="27"/>
        </w:trPr>
        <w:tc>
          <w:tcPr>
            <w:tcW w:w="70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and other</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7"/>
        </w:trPr>
        <w:tc>
          <w:tcPr>
            <w:tcW w:w="70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Pension plan assets are categorized based on the following fair value hierarchy:</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14" w:right="239" w:bottom="1440" w:gutter="0" w:footer="0" w:header="0"/>
        </w:sectPr>
      </w:pPr>
    </w:p>
    <w:bookmarkStart w:id="52" w:name="page53"/>
    <w:bookmarkEnd w:id="52"/>
    <w:p>
      <w:pPr>
        <w:ind w:left="340"/>
        <w:spacing w:after="0"/>
        <w:rPr>
          <w:sz w:val="20"/>
          <w:szCs w:val="20"/>
          <w:color w:val="auto"/>
        </w:rPr>
      </w:pPr>
      <w:r>
        <w:rPr>
          <w:rFonts w:ascii="Arial" w:cs="Arial" w:eastAsia="Arial" w:hAnsi="Arial"/>
          <w:sz w:val="18"/>
          <w:szCs w:val="18"/>
          <w:color w:val="auto"/>
        </w:rPr>
        <w:t>The following table presents our pension plan assets by asset category at July 30, 2017, and July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gridSpan w:val="7"/>
          </w:tcPr>
          <w:p>
            <w:pPr>
              <w:jc w:val="center"/>
              <w:ind w:left="472"/>
              <w:spacing w:after="0"/>
              <w:rPr>
                <w:sz w:val="20"/>
                <w:szCs w:val="20"/>
                <w:color w:val="auto"/>
              </w:rPr>
            </w:pPr>
            <w:r>
              <w:rPr>
                <w:rFonts w:ascii="Arial" w:cs="Arial" w:eastAsia="Arial" w:hAnsi="Arial"/>
                <w:sz w:val="14"/>
                <w:szCs w:val="14"/>
                <w:b w:val="1"/>
                <w:bCs w:val="1"/>
                <w:color w:val="auto"/>
                <w:w w:val="93"/>
              </w:rPr>
              <w:t>Fair Value Measurements at</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jc w:val="center"/>
              <w:ind w:left="512"/>
              <w:spacing w:after="0"/>
              <w:rPr>
                <w:sz w:val="20"/>
                <w:szCs w:val="20"/>
                <w:color w:val="auto"/>
              </w:rPr>
            </w:pPr>
            <w:r>
              <w:rPr>
                <w:rFonts w:ascii="Arial" w:cs="Arial" w:eastAsia="Arial" w:hAnsi="Arial"/>
                <w:sz w:val="14"/>
                <w:szCs w:val="14"/>
                <w:b w:val="1"/>
                <w:bCs w:val="1"/>
                <w:color w:val="auto"/>
                <w:w w:val="93"/>
              </w:rPr>
              <w:t>Fair Value Measurements at</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ind w:right="52"/>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July 30, 2017 Using</w:t>
            </w: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ind w:right="71"/>
              <w:spacing w:after="0"/>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July 31, 2016 Using</w:t>
            </w: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0" w:type="dxa"/>
            <w:vAlign w:val="bottom"/>
            <w:gridSpan w:val="6"/>
          </w:tcPr>
          <w:p>
            <w:pPr>
              <w:jc w:val="center"/>
              <w:ind w:right="90"/>
              <w:spacing w:after="0" w:line="145" w:lineRule="exact"/>
              <w:rPr>
                <w:sz w:val="20"/>
                <w:szCs w:val="20"/>
                <w:color w:val="auto"/>
              </w:rPr>
            </w:pPr>
            <w:r>
              <w:rPr>
                <w:rFonts w:ascii="Arial" w:cs="Arial" w:eastAsia="Arial" w:hAnsi="Arial"/>
                <w:sz w:val="14"/>
                <w:szCs w:val="14"/>
                <w:b w:val="1"/>
                <w:bCs w:val="1"/>
                <w:color w:val="auto"/>
                <w:w w:val="95"/>
              </w:rPr>
              <w:t>Fair Value Hierarchy</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gridSpan w:val="6"/>
          </w:tcPr>
          <w:p>
            <w:pPr>
              <w:jc w:val="center"/>
              <w:ind w:right="70"/>
              <w:spacing w:after="0" w:line="145" w:lineRule="exact"/>
              <w:rPr>
                <w:sz w:val="20"/>
                <w:szCs w:val="20"/>
                <w:color w:val="auto"/>
              </w:rPr>
            </w:pPr>
            <w:r>
              <w:rPr>
                <w:rFonts w:ascii="Arial" w:cs="Arial" w:eastAsia="Arial" w:hAnsi="Arial"/>
                <w:sz w:val="14"/>
                <w:szCs w:val="14"/>
                <w:b w:val="1"/>
                <w:bCs w:val="1"/>
                <w:color w:val="auto"/>
                <w:w w:val="95"/>
              </w:rPr>
              <w:t>Fair Value Hierarchy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vMerge w:val="restart"/>
          </w:tcPr>
          <w:p>
            <w:pPr>
              <w:jc w:val="center"/>
              <w:ind w:right="52"/>
              <w:spacing w:after="0" w:line="13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vMerge w:val="restart"/>
          </w:tcPr>
          <w:p>
            <w:pPr>
              <w:jc w:val="center"/>
              <w:ind w:right="71"/>
              <w:spacing w:after="0" w:line="139" w:lineRule="exact"/>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74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w w:val="92"/>
              </w:rPr>
              <w:t>Level 3</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vMerge w:val="restart"/>
          </w:tcPr>
          <w:p>
            <w:pPr>
              <w:jc w:val="center"/>
              <w:ind w:right="91"/>
              <w:spacing w:after="0"/>
              <w:rPr>
                <w:sz w:val="20"/>
                <w:szCs w:val="20"/>
                <w:color w:val="auto"/>
              </w:rPr>
            </w:pPr>
            <w:r>
              <w:rPr>
                <w:rFonts w:ascii="Arial" w:cs="Arial" w:eastAsia="Arial" w:hAnsi="Arial"/>
                <w:sz w:val="14"/>
                <w:szCs w:val="14"/>
                <w:b w:val="1"/>
                <w:bCs w:val="1"/>
                <w:color w:val="auto"/>
                <w:w w:val="92"/>
              </w:rPr>
              <w:t>Level 2</w:t>
            </w:r>
          </w:p>
        </w:tc>
        <w:tc>
          <w:tcPr>
            <w:tcW w:w="120" w:type="dxa"/>
            <w:vAlign w:val="bottom"/>
            <w:vMerge w:val="restart"/>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w w:val="92"/>
              </w:rPr>
              <w:t>Level 3</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2"/>
              </w:rPr>
              <w:t>July 30, 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July 31, 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46</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Equities: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290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537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rPr>
              <w:t>Government and agency</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bonds:</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Non-U.S.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180"/>
              <w:spacing w:after="0"/>
              <w:rPr>
                <w:sz w:val="20"/>
                <w:szCs w:val="20"/>
                <w:color w:val="auto"/>
              </w:rPr>
            </w:pPr>
            <w:r>
              <w:rPr>
                <w:rFonts w:ascii="Arial" w:cs="Arial" w:eastAsia="Arial" w:hAnsi="Arial"/>
                <w:sz w:val="18"/>
                <w:szCs w:val="18"/>
                <w:color w:val="auto"/>
                <w:w w:val="99"/>
              </w:rPr>
              <w:t>Mortgage and asset backed</w:t>
            </w:r>
          </w:p>
        </w:tc>
        <w:tc>
          <w:tcPr>
            <w:tcW w:w="120" w:type="dxa"/>
            <w:vAlign w:val="bottom"/>
          </w:tcPr>
          <w:p>
            <w:pPr>
              <w:spacing w:after="0"/>
              <w:rPr>
                <w:sz w:val="19"/>
                <w:szCs w:val="19"/>
                <w:color w:val="auto"/>
              </w:rPr>
            </w:pPr>
          </w:p>
        </w:tc>
        <w:tc>
          <w:tcPr>
            <w:tcW w:w="9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b w:val="1"/>
                <w:bCs w:val="1"/>
                <w:color w:val="auto"/>
              </w:rPr>
              <w:t>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assets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tcPr>
          <w:p>
            <w:pPr>
              <w:ind w:left="180"/>
              <w:spacing w:after="0"/>
              <w:rPr>
                <w:sz w:val="20"/>
                <w:szCs w:val="20"/>
                <w:color w:val="auto"/>
              </w:rPr>
            </w:pPr>
            <w:r>
              <w:rPr>
                <w:rFonts w:ascii="Arial" w:cs="Arial" w:eastAsia="Arial" w:hAnsi="Arial"/>
                <w:sz w:val="18"/>
                <w:szCs w:val="18"/>
                <w:color w:val="auto"/>
              </w:rPr>
              <w:t>Derivative liabilities</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 at fair value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1,545</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673</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827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74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1,447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w w:val="95"/>
              </w:rPr>
              <w:t>Investments measured at net</w:t>
            </w: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asset value:</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280"/>
              <w:spacing w:after="0"/>
              <w:rPr>
                <w:sz w:val="20"/>
                <w:szCs w:val="20"/>
                <w:color w:val="auto"/>
              </w:rPr>
            </w:pPr>
            <w:r>
              <w:rPr>
                <w:rFonts w:ascii="Arial" w:cs="Arial" w:eastAsia="Arial" w:hAnsi="Arial"/>
                <w:sz w:val="18"/>
                <w:szCs w:val="18"/>
                <w:color w:val="auto"/>
              </w:rPr>
              <w:t>Commingled funds:</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Equities</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440"/>
              <w:spacing w:after="0"/>
              <w:rPr>
                <w:sz w:val="20"/>
                <w:szCs w:val="20"/>
                <w:color w:val="auto"/>
              </w:rPr>
            </w:pPr>
            <w:r>
              <w:rPr>
                <w:rFonts w:ascii="Arial" w:cs="Arial" w:eastAsia="Arial" w:hAnsi="Arial"/>
                <w:sz w:val="18"/>
                <w:szCs w:val="18"/>
                <w:color w:val="auto"/>
              </w:rPr>
              <w:t>Fixed income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Blended</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20" w:type="dxa"/>
            <w:vAlign w:val="bottom"/>
          </w:tcPr>
          <w:p>
            <w:pPr>
              <w:ind w:left="340"/>
              <w:spacing w:after="0"/>
              <w:rPr>
                <w:sz w:val="20"/>
                <w:szCs w:val="20"/>
                <w:color w:val="auto"/>
              </w:rPr>
            </w:pPr>
            <w:r>
              <w:rPr>
                <w:rFonts w:ascii="Arial" w:cs="Arial" w:eastAsia="Arial" w:hAnsi="Arial"/>
                <w:sz w:val="18"/>
                <w:szCs w:val="18"/>
                <w:color w:val="auto"/>
              </w:rPr>
              <w:t>Real estate</w:t>
            </w:r>
          </w:p>
        </w:tc>
        <w:tc>
          <w:tcPr>
            <w:tcW w:w="1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Hedge funds</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0"/>
              </w:rPr>
              <w:t>Total investments measured at</w:t>
            </w: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666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340"/>
              <w:spacing w:after="0"/>
              <w:rPr>
                <w:sz w:val="20"/>
                <w:szCs w:val="20"/>
                <w:color w:val="auto"/>
              </w:rPr>
            </w:pPr>
            <w:r>
              <w:rPr>
                <w:rFonts w:ascii="Arial" w:cs="Arial" w:eastAsia="Arial" w:hAnsi="Arial"/>
                <w:sz w:val="18"/>
                <w:szCs w:val="18"/>
                <w:color w:val="auto"/>
              </w:rPr>
              <w:t>net asset value:</w:t>
            </w:r>
          </w:p>
        </w:tc>
        <w:tc>
          <w:tcPr>
            <w:tcW w:w="12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Other items to reconcile to fair</w:t>
            </w:r>
          </w:p>
        </w:tc>
        <w:tc>
          <w:tcPr>
            <w:tcW w:w="1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value of plan assets</w:t>
            </w:r>
          </w:p>
        </w:tc>
        <w:tc>
          <w:tcPr>
            <w:tcW w:w="1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420" w:type="dxa"/>
            <w:vAlign w:val="bottom"/>
          </w:tcPr>
          <w:p>
            <w:pPr>
              <w:ind w:left="180"/>
              <w:spacing w:after="0"/>
              <w:rPr>
                <w:sz w:val="20"/>
                <w:szCs w:val="20"/>
                <w:color w:val="auto"/>
              </w:rPr>
            </w:pPr>
            <w:r>
              <w:rPr>
                <w:rFonts w:ascii="Arial" w:cs="Arial" w:eastAsia="Arial" w:hAnsi="Arial"/>
                <w:sz w:val="18"/>
                <w:szCs w:val="18"/>
                <w:color w:val="auto"/>
                <w:w w:val="99"/>
              </w:rPr>
              <w:t>Total pension plan assets at</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8"/>
                <w:szCs w:val="18"/>
                <w:b w:val="1"/>
                <w:bCs w:val="1"/>
                <w:color w:val="auto"/>
              </w:rPr>
              <w:t>2,183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420" w:type="dxa"/>
            <w:vAlign w:val="bottom"/>
          </w:tcPr>
          <w:p>
            <w:pPr>
              <w:ind w:left="340"/>
              <w:spacing w:after="0"/>
              <w:rPr>
                <w:sz w:val="20"/>
                <w:szCs w:val="20"/>
                <w:color w:val="auto"/>
              </w:rPr>
            </w:pPr>
            <w:r>
              <w:rPr>
                <w:rFonts w:ascii="Arial" w:cs="Arial" w:eastAsia="Arial" w:hAnsi="Arial"/>
                <w:sz w:val="18"/>
                <w:szCs w:val="18"/>
                <w:color w:val="auto"/>
              </w:rPr>
              <w:t>fair value</w:t>
            </w:r>
          </w:p>
        </w:tc>
        <w:tc>
          <w:tcPr>
            <w:tcW w:w="120" w:type="dxa"/>
            <w:vAlign w:val="bottom"/>
            <w:tcBorders>
              <w:bottom w:val="single" w:sz="8" w:color="auto"/>
            </w:tcBorders>
            <w:vMerge w:val="continue"/>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Short-term investments — </w:t>
      </w:r>
      <w:r>
        <w:rPr>
          <w:rFonts w:ascii="Arial" w:cs="Arial" w:eastAsia="Arial" w:hAnsi="Arial"/>
          <w:sz w:val="18"/>
          <w:szCs w:val="18"/>
          <w:color w:val="auto"/>
        </w:rPr>
        <w:t>Investments include cash and cash equivalents, and various short-term debt instruments and short-term investment funds.</w:t>
      </w:r>
      <w:r>
        <w:rPr>
          <w:rFonts w:ascii="Arial" w:cs="Arial" w:eastAsia="Arial" w:hAnsi="Arial"/>
          <w:sz w:val="18"/>
          <w:szCs w:val="18"/>
          <w:i w:val="1"/>
          <w:iCs w:val="1"/>
          <w:color w:val="auto"/>
        </w:rPr>
        <w:t xml:space="preserve"> </w:t>
      </w:r>
      <w:r>
        <w:rPr>
          <w:rFonts w:ascii="Arial" w:cs="Arial" w:eastAsia="Arial" w:hAnsi="Arial"/>
          <w:sz w:val="18"/>
          <w:szCs w:val="18"/>
          <w:color w:val="auto"/>
        </w:rPr>
        <w:t>Institutional short-term investment vehicles valued daily are classified as Level 1 at cost which approximates market value. Short-term debt instruments are classified at Level 2 and are valued based on bid quotations and recent trade data for identical or similar obligations. Other investments valued based upon net asset value are included as a reconciling item to the fair value table.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Equities — </w:t>
      </w:r>
      <w:r>
        <w:rPr>
          <w:rFonts w:ascii="Arial" w:cs="Arial" w:eastAsia="Arial" w:hAnsi="Arial"/>
          <w:sz w:val="18"/>
          <w:szCs w:val="18"/>
          <w:color w:val="auto"/>
        </w:rPr>
        <w:t>Common stocks and preferred stocks are classified as Level 1 and are valued using quoted market prices in active markets.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Corporate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Government and agency bonds — </w:t>
      </w:r>
      <w:r>
        <w:rPr>
          <w:rFonts w:ascii="Arial" w:cs="Arial" w:eastAsia="Arial" w:hAnsi="Arial"/>
          <w:sz w:val="18"/>
          <w:szCs w:val="18"/>
          <w:color w:val="auto"/>
        </w:rPr>
        <w:t>These investments are generally valued based on bid quotations and recent trade data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314" w:right="239" w:bottom="1440" w:gutter="0" w:footer="0" w:header="0"/>
          <w:type w:val="continuous"/>
        </w:sectPr>
      </w:pPr>
    </w:p>
    <w:bookmarkStart w:id="53" w:name="page54"/>
    <w:bookmarkEnd w:id="53"/>
    <w:p>
      <w:pPr>
        <w:ind w:left="340"/>
        <w:spacing w:after="0"/>
        <w:rPr>
          <w:sz w:val="20"/>
          <w:szCs w:val="20"/>
          <w:color w:val="auto"/>
        </w:rPr>
      </w:pPr>
      <w:r>
        <w:rPr>
          <w:rFonts w:ascii="Arial" w:cs="Arial" w:eastAsia="Arial" w:hAnsi="Arial"/>
          <w:sz w:val="17"/>
          <w:szCs w:val="17"/>
          <w:i w:val="1"/>
          <w:iCs w:val="1"/>
          <w:color w:val="auto"/>
        </w:rPr>
        <w:t xml:space="preserve">Municipal bonds — </w:t>
      </w:r>
      <w:r>
        <w:rPr>
          <w:rFonts w:ascii="Arial" w:cs="Arial" w:eastAsia="Arial" w:hAnsi="Arial"/>
          <w:sz w:val="17"/>
          <w:szCs w:val="17"/>
          <w:color w:val="auto"/>
        </w:rPr>
        <w:t>These investments are valued based on quoted market prices, yield curves and pricing models using current market rates.</w:t>
      </w:r>
    </w:p>
    <w:p>
      <w:pPr>
        <w:spacing w:after="0" w:line="183"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i w:val="1"/>
          <w:iCs w:val="1"/>
          <w:color w:val="auto"/>
        </w:rPr>
        <w:t xml:space="preserve">Mortgage and asset backed securities — </w:t>
      </w:r>
      <w:r>
        <w:rPr>
          <w:rFonts w:ascii="Arial" w:cs="Arial" w:eastAsia="Arial" w:hAnsi="Arial"/>
          <w:sz w:val="16"/>
          <w:szCs w:val="16"/>
          <w:color w:val="auto"/>
        </w:rPr>
        <w:t>These investments are valued based on prices obtained from third party pricing sources. The prices from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pricing sources may be based on bid quotes from dealers and recent trade data. Mortgage backed securities are traded in the over-the-counter market.</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Real estate — </w:t>
      </w:r>
      <w:r>
        <w:rPr>
          <w:rFonts w:ascii="Arial" w:cs="Arial" w:eastAsia="Arial" w:hAnsi="Arial"/>
          <w:sz w:val="18"/>
          <w:szCs w:val="18"/>
          <w:color w:val="auto"/>
        </w:rPr>
        <w:t>Real estate investments consist of real estate investment trusts, property funds and limited partnerships. Real estate investment trusts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 and are valued based on quoted market prices. Property funds are classified as either Level 2 or Level 3 depending upon whether liquidity is limited or there are few observable market participant transactions. Property funds are valued based on third party appraisals. Limited partnerships are valued based upon valuations provided by the general partners of the funds. The values of limited partnerships are based upon an assessment of each underlying investment, incorporating valuations that consider the evaluation of financing and sales transactions with third parties, expected cash flows, and market-based information, including comparable transactions and performance multiples among other factors. The investments are classified as Level 3 since the valuation is determined using unobservable inputs. Real estate investments valued at net asset value are included as a reconciling item to the fair value table.</w:t>
      </w:r>
    </w:p>
    <w:p>
      <w:pPr>
        <w:spacing w:after="0" w:line="13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Hedge funds — </w:t>
      </w:r>
      <w:r>
        <w:rPr>
          <w:rFonts w:ascii="Arial" w:cs="Arial" w:eastAsia="Arial" w:hAnsi="Arial"/>
          <w:sz w:val="17"/>
          <w:szCs w:val="17"/>
          <w:color w:val="auto"/>
        </w:rPr>
        <w:t>Hedge fund investments include hedge funds valued based upon a net asset value derived from the fair value of underlying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Hedge fund investments that are subject to liquidity restrictions or that are based on unobservable inputs are classified as Level 3. Hedge fund investments may include long and short positions in equity and fixed income securities, derivative instruments such as futures and options, commodities and other types of securities. Hedge fund investments valued at net asset value are included as a reconciling item to the fair value table.</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Derivatives — </w:t>
      </w:r>
      <w:r>
        <w:rPr>
          <w:rFonts w:ascii="Arial" w:cs="Arial" w:eastAsia="Arial" w:hAnsi="Arial"/>
          <w:sz w:val="17"/>
          <w:szCs w:val="17"/>
          <w:color w:val="auto"/>
        </w:rPr>
        <w:t>Derivative financial instruments include forward currency contracts, futures contracts, options contracts, interest rate swaps and credit</w:t>
      </w:r>
      <w:r>
        <w:rPr>
          <w:rFonts w:ascii="Arial" w:cs="Arial" w:eastAsia="Arial" w:hAnsi="Arial"/>
          <w:sz w:val="17"/>
          <w:szCs w:val="17"/>
          <w:i w:val="1"/>
          <w:iCs w:val="1"/>
          <w:color w:val="auto"/>
        </w:rPr>
        <w:t xml:space="preserve"> </w:t>
      </w:r>
      <w:r>
        <w:rPr>
          <w:rFonts w:ascii="Arial" w:cs="Arial" w:eastAsia="Arial" w:hAnsi="Arial"/>
          <w:sz w:val="17"/>
          <w:szCs w:val="17"/>
          <w:color w:val="auto"/>
        </w:rPr>
        <w:t>default swaps. Derivative financial instruments are classified as Level 2 and are valued based on observable market transactions or prices.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Commingled funds — </w:t>
      </w:r>
      <w:r>
        <w:rPr>
          <w:rFonts w:ascii="Arial" w:cs="Arial" w:eastAsia="Arial" w:hAnsi="Arial"/>
          <w:sz w:val="18"/>
          <w:szCs w:val="18"/>
          <w:color w:val="auto"/>
        </w:rPr>
        <w:t>Investments in commingled funds are not traded in active markets. Blended commingled funds are invested in both equities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fixed income securities. Commingled funds are valued based on the net asset values of such funds and are included as a reconciling item to the fair value table.</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items to reconcile to fair value of plan assets included amounts due for securities sold, amounts payable for securities purchased, and other payables.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changes in fair value of Level 3 investments for the years ended July 30, 2017, and July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CCEEFF"/>
            </w:tcBorders>
          </w:tcPr>
          <w:p>
            <w:pPr>
              <w:spacing w:after="0"/>
              <w:rPr>
                <w:sz w:val="16"/>
                <w:szCs w:val="16"/>
                <w:color w:val="auto"/>
              </w:rPr>
            </w:pPr>
          </w:p>
        </w:tc>
        <w:tc>
          <w:tcPr>
            <w:tcW w:w="3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Hedge Funds</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31, 2016</w:t>
            </w:r>
          </w:p>
        </w:tc>
        <w:tc>
          <w:tcPr>
            <w:tcW w:w="34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Actual return on plan assets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Sales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Transfers out of Level 3</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Fair value at July 30, 2017</w:t>
            </w:r>
          </w:p>
        </w:tc>
        <w:tc>
          <w:tcPr>
            <w:tcW w:w="3280" w:type="dxa"/>
            <w:vAlign w:val="bottom"/>
            <w:tcBorders>
              <w:bottom w:val="single" w:sz="8" w:color="CCEEFF"/>
            </w:tcBorders>
            <w:gridSpan w:val="2"/>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3900" w:type="dxa"/>
            <w:vAlign w:val="bottom"/>
            <w:tcBorders>
              <w:bottom w:val="single" w:sz="8" w:color="CCEEFF"/>
            </w:tcBorders>
          </w:tcPr>
          <w:p>
            <w:pPr>
              <w:spacing w:after="0"/>
              <w:rPr>
                <w:sz w:val="24"/>
                <w:szCs w:val="24"/>
                <w:color w:val="auto"/>
              </w:rPr>
            </w:pPr>
          </w:p>
        </w:tc>
        <w:tc>
          <w:tcPr>
            <w:tcW w:w="32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Real Estate</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4"/>
              </w:rPr>
              <w:t>Hedge Funds</w:t>
            </w: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August 2, 2015</w:t>
            </w:r>
          </w:p>
        </w:tc>
        <w:tc>
          <w:tcPr>
            <w:tcW w:w="3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Actual return on plan assets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Sales</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w:t>
            </w:r>
          </w:p>
        </w:tc>
        <w:tc>
          <w:tcPr>
            <w:tcW w:w="3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Transfers out of Level 3</w:t>
            </w:r>
          </w:p>
        </w:tc>
        <w:tc>
          <w:tcPr>
            <w:tcW w:w="3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July 31, 2016</w:t>
            </w:r>
          </w:p>
        </w:tc>
        <w:tc>
          <w:tcPr>
            <w:tcW w:w="34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6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bottom w:val="single" w:sz="8" w:color="CCEEFF"/>
            </w:tcBorders>
            <w:vMerge w:val="restart"/>
          </w:tcPr>
          <w:p>
            <w:pPr>
              <w:jc w:val="right"/>
              <w:ind w:right="1210"/>
              <w:spacing w:after="0"/>
              <w:rPr>
                <w:sz w:val="20"/>
                <w:szCs w:val="20"/>
                <w:color w:val="auto"/>
              </w:rPr>
            </w:pPr>
            <w:r>
              <w:rPr>
                <w:rFonts w:ascii="Arial" w:cs="Arial" w:eastAsia="Arial" w:hAnsi="Arial"/>
                <w:sz w:val="18"/>
                <w:szCs w:val="18"/>
                <w:color w:val="auto"/>
              </w:rPr>
              <w:t>54</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900" w:type="dxa"/>
            <w:vAlign w:val="bottom"/>
          </w:tcPr>
          <w:p>
            <w:pPr>
              <w:spacing w:after="0"/>
              <w:rPr>
                <w:sz w:val="24"/>
                <w:szCs w:val="24"/>
                <w:color w:val="auto"/>
              </w:rPr>
            </w:pPr>
          </w:p>
        </w:tc>
        <w:tc>
          <w:tcPr>
            <w:tcW w:w="3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54" w:name="page55"/>
    <w:bookmarkEnd w:id="54"/>
    <w:p>
      <w:pPr>
        <w:ind w:right="20" w:firstLine="324"/>
        <w:spacing w:after="0" w:line="277" w:lineRule="auto"/>
        <w:rPr>
          <w:sz w:val="20"/>
          <w:szCs w:val="20"/>
          <w:color w:val="auto"/>
        </w:rPr>
      </w:pPr>
      <w:r>
        <w:rPr>
          <w:rFonts w:ascii="Arial" w:cs="Arial" w:eastAsia="Arial" w:hAnsi="Arial"/>
          <w:sz w:val="18"/>
          <w:szCs w:val="18"/>
          <w:color w:val="auto"/>
        </w:rPr>
        <w:t>The following tables present additional information about the pension plan assets valued using net asset value as a practical expedient within the fair value hierarchy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2"/>
          </w:tcPr>
          <w:p>
            <w:pPr>
              <w:jc w:val="right"/>
              <w:ind w:right="27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00" w:type="dxa"/>
            <w:vAlign w:val="bottom"/>
          </w:tcPr>
          <w:p>
            <w:pPr>
              <w:spacing w:after="0"/>
              <w:rPr>
                <w:sz w:val="13"/>
                <w:szCs w:val="13"/>
                <w:color w:val="auto"/>
              </w:rPr>
            </w:pPr>
          </w:p>
        </w:tc>
        <w:tc>
          <w:tcPr>
            <w:tcW w:w="84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1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Frequency</w:t>
            </w:r>
          </w:p>
        </w:tc>
        <w:tc>
          <w:tcPr>
            <w:tcW w:w="100" w:type="dxa"/>
            <w:vAlign w:val="bottom"/>
            <w:vMerge w:val="restart"/>
          </w:tcPr>
          <w:p>
            <w:pPr>
              <w:spacing w:after="0"/>
              <w:rPr>
                <w:sz w:val="13"/>
                <w:szCs w:val="13"/>
                <w:color w:val="auto"/>
              </w:rPr>
            </w:pPr>
          </w:p>
        </w:tc>
        <w:tc>
          <w:tcPr>
            <w:tcW w:w="1800" w:type="dxa"/>
            <w:vAlign w:val="bottom"/>
            <w:gridSpan w:val="4"/>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Redemption Notice Period</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3"/>
                <w:szCs w:val="13"/>
                <w:color w:val="auto"/>
              </w:rPr>
            </w:pP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Redemption Frequency</w:t>
            </w:r>
          </w:p>
        </w:tc>
        <w:tc>
          <w:tcPr>
            <w:tcW w:w="100" w:type="dxa"/>
            <w:vAlign w:val="bottom"/>
            <w:vMerge w:val="restart"/>
          </w:tcPr>
          <w:p>
            <w:pPr>
              <w:spacing w:after="0"/>
              <w:rPr>
                <w:sz w:val="13"/>
                <w:szCs w:val="13"/>
                <w:color w:val="auto"/>
              </w:rPr>
            </w:pPr>
          </w:p>
        </w:tc>
        <w:tc>
          <w:tcPr>
            <w:tcW w:w="146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2"/>
              </w:rPr>
              <w:t>Redemption Notice</w:t>
            </w:r>
          </w:p>
        </w:tc>
        <w:tc>
          <w:tcPr>
            <w:tcW w:w="0" w:type="dxa"/>
            <w:vAlign w:val="bottom"/>
          </w:tcPr>
          <w:p>
            <w:pPr>
              <w:spacing w:after="0"/>
              <w:rPr>
                <w:sz w:val="1"/>
                <w:szCs w:val="1"/>
                <w:color w:val="auto"/>
              </w:rPr>
            </w:pPr>
          </w:p>
        </w:tc>
      </w:tr>
      <w:tr>
        <w:trPr>
          <w:trHeight w:val="192"/>
        </w:trPr>
        <w:tc>
          <w:tcPr>
            <w:tcW w:w="22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390"/>
              <w:spacing w:after="0"/>
              <w:rPr>
                <w:sz w:val="20"/>
                <w:szCs w:val="20"/>
                <w:color w:val="auto"/>
              </w:rPr>
            </w:pPr>
            <w:r>
              <w:rPr>
                <w:rFonts w:ascii="Arial" w:cs="Arial" w:eastAsia="Arial" w:hAnsi="Arial"/>
                <w:sz w:val="14"/>
                <w:szCs w:val="14"/>
                <w:b w:val="1"/>
                <w:bCs w:val="1"/>
                <w:color w:val="auto"/>
                <w:w w:val="93"/>
              </w:rPr>
              <w:t>Range</w:t>
            </w:r>
          </w:p>
        </w:tc>
        <w:tc>
          <w:tcPr>
            <w:tcW w:w="12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70"/>
              <w:spacing w:after="0"/>
              <w:rPr>
                <w:sz w:val="20"/>
                <w:szCs w:val="20"/>
                <w:color w:val="auto"/>
              </w:rPr>
            </w:pPr>
            <w:r>
              <w:rPr>
                <w:rFonts w:ascii="Arial" w:cs="Arial" w:eastAsia="Arial" w:hAnsi="Arial"/>
                <w:sz w:val="14"/>
                <w:szCs w:val="14"/>
                <w:b w:val="1"/>
                <w:bCs w:val="1"/>
                <w:color w:val="auto"/>
                <w:w w:val="90"/>
              </w:rPr>
              <w:t>Period Range</w:t>
            </w:r>
          </w:p>
        </w:tc>
        <w:tc>
          <w:tcPr>
            <w:tcW w:w="0" w:type="dxa"/>
            <w:vAlign w:val="bottom"/>
          </w:tcPr>
          <w:p>
            <w:pPr>
              <w:spacing w:after="0"/>
              <w:rPr>
                <w:sz w:val="1"/>
                <w:szCs w:val="1"/>
                <w:color w:val="auto"/>
              </w:rPr>
            </w:pPr>
          </w:p>
        </w:tc>
      </w:tr>
      <w:tr>
        <w:trPr>
          <w:trHeight w:val="250"/>
        </w:trPr>
        <w:tc>
          <w:tcPr>
            <w:tcW w:w="2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Daily</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center"/>
              <w:ind w:right="600"/>
              <w:spacing w:after="0"/>
              <w:rPr>
                <w:sz w:val="20"/>
                <w:szCs w:val="20"/>
                <w:color w:val="auto"/>
              </w:rPr>
            </w:pPr>
            <w:r>
              <w:rPr>
                <w:rFonts w:ascii="Arial" w:cs="Arial" w:eastAsia="Arial" w:hAnsi="Arial"/>
                <w:sz w:val="18"/>
                <w:szCs w:val="18"/>
                <w:color w:val="auto"/>
                <w:w w:val="93"/>
              </w:rPr>
              <w:t>1 Day</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Daily</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43"/>
        </w:trPr>
        <w:tc>
          <w:tcPr>
            <w:tcW w:w="2200" w:type="dxa"/>
            <w:vAlign w:val="bottom"/>
          </w:tcPr>
          <w:p>
            <w:pPr>
              <w:ind w:left="40"/>
              <w:spacing w:after="0"/>
              <w:rPr>
                <w:sz w:val="20"/>
                <w:szCs w:val="20"/>
                <w:color w:val="auto"/>
              </w:rPr>
            </w:pPr>
            <w:r>
              <w:rPr>
                <w:rFonts w:ascii="Arial" w:cs="Arial" w:eastAsia="Arial" w:hAnsi="Arial"/>
                <w:sz w:val="18"/>
                <w:szCs w:val="18"/>
                <w:color w:val="auto"/>
              </w:rPr>
              <w:t>Commingled funds:</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Equities</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Daily, Monthly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10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60 Days</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ind w:left="560"/>
              <w:spacing w:after="0"/>
              <w:rPr>
                <w:sz w:val="20"/>
                <w:szCs w:val="20"/>
                <w:color w:val="auto"/>
              </w:rPr>
            </w:pPr>
            <w:r>
              <w:rPr>
                <w:rFonts w:ascii="Arial" w:cs="Arial" w:eastAsia="Arial" w:hAnsi="Arial"/>
                <w:sz w:val="18"/>
                <w:szCs w:val="18"/>
                <w:color w:val="auto"/>
              </w:rPr>
              <w:t>Daily, Monthly</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92"/>
              </w:rPr>
              <w:t>to</w:t>
            </w:r>
          </w:p>
        </w:tc>
        <w:tc>
          <w:tcPr>
            <w:tcW w:w="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60 Days</w:t>
            </w:r>
          </w:p>
        </w:tc>
        <w:tc>
          <w:tcPr>
            <w:tcW w:w="0" w:type="dxa"/>
            <w:vAlign w:val="bottom"/>
          </w:tcPr>
          <w:p>
            <w:pPr>
              <w:spacing w:after="0"/>
              <w:rPr>
                <w:sz w:val="1"/>
                <w:szCs w:val="1"/>
                <w:color w:val="auto"/>
              </w:rPr>
            </w:pPr>
          </w:p>
        </w:tc>
      </w:tr>
      <w:tr>
        <w:trPr>
          <w:trHeight w:val="243"/>
        </w:trPr>
        <w:tc>
          <w:tcPr>
            <w:tcW w:w="2200" w:type="dxa"/>
            <w:vAlign w:val="bottom"/>
          </w:tcPr>
          <w:p>
            <w:pPr>
              <w:ind w:left="200"/>
              <w:spacing w:after="0"/>
              <w:rPr>
                <w:sz w:val="20"/>
                <w:szCs w:val="20"/>
                <w:color w:val="auto"/>
              </w:rPr>
            </w:pPr>
            <w:r>
              <w:rPr>
                <w:rFonts w:ascii="Arial" w:cs="Arial" w:eastAsia="Arial" w:hAnsi="Arial"/>
                <w:sz w:val="18"/>
                <w:szCs w:val="18"/>
                <w:color w:val="auto"/>
              </w:rPr>
              <w:t>Fixed income</w:t>
            </w:r>
          </w:p>
        </w:tc>
        <w:tc>
          <w:tcPr>
            <w:tcW w:w="28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Daily</w:t>
            </w:r>
          </w:p>
        </w:tc>
        <w:tc>
          <w:tcPr>
            <w:tcW w:w="480" w:type="dxa"/>
            <w:vAlign w:val="bottom"/>
          </w:tcPr>
          <w:p>
            <w:pPr>
              <w:spacing w:after="0"/>
              <w:rPr>
                <w:sz w:val="21"/>
                <w:szCs w:val="21"/>
                <w:color w:val="auto"/>
              </w:rPr>
            </w:pPr>
          </w:p>
        </w:tc>
        <w:tc>
          <w:tcPr>
            <w:tcW w:w="1320" w:type="dxa"/>
            <w:vAlign w:val="bottom"/>
            <w:gridSpan w:val="3"/>
          </w:tcPr>
          <w:p>
            <w:pPr>
              <w:jc w:val="center"/>
              <w:ind w:right="600"/>
              <w:spacing w:after="0"/>
              <w:rPr>
                <w:sz w:val="20"/>
                <w:szCs w:val="20"/>
                <w:color w:val="auto"/>
              </w:rPr>
            </w:pPr>
            <w:r>
              <w:rPr>
                <w:rFonts w:ascii="Arial" w:cs="Arial" w:eastAsia="Arial" w:hAnsi="Arial"/>
                <w:sz w:val="18"/>
                <w:szCs w:val="18"/>
                <w:color w:val="auto"/>
                <w:w w:val="93"/>
              </w:rPr>
              <w:t>1 Day</w:t>
            </w:r>
          </w:p>
        </w:tc>
        <w:tc>
          <w:tcPr>
            <w:tcW w:w="26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Daily</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jc w:val="center"/>
              <w:ind w:right="39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Blended</w:t>
            </w:r>
          </w:p>
        </w:tc>
        <w:tc>
          <w:tcPr>
            <w:tcW w:w="2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Primarily Daily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106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20 Days</w:t>
            </w:r>
          </w:p>
        </w:tc>
        <w:tc>
          <w:tcPr>
            <w:tcW w:w="2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7"/>
              </w:rPr>
              <w:t>Primarily Daily</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center"/>
              <w:ind w:right="390"/>
              <w:spacing w:after="0"/>
              <w:rPr>
                <w:sz w:val="20"/>
                <w:szCs w:val="20"/>
                <w:color w:val="auto"/>
              </w:rPr>
            </w:pPr>
            <w:r>
              <w:rPr>
                <w:rFonts w:ascii="Arial" w:cs="Arial" w:eastAsia="Arial" w:hAnsi="Arial"/>
                <w:sz w:val="18"/>
                <w:szCs w:val="18"/>
                <w:color w:val="auto"/>
                <w:w w:val="89"/>
              </w:rPr>
              <w:t>1 Day</w:t>
            </w:r>
          </w:p>
        </w:tc>
        <w:tc>
          <w:tcPr>
            <w:tcW w:w="0" w:type="dxa"/>
            <w:vAlign w:val="bottom"/>
          </w:tcPr>
          <w:p>
            <w:pPr>
              <w:spacing w:after="0"/>
              <w:rPr>
                <w:sz w:val="1"/>
                <w:szCs w:val="1"/>
                <w:color w:val="auto"/>
              </w:rPr>
            </w:pPr>
          </w:p>
        </w:tc>
      </w:tr>
      <w:tr>
        <w:trPr>
          <w:trHeight w:val="270"/>
        </w:trPr>
        <w:tc>
          <w:tcPr>
            <w:tcW w:w="2200" w:type="dxa"/>
            <w:vAlign w:val="bottom"/>
          </w:tcPr>
          <w:p>
            <w:pPr>
              <w:ind w:left="40"/>
              <w:spacing w:after="0" w:line="270" w:lineRule="exact"/>
              <w:rPr>
                <w:sz w:val="20"/>
                <w:szCs w:val="20"/>
                <w:color w:val="auto"/>
              </w:rPr>
            </w:pPr>
            <w:r>
              <w:rPr>
                <w:rFonts w:ascii="Arial" w:cs="Arial" w:eastAsia="Arial" w:hAnsi="Arial"/>
                <w:sz w:val="18"/>
                <w:szCs w:val="18"/>
                <w:color w:val="auto"/>
              </w:rPr>
              <w:t>Real estate funds</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23"/>
                <w:szCs w:val="23"/>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Quarterly</w:t>
            </w: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ind w:left="60"/>
              <w:spacing w:after="0"/>
              <w:rPr>
                <w:sz w:val="20"/>
                <w:szCs w:val="20"/>
                <w:color w:val="auto"/>
              </w:rPr>
            </w:pPr>
            <w:r>
              <w:rPr>
                <w:rFonts w:ascii="Arial" w:cs="Arial" w:eastAsia="Arial" w:hAnsi="Arial"/>
                <w:sz w:val="18"/>
                <w:szCs w:val="18"/>
                <w:color w:val="auto"/>
              </w:rPr>
              <w:t>to</w:t>
            </w: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90 Days</w:t>
            </w:r>
          </w:p>
        </w:tc>
        <w:tc>
          <w:tcPr>
            <w:tcW w:w="260" w:type="dxa"/>
            <w:vAlign w:val="bottom"/>
          </w:tcPr>
          <w:p>
            <w:pPr>
              <w:spacing w:after="0"/>
              <w:rPr>
                <w:sz w:val="23"/>
                <w:szCs w:val="23"/>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3"/>
                <w:szCs w:val="23"/>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Primarily Quarterly</w:t>
            </w: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ind w:left="60"/>
              <w:spacing w:after="0"/>
              <w:rPr>
                <w:sz w:val="20"/>
                <w:szCs w:val="20"/>
                <w:color w:val="auto"/>
              </w:rPr>
            </w:pPr>
            <w:r>
              <w:rPr>
                <w:rFonts w:ascii="Arial" w:cs="Arial" w:eastAsia="Arial" w:hAnsi="Arial"/>
                <w:sz w:val="18"/>
                <w:szCs w:val="18"/>
                <w:color w:val="auto"/>
                <w:w w:val="92"/>
              </w:rPr>
              <w:t>to</w:t>
            </w:r>
          </w:p>
        </w:tc>
        <w:tc>
          <w:tcPr>
            <w:tcW w:w="980" w:type="dxa"/>
            <w:vAlign w:val="bottom"/>
          </w:tcPr>
          <w:p>
            <w:pPr>
              <w:ind w:left="100"/>
              <w:spacing w:after="0"/>
              <w:rPr>
                <w:sz w:val="20"/>
                <w:szCs w:val="20"/>
                <w:color w:val="auto"/>
              </w:rPr>
            </w:pPr>
            <w:r>
              <w:rPr>
                <w:rFonts w:ascii="Arial" w:cs="Arial" w:eastAsia="Arial" w:hAnsi="Arial"/>
                <w:sz w:val="18"/>
                <w:szCs w:val="18"/>
                <w:color w:val="auto"/>
              </w:rPr>
              <w:t>90 Days</w:t>
            </w:r>
          </w:p>
        </w:tc>
        <w:tc>
          <w:tcPr>
            <w:tcW w:w="0" w:type="dxa"/>
            <w:vAlign w:val="bottom"/>
          </w:tcPr>
          <w:p>
            <w:pPr>
              <w:spacing w:after="0"/>
              <w:rPr>
                <w:sz w:val="1"/>
                <w:szCs w:val="1"/>
                <w:color w:val="auto"/>
              </w:rPr>
            </w:pPr>
          </w:p>
        </w:tc>
      </w:tr>
      <w:tr>
        <w:trPr>
          <w:trHeight w:val="270"/>
        </w:trPr>
        <w:tc>
          <w:tcPr>
            <w:tcW w:w="22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Hedge funds</w:t>
            </w:r>
            <w:r>
              <w:rPr>
                <w:rFonts w:ascii="Arial" w:cs="Arial" w:eastAsia="Arial" w:hAnsi="Arial"/>
                <w:sz w:val="25"/>
                <w:szCs w:val="25"/>
                <w:color w:val="auto"/>
                <w:vertAlign w:val="superscript"/>
              </w:rPr>
              <w:t>(2)</w:t>
            </w:r>
          </w:p>
        </w:tc>
        <w:tc>
          <w:tcPr>
            <w:tcW w:w="28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w:t>
            </w:r>
          </w:p>
        </w:tc>
        <w:tc>
          <w:tcPr>
            <w:tcW w:w="120" w:type="dxa"/>
            <w:vAlign w:val="bottom"/>
            <w:shd w:val="clear" w:color="auto" w:fill="CCEEFF"/>
          </w:tcPr>
          <w:p>
            <w:pPr>
              <w:spacing w:after="0"/>
              <w:rPr>
                <w:sz w:val="23"/>
                <w:szCs w:val="23"/>
                <w:color w:val="auto"/>
              </w:rPr>
            </w:pPr>
          </w:p>
        </w:tc>
        <w:tc>
          <w:tcPr>
            <w:tcW w:w="19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Monthly</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10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 Days</w:t>
            </w:r>
          </w:p>
        </w:tc>
        <w:tc>
          <w:tcPr>
            <w:tcW w:w="26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3"/>
                <w:szCs w:val="23"/>
                <w:color w:val="auto"/>
              </w:rPr>
            </w:pPr>
          </w:p>
        </w:tc>
        <w:tc>
          <w:tcPr>
            <w:tcW w:w="21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5"/>
              </w:rPr>
              <w:t>Monthly, Quarterly</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2"/>
              </w:rPr>
              <w:t>to</w:t>
            </w:r>
          </w:p>
        </w:tc>
        <w:tc>
          <w:tcPr>
            <w:tcW w:w="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65 Days</w:t>
            </w:r>
          </w:p>
        </w:tc>
        <w:tc>
          <w:tcPr>
            <w:tcW w:w="0" w:type="dxa"/>
            <w:vAlign w:val="bottom"/>
          </w:tcPr>
          <w:p>
            <w:pPr>
              <w:spacing w:after="0"/>
              <w:rPr>
                <w:sz w:val="1"/>
                <w:szCs w:val="1"/>
                <w:color w:val="auto"/>
              </w:rPr>
            </w:pPr>
          </w:p>
        </w:tc>
      </w:tr>
      <w:tr>
        <w:trPr>
          <w:trHeight w:val="250"/>
        </w:trPr>
        <w:tc>
          <w:tcPr>
            <w:tcW w:w="2200" w:type="dxa"/>
            <w:vAlign w:val="bottom"/>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7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b w:val="1"/>
                <w:bCs w:val="1"/>
                <w:color w:val="auto"/>
              </w:rPr>
              <w:t>666</w:t>
            </w:r>
          </w:p>
        </w:tc>
        <w:tc>
          <w:tcPr>
            <w:tcW w:w="1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4378960</wp:posOffset>
            </wp:positionH>
            <wp:positionV relativeFrom="paragraph">
              <wp:posOffset>8890</wp:posOffset>
            </wp:positionV>
            <wp:extent cx="5060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26035</wp:posOffset>
            </wp:positionV>
            <wp:extent cx="5060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0609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8890</wp:posOffset>
            </wp:positionV>
            <wp:extent cx="531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1495" cy="8890"/>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26035</wp:posOffset>
            </wp:positionV>
            <wp:extent cx="531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22" w:lineRule="exact"/>
        <w:rPr>
          <w:sz w:val="20"/>
          <w:szCs w:val="20"/>
          <w:color w:val="auto"/>
        </w:rPr>
      </w:pPr>
    </w:p>
    <w:p>
      <w:pPr>
        <w:ind w:left="340" w:right="20" w:hanging="332"/>
        <w:spacing w:after="0" w:line="212"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Included real estate investments valued at $34 in 2016 for which a redemption queue was imposed by the investment manager increasing the redemption receipt period to up to 9 months after notice.</w:t>
      </w:r>
    </w:p>
    <w:p>
      <w:pPr>
        <w:spacing w:after="0" w:line="1" w:lineRule="exact"/>
        <w:rPr>
          <w:rFonts w:ascii="Arial" w:cs="Arial" w:eastAsia="Arial" w:hAnsi="Arial"/>
          <w:sz w:val="25"/>
          <w:szCs w:val="25"/>
          <w:color w:val="auto"/>
          <w:vertAlign w:val="superscript"/>
        </w:rPr>
      </w:pPr>
    </w:p>
    <w:p>
      <w:pPr>
        <w:ind w:left="340" w:right="20" w:hanging="332"/>
        <w:spacing w:after="0" w:line="209"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Includes a fund valued at $2 in 2017 and $45 in 2016 which is being liquidated. Distributions from the fund will be received as the underlying investments are liquidated which is estimated to occur by December 31, 2017.</w:t>
      </w:r>
    </w:p>
    <w:p>
      <w:pPr>
        <w:spacing w:after="0" w:line="6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There were no unfunded commitments in 2017 or 2016.</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contributions are expected to be made to U.S. pension plans in 2018. We expect contributions to non-U.S. pension plans to be approximately $5 in 2018.</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future benefit payments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Pension</w:t>
            </w:r>
          </w:p>
        </w:tc>
        <w:tc>
          <w:tcPr>
            <w:tcW w:w="160" w:type="dxa"/>
            <w:vAlign w:val="bottom"/>
          </w:tcPr>
          <w:p>
            <w:pPr>
              <w:spacing w:after="0"/>
              <w:rPr>
                <w:sz w:val="16"/>
                <w:szCs w:val="16"/>
                <w:color w:val="auto"/>
              </w:rPr>
            </w:pPr>
          </w:p>
        </w:tc>
        <w:tc>
          <w:tcPr>
            <w:tcW w:w="116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Postretirement</w:t>
            </w:r>
          </w:p>
        </w:tc>
      </w:tr>
      <w:tr>
        <w:trPr>
          <w:trHeight w:val="250"/>
        </w:trPr>
        <w:tc>
          <w:tcPr>
            <w:tcW w:w="8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2019</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28</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2021</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w:t>
            </w:r>
          </w:p>
        </w:tc>
      </w:tr>
      <w:tr>
        <w:trPr>
          <w:trHeight w:val="27"/>
        </w:trPr>
        <w:tc>
          <w:tcPr>
            <w:tcW w:w="8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2023-2027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97</w:t>
            </w:r>
          </w:p>
        </w:tc>
      </w:tr>
      <w:tr>
        <w:trPr>
          <w:trHeight w:val="324"/>
        </w:trPr>
        <w:tc>
          <w:tcPr>
            <w:tcW w:w="8260" w:type="dxa"/>
            <w:vAlign w:val="bottom"/>
          </w:tcPr>
          <w:p>
            <w:pPr>
              <w:ind w:left="340"/>
              <w:spacing w:after="0"/>
              <w:rPr>
                <w:sz w:val="20"/>
                <w:szCs w:val="20"/>
                <w:color w:val="auto"/>
              </w:rPr>
            </w:pPr>
            <w:r>
              <w:rPr>
                <w:rFonts w:ascii="Arial" w:cs="Arial" w:eastAsia="Arial" w:hAnsi="Arial"/>
                <w:sz w:val="18"/>
                <w:szCs w:val="18"/>
                <w:color w:val="auto"/>
              </w:rPr>
              <w:t>The estimated future benefit payments include payments from funded and unfunded plans.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4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401(k) Retirement Plan — </w:t>
      </w:r>
      <w:r>
        <w:rPr>
          <w:rFonts w:ascii="Arial" w:cs="Arial" w:eastAsia="Arial" w:hAnsi="Arial"/>
          <w:sz w:val="18"/>
          <w:szCs w:val="18"/>
          <w:color w:val="auto"/>
        </w:rPr>
        <w:t>We sponsor employee savings plans that cover substantially all U.S. employees. Effective January 1, 2011, we provide a</w:t>
      </w:r>
      <w:r>
        <w:rPr>
          <w:rFonts w:ascii="Arial" w:cs="Arial" w:eastAsia="Arial" w:hAnsi="Arial"/>
          <w:sz w:val="18"/>
          <w:szCs w:val="18"/>
          <w:i w:val="1"/>
          <w:iCs w:val="1"/>
          <w:color w:val="auto"/>
        </w:rPr>
        <w:t xml:space="preserve"> </w:t>
      </w:r>
      <w:r>
        <w:rPr>
          <w:rFonts w:ascii="Arial" w:cs="Arial" w:eastAsia="Arial" w:hAnsi="Arial"/>
          <w:sz w:val="18"/>
          <w:szCs w:val="18"/>
          <w:color w:val="auto"/>
        </w:rPr>
        <w:t>matching contribution of 100% of employee contributions up to 4% of compensation for employees who are not covered by collective bargaining agreements. Employees hired or rehired on or after January 1, 2011, who will not be eligible to participate in the defined benefit plans and who are not covered by collective bargaining agreements receive a contribution equal to 3% of compensation regardless of their participation in the 401(k) Retirement Plan. Amounts charged to Costs and expenses were $34 in 2017, $33 in 2016 and $31 in 2015.</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14" w:right="239" w:bottom="1440" w:gutter="0" w:footer="0" w:header="0"/>
        </w:sectPr>
      </w:pPr>
    </w:p>
    <w:bookmarkStart w:id="55" w:name="page56"/>
    <w:bookmarkEnd w:id="55"/>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Taxes on Earnings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provision for income taxes on earnings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7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Currently payable: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238</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7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w:t>
            </w: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313</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316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Federal</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77</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70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7040" w:type="dxa"/>
            <w:vAlign w:val="bottom"/>
            <w:gridSpan w:val="2"/>
          </w:tcPr>
          <w:p>
            <w:pPr>
              <w:ind w:left="160"/>
              <w:spacing w:after="0"/>
              <w:rPr>
                <w:sz w:val="20"/>
                <w:szCs w:val="20"/>
                <w:color w:val="auto"/>
              </w:rPr>
            </w:pPr>
            <w:r>
              <w:rPr>
                <w:rFonts w:ascii="Arial" w:cs="Arial" w:eastAsia="Arial" w:hAnsi="Arial"/>
                <w:sz w:val="18"/>
                <w:szCs w:val="18"/>
                <w:color w:val="auto"/>
              </w:rPr>
              <w:t>Non-U.S.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93</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406</w:t>
            </w:r>
          </w:p>
        </w:tc>
        <w:tc>
          <w:tcPr>
            <w:tcW w:w="8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before income taxes: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1,103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705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Non-U.S.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190</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1,293</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849</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74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0" w:type="dxa"/>
            <w:vAlign w:val="bottom"/>
          </w:tcPr>
          <w:p>
            <w:pPr>
              <w:spacing w:after="0"/>
              <w:rPr>
                <w:sz w:val="24"/>
                <w:szCs w:val="24"/>
                <w:color w:val="auto"/>
              </w:rPr>
            </w:pPr>
          </w:p>
        </w:tc>
        <w:tc>
          <w:tcPr>
            <w:tcW w:w="8520" w:type="dxa"/>
            <w:vAlign w:val="bottom"/>
            <w:gridSpan w:val="9"/>
          </w:tcPr>
          <w:p>
            <w:pPr>
              <w:ind w:left="300"/>
              <w:spacing w:after="0"/>
              <w:rPr>
                <w:sz w:val="20"/>
                <w:szCs w:val="20"/>
                <w:color w:val="auto"/>
              </w:rPr>
            </w:pPr>
            <w:r>
              <w:rPr>
                <w:rFonts w:ascii="Arial" w:cs="Arial" w:eastAsia="Arial" w:hAnsi="Arial"/>
                <w:sz w:val="18"/>
                <w:szCs w:val="18"/>
                <w:color w:val="auto"/>
                <w:w w:val="95"/>
              </w:rPr>
              <w:t>The following is a reconciliation of the effective income tax rate to the U.S. federal statutory income tax rate:</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 w:type="dxa"/>
            <w:vAlign w:val="bottom"/>
            <w:tcBorders>
              <w:bottom w:val="single" w:sz="8" w:color="CCEEFF"/>
            </w:tcBorders>
          </w:tcPr>
          <w:p>
            <w:pPr>
              <w:spacing w:after="0"/>
              <w:rPr>
                <w:sz w:val="24"/>
                <w:szCs w:val="24"/>
                <w:color w:val="auto"/>
              </w:rPr>
            </w:pPr>
          </w:p>
        </w:tc>
        <w:tc>
          <w:tcPr>
            <w:tcW w:w="674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income tax rate</w:t>
            </w:r>
          </w:p>
        </w:tc>
        <w:tc>
          <w:tcPr>
            <w:tcW w:w="3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State income taxes (net of federal tax benefit)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effect of international items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Settlement of tax contingencies</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Federal manufacturing deduction</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gridSpan w:val="3"/>
          </w:tcPr>
          <w:p>
            <w:pPr>
              <w:ind w:left="40"/>
              <w:spacing w:after="0"/>
              <w:rPr>
                <w:sz w:val="20"/>
                <w:szCs w:val="20"/>
                <w:color w:val="auto"/>
              </w:rPr>
            </w:pPr>
            <w:r>
              <w:rPr>
                <w:rFonts w:ascii="Arial" w:cs="Arial" w:eastAsia="Arial" w:hAnsi="Arial"/>
                <w:sz w:val="18"/>
                <w:szCs w:val="18"/>
                <w:color w:val="auto"/>
              </w:rPr>
              <w:t>Goodwill impairment</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5"/>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08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Foreign exchange losses</w:t>
            </w:r>
            <w:r>
              <w:rPr>
                <w:rFonts w:ascii="Arial" w:cs="Arial" w:eastAsia="Arial" w:hAnsi="Arial"/>
                <w:sz w:val="25"/>
                <w:szCs w:val="25"/>
                <w:color w:val="auto"/>
                <w:vertAlign w:val="superscript"/>
              </w:rPr>
              <w:t>(1)</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112"/>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4"/>
          </w:tcPr>
          <w:p>
            <w:pPr>
              <w:jc w:val="right"/>
              <w:ind w:right="4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80" w:type="dxa"/>
            <w:vAlign w:val="bottom"/>
            <w:gridSpan w:val="2"/>
          </w:tcPr>
          <w:p>
            <w:pPr>
              <w:ind w:left="40"/>
              <w:spacing w:after="0"/>
              <w:rPr>
                <w:sz w:val="20"/>
                <w:szCs w:val="20"/>
                <w:color w:val="auto"/>
              </w:rPr>
            </w:pPr>
            <w:r>
              <w:rPr>
                <w:rFonts w:ascii="Arial" w:cs="Arial" w:eastAsia="Arial" w:hAnsi="Arial"/>
                <w:sz w:val="18"/>
                <w:szCs w:val="18"/>
                <w:color w:val="auto"/>
              </w:rPr>
              <w:t>Effective income tax rate</w:t>
            </w:r>
          </w:p>
        </w:tc>
        <w:tc>
          <w:tcPr>
            <w:tcW w:w="3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31.4 %</w:t>
            </w:r>
          </w:p>
        </w:tc>
        <w:tc>
          <w:tcPr>
            <w:tcW w:w="1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33.7 %</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8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20" w:hanging="332"/>
        <w:spacing w:after="0" w:line="216"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The 2017 rate was favorably impacted by a $52 benefit primarily related to the sale of intercompany notes receivable to a financial institution, which resulted in the recognition of foreign exchange losses.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10" w:right="239" w:bottom="1440" w:gutter="0" w:footer="0" w:header="0"/>
        </w:sectPr>
      </w:pPr>
    </w:p>
    <w:bookmarkStart w:id="56" w:name="page57"/>
    <w:bookmarkEnd w:id="56"/>
    <w:p>
      <w:pPr>
        <w:ind w:left="340"/>
        <w:spacing w:after="0"/>
        <w:rPr>
          <w:sz w:val="20"/>
          <w:szCs w:val="20"/>
          <w:color w:val="auto"/>
        </w:rPr>
      </w:pPr>
      <w:r>
        <w:rPr>
          <w:rFonts w:ascii="Arial" w:cs="Arial" w:eastAsia="Arial" w:hAnsi="Arial"/>
          <w:sz w:val="18"/>
          <w:szCs w:val="18"/>
          <w:color w:val="auto"/>
        </w:rPr>
        <w:t>Deferred tax liabilities and assets are comprised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5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362</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Amortization</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521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541</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Deferred tax liabilities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896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926</w:t>
            </w:r>
          </w:p>
        </w:tc>
      </w:tr>
      <w:tr>
        <w:trPr>
          <w:trHeight w:val="27"/>
        </w:trPr>
        <w:tc>
          <w:tcPr>
            <w:tcW w:w="8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and compensation</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266</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Pension benefits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185</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loss carryforwards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Capital loss carryforwards</w:t>
            </w:r>
          </w:p>
        </w:tc>
        <w:tc>
          <w:tcPr>
            <w:tcW w:w="880" w:type="dxa"/>
            <w:vAlign w:val="bottom"/>
          </w:tcPr>
          <w:p>
            <w:pPr>
              <w:spacing w:after="0"/>
              <w:rPr>
                <w:sz w:val="21"/>
                <w:szCs w:val="21"/>
                <w:color w:val="auto"/>
              </w:rPr>
            </w:pPr>
          </w:p>
        </w:tc>
        <w:tc>
          <w:tcPr>
            <w:tcW w:w="480" w:type="dxa"/>
            <w:vAlign w:val="bottom"/>
          </w:tcPr>
          <w:p>
            <w:pPr>
              <w:jc w:val="right"/>
              <w:ind w:right="10"/>
              <w:spacing w:after="0"/>
              <w:rPr>
                <w:sz w:val="20"/>
                <w:szCs w:val="20"/>
                <w:color w:val="auto"/>
              </w:rPr>
            </w:pPr>
            <w:r>
              <w:rPr>
                <w:rFonts w:ascii="Arial" w:cs="Arial" w:eastAsia="Arial" w:hAnsi="Arial"/>
                <w:sz w:val="18"/>
                <w:szCs w:val="18"/>
                <w:b w:val="1"/>
                <w:bCs w:val="1"/>
                <w:color w:val="auto"/>
              </w:rPr>
              <w:t>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88</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Gross deferred tax assets</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689</w:t>
            </w:r>
          </w:p>
        </w:tc>
      </w:tr>
      <w:tr>
        <w:trPr>
          <w:trHeight w:val="27"/>
        </w:trPr>
        <w:tc>
          <w:tcPr>
            <w:tcW w:w="8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 valuation allowance</w:t>
            </w: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37"/>
        </w:trPr>
        <w:tc>
          <w:tcPr>
            <w:tcW w:w="8520" w:type="dxa"/>
            <w:vAlign w:val="bottom"/>
          </w:tcPr>
          <w:p>
            <w:pPr>
              <w:ind w:left="160"/>
              <w:spacing w:after="0"/>
              <w:rPr>
                <w:sz w:val="20"/>
                <w:szCs w:val="20"/>
                <w:color w:val="auto"/>
              </w:rPr>
            </w:pPr>
            <w:r>
              <w:rPr>
                <w:rFonts w:ascii="Arial" w:cs="Arial" w:eastAsia="Arial" w:hAnsi="Arial"/>
                <w:sz w:val="18"/>
                <w:szCs w:val="18"/>
                <w:color w:val="auto"/>
              </w:rPr>
              <w:t>Deferred tax assets, net of valuation allowance</w:t>
            </w:r>
          </w:p>
        </w:tc>
        <w:tc>
          <w:tcPr>
            <w:tcW w:w="88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571</w:t>
            </w:r>
          </w:p>
        </w:tc>
      </w:tr>
      <w:tr>
        <w:trPr>
          <w:trHeight w:val="27"/>
        </w:trPr>
        <w:tc>
          <w:tcPr>
            <w:tcW w:w="85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liability</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July 30, 2017, our U.S. and non-U.S. subsidiaries had tax loss carryforwards of approximately $170. Of these carryforwards, $149 expire between 2018 and 2037, and $21 may be carried forward indefinitely. At July 30, 2017, deferred tax asset valuation allowances have been established to offset $137 of these tax loss carryforwards. Additionally, at July 30, 2017, our non-U.S. subsidiaries had capital loss carryforwards of approximately $323, which were fully offset by valuation allowances.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net change in the deferred tax asset valuation allowance in 2017 was an increase of $2. The increase was primarily due to the impact of currency and the recognition of additional valuation allowances on tax loss carryforwards, partially offset by the expiration of tax losses. The net change in the deferred tax asset valuation allowance in 2016 was a decrease of $4. The decrease was primarily due to the expiration of tax losses, partially offset by the recognition of additional valuation allowance on tax loss carryforwards.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July 30, 2017, other deferred tax assets included $1 of state tax credit carryforwards related to various states that expire between 2021 and 2029. As of July 31, 2016, other deferred tax assets included $2 of state tax credit carryforwards related to various states that expire between 2018 and 2025. No valuation allowances have been established related to these deferred tax assets.</w:t>
      </w:r>
    </w:p>
    <w:p>
      <w:pPr>
        <w:spacing w:after="0" w:line="12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July 30, 2017, U.S. income taxes have not been provided on approximately $820 of undistributed earnings of non-U.S. subsidiaries, which are deemed to be permanently reinvested. It is not practical to estimate the tax liability that might be incurred if such earnings were remitted to the U.S.</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activity related to unrecognized tax benefits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04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prior-year tax positions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w:t>
            </w:r>
          </w:p>
        </w:tc>
      </w:tr>
      <w:tr>
        <w:trPr>
          <w:trHeight w:val="27"/>
        </w:trPr>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Decreases related to prior-year tax positions</w:t>
            </w:r>
          </w:p>
        </w:tc>
        <w:tc>
          <w:tcPr>
            <w:tcW w:w="9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Increases related to current-year tax positions</w:t>
            </w:r>
          </w:p>
        </w:tc>
        <w:tc>
          <w:tcPr>
            <w:tcW w:w="9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w:t>
            </w:r>
          </w:p>
        </w:tc>
      </w:tr>
      <w:tr>
        <w:trPr>
          <w:trHeight w:val="27"/>
        </w:trPr>
        <w:tc>
          <w:tcPr>
            <w:tcW w:w="7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Settlements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040" w:type="dxa"/>
            <w:vAlign w:val="bottom"/>
          </w:tcPr>
          <w:p>
            <w:pPr>
              <w:ind w:left="160"/>
              <w:spacing w:after="0"/>
              <w:rPr>
                <w:sz w:val="20"/>
                <w:szCs w:val="20"/>
                <w:color w:val="auto"/>
              </w:rPr>
            </w:pPr>
            <w:r>
              <w:rPr>
                <w:rFonts w:ascii="Arial" w:cs="Arial" w:eastAsia="Arial" w:hAnsi="Arial"/>
                <w:sz w:val="18"/>
                <w:szCs w:val="18"/>
                <w:color w:val="auto"/>
              </w:rPr>
              <w:t>Lapse of statute</w:t>
            </w:r>
          </w:p>
        </w:tc>
        <w:tc>
          <w:tcPr>
            <w:tcW w:w="96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70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year</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amount of unrecognized tax benefits that, if recognized, would impact the annual effective tax rate was $43 as of July 30, 2017, $42 as of July 31, 2016, and $39 as of August 2, 2015. The total amount of unrecognized tax benefits can change due to audit settlements, tax examination activities, statute expirations and the recognition and measurement criteria under accounting for uncertainty in income taxes. We are unable to estimate what this change may be within the next 12 months, but do not believe that it will be material to the financial statements. Approximately $5 of unrecognized tax benefits, including interest and penalties, were reported in Accounts receivable in the Consolidated Balance Sheets as of July 30, 2017, and July 31, 2016.</w:t>
      </w:r>
    </w:p>
    <w:p>
      <w:pPr>
        <w:spacing w:after="0" w:line="10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accounting policy with respect to interest and penalties attributable to income taxes is to reflect any expense or benefit as a component of our income tax provision. The total amount of interest and penalties recognized in the Consolidated Statements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314" w:right="239" w:bottom="1440" w:gutter="0" w:footer="0" w:header="0"/>
          <w:type w:val="continuous"/>
        </w:sectPr>
      </w:pPr>
    </w:p>
    <w:bookmarkStart w:id="57" w:name="page58"/>
    <w:bookmarkEnd w:id="57"/>
    <w:p>
      <w:pPr>
        <w:jc w:val="both"/>
        <w:spacing w:after="0" w:line="277" w:lineRule="auto"/>
        <w:rPr>
          <w:sz w:val="20"/>
          <w:szCs w:val="20"/>
          <w:color w:val="auto"/>
        </w:rPr>
      </w:pPr>
      <w:r>
        <w:rPr>
          <w:rFonts w:ascii="Arial" w:cs="Arial" w:eastAsia="Arial" w:hAnsi="Arial"/>
          <w:sz w:val="18"/>
          <w:szCs w:val="18"/>
          <w:color w:val="auto"/>
        </w:rPr>
        <w:t>of Earnings was $4 in 2017, $3 in 2016 and $1 in 2015. The total amount of interest and penalties recognized in the Consolidated Balance Sheets in Other liabilities was $5 as of July 30, 2017, and $6 as of July 31, 2016.</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business internationally and, as a result, file income tax returns in the U.S. federal jurisdiction and various state and non-U.S. jurisdictions. In the normal course of business, we are subject to examination by taxing authorities throughout the world, including such major jurisdictions as the U.S., Australia, Canada and Denmark. The 2017 tax year is currently under audit by the Internal Revenue Service. In addition, several state income tax examinations are in progress for the years 1999 to 2016.</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With limited exceptions, we have been audited for income tax purposes in Australia through 2010, Denmark through 2013, and in Canada through 2014.</w:t>
      </w:r>
    </w:p>
    <w:p>
      <w:pPr>
        <w:spacing w:after="0" w:line="190" w:lineRule="exact"/>
        <w:rPr>
          <w:sz w:val="20"/>
          <w:szCs w:val="20"/>
          <w:color w:val="auto"/>
        </w:rPr>
      </w:pPr>
    </w:p>
    <w:p>
      <w:pPr>
        <w:jc w:val="both"/>
        <w:ind w:left="340" w:right="7640" w:hanging="332"/>
        <w:spacing w:after="0" w:line="534" w:lineRule="auto"/>
        <w:tabs>
          <w:tab w:leader="none" w:pos="340"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Short-term Borrowings and Long-term Debt </w:t>
      </w:r>
      <w:r>
        <w:rPr>
          <w:rFonts w:ascii="Arial" w:cs="Arial" w:eastAsia="Arial" w:hAnsi="Arial"/>
          <w:sz w:val="16"/>
          <w:szCs w:val="16"/>
          <w:color w:val="auto"/>
        </w:rPr>
        <w:t>Short-term borrowings consist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102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Australian note</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152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Current portion of Canadian credit facility</w:t>
            </w:r>
          </w:p>
        </w:tc>
        <w:tc>
          <w:tcPr>
            <w:tcW w:w="102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Variable-rate bank borrowings</w:t>
            </w:r>
          </w:p>
        </w:tc>
        <w:tc>
          <w:tcPr>
            <w:tcW w:w="10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Capital leases</w:t>
            </w:r>
          </w:p>
        </w:tc>
        <w:tc>
          <w:tcPr>
            <w:tcW w:w="1020" w:type="dxa"/>
            <w:vAlign w:val="bottom"/>
          </w:tcPr>
          <w:p>
            <w:pPr>
              <w:spacing w:after="0"/>
              <w:rPr>
                <w:sz w:val="21"/>
                <w:szCs w:val="21"/>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02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8120" w:type="dxa"/>
            <w:vAlign w:val="bottom"/>
          </w:tcPr>
          <w:p>
            <w:pPr>
              <w:ind w:left="280"/>
              <w:spacing w:after="0"/>
              <w:rPr>
                <w:sz w:val="20"/>
                <w:szCs w:val="20"/>
                <w:color w:val="auto"/>
              </w:rPr>
            </w:pPr>
            <w:r>
              <w:rPr>
                <w:rFonts w:ascii="Arial" w:cs="Arial" w:eastAsia="Arial" w:hAnsi="Arial"/>
                <w:sz w:val="18"/>
                <w:szCs w:val="18"/>
                <w:color w:val="auto"/>
              </w:rPr>
              <w:t>Total short-term borrowings</w:t>
            </w:r>
          </w:p>
        </w:tc>
        <w:tc>
          <w:tcPr>
            <w:tcW w:w="1020" w:type="dxa"/>
            <w:vAlign w:val="bottom"/>
            <w:tcBorders>
              <w:top w:val="single" w:sz="8" w:color="auto"/>
            </w:tcBorders>
          </w:tcPr>
          <w:p>
            <w:pPr>
              <w:jc w:val="right"/>
              <w:ind w:right="83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1,037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0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July 30, 2017, the weighted-average interest rate of commercial paper, which consisted of U.S. borrowings, was 1.31%. As of July 31, 2016, the weighted-average interest rate of commercial paper, which consisted of U.S. borrowings, was 0.74%.</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30, 2017, we had $1,037 of short-term borrowings due within one year, of which $874 was comprised of commercial paper borrowings. As of July 30, 2017, we issued $48 of standby letters of credit. We have a committed revolving credit facility totaling $1,850 that matures in December 2021. This U.S. facility remained unused at July 30, 2017, except for $1 of standby letters of credit that we issued under it. The U.S. facility supports our commercial paper programs and other general corporate purposes.</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June 2017, we sold an intercompany note to a financial institution of AUD $190, or $152, with an interest rate of 6.98% that matures on March 29, 2021, but is payable upon demand. Interest on the note is due semi-annually on January 23 and July 23. The net proceeds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31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Long-term debt consists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w:t>
            </w:r>
          </w:p>
        </w:tc>
        <w:tc>
          <w:tcPr>
            <w:tcW w:w="1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of</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Rate</w:t>
            </w: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vMerge w:val="restart"/>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58"/>
        </w:trPr>
        <w:tc>
          <w:tcPr>
            <w:tcW w:w="5380" w:type="dxa"/>
            <w:vAlign w:val="bottom"/>
            <w:gridSpan w:val="3"/>
            <w:vMerge w:val="continue"/>
          </w:tcPr>
          <w:p>
            <w:pPr>
              <w:spacing w:after="0"/>
              <w:rPr>
                <w:sz w:val="13"/>
                <w:szCs w:val="13"/>
                <w:color w:val="auto"/>
              </w:rPr>
            </w:pPr>
          </w:p>
        </w:tc>
        <w:tc>
          <w:tcPr>
            <w:tcW w:w="138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Maturity</w:t>
            </w:r>
          </w:p>
        </w:tc>
        <w:tc>
          <w:tcPr>
            <w:tcW w:w="20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Canadian credit facility</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Variable</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130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Australian note</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4.50%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Debentures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8.88%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0"/>
              </w:rPr>
              <w:t>3.30%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300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2043</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5380" w:type="dxa"/>
            <w:vAlign w:val="bottom"/>
            <w:gridSpan w:val="3"/>
          </w:tcPr>
          <w:p>
            <w:pPr>
              <w:ind w:left="40"/>
              <w:spacing w:after="0"/>
              <w:rPr>
                <w:sz w:val="20"/>
                <w:szCs w:val="20"/>
                <w:color w:val="auto"/>
              </w:rPr>
            </w:pPr>
            <w:r>
              <w:rPr>
                <w:rFonts w:ascii="Arial" w:cs="Arial" w:eastAsia="Arial" w:hAnsi="Arial"/>
                <w:sz w:val="18"/>
                <w:szCs w:val="18"/>
                <w:color w:val="auto"/>
              </w:rPr>
              <w:t>Capital leases</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2,499</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5"/>
                <w:szCs w:val="25"/>
                <w:color w:val="auto"/>
                <w:vertAlign w:val="superscript"/>
              </w:rPr>
              <w:t>(1)</w:t>
            </w: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5340" w:type="dxa"/>
            <w:vAlign w:val="bottom"/>
            <w:gridSpan w:val="2"/>
          </w:tcPr>
          <w:p>
            <w:pPr>
              <w:ind w:left="240"/>
              <w:spacing w:after="0"/>
              <w:rPr>
                <w:sz w:val="20"/>
                <w:szCs w:val="20"/>
                <w:color w:val="auto"/>
              </w:rPr>
            </w:pPr>
            <w:r>
              <w:rPr>
                <w:rFonts w:ascii="Arial" w:cs="Arial" w:eastAsia="Arial" w:hAnsi="Arial"/>
                <w:sz w:val="18"/>
                <w:szCs w:val="18"/>
                <w:color w:val="auto"/>
              </w:rPr>
              <w:t>Total long-term debt</w:t>
            </w: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2,499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7"/>
        </w:trPr>
        <w:tc>
          <w:tcPr>
            <w:tcW w:w="538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gridSpan w:val="3"/>
            <w:vMerge w:val="continu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gridSpan w:val="3"/>
            <w:vMerge w:val="continue"/>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unamortized net discount/premium on debt issuances and debt issuance costs.</w:t>
      </w:r>
    </w:p>
    <w:p>
      <w:pPr>
        <w:spacing w:after="0" w:line="1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2016, we entered into a Canadian committed revolving credit facility that matures in July 2019. As of July 30, 2017, the total commitment under the Canadian facility was CAD $170, or $137, and we had borrowings of CAD $162, or $130, at a rate of 2.09% under this facility. The Canadian facility supports general corporate purposes.</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In June 2017, we sold an intercompany note to a financial institution of AUD $280, or $224, with an interest rate of 4.88% that matures on September 18, 2018. Interest on the note is due semi-annually on January 23 and July 23. The net proceeds were used for general corporate purposes.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Principal amounts of long-term debt mature as follows: $654 in 2019; $1 in 2020; $700 in 2021; $1 in 2022; and a total of $1,155 in periods beyond 2022.</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July 30, 2017, or July 31, 2016.</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2017, our largest customer accounted for approximately 20%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39% of our consolidated net sales in 2017.</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w:t>
      </w:r>
    </w:p>
    <w:p>
      <w:pPr>
        <w:sectPr>
          <w:pgSz w:w="11900" w:h="16838" w:orient="portrait"/>
          <w:cols w:equalWidth="0" w:num="1">
            <w:col w:w="11420"/>
          </w:cols>
          <w:pgMar w:left="240" w:top="1233"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233" w:right="239" w:bottom="1440" w:gutter="0" w:footer="0" w:header="0"/>
          <w:type w:val="continuous"/>
        </w:sectPr>
      </w:pPr>
    </w:p>
    <w:bookmarkStart w:id="59" w:name="page60"/>
    <w:bookmarkEnd w:id="59"/>
    <w:p>
      <w:pPr>
        <w:jc w:val="both"/>
        <w:spacing w:after="0" w:line="291" w:lineRule="auto"/>
        <w:rPr>
          <w:sz w:val="20"/>
          <w:szCs w:val="20"/>
          <w:color w:val="auto"/>
        </w:rPr>
      </w:pPr>
      <w:r>
        <w:rPr>
          <w:rFonts w:ascii="Arial" w:cs="Arial" w:eastAsia="Arial" w:hAnsi="Arial"/>
          <w:sz w:val="16"/>
          <w:szCs w:val="16"/>
          <w:color w:val="auto"/>
        </w:rPr>
        <w:t>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$84 at July 30, 2017, and $91 at July 31, 2016.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$336 and $175 at July 30, 2017, and July 31, 2016, respectively. There were no cross-currency swap contracts outstanding as of July 30, 2017 or July 31, 2016.</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July 30, 2017, and July 31, 2016, which relates to an anticipated debt issuance in 2018.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butter, corn, soybean meal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July 30, 2017, or July 31, 2016. The notional amount of commodity contracts not designated as accounting hedges was $90 at July 30, 2017, and $88 at July 31, 2016.</w:t>
      </w:r>
    </w:p>
    <w:p>
      <w:pPr>
        <w:spacing w:after="0" w:line="1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is approximately $35 as of July 30, 2017. The fair value was not material as of July 30, 2017. Unrealized gains (losses) and settlements are included in Cost of products sold in our Consolidated Statements of Earnings.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July 30, 2017, and July 31, 2016, were $43 and $44,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14" w:right="239" w:bottom="1440" w:gutter="0" w:footer="0" w:header="0"/>
        </w:sectPr>
      </w:pPr>
    </w:p>
    <w:bookmarkStart w:id="60" w:name="page61"/>
    <w:bookmarkEnd w:id="60"/>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July 30, 2017, and July 31, 2016:</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542"/>
        </w:trPr>
        <w:tc>
          <w:tcPr>
            <w:tcW w:w="5500" w:type="dxa"/>
            <w:vAlign w:val="bottom"/>
          </w:tcPr>
          <w:p>
            <w:pPr>
              <w:spacing w:after="0"/>
              <w:rPr>
                <w:sz w:val="24"/>
                <w:szCs w:val="24"/>
                <w:color w:val="auto"/>
              </w:rPr>
            </w:pPr>
          </w:p>
        </w:tc>
        <w:tc>
          <w:tcPr>
            <w:tcW w:w="2620" w:type="dxa"/>
            <w:vAlign w:val="bottom"/>
            <w:gridSpan w:val="2"/>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380" w:type="dxa"/>
            <w:vAlign w:val="bottom"/>
          </w:tcPr>
          <w:p>
            <w:pPr>
              <w:spacing w:after="0"/>
              <w:rPr>
                <w:sz w:val="24"/>
                <w:szCs w:val="24"/>
                <w:color w:val="auto"/>
              </w:rPr>
            </w:pPr>
          </w:p>
        </w:tc>
        <w:tc>
          <w:tcPr>
            <w:tcW w:w="1220" w:type="dxa"/>
            <w:vAlign w:val="bottom"/>
          </w:tcPr>
          <w:p>
            <w:pPr>
              <w:jc w:val="right"/>
              <w:ind w:right="57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jc w:val="right"/>
              <w:ind w:right="572"/>
              <w:spacing w:after="0"/>
              <w:rPr>
                <w:sz w:val="20"/>
                <w:szCs w:val="20"/>
                <w:color w:val="auto"/>
              </w:rPr>
            </w:pPr>
            <w:r>
              <w:rPr>
                <w:rFonts w:ascii="Arial" w:cs="Arial" w:eastAsia="Arial" w:hAnsi="Arial"/>
                <w:sz w:val="14"/>
                <w:szCs w:val="14"/>
                <w:b w:val="1"/>
                <w:bCs w:val="1"/>
                <w:color w:val="auto"/>
              </w:rPr>
              <w:t>2016</w:t>
            </w: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48</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July 30, 2017, and July 31, 2016,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41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July 30, 2017, and July 31, 2016, a cash margin account balance of $1 and $5, respectively, was included in Other current assets in the Consolidated Balance Sheets.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1314" w:right="239" w:bottom="1440" w:gutter="0" w:footer="0" w:header="0"/>
          <w:type w:val="continuous"/>
        </w:sectPr>
      </w:pPr>
    </w:p>
    <w:bookmarkStart w:id="61" w:name="page62"/>
    <w:bookmarkEnd w:id="61"/>
    <w:p>
      <w:pPr>
        <w:ind w:left="340"/>
        <w:spacing w:after="0"/>
        <w:rPr>
          <w:sz w:val="20"/>
          <w:szCs w:val="20"/>
          <w:color w:val="auto"/>
        </w:rPr>
      </w:pPr>
      <w:r>
        <w:rPr>
          <w:rFonts w:ascii="Arial" w:cs="Arial" w:eastAsia="Arial" w:hAnsi="Arial"/>
          <w:sz w:val="16"/>
          <w:szCs w:val="16"/>
          <w:color w:val="auto"/>
        </w:rPr>
        <w:t>The following tables show the effect of our derivative instruments designated as cash-flow hedges for the years ended July 30, 2017, July 31,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2, 2015 in other comprehensive income (loss) (OCI) and the Consolidated Statements of Earnings:</w:t>
      </w:r>
    </w:p>
    <w:p>
      <w:pPr>
        <w:spacing w:after="0" w:line="229"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Total Cash-Flow Hedge</w:t>
      </w:r>
    </w:p>
    <w:p>
      <w:pPr>
        <w:spacing w:after="0" w:line="4" w:lineRule="exact"/>
        <w:rPr>
          <w:sz w:val="20"/>
          <w:szCs w:val="20"/>
          <w:color w:val="auto"/>
        </w:rPr>
      </w:pPr>
    </w:p>
    <w:p>
      <w:pPr>
        <w:jc w:val="center"/>
        <w:ind w:left="8100"/>
        <w:spacing w:after="0"/>
        <w:rPr>
          <w:sz w:val="20"/>
          <w:szCs w:val="20"/>
          <w:color w:val="auto"/>
        </w:rPr>
      </w:pPr>
      <w:r>
        <w:rPr>
          <w:rFonts w:ascii="Arial" w:cs="Arial" w:eastAsia="Arial" w:hAnsi="Arial"/>
          <w:sz w:val="14"/>
          <w:szCs w:val="14"/>
          <w:b w:val="1"/>
          <w:bCs w:val="1"/>
          <w:color w:val="auto"/>
        </w:rPr>
        <w:t>OCI Activity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80" w:type="dxa"/>
            <w:vAlign w:val="bottom"/>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2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31"/>
        </w:trPr>
        <w:tc>
          <w:tcPr>
            <w:tcW w:w="548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620" w:type="dxa"/>
            <w:vAlign w:val="bottom"/>
            <w:tcBorders>
              <w:bottom w:val="single" w:sz="8" w:color="CCEEFF"/>
            </w:tcBorders>
          </w:tcPr>
          <w:p>
            <w:pPr>
              <w:spacing w:after="0"/>
              <w:rPr>
                <w:sz w:val="11"/>
                <w:szCs w:val="11"/>
                <w:color w:val="auto"/>
              </w:rPr>
            </w:pPr>
          </w:p>
        </w:tc>
        <w:tc>
          <w:tcPr>
            <w:tcW w:w="9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8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480" w:type="dxa"/>
            <w:vAlign w:val="bottom"/>
          </w:tcPr>
          <w:p>
            <w:pPr>
              <w:jc w:val="center"/>
              <w:ind w:right="2472"/>
              <w:spacing w:after="0"/>
              <w:rPr>
                <w:sz w:val="20"/>
                <w:szCs w:val="20"/>
                <w:color w:val="auto"/>
              </w:rPr>
            </w:pPr>
            <w:r>
              <w:rPr>
                <w:rFonts w:ascii="Arial" w:cs="Arial" w:eastAsia="Arial" w:hAnsi="Arial"/>
                <w:sz w:val="18"/>
                <w:szCs w:val="18"/>
                <w:color w:val="auto"/>
                <w:w w:val="89"/>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shd w:val="clear" w:color="auto" w:fill="CCEEFF"/>
          </w:tcPr>
          <w:p>
            <w:pPr>
              <w:spacing w:after="0"/>
              <w:rPr>
                <w:sz w:val="21"/>
                <w:szCs w:val="21"/>
                <w:color w:val="auto"/>
              </w:rPr>
            </w:pPr>
          </w:p>
        </w:tc>
        <w:tc>
          <w:tcPr>
            <w:tcW w:w="28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7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Borders>
              <w:top w:val="single" w:sz="8" w:color="CCEEFF"/>
            </w:tcBorders>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0" w:type="dxa"/>
            <w:vAlign w:val="bottom"/>
            <w:tcBorders>
              <w:top w:val="single" w:sz="8" w:color="CCEEFF"/>
            </w:tcBorders>
          </w:tcPr>
          <w:p>
            <w:pPr>
              <w:spacing w:after="0"/>
              <w:rPr>
                <w:sz w:val="21"/>
                <w:szCs w:val="21"/>
                <w:color w:val="auto"/>
              </w:rPr>
            </w:pPr>
          </w:p>
        </w:tc>
        <w:tc>
          <w:tcPr>
            <w:tcW w:w="16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Cost of products sold</w:t>
            </w:r>
          </w:p>
        </w:tc>
        <w:tc>
          <w:tcPr>
            <w:tcW w:w="1220" w:type="dxa"/>
            <w:vAlign w:val="bottom"/>
            <w:tcBorders>
              <w:top w:val="single" w:sz="8" w:color="CCEEFF"/>
            </w:tcBorders>
            <w:gridSpan w:val="2"/>
          </w:tcPr>
          <w:p>
            <w:pPr>
              <w:spacing w:after="0"/>
              <w:rPr>
                <w:sz w:val="21"/>
                <w:szCs w:val="21"/>
                <w:color w:val="auto"/>
              </w:rPr>
            </w:pPr>
          </w:p>
        </w:tc>
        <w:tc>
          <w:tcPr>
            <w:tcW w:w="78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b w:val="1"/>
                <w:bCs w:val="1"/>
                <w:color w:val="auto"/>
              </w:rPr>
              <w:t>6</w:t>
            </w:r>
          </w:p>
        </w:tc>
        <w:tc>
          <w:tcPr>
            <w:tcW w:w="1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7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jc w:val="center"/>
              <w:ind w:right="2452"/>
              <w:spacing w:after="0"/>
              <w:rPr>
                <w:sz w:val="20"/>
                <w:szCs w:val="20"/>
                <w:color w:val="auto"/>
              </w:rPr>
            </w:pPr>
            <w:r>
              <w:rPr>
                <w:rFonts w:ascii="Arial" w:cs="Arial" w:eastAsia="Arial" w:hAnsi="Arial"/>
                <w:sz w:val="18"/>
                <w:szCs w:val="18"/>
                <w:color w:val="auto"/>
                <w:w w:val="89"/>
              </w:rPr>
              <w:t>Foreign exchange forward contracts</w:t>
            </w:r>
          </w:p>
        </w:tc>
        <w:tc>
          <w:tcPr>
            <w:tcW w:w="28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480" w:type="dxa"/>
            <w:vAlign w:val="bottom"/>
          </w:tcPr>
          <w:p>
            <w:pPr>
              <w:jc w:val="center"/>
              <w:ind w:right="2472"/>
              <w:spacing w:after="0"/>
              <w:rPr>
                <w:sz w:val="20"/>
                <w:szCs w:val="20"/>
                <w:color w:val="auto"/>
              </w:rPr>
            </w:pPr>
            <w:r>
              <w:rPr>
                <w:rFonts w:ascii="Arial" w:cs="Arial" w:eastAsia="Arial" w:hAnsi="Arial"/>
                <w:sz w:val="18"/>
                <w:szCs w:val="18"/>
                <w:color w:val="auto"/>
                <w:w w:val="89"/>
              </w:rPr>
              <w:t>Forward starting interest rate swaps</w:t>
            </w:r>
          </w:p>
        </w:tc>
        <w:tc>
          <w:tcPr>
            <w:tcW w:w="2860" w:type="dxa"/>
            <w:vAlign w:val="bottom"/>
            <w:gridSpan w:val="4"/>
          </w:tcPr>
          <w:p>
            <w:pPr>
              <w:ind w:left="20"/>
              <w:spacing w:after="0"/>
              <w:rPr>
                <w:sz w:val="20"/>
                <w:szCs w:val="20"/>
                <w:color w:val="auto"/>
              </w:rPr>
            </w:pPr>
            <w:r>
              <w:rPr>
                <w:rFonts w:ascii="Arial" w:cs="Arial" w:eastAsia="Arial" w:hAnsi="Arial"/>
                <w:sz w:val="18"/>
                <w:szCs w:val="18"/>
                <w:color w:val="auto"/>
              </w:rPr>
              <w:t>Interest expense</w:t>
            </w: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shd w:val="clear" w:color="auto" w:fill="CCEEFF"/>
          </w:tcPr>
          <w:p>
            <w:pPr>
              <w:jc w:val="center"/>
              <w:ind w:right="2412"/>
              <w:spacing w:after="0"/>
              <w:rPr>
                <w:sz w:val="20"/>
                <w:szCs w:val="20"/>
                <w:color w:val="auto"/>
              </w:rPr>
            </w:pPr>
            <w:r>
              <w:rPr>
                <w:rFonts w:ascii="Arial" w:cs="Arial" w:eastAsia="Arial" w:hAnsi="Arial"/>
                <w:sz w:val="18"/>
                <w:szCs w:val="18"/>
                <w:color w:val="auto"/>
                <w:w w:val="91"/>
              </w:rPr>
              <w:t>OCI derivative gain (loss) at end of year</w:t>
            </w:r>
          </w:p>
        </w:tc>
        <w:tc>
          <w:tcPr>
            <w:tcW w:w="286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$11.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20" w:type="dxa"/>
            <w:vAlign w:val="bottom"/>
            <w:gridSpan w:val="7"/>
          </w:tcPr>
          <w:p>
            <w:pPr>
              <w:jc w:val="center"/>
              <w:ind w:right="93"/>
              <w:spacing w:after="0"/>
              <w:rPr>
                <w:sz w:val="20"/>
                <w:szCs w:val="20"/>
                <w:color w:val="auto"/>
              </w:rPr>
            </w:pPr>
            <w:r>
              <w:rPr>
                <w:rFonts w:ascii="Arial" w:cs="Arial" w:eastAsia="Arial" w:hAnsi="Arial"/>
                <w:sz w:val="14"/>
                <w:szCs w:val="14"/>
                <w:b w:val="1"/>
                <w:bCs w:val="1"/>
                <w:color w:val="auto"/>
                <w:w w:val="92"/>
              </w:rPr>
              <w:t>Amount of (Gain) Loss Recognized in Earnings on</w:t>
            </w:r>
          </w:p>
        </w:tc>
        <w:tc>
          <w:tcPr>
            <w:tcW w:w="0" w:type="dxa"/>
            <w:vAlign w:val="bottom"/>
          </w:tcPr>
          <w:p>
            <w:pPr>
              <w:spacing w:after="0"/>
              <w:rPr>
                <w:sz w:val="1"/>
                <w:szCs w:val="1"/>
                <w:color w:val="auto"/>
              </w:rPr>
            </w:pPr>
          </w:p>
        </w:tc>
      </w:tr>
      <w:tr>
        <w:trPr>
          <w:trHeight w:val="192"/>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Derivatives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2"/>
                <w:szCs w:val="12"/>
                <w:color w:val="auto"/>
              </w:rPr>
            </w:pPr>
          </w:p>
        </w:tc>
        <w:tc>
          <w:tcPr>
            <w:tcW w:w="3320" w:type="dxa"/>
            <w:vAlign w:val="bottom"/>
            <w:gridSpan w:val="2"/>
          </w:tcPr>
          <w:p>
            <w:pPr>
              <w:ind w:left="880"/>
              <w:spacing w:after="0" w:line="139" w:lineRule="exact"/>
              <w:rPr>
                <w:sz w:val="20"/>
                <w:szCs w:val="20"/>
                <w:color w:val="auto"/>
              </w:rPr>
            </w:pPr>
            <w:r>
              <w:rPr>
                <w:rFonts w:ascii="Arial" w:cs="Arial" w:eastAsia="Arial" w:hAnsi="Arial"/>
                <w:sz w:val="14"/>
                <w:szCs w:val="14"/>
                <w:b w:val="1"/>
                <w:bCs w:val="1"/>
                <w:color w:val="auto"/>
              </w:rPr>
              <w:t>Location of (Gain) Loss</w:t>
            </w:r>
          </w:p>
        </w:tc>
        <w:tc>
          <w:tcPr>
            <w:tcW w:w="200" w:type="dxa"/>
            <w:vAlign w:val="bottom"/>
          </w:tcPr>
          <w:p>
            <w:pPr>
              <w:spacing w:after="0"/>
              <w:rPr>
                <w:sz w:val="12"/>
                <w:szCs w:val="12"/>
                <w:color w:val="auto"/>
              </w:rPr>
            </w:pPr>
          </w:p>
        </w:tc>
        <w:tc>
          <w:tcPr>
            <w:tcW w:w="92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center"/>
              <w:ind w:right="114"/>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332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3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Entity</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we agreed to make a $125 capital commitment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July 30, 2017, we funded $58 of the capital commitment. Except for the remaining unfunded capital commitment of $67, we do not have obligations to provide additional financial or other support to Acre.</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Acre elected the fair value option to account for qualifying investments to more appropriately reflect the value of the investments in the financial statements. The investments were $51 and $34 as of July 30, 2017, and July 31, 2016, respectively, and are included in Other assets on the Consolidated Balance Sheets. Changes in the fair values of investments for which the fair value option was elected are included in Other expenses / (income) on the Consolidated Statements of Earnings. Changes in the fair value were not material in 2017 or 2016. Current assets and liabilities of Acre were not material as of July 30, 2017, or July 31, 2016.</w:t>
      </w:r>
    </w:p>
    <w:p>
      <w:pPr>
        <w:spacing w:after="0" w:line="13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314" w:right="239" w:bottom="1440" w:gutter="0" w:footer="0" w:header="0"/>
          <w:type w:val="continuous"/>
        </w:sectPr>
      </w:pPr>
    </w:p>
    <w:bookmarkStart w:id="62" w:name="page63"/>
    <w:bookmarkEnd w:id="62"/>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July 30, 2017, and July 31, 2016,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30, 2017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 xml:space="preserve">investments </w:t>
            </w:r>
            <w:r>
              <w:rPr>
                <w:rFonts w:ascii="Arial" w:cs="Arial" w:eastAsia="Arial" w:hAnsi="Arial"/>
                <w:sz w:val="25"/>
                <w:szCs w:val="25"/>
                <w:color w:val="auto"/>
                <w:vertAlign w:val="superscript"/>
              </w:rPr>
              <w:t>(4)</w:t>
            </w:r>
          </w:p>
        </w:tc>
        <w:tc>
          <w:tcPr>
            <w:tcW w:w="1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9"/>
        </w:trPr>
        <w:tc>
          <w:tcPr>
            <w:tcW w:w="1500" w:type="dxa"/>
            <w:vAlign w:val="bottom"/>
            <w:gridSpan w:val="4"/>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60</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6</w:t>
            </w:r>
          </w:p>
        </w:tc>
        <w:tc>
          <w:tcPr>
            <w:tcW w:w="120" w:type="dxa"/>
            <w:vAlign w:val="bottom"/>
            <w:vMerge w:val="restart"/>
          </w:tcPr>
          <w:p>
            <w:pPr>
              <w:spacing w:after="0"/>
              <w:rPr>
                <w:sz w:val="18"/>
                <w:szCs w:val="18"/>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49</w:t>
            </w:r>
          </w:p>
        </w:tc>
        <w:tc>
          <w:tcPr>
            <w:tcW w:w="100" w:type="dxa"/>
            <w:vAlign w:val="bottom"/>
          </w:tcPr>
          <w:p>
            <w:pPr>
              <w:spacing w:after="0"/>
              <w:rPr>
                <w:sz w:val="18"/>
                <w:szCs w:val="18"/>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vMerge w:val="restart"/>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2"/>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value</w:t>
            </w:r>
          </w:p>
        </w:tc>
        <w:tc>
          <w:tcPr>
            <w:tcW w:w="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40" w:type="dxa"/>
            <w:vAlign w:val="bottom"/>
            <w:gridSpan w:val="6"/>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1"/>
              </w:rPr>
              <w:t>July 30, 2017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31, 2016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31,</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(5)</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112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112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3"/>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(6)</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156</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113</w:t>
            </w:r>
          </w:p>
        </w:tc>
        <w:tc>
          <w:tcPr>
            <w:tcW w:w="3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123</w:t>
            </w:r>
          </w:p>
        </w:tc>
        <w:tc>
          <w:tcPr>
            <w:tcW w:w="340" w:type="dxa"/>
            <w:vAlign w:val="bottom"/>
            <w:gridSpan w:val="2"/>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5"/>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21"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See Note 14 for additional information. Fair value is based on analyzing recent transactions and transactions of comparable companies, and the discounted cash flow method. In addition, allocation methods,</w:t>
      </w:r>
    </w:p>
    <w:p>
      <w:pPr>
        <w:sectPr>
          <w:pgSz w:w="11900" w:h="16838" w:orient="portrait"/>
          <w:cols w:equalWidth="0" w:num="1">
            <w:col w:w="11420"/>
          </w:cols>
          <w:pgMar w:left="240" w:top="1314" w:right="239" w:bottom="1027"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314" w:right="239" w:bottom="1027" w:gutter="0" w:footer="0" w:header="0"/>
          <w:type w:val="continuous"/>
        </w:sectPr>
      </w:pPr>
    </w:p>
    <w:bookmarkStart w:id="63" w:name="page64"/>
    <w:bookmarkEnd w:id="63"/>
    <w:p>
      <w:pPr>
        <w:ind w:left="340"/>
        <w:spacing w:after="0" w:line="282" w:lineRule="auto"/>
        <w:rPr>
          <w:sz w:val="20"/>
          <w:szCs w:val="20"/>
          <w:color w:val="auto"/>
        </w:rPr>
      </w:pPr>
      <w:r>
        <w:rPr>
          <w:rFonts w:ascii="Arial" w:cs="Arial" w:eastAsia="Arial" w:hAnsi="Arial"/>
          <w:sz w:val="18"/>
          <w:szCs w:val="18"/>
          <w:color w:val="auto"/>
        </w:rPr>
        <w:t>including the option pricing method, are used in distributing fair value among various equity holders according to rights and preferences. Changes in the fair value of investments were not material in 2017 or 2016.</w:t>
      </w:r>
    </w:p>
    <w:p>
      <w:pPr>
        <w:ind w:left="340" w:hanging="332"/>
        <w:spacing w:after="0" w:line="192"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6"/>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the fourth quarter of 2017, we recognized $12 of charges, primarily asset impairment, on plant assets associated with the 2015 restructuring initiatives described in Note 7. The carrying value was reduced to estimated fair value based on expected proceeds. The carrying value was not material.</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fourth quarter of 2016, as part of our annual review of intangible assets, we recognized an impairment charge of $106 on goodwill and $35 on a trademark of the Bolthouse Farms carrot and carrot ingredients reporting unit. During the second quarter of 2017, we performed an interim impairment assessment as of December 31, 2016, and recognized an impairment charge of $127 on goodwill and $20 on a trademark of the Bolthouse Farms carrot and carrot ingredients reporting unit.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2017, we performed an interim impairment assessment of the Garden Fresh Gourmet reporting unit as of December 31, 2016, and recognized an impairment charge of $64 on goodwill and $1 on a trademark.</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Fair value was determined based on unobservable Level 3 inputs. The fair value of goodwill was determined based on discounted cash flow analyses that include significant management assumptions such as revenue growth rates, operating margins, weighted average cost of capital, and future economic and market conditions. The fair value of trademarks was determined based on discounted cash flow analyses that include significant management assumptions such as revenue growth rates, weighted average cost of capital and assumed royalty rates.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fair value measurements of intangible assets that were recognized in the second quarter of 2017 and the fourth quarter of 2016, respectively, consistent with the fair value hierarchy: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14"/>
              <w:spacing w:after="0"/>
              <w:rPr>
                <w:sz w:val="20"/>
                <w:szCs w:val="20"/>
                <w:color w:val="auto"/>
              </w:rPr>
            </w:pPr>
            <w:r>
              <w:rPr>
                <w:rFonts w:ascii="Arial" w:cs="Arial" w:eastAsia="Arial" w:hAnsi="Arial"/>
                <w:sz w:val="14"/>
                <w:szCs w:val="14"/>
                <w:b w:val="1"/>
                <w:bCs w:val="1"/>
                <w:color w:val="auto"/>
              </w:rPr>
              <w:t>January 29, 2017</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July 31, 2016</w:t>
            </w:r>
          </w:p>
        </w:tc>
        <w:tc>
          <w:tcPr>
            <w:tcW w:w="0" w:type="dxa"/>
            <w:vAlign w:val="bottom"/>
          </w:tcPr>
          <w:p>
            <w:pPr>
              <w:spacing w:after="0"/>
              <w:rPr>
                <w:sz w:val="1"/>
                <w:szCs w:val="1"/>
                <w:color w:val="auto"/>
              </w:rPr>
            </w:pPr>
          </w:p>
        </w:tc>
      </w:tr>
      <w:tr>
        <w:trPr>
          <w:trHeight w:val="152"/>
        </w:trPr>
        <w:tc>
          <w:tcPr>
            <w:tcW w:w="5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w w:val="98"/>
              </w:rPr>
              <w:t>Impairment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rPr>
              <w:t>Impairment</w:t>
            </w:r>
          </w:p>
        </w:tc>
        <w:tc>
          <w:tcPr>
            <w:tcW w:w="240" w:type="dxa"/>
            <w:vAlign w:val="bottom"/>
          </w:tcPr>
          <w:p>
            <w:pPr>
              <w:spacing w:after="0"/>
              <w:rPr>
                <w:sz w:val="13"/>
                <w:szCs w:val="13"/>
                <w:color w:val="auto"/>
              </w:rPr>
            </w:pPr>
          </w:p>
        </w:tc>
        <w:tc>
          <w:tcPr>
            <w:tcW w:w="112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Charges</w:t>
            </w:r>
          </w:p>
        </w:tc>
        <w:tc>
          <w:tcPr>
            <w:tcW w:w="10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Charges</w:t>
            </w:r>
          </w:p>
        </w:tc>
        <w:tc>
          <w:tcPr>
            <w:tcW w:w="2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1"/>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Bolthouse Farms Carrot and Carrot Ingredients</w:t>
            </w: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127</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75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351"/>
        </w:trPr>
        <w:tc>
          <w:tcPr>
            <w:tcW w:w="5840" w:type="dxa"/>
            <w:vAlign w:val="bottom"/>
          </w:tcPr>
          <w:p>
            <w:pPr>
              <w:ind w:left="360"/>
              <w:spacing w:after="0"/>
              <w:rPr>
                <w:sz w:val="20"/>
                <w:szCs w:val="20"/>
                <w:color w:val="auto"/>
              </w:rPr>
            </w:pPr>
            <w:r>
              <w:rPr>
                <w:rFonts w:ascii="Arial" w:cs="Arial" w:eastAsia="Arial" w:hAnsi="Arial"/>
                <w:sz w:val="18"/>
                <w:szCs w:val="18"/>
                <w:color w:val="auto"/>
              </w:rPr>
              <w:t>Trademark</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8"/>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4"/>
                <w:szCs w:val="24"/>
                <w:color w:val="auto"/>
              </w:rPr>
            </w:pPr>
          </w:p>
        </w:tc>
        <w:tc>
          <w:tcPr>
            <w:tcW w:w="1040" w:type="dxa"/>
            <w:vAlign w:val="bottom"/>
          </w:tcPr>
          <w:p>
            <w:pPr>
              <w:jc w:val="right"/>
              <w:ind w:right="834"/>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48</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2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648"/>
        </w:trPr>
        <w:tc>
          <w:tcPr>
            <w:tcW w:w="5840" w:type="dxa"/>
            <w:vAlign w:val="bottom"/>
          </w:tcPr>
          <w:p>
            <w:pPr>
              <w:ind w:left="40"/>
              <w:spacing w:after="0"/>
              <w:rPr>
                <w:sz w:val="20"/>
                <w:szCs w:val="20"/>
                <w:color w:val="auto"/>
              </w:rPr>
            </w:pPr>
            <w:r>
              <w:rPr>
                <w:rFonts w:ascii="Arial" w:cs="Arial" w:eastAsia="Arial" w:hAnsi="Arial"/>
                <w:sz w:val="18"/>
                <w:szCs w:val="18"/>
                <w:b w:val="1"/>
                <w:bCs w:val="1"/>
                <w:color w:val="auto"/>
              </w:rPr>
              <w:t>Garden Fresh Gourmet</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440" w:type="dxa"/>
            <w:vAlign w:val="bottom"/>
            <w:gridSpan w:val="2"/>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5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w:t>
            </w:r>
          </w:p>
        </w:tc>
        <w:tc>
          <w:tcPr>
            <w:tcW w:w="104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52</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40" w:type="dxa"/>
            <w:vAlign w:val="bottom"/>
          </w:tcPr>
          <w:p>
            <w:pPr>
              <w:ind w:left="360"/>
              <w:spacing w:after="0"/>
              <w:rPr>
                <w:sz w:val="20"/>
                <w:szCs w:val="20"/>
                <w:color w:val="auto"/>
              </w:rPr>
            </w:pPr>
            <w:r>
              <w:rPr>
                <w:rFonts w:ascii="Arial" w:cs="Arial" w:eastAsia="Arial" w:hAnsi="Arial"/>
                <w:sz w:val="18"/>
                <w:szCs w:val="18"/>
                <w:color w:val="auto"/>
              </w:rPr>
              <w:t>Trademark</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w:t>
            </w:r>
          </w:p>
        </w:tc>
        <w:tc>
          <w:tcPr>
            <w:tcW w:w="1040" w:type="dxa"/>
            <w:vAlign w:val="bottom"/>
          </w:tcPr>
          <w:p>
            <w:pPr>
              <w:jc w:val="right"/>
              <w:ind w:right="694"/>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37</w:t>
            </w: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840" w:type="dxa"/>
            <w:vAlign w:val="bottom"/>
          </w:tcPr>
          <w:p>
            <w:pPr>
              <w:ind w:left="340"/>
              <w:spacing w:after="0"/>
              <w:rPr>
                <w:sz w:val="20"/>
                <w:szCs w:val="20"/>
                <w:color w:val="auto"/>
              </w:rPr>
            </w:pPr>
            <w:r>
              <w:rPr>
                <w:rFonts w:ascii="Arial" w:cs="Arial" w:eastAsia="Arial" w:hAnsi="Arial"/>
                <w:sz w:val="18"/>
                <w:szCs w:val="18"/>
                <w:color w:val="auto"/>
                <w:w w:val="99"/>
              </w:rPr>
              <w:t>See also Note 5 for additional information on the impairment charges.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$8 at July 30, 2017, and $74 at July 31, 2016,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$2,582 at July 30, 2017, and $2,949 at July 31, 2016. The carrying value was $2,499 at July 30, 2017, and $2,755 at July 31, 2016.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Shareholders' Equity</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authorized 560 million shares of Capital stock with $.0375 par value and 40 million shares of Preferred stock, issuable in one or more classes, with or without par as may be authorized by the Board of Directors. No Preferred stock has been issued.</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Share Repurchase Programs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2017, the Board authorized a new share repurchase program to purchase up to $1,500. The new program has no expiration date, but it may be suspended or discontinued at any time. Effective May 1, 2017, the new share repurchase program</w:t>
      </w:r>
    </w:p>
    <w:p>
      <w:pPr>
        <w:sectPr>
          <w:pgSz w:w="11900" w:h="16838" w:orient="portrait"/>
          <w:cols w:equalWidth="0" w:num="1">
            <w:col w:w="11420"/>
          </w:cols>
          <w:pgMar w:left="240" w:top="1260" w:right="239" w:bottom="636"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1260" w:right="239" w:bottom="636" w:gutter="0" w:footer="0" w:header="0"/>
          <w:type w:val="continuous"/>
        </w:sectPr>
      </w:pPr>
    </w:p>
    <w:bookmarkStart w:id="64" w:name="page65"/>
    <w:bookmarkEnd w:id="64"/>
    <w:p>
      <w:pPr>
        <w:jc w:val="both"/>
        <w:spacing w:after="0" w:line="277" w:lineRule="auto"/>
        <w:rPr>
          <w:sz w:val="20"/>
          <w:szCs w:val="20"/>
          <w:color w:val="auto"/>
        </w:rPr>
      </w:pPr>
      <w:r>
        <w:rPr>
          <w:rFonts w:ascii="Arial" w:cs="Arial" w:eastAsia="Arial" w:hAnsi="Arial"/>
          <w:sz w:val="18"/>
          <w:szCs w:val="18"/>
          <w:color w:val="auto"/>
        </w:rPr>
        <w:t>replaced the prior $1,000 program, which our Board approved in June 2011. In addition to these publicly announced programs, we have a separate Board authorization to purchase shares to offset the impact of dilution from shares issued under our stock compensation plans.</w:t>
      </w:r>
    </w:p>
    <w:p>
      <w:pPr>
        <w:spacing w:after="0" w:line="11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2017, we repurchased 8 million shares at a cost of $437. Of this amount, $129 was used to repurchase shares pursuant to our March 2017 publicly announced share repurchase program and $271 pursuant to our June 2011 program. Approximately $1,371 remained available under the March 2017 program as of July 30, 2017. In 2016, we repurchased 3 million shares at a cost of $143 and in 2015, we repurchased 5 million shares at a cost of $244.</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2003, shareholders approved the 2003 Long-Term Incentive Plan, which authorized the issuance of an aggregate of 31.2 million shares to satisfy awards of stock options, stock appreciation rights, unrestricted stock, restricted stock/units (including performance restricted stock) and performance units. In 2005, shareholders approved the 2005 Long-Term Incentive Plan, which authorized the issuance of an additional 6 million shares to satisfy the same types of awards. In 2008, shareholders approved an amendment to the 2005 Long-Term Incentive Plan to increase the number of authorized shares to 10.5 million and in 2010, shareholders approved another amendment to the 2005 Long-Term Incentive Plan to increase the number of authorized shares to 17.5 million. In 2015, shareholders approved the 2015 Long-Term Incentive Plan, which authorized the issuance of 13 million shares. Approximately 6 million of these shares were shares that were currently available under the 2005 plan and were incorporated into the 2015 Plan upon approval by shareholders.</w:t>
      </w:r>
    </w:p>
    <w:p>
      <w:pPr>
        <w:spacing w:after="0" w:line="3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Awards under Long-Term Incentive Plans may be granted to employees and directors. Pursuant to the Long-Term Incentive Plan, we adopted a long-term incentive compensation program which provides for grants of total shareholder return (TSR) performance restricted stock/units, EPS performance restricted stock/units, strategic performance restricted stock/units, time-lapse restricted stock/units, special performance restricted stock/units and unrestricted stock. Under the program, awards of TSR performance restricted stock/units will be earned by comparing our total shareholder return during a three-year period to the respective total shareholder returns of companies in a performance peer group. Based upon our ranking in the performance peer group, a recipient of TSR performance restricted stock/units may earn a total award ranging from 0% to 200% of the initial grant. Awards of EPS performance restricted stock/units will be earned based upon our achievement of annual earnings per share goals. During the three-year vesting period, a recipient of EPS performance restricted stock/units may earn a total award of either 0% or 100% of the initial grant. Awards of the strategic performance restricted stock units were earned based upon the achievement of two key metrics, net sales and EPS growth, compared to strategic plan objectives during a three-year period. A recipient of strategic performance restricted stock units earned a total award ranging from 0% to 200% of the initial grant. Awards of time-lapse restricted stock/units will vest ratably over the three-year period. In addition, we may issue special grants of restricted stock/units to attract and retain executives which vest over various periods. Awards are generally granted annually in October.</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Annual stock option grants were granted in 2017 and 2016 and were not part of the long-term incentive compensation program for 2015. Stock options are granted on a selective basis under the Long-Term Incentive Plans. The term of a stock option granted under these plans may not exceed ten years from the date of grant. Options granted in 2017 and 2016 under these plans vest ratably over a three-year period. The option price may not be less than the fair market value of a share of common stock on the date of the grant.</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2017, we issued stock options, time-lapse restricted stock units, unrestricted stock, EPS performance restricted stock units and TSR performance restricted stock units. We did not issue strategic performance restricted stock units or special performance restricted units in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the Consolidated Statements of Earnings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CCEEFF"/>
            </w:tcBorders>
          </w:tcPr>
          <w:p>
            <w:pPr>
              <w:spacing w:after="0"/>
              <w:rPr>
                <w:sz w:val="16"/>
                <w:szCs w:val="16"/>
                <w:color w:val="auto"/>
              </w:rPr>
            </w:pPr>
          </w:p>
        </w:tc>
        <w:tc>
          <w:tcPr>
            <w:tcW w:w="30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2015</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3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57</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3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21</w:t>
            </w:r>
          </w:p>
        </w:tc>
      </w:tr>
      <w:tr>
        <w:trPr>
          <w:trHeight w:val="945"/>
        </w:trPr>
        <w:tc>
          <w:tcPr>
            <w:tcW w:w="4580" w:type="dxa"/>
            <w:vAlign w:val="bottom"/>
          </w:tcPr>
          <w:p>
            <w:pPr>
              <w:spacing w:after="0"/>
              <w:rPr>
                <w:sz w:val="24"/>
                <w:szCs w:val="24"/>
                <w:color w:val="auto"/>
              </w:rPr>
            </w:pPr>
          </w:p>
        </w:tc>
        <w:tc>
          <w:tcPr>
            <w:tcW w:w="3080" w:type="dxa"/>
            <w:vAlign w:val="bottom"/>
          </w:tcPr>
          <w:p>
            <w:pPr>
              <w:jc w:val="right"/>
              <w:ind w:right="1770"/>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20"/>
          </w:cols>
          <w:pgMar w:left="240" w:top="1314"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color w:val="auto"/>
        </w:rPr>
        <w:t>The following table summarizes stock option activity as of July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31, 2016</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681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489</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54.65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52.49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30, 2017</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July 30, 2017</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50.21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2017 was not material. During 2016 and 2015, the total intrinsic value of options exercised was $2 and $5, respectively.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2017 and 2016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1.68%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2.26%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7"/>
              </w:rPr>
              <w:t>2.46%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18.64%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18.35%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6 years</w:t>
            </w:r>
          </w:p>
        </w:tc>
        <w:tc>
          <w:tcPr>
            <w:tcW w:w="900" w:type="dxa"/>
            <w:vAlign w:val="bottom"/>
          </w:tcPr>
          <w:p>
            <w:pPr>
              <w:ind w:left="180"/>
              <w:spacing w:after="0"/>
              <w:rPr>
                <w:sz w:val="20"/>
                <w:szCs w:val="20"/>
                <w:color w:val="auto"/>
              </w:rPr>
            </w:pPr>
            <w:r>
              <w:rPr>
                <w:rFonts w:ascii="Arial" w:cs="Arial" w:eastAsia="Arial" w:hAnsi="Arial"/>
                <w:sz w:val="18"/>
                <w:szCs w:val="18"/>
                <w:b w:val="1"/>
                <w:bCs w:val="1"/>
                <w:color w:val="auto"/>
              </w:rPr>
              <w:t>6 years</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$7.51</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$6.86</w:t>
            </w:r>
          </w:p>
        </w:tc>
      </w:tr>
      <w:tr>
        <w:trPr>
          <w:trHeight w:val="27"/>
        </w:trPr>
        <w:tc>
          <w:tcPr>
            <w:tcW w:w="9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July 30, 2017, total remaining unearned compensation related to nonvested stock options was $1, which will be amortized over the weighted-average remaining service period of 1.4 years.</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July 30, 2017:</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45.08</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586</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54.79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43.87</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155 thousand EPS performance target grants outstanding at July 30, 2017, with a weighted-average grant-date fair value of $49.89. The actual number of EPS performance restricted stock units and strategic performance restricted stock units that vest will depend on actual performance achieved. We estimate expense based on the number of awards expected to vest. In the first quarter of 2017, recipients of strategic performance restricted stock units earned 35% of the initial grants based on actual performance achieved</w:t>
      </w:r>
    </w:p>
    <w:p>
      <w:pPr>
        <w:sectPr>
          <w:pgSz w:w="11900" w:h="16838" w:orient="portrait"/>
          <w:cols w:equalWidth="0" w:num="1">
            <w:col w:w="11420"/>
          </w:cols>
          <w:pgMar w:left="240" w:top="1314"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1314" w:right="23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color w:val="auto"/>
        </w:rPr>
        <w:t>during a three-year period ended July 31, 2016. There were no strategic performance restricted stock units outstanding at July 30, 2017.</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and are included in the table above.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July 30, 2017, total remaining unearned compensation related to nonvested time-lapse restricted stock units and EPS performance restricted stock units was $22, which will be amortized over the weighted-average remaining service period of 1.6 years. The fair value of restricted stock units vested during 2017, 2016 and 2015 was $55, $44 and $56, respectively. The weighted-average grant-date fair value of the restricted stock units granted during 2016 and 2015 was $50.44 and $43.00, respectively.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July 30,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31, 2016</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49.13</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39.53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36.26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0.85%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0.97%</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3"/>
              </w:rPr>
              <w:t>2.26%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2.46%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2.91%</w:t>
            </w:r>
          </w:p>
        </w:tc>
      </w:tr>
      <w:tr>
        <w:trPr>
          <w:trHeight w:val="27"/>
        </w:trPr>
        <w:tc>
          <w:tcPr>
            <w:tcW w:w="8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17.78%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16.20%</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rPr>
              <w:t>3 years</w:t>
            </w:r>
          </w:p>
        </w:tc>
        <w:tc>
          <w:tcPr>
            <w:tcW w:w="1020" w:type="dxa"/>
            <w:vAlign w:val="bottom"/>
            <w:gridSpan w:val="2"/>
          </w:tcPr>
          <w:p>
            <w:pPr>
              <w:ind w:left="200"/>
              <w:spacing w:after="0"/>
              <w:rPr>
                <w:sz w:val="20"/>
                <w:szCs w:val="20"/>
                <w:color w:val="auto"/>
              </w:rPr>
            </w:pPr>
            <w:r>
              <w:rPr>
                <w:rFonts w:ascii="Arial" w:cs="Arial" w:eastAsia="Arial" w:hAnsi="Arial"/>
                <w:sz w:val="18"/>
                <w:szCs w:val="18"/>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recognize compensation expense on a straight-line basis over the service period. As of July 30, 2017, total remaining unearned compensation related to TSR performance restricted stock units was $27, which will be amortized over the weighted-average remaining service period of 1.6 years. In the first quarter of 2017, recipients of TSR performance restricted stock units earned 75% of the initial grants based upon our TSR ranking in a performance peer group during a three-year period ended July 29, 2016. In the first quarter of 2016, recipients of TSR performance restricted stock units earned 100% of the initial grants based upon our TSR ranking in a performance peer group during a three-year period ended July 31, 2015. There were no TSR performance restricted stock units scheduled to vest in 2015. The fair value of TSR performance restricted stock units vested during 2017 and 2016 was $14 and $22, respectively. The grant-date fair value of the TSR performance restricted stock units granted during 2016 and 2015 was $62.44 and $43.39, respectively. In the first quarter of 2018, recipients of TSR performance restricted stock units will receive a 125% payout based upon our TSR ranking in a performance peer group during a three-year period ended July 28, 2017.</w:t>
      </w:r>
    </w:p>
    <w:p>
      <w:pPr>
        <w:spacing w:after="0" w:line="15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operating activities were $6 in 2017, $7 in 2016 and $6 in 2015. Cash received from the exercise of stock options was $2 for 2017 and 2016, and $9 for 2015, and are reflected in cash flows from financing activities in the Consolidated Statements of Cash Flows.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and Litigation Matters</w:t>
      </w:r>
    </w:p>
    <w:p>
      <w:pPr>
        <w:spacing w:after="0" w:line="17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w:t>
      </w:r>
    </w:p>
    <w:p>
      <w:pPr>
        <w:sectPr>
          <w:pgSz w:w="11900" w:h="16838" w:orient="portrait"/>
          <w:cols w:equalWidth="0" w:num="1">
            <w:col w:w="11420"/>
          </w:cols>
          <w:pgMar w:left="240" w:top="1314"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314" w:right="239" w:bottom="1440" w:gutter="0" w:footer="0" w:header="0"/>
          <w:type w:val="continuous"/>
        </w:sectPr>
      </w:pPr>
    </w:p>
    <w:bookmarkStart w:id="67" w:name="page68"/>
    <w:bookmarkEnd w:id="67"/>
    <w:p>
      <w:pPr>
        <w:jc w:val="both"/>
        <w:ind w:right="20"/>
        <w:spacing w:after="0" w:line="277" w:lineRule="auto"/>
        <w:rPr>
          <w:sz w:val="20"/>
          <w:szCs w:val="20"/>
          <w:color w:val="auto"/>
        </w:rPr>
      </w:pPr>
      <w:r>
        <w:rPr>
          <w:rFonts w:ascii="Arial" w:cs="Arial" w:eastAsia="Arial" w:hAnsi="Arial"/>
          <w:sz w:val="18"/>
          <w:szCs w:val="18"/>
          <w:color w:val="auto"/>
        </w:rPr>
        <w:t>resolving through settlement numerous claims over an extended period of time, demonstrates to us that the monetary relief which may be specified in a lawsuit or claim bears little relevance to its merits or disposition value.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July 30, 2017.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certain operating lease commitments, primarily related to warehouse and office facilities, and certain equipment. Rent expense under operating lease commitments was $53 in 2017, $45 in 2016 and $48 in 2015. Future minimum annual rental payments under these operating leases as of July 30, 2017, are as follows:</w:t>
      </w:r>
    </w:p>
    <w:p>
      <w:pPr>
        <w:spacing w:after="0" w:line="116" w:lineRule="exact"/>
        <w:rPr>
          <w:sz w:val="20"/>
          <w:szCs w:val="20"/>
          <w:color w:val="auto"/>
        </w:rPr>
      </w:pPr>
    </w:p>
    <w:tbl>
      <w:tblPr>
        <w:tblLayout w:type="fixed"/>
        <w:tblInd w:w="3360" w:type="dxa"/>
        <w:tblCellMar>
          <w:top w:w="0" w:type="dxa"/>
          <w:left w:w="0" w:type="dxa"/>
          <w:bottom w:w="0" w:type="dxa"/>
          <w:right w:w="0" w:type="dxa"/>
        </w:tblCellMar>
      </w:tblPr>
      <w:tr>
        <w:trPr>
          <w:trHeight w:val="161"/>
        </w:trPr>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2018</w:t>
            </w:r>
          </w:p>
        </w:tc>
        <w:tc>
          <w:tcPr>
            <w:tcW w:w="58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2019</w:t>
            </w:r>
          </w:p>
        </w:tc>
        <w:tc>
          <w:tcPr>
            <w:tcW w:w="280" w:type="dxa"/>
            <w:vAlign w:val="bottom"/>
          </w:tcPr>
          <w:p>
            <w:pPr>
              <w:spacing w:after="0"/>
              <w:rPr>
                <w:sz w:val="14"/>
                <w:szCs w:val="14"/>
                <w:color w:val="auto"/>
              </w:rPr>
            </w:pPr>
          </w:p>
        </w:tc>
        <w:tc>
          <w:tcPr>
            <w:tcW w:w="11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83"/>
              </w:rPr>
              <w:t>2021</w:t>
            </w:r>
          </w:p>
        </w:tc>
        <w:tc>
          <w:tcPr>
            <w:tcW w:w="13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2022</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6"/>
              </w:rPr>
              <w:t>Thereafter</w:t>
            </w:r>
          </w:p>
        </w:tc>
      </w:tr>
      <w:tr>
        <w:trPr>
          <w:trHeight w:val="20"/>
        </w:trPr>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r>
        <w:trPr>
          <w:trHeight w:val="264"/>
        </w:trPr>
        <w:tc>
          <w:tcPr>
            <w:tcW w:w="280" w:type="dxa"/>
            <w:vAlign w:val="bottom"/>
          </w:tcPr>
          <w:p>
            <w:pPr>
              <w:jc w:val="right"/>
              <w:spacing w:after="0"/>
              <w:rPr>
                <w:sz w:val="20"/>
                <w:szCs w:val="20"/>
                <w:color w:val="auto"/>
              </w:rPr>
            </w:pPr>
            <w:r>
              <w:rPr>
                <w:rFonts w:ascii="Arial" w:cs="Arial" w:eastAsia="Arial" w:hAnsi="Arial"/>
                <w:sz w:val="18"/>
                <w:szCs w:val="18"/>
                <w:color w:val="auto"/>
                <w:w w:val="86"/>
              </w:rPr>
              <w:t>$38</w:t>
            </w:r>
          </w:p>
        </w:tc>
        <w:tc>
          <w:tcPr>
            <w:tcW w:w="580" w:type="dxa"/>
            <w:vAlign w:val="bottom"/>
          </w:tcPr>
          <w:p>
            <w:pPr>
              <w:spacing w:after="0"/>
              <w:rPr>
                <w:sz w:val="22"/>
                <w:szCs w:val="22"/>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$34</w:t>
            </w:r>
          </w:p>
        </w:tc>
        <w:tc>
          <w:tcPr>
            <w:tcW w:w="280" w:type="dxa"/>
            <w:vAlign w:val="bottom"/>
          </w:tcPr>
          <w:p>
            <w:pPr>
              <w:spacing w:after="0"/>
              <w:rPr>
                <w:sz w:val="22"/>
                <w:szCs w:val="22"/>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5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2"/>
                <w:szCs w:val="22"/>
                <w:color w:val="auto"/>
              </w:rPr>
            </w:pPr>
          </w:p>
        </w:tc>
        <w:tc>
          <w:tcPr>
            <w:tcW w:w="660" w:type="dxa"/>
            <w:vAlign w:val="bottom"/>
          </w:tcPr>
          <w:p>
            <w:pPr>
              <w:jc w:val="right"/>
              <w:ind w:right="119"/>
              <w:spacing w:after="0"/>
              <w:rPr>
                <w:sz w:val="20"/>
                <w:szCs w:val="20"/>
                <w:color w:val="auto"/>
              </w:rPr>
            </w:pPr>
            <w:r>
              <w:rPr>
                <w:rFonts w:ascii="Arial" w:cs="Arial" w:eastAsia="Arial" w:hAnsi="Arial"/>
                <w:sz w:val="18"/>
                <w:szCs w:val="18"/>
                <w:color w:val="auto"/>
              </w:rPr>
              <w:t>$21</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171"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7"/>
          <w:szCs w:val="17"/>
          <w:color w:val="auto"/>
        </w:rPr>
        <w:t>We guarantee approximately 2,000 bank loans made to Pepperidge Farm independent contractor distributors by third</w:t>
      </w:r>
      <w:r>
        <w:rPr>
          <w:rFonts w:ascii="MS PGothic" w:cs="MS PGothic" w:eastAsia="MS PGothic" w:hAnsi="MS PGothic"/>
          <w:sz w:val="17"/>
          <w:szCs w:val="17"/>
          <w:color w:val="auto"/>
        </w:rPr>
        <w:t>‑</w:t>
      </w:r>
      <w:r>
        <w:rPr>
          <w:rFonts w:ascii="Arial" w:cs="Arial" w:eastAsia="Arial" w:hAnsi="Arial"/>
          <w:sz w:val="17"/>
          <w:szCs w:val="17"/>
          <w:color w:val="auto"/>
        </w:rPr>
        <w:t>party financial institutions for the purchase of distribution routes. The maximum potential amount of future payments under existing guarantees we could be required to make is $204. Our guarantees are indirectly secured by the distribution routes. We do not believe it is probable that we will be required to make material guarantee payments as a result of defaults on the bank loans guaranteed. The amounts recognized as of July 30, 2017, and July 31, 2016, were not material.</w:t>
      </w:r>
    </w:p>
    <w:p>
      <w:pPr>
        <w:spacing w:after="0" w:line="15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provided certain standard indemnifications in connection with divestitures, contracts and other transactions. Certain indemnifications have finite expiration dates. Liabilities recognized based on known exposures related to such matters were not material at July 30, 2017, and July 31, 2016.</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31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19.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00" w:type="dxa"/>
            <w:vAlign w:val="bottom"/>
          </w:tcPr>
          <w:p>
            <w:pPr>
              <w:spacing w:after="0"/>
              <w:rPr>
                <w:sz w:val="16"/>
                <w:szCs w:val="16"/>
                <w:color w:val="auto"/>
              </w:rPr>
            </w:pPr>
          </w:p>
        </w:tc>
        <w:tc>
          <w:tcPr>
            <w:tcW w:w="4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3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820" w:type="dxa"/>
            <w:vAlign w:val="bottom"/>
            <w:tcBorders>
              <w:top w:val="single" w:sz="8" w:color="CCEEFF"/>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Customer accounts receivable</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Allowances</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4300" w:type="dxa"/>
            <w:vAlign w:val="bottom"/>
          </w:tcPr>
          <w:p>
            <w:pPr>
              <w:ind w:left="180"/>
              <w:spacing w:after="0"/>
              <w:rPr>
                <w:sz w:val="20"/>
                <w:szCs w:val="20"/>
                <w:color w:val="auto"/>
              </w:rPr>
            </w:pPr>
            <w:r>
              <w:rPr>
                <w:rFonts w:ascii="Arial" w:cs="Arial" w:eastAsia="Arial" w:hAnsi="Arial"/>
                <w:sz w:val="18"/>
                <w:szCs w:val="18"/>
                <w:color w:val="auto"/>
              </w:rPr>
              <w:t>Subtotal</w:t>
            </w: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550</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626</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4300" w:type="dxa"/>
            <w:vAlign w:val="bottom"/>
            <w:shd w:val="clear" w:color="auto" w:fill="CCEEFF"/>
          </w:tcPr>
          <w:p>
            <w:pPr>
              <w:spacing w:after="0"/>
              <w:rPr>
                <w:sz w:val="22"/>
                <w:szCs w:val="22"/>
                <w:color w:val="auto"/>
              </w:rPr>
            </w:pPr>
          </w:p>
        </w:tc>
        <w:tc>
          <w:tcPr>
            <w:tcW w:w="38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525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Fair value of derivatives</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43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980" w:type="dxa"/>
            <w:vAlign w:val="bottom"/>
            <w:tcBorders>
              <w:top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67"/>
        </w:trPr>
        <w:tc>
          <w:tcPr>
            <w:tcW w:w="4300" w:type="dxa"/>
            <w:vAlign w:val="bottom"/>
            <w:tcBorders>
              <w:bottom w:val="single" w:sz="8" w:color="CCEEFF"/>
            </w:tcBorders>
          </w:tcPr>
          <w:p>
            <w:pPr>
              <w:spacing w:after="0"/>
              <w:rPr>
                <w:sz w:val="5"/>
                <w:szCs w:val="5"/>
                <w:color w:val="auto"/>
              </w:rPr>
            </w:pPr>
          </w:p>
        </w:tc>
        <w:tc>
          <w:tcPr>
            <w:tcW w:w="3820" w:type="dxa"/>
            <w:vAlign w:val="bottom"/>
            <w:tcBorders>
              <w:bottom w:val="single" w:sz="8" w:color="CCEEFF"/>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00" w:type="dxa"/>
            <w:vAlign w:val="bottom"/>
            <w:shd w:val="clear" w:color="auto" w:fill="CCEEFF"/>
          </w:tcPr>
          <w:p>
            <w:pPr>
              <w:spacing w:after="0"/>
              <w:rPr>
                <w:sz w:val="24"/>
                <w:szCs w:val="24"/>
                <w:color w:val="auto"/>
              </w:rPr>
            </w:pPr>
          </w:p>
        </w:tc>
        <w:tc>
          <w:tcPr>
            <w:tcW w:w="38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Plant assets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Land</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Buildings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1,553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1,488</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Machinery and equipment</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4,231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4,042</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Projects in progress</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195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cost</w:t>
            </w: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6,043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5,764</w:t>
            </w:r>
          </w:p>
        </w:tc>
        <w:tc>
          <w:tcPr>
            <w:tcW w:w="0" w:type="dxa"/>
            <w:vAlign w:val="bottom"/>
          </w:tcPr>
          <w:p>
            <w:pPr>
              <w:spacing w:after="0"/>
              <w:rPr>
                <w:sz w:val="1"/>
                <w:szCs w:val="1"/>
                <w:color w:val="auto"/>
              </w:rPr>
            </w:pPr>
          </w:p>
        </w:tc>
      </w:tr>
      <w:tr>
        <w:trPr>
          <w:trHeight w:val="270"/>
        </w:trPr>
        <w:tc>
          <w:tcPr>
            <w:tcW w:w="43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Accumulated depreciation</w:t>
            </w:r>
            <w:r>
              <w:rPr>
                <w:rFonts w:ascii="Arial" w:cs="Arial" w:eastAsia="Arial" w:hAnsi="Arial"/>
                <w:sz w:val="25"/>
                <w:szCs w:val="25"/>
                <w:color w:val="auto"/>
                <w:vertAlign w:val="superscript"/>
              </w:rPr>
              <w:t>(1)</w:t>
            </w:r>
          </w:p>
        </w:tc>
        <w:tc>
          <w:tcPr>
            <w:tcW w:w="38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(3,589)</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(3,357)</w:t>
            </w: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3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480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38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taxes</w:t>
            </w:r>
          </w:p>
        </w:tc>
        <w:tc>
          <w:tcPr>
            <w:tcW w:w="38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Other</w:t>
            </w:r>
          </w:p>
        </w:tc>
        <w:tc>
          <w:tcPr>
            <w:tcW w:w="38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800" w:type="dxa"/>
            <w:vAlign w:val="bottom"/>
            <w:tcBorders>
              <w:bottom w:val="single" w:sz="8" w:color="CCEEFF"/>
            </w:tcBorders>
            <w:gridSpan w:val="2"/>
            <w:shd w:val="clear" w:color="auto" w:fill="CCEEFF"/>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2"/>
              <w:spacing w:after="0"/>
              <w:rPr>
                <w:sz w:val="20"/>
                <w:szCs w:val="20"/>
                <w:color w:val="auto"/>
              </w:rPr>
            </w:pPr>
            <w:r>
              <w:rPr>
                <w:rFonts w:ascii="Arial" w:cs="Arial" w:eastAsia="Arial" w:hAnsi="Arial"/>
                <w:sz w:val="18"/>
                <w:szCs w:val="18"/>
                <w:color w:val="auto"/>
              </w:rPr>
              <w:t>69</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69" w:name="page70"/>
    <w:bookmarkEnd w:id="69"/>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compensation and benefits</w:t>
            </w:r>
          </w:p>
        </w:tc>
        <w:tc>
          <w:tcPr>
            <w:tcW w:w="1080" w:type="dxa"/>
            <w:vAlign w:val="bottom"/>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241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263</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derivatives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Accrued trade and consumer promotion programs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131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130</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interest</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57</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r>
      <w:tr>
        <w:trPr>
          <w:trHeight w:val="237"/>
        </w:trPr>
        <w:tc>
          <w:tcPr>
            <w:tcW w:w="8120" w:type="dxa"/>
            <w:vAlign w:val="bottom"/>
          </w:tcPr>
          <w:p>
            <w:pPr>
              <w:spacing w:after="0"/>
              <w:rPr>
                <w:sz w:val="20"/>
                <w:szCs w:val="20"/>
                <w:color w:val="auto"/>
              </w:rPr>
            </w:pP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561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w:t>
            </w:r>
          </w:p>
        </w:tc>
      </w:tr>
      <w:tr>
        <w:trPr>
          <w:trHeight w:val="67"/>
        </w:trPr>
        <w:tc>
          <w:tcPr>
            <w:tcW w:w="812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305"/>
        </w:trPr>
        <w:tc>
          <w:tcPr>
            <w:tcW w:w="81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0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benefits</w:t>
            </w:r>
          </w:p>
        </w:tc>
        <w:tc>
          <w:tcPr>
            <w:tcW w:w="1080" w:type="dxa"/>
            <w:vAlign w:val="bottom"/>
            <w:tcBorders>
              <w:bottom w:val="single" w:sz="8" w:color="CCEEFF"/>
            </w:tcBorders>
            <w:shd w:val="clear" w:color="auto" w:fill="CCEEFF"/>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70"/>
        </w:trPr>
        <w:tc>
          <w:tcPr>
            <w:tcW w:w="8120" w:type="dxa"/>
            <w:vAlign w:val="bottom"/>
          </w:tcPr>
          <w:p>
            <w:pPr>
              <w:ind w:left="180"/>
              <w:spacing w:after="0" w:line="270" w:lineRule="exact"/>
              <w:rPr>
                <w:sz w:val="20"/>
                <w:szCs w:val="20"/>
                <w:color w:val="auto"/>
              </w:rPr>
            </w:pPr>
            <w:r>
              <w:rPr>
                <w:rFonts w:ascii="Arial" w:cs="Arial" w:eastAsia="Arial" w:hAnsi="Arial"/>
                <w:sz w:val="18"/>
                <w:szCs w:val="18"/>
                <w:color w:val="auto"/>
              </w:rPr>
              <w:t>Deferred compensation</w:t>
            </w:r>
            <w:r>
              <w:rPr>
                <w:rFonts w:ascii="Arial" w:cs="Arial" w:eastAsia="Arial" w:hAnsi="Arial"/>
                <w:sz w:val="25"/>
                <w:szCs w:val="25"/>
                <w:color w:val="auto"/>
                <w:vertAlign w:val="superscript"/>
              </w:rPr>
              <w:t>(2)</w:t>
            </w:r>
          </w:p>
        </w:tc>
        <w:tc>
          <w:tcPr>
            <w:tcW w:w="1080" w:type="dxa"/>
            <w:vAlign w:val="bottom"/>
          </w:tcPr>
          <w:p>
            <w:pPr>
              <w:spacing w:after="0"/>
              <w:rPr>
                <w:sz w:val="23"/>
                <w:szCs w:val="23"/>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96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Postretirement benefits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Fair value of derivatives</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44</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Unrecognized tax benefits</w:t>
            </w:r>
          </w:p>
        </w:tc>
        <w:tc>
          <w:tcPr>
            <w:tcW w:w="10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r>
      <w:tr>
        <w:trPr>
          <w:trHeight w:val="243"/>
        </w:trPr>
        <w:tc>
          <w:tcPr>
            <w:tcW w:w="812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10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17</w:t>
            </w:r>
          </w:p>
        </w:tc>
      </w:tr>
      <w:tr>
        <w:trPr>
          <w:trHeight w:val="27"/>
        </w:trPr>
        <w:tc>
          <w:tcPr>
            <w:tcW w:w="8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08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8120" w:type="dxa"/>
            <w:vAlign w:val="bottom"/>
          </w:tcPr>
          <w:p>
            <w:pPr>
              <w:spacing w:after="0"/>
              <w:rPr>
                <w:sz w:val="20"/>
                <w:szCs w:val="20"/>
                <w:color w:val="auto"/>
              </w:rPr>
            </w:pPr>
          </w:p>
        </w:tc>
        <w:tc>
          <w:tcPr>
            <w:tcW w:w="1080" w:type="dxa"/>
            <w:vAlign w:val="bottom"/>
            <w:tcBorders>
              <w:top w:val="single" w:sz="8" w:color="auto"/>
            </w:tcBorders>
          </w:tcPr>
          <w:p>
            <w:pPr>
              <w:jc w:val="right"/>
              <w:ind w:right="894"/>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697</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2101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1215"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149" w:lineRule="exact"/>
        <w:rPr>
          <w:sz w:val="20"/>
          <w:szCs w:val="20"/>
          <w:color w:val="auto"/>
        </w:rPr>
      </w:pPr>
    </w:p>
    <w:p>
      <w:pPr>
        <w:ind w:left="340" w:hanging="332"/>
        <w:spacing w:after="0" w:line="216"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Depreciation expense was $299 in 2017, $288 in 2016 and $286 in 2015. Buildings are depreciated over periods ranging from 7 to 45 years. Machinery and equipment are depreciated over periods generally ranging from 2 to 20 years.</w:t>
      </w:r>
    </w:p>
    <w:p>
      <w:pPr>
        <w:spacing w:after="0" w:line="41" w:lineRule="exact"/>
        <w:rPr>
          <w:rFonts w:ascii="Arial" w:cs="Arial" w:eastAsia="Arial" w:hAnsi="Arial"/>
          <w:sz w:val="25"/>
          <w:szCs w:val="25"/>
          <w:color w:val="auto"/>
          <w:vertAlign w:val="superscript"/>
        </w:rPr>
      </w:pPr>
    </w:p>
    <w:p>
      <w:pPr>
        <w:jc w:val="both"/>
        <w:ind w:left="340" w:hanging="332"/>
        <w:spacing w:after="0" w:line="261" w:lineRule="auto"/>
        <w:tabs>
          <w:tab w:leader="none" w:pos="340" w:val="left"/>
        </w:tabs>
        <w:numPr>
          <w:ilvl w:val="0"/>
          <w:numId w:val="47"/>
        </w:numPr>
        <w:rPr>
          <w:rFonts w:ascii="Arial" w:cs="Arial" w:eastAsia="Arial" w:hAnsi="Arial"/>
          <w:sz w:val="22"/>
          <w:szCs w:val="22"/>
          <w:color w:val="auto"/>
          <w:vertAlign w:val="superscript"/>
        </w:rPr>
      </w:pPr>
      <w:r>
        <w:rPr>
          <w:rFonts w:ascii="Arial" w:cs="Arial" w:eastAsia="Arial" w:hAnsi="Arial"/>
          <w:sz w:val="16"/>
          <w:szCs w:val="16"/>
          <w:color w:val="auto"/>
        </w:rPr>
        <w:t>The deferred compensation obligation represents unfunded plans maintained for the purpose of providing our directors and certain of our executives the opportunity to defer a portion of their compensation. All forms of compensation contributed to the deferred compensation plans are accounted for in accordance with the underlying program. Deferrals and our contributions are credited to an investment account in the participant's name, although no funds are actually contributed to the investment account and no investments are actually purchased. Seven investment choices are available, including:</w:t>
      </w:r>
    </w:p>
    <w:p>
      <w:pPr>
        <w:spacing w:after="0" w:line="3" w:lineRule="exact"/>
        <w:rPr>
          <w:rFonts w:ascii="Arial" w:cs="Arial" w:eastAsia="Arial" w:hAnsi="Arial"/>
          <w:sz w:val="22"/>
          <w:szCs w:val="22"/>
          <w:color w:val="auto"/>
          <w:vertAlign w:val="superscript"/>
        </w:rPr>
      </w:pPr>
    </w:p>
    <w:p>
      <w:pPr>
        <w:jc w:val="both"/>
        <w:ind w:left="340"/>
        <w:spacing w:after="0" w:line="270" w:lineRule="auto"/>
        <w:rPr>
          <w:rFonts w:ascii="Arial" w:cs="Arial" w:eastAsia="Arial" w:hAnsi="Arial"/>
          <w:sz w:val="22"/>
          <w:szCs w:val="22"/>
          <w:color w:val="auto"/>
          <w:vertAlign w:val="superscript"/>
        </w:rPr>
      </w:pPr>
      <w:r>
        <w:rPr>
          <w:rFonts w:ascii="Arial" w:cs="Arial" w:eastAsia="Arial" w:hAnsi="Arial"/>
          <w:sz w:val="17"/>
          <w:szCs w:val="17"/>
          <w:color w:val="auto"/>
        </w:rPr>
        <w:t>(1) a book account that tracks the total return on our stock; (2) a book account that tracks the performance of the Vanguard Institutional Index; (3) a book account that tracks the performance of the Vanguard Extended Market Index; (4) a book account that tracks the performance of the Vanguard Total International Stock Index; (5) a book account that tracks the performance of the Vanguard Total Bond Market Index; (6) a book account that tracks the performance of the Vanguard Short-Term Bond Index; and (7) a book account that tracks the BlackRock Short-Term Investment Fund. Participants can reallocate investments daily and are entitled to the gains and losses on investment funds. We recognize an amount in the Consolidated Statements of Earnings for the market appreciation/depreciation of each fund.</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440" w:right="2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i w:val="1"/>
          <w:iCs w:val="1"/>
          <w:color w:val="auto"/>
        </w:rPr>
        <w:t>Statements of Earnings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74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212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r>
      <w:tr>
        <w:trPr>
          <w:trHeight w:val="270"/>
        </w:trPr>
        <w:tc>
          <w:tcPr>
            <w:tcW w:w="7440" w:type="dxa"/>
            <w:vAlign w:val="bottom"/>
          </w:tcPr>
          <w:p>
            <w:pPr>
              <w:ind w:left="180"/>
              <w:spacing w:after="0" w:line="270" w:lineRule="exact"/>
              <w:rPr>
                <w:sz w:val="20"/>
                <w:szCs w:val="20"/>
                <w:color w:val="auto"/>
              </w:rPr>
            </w:pPr>
            <w:r>
              <w:rPr>
                <w:rFonts w:ascii="Arial" w:cs="Arial" w:eastAsia="Arial" w:hAnsi="Arial"/>
                <w:sz w:val="18"/>
                <w:szCs w:val="18"/>
                <w:color w:val="auto"/>
              </w:rPr>
              <w:t>Claim settlement</w:t>
            </w:r>
            <w:r>
              <w:rPr>
                <w:rFonts w:ascii="Arial" w:cs="Arial" w:eastAsia="Arial" w:hAnsi="Arial"/>
                <w:sz w:val="25"/>
                <w:szCs w:val="25"/>
                <w:color w:val="auto"/>
                <w:vertAlign w:val="superscript"/>
              </w:rPr>
              <w:t>(2)</w:t>
            </w:r>
          </w:p>
        </w:tc>
        <w:tc>
          <w:tcPr>
            <w:tcW w:w="820" w:type="dxa"/>
            <w:vAlign w:val="bottom"/>
          </w:tcPr>
          <w:p>
            <w:pPr>
              <w:spacing w:after="0"/>
              <w:rPr>
                <w:sz w:val="23"/>
                <w:szCs w:val="23"/>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r>
      <w:tr>
        <w:trPr>
          <w:trHeight w:val="237"/>
        </w:trPr>
        <w:tc>
          <w:tcPr>
            <w:tcW w:w="7440" w:type="dxa"/>
            <w:vAlign w:val="bottom"/>
          </w:tcPr>
          <w:p>
            <w:pPr>
              <w:spacing w:after="0"/>
              <w:rPr>
                <w:sz w:val="20"/>
                <w:szCs w:val="20"/>
                <w:color w:val="auto"/>
              </w:rPr>
            </w:pPr>
          </w:p>
        </w:tc>
        <w:tc>
          <w:tcPr>
            <w:tcW w:w="820" w:type="dxa"/>
            <w:vAlign w:val="bottom"/>
            <w:tcBorders>
              <w:top w:val="single" w:sz="8" w:color="auto"/>
            </w:tcBorders>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238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24</w:t>
            </w:r>
          </w:p>
        </w:tc>
      </w:tr>
      <w:tr>
        <w:trPr>
          <w:trHeight w:val="67"/>
        </w:trPr>
        <w:tc>
          <w:tcPr>
            <w:tcW w:w="7440" w:type="dxa"/>
            <w:vAlign w:val="bottom"/>
            <w:tcBorders>
              <w:bottom w:val="single" w:sz="8" w:color="CCEEFF"/>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305"/>
        </w:trPr>
        <w:tc>
          <w:tcPr>
            <w:tcW w:w="7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70"/>
        </w:trPr>
        <w:tc>
          <w:tcPr>
            <w:tcW w:w="7440" w:type="dxa"/>
            <w:vAlign w:val="bottom"/>
          </w:tcPr>
          <w:p>
            <w:pPr>
              <w:ind w:left="40"/>
              <w:spacing w:after="0" w:line="270" w:lineRule="exact"/>
              <w:rPr>
                <w:sz w:val="20"/>
                <w:szCs w:val="20"/>
                <w:color w:val="auto"/>
              </w:rPr>
            </w:pPr>
            <w:r>
              <w:rPr>
                <w:rFonts w:ascii="Arial" w:cs="Arial" w:eastAsia="Arial" w:hAnsi="Arial"/>
                <w:sz w:val="18"/>
                <w:szCs w:val="18"/>
                <w:color w:val="auto"/>
              </w:rPr>
              <w:t>Advertising and consumer promotion expense</w:t>
            </w:r>
            <w:r>
              <w:rPr>
                <w:rFonts w:ascii="Arial" w:cs="Arial" w:eastAsia="Arial" w:hAnsi="Arial"/>
                <w:sz w:val="25"/>
                <w:szCs w:val="25"/>
                <w:color w:val="auto"/>
                <w:vertAlign w:val="superscript"/>
              </w:rPr>
              <w:t>(3)</w:t>
            </w:r>
          </w:p>
        </w:tc>
        <w:tc>
          <w:tcPr>
            <w:tcW w:w="820" w:type="dxa"/>
            <w:vAlign w:val="bottom"/>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389</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385</w:t>
            </w:r>
          </w:p>
        </w:tc>
      </w:tr>
      <w:tr>
        <w:trPr>
          <w:trHeight w:val="324"/>
        </w:trPr>
        <w:tc>
          <w:tcPr>
            <w:tcW w:w="74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7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w:t>
            </w:r>
          </w:p>
        </w:tc>
      </w:tr>
      <w:tr>
        <w:trPr>
          <w:trHeight w:val="243"/>
        </w:trPr>
        <w:tc>
          <w:tcPr>
            <w:tcW w:w="7440" w:type="dxa"/>
            <w:vAlign w:val="bottom"/>
          </w:tcPr>
          <w:p>
            <w:pPr>
              <w:ind w:left="180"/>
              <w:spacing w:after="0"/>
              <w:rPr>
                <w:sz w:val="20"/>
                <w:szCs w:val="20"/>
                <w:color w:val="auto"/>
              </w:rPr>
            </w:pPr>
            <w:r>
              <w:rPr>
                <w:rFonts w:ascii="Arial" w:cs="Arial" w:eastAsia="Arial" w:hAnsi="Arial"/>
                <w:sz w:val="18"/>
                <w:szCs w:val="18"/>
                <w:color w:val="auto"/>
              </w:rPr>
              <w:t>Less: Interest capitalized</w:t>
            </w:r>
          </w:p>
        </w:tc>
        <w:tc>
          <w:tcPr>
            <w:tcW w:w="8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74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jc w:val="both"/>
        <w:ind w:left="340" w:hanging="332"/>
        <w:spacing w:after="0" w:line="232"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 2017, we recognized impairment charges of $212 related to the intangible assets of the Bolthouse Farms carrot and carrot ingredients reporting unit and the Garden Fresh Gourmet reporting unit; in 2016, we recognized an impairment charge of $141 related to the intangible assets of the Bolthouse Farms carrot and carrot ingredients reporting unit</w:t>
      </w:r>
      <w:r>
        <w:rPr>
          <w:rFonts w:ascii="Arial" w:cs="Arial" w:eastAsia="Arial" w:hAnsi="Arial"/>
          <w:sz w:val="18"/>
          <w:szCs w:val="18"/>
          <w:i w:val="1"/>
          <w:iCs w:val="1"/>
          <w:color w:val="auto"/>
        </w:rPr>
        <w:t>;</w:t>
      </w:r>
      <w:r>
        <w:rPr>
          <w:rFonts w:ascii="Arial" w:cs="Arial" w:eastAsia="Arial" w:hAnsi="Arial"/>
          <w:sz w:val="18"/>
          <w:szCs w:val="18"/>
          <w:color w:val="auto"/>
        </w:rPr>
        <w:t xml:space="preserve"> and in 2015, we recognized an impairment charge of $6 related to minor trademarks used in the Global Biscuits and Snacks segment. See also Note 5.</w:t>
      </w:r>
    </w:p>
    <w:p>
      <w:pPr>
        <w:ind w:left="340" w:hanging="332"/>
        <w:spacing w:after="0" w:line="225"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 2016, we recorded a gain of $25 from a settlement of a claim related to the Kelsen acquisition.</w:t>
      </w:r>
    </w:p>
    <w:p>
      <w:pPr>
        <w:spacing w:after="0" w:line="56"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8"/>
        </w:numPr>
        <w:rPr>
          <w:rFonts w:ascii="Arial" w:cs="Arial" w:eastAsia="Arial" w:hAnsi="Arial"/>
          <w:sz w:val="24"/>
          <w:szCs w:val="24"/>
          <w:color w:val="auto"/>
          <w:vertAlign w:val="superscript"/>
        </w:rPr>
      </w:pPr>
      <w:r>
        <w:rPr>
          <w:rFonts w:ascii="Arial" w:cs="Arial" w:eastAsia="Arial" w:hAnsi="Arial"/>
          <w:sz w:val="17"/>
          <w:szCs w:val="17"/>
          <w:color w:val="auto"/>
        </w:rPr>
        <w:t>Included in Marketing and selling expenses.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39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393"/>
              <w:spacing w:after="0"/>
              <w:rPr>
                <w:sz w:val="20"/>
                <w:szCs w:val="20"/>
                <w:color w:val="auto"/>
              </w:rPr>
            </w:pPr>
            <w:r>
              <w:rPr>
                <w:rFonts w:ascii="Arial" w:cs="Arial" w:eastAsia="Arial" w:hAnsi="Arial"/>
                <w:sz w:val="14"/>
                <w:szCs w:val="14"/>
                <w:b w:val="1"/>
                <w:bCs w:val="1"/>
                <w:color w:val="auto"/>
              </w:rPr>
              <w:t>2015</w:t>
            </w:r>
          </w:p>
        </w:tc>
      </w:tr>
      <w:tr>
        <w:trPr>
          <w:trHeight w:val="189"/>
        </w:trPr>
        <w:tc>
          <w:tcPr>
            <w:tcW w:w="428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b w:val="1"/>
                <w:bCs w:val="1"/>
                <w:color w:val="auto"/>
              </w:rPr>
              <w:t>Cash Flows from Operating Activities</w:t>
            </w:r>
          </w:p>
        </w:tc>
        <w:tc>
          <w:tcPr>
            <w:tcW w:w="31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2900" w:type="dxa"/>
            <w:vAlign w:val="bottom"/>
            <w:tcBorders>
              <w:top w:val="single" w:sz="8" w:color="auto"/>
            </w:tcBorders>
            <w:shd w:val="clear" w:color="auto" w:fill="CCEEFF"/>
          </w:tcPr>
          <w:p>
            <w:pPr>
              <w:spacing w:after="0"/>
              <w:rPr>
                <w:sz w:val="5"/>
                <w:szCs w:val="5"/>
                <w:color w:val="auto"/>
              </w:rPr>
            </w:pPr>
          </w:p>
        </w:tc>
        <w:tc>
          <w:tcPr>
            <w:tcW w:w="13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r>
      <w:tr>
        <w:trPr>
          <w:trHeight w:val="243"/>
        </w:trPr>
        <w:tc>
          <w:tcPr>
            <w:tcW w:w="428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Benefit related payments</w:t>
            </w:r>
          </w:p>
        </w:tc>
        <w:tc>
          <w:tcPr>
            <w:tcW w:w="39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3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Borders>
              <w:bottom w:val="single" w:sz="8" w:color="CCEEFF"/>
            </w:tcBorders>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29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39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2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Cash Flow Information</w:t>
            </w:r>
          </w:p>
        </w:tc>
        <w:tc>
          <w:tcPr>
            <w:tcW w:w="31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Interest paid</w:t>
            </w:r>
          </w:p>
        </w:tc>
        <w:tc>
          <w:tcPr>
            <w:tcW w:w="39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110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111</w:t>
            </w:r>
          </w:p>
        </w:tc>
      </w:tr>
      <w:tr>
        <w:trPr>
          <w:trHeight w:val="27"/>
        </w:trPr>
        <w:tc>
          <w:tcPr>
            <w:tcW w:w="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Interest received</w:t>
            </w:r>
          </w:p>
        </w:tc>
        <w:tc>
          <w:tcPr>
            <w:tcW w:w="3980" w:type="dxa"/>
            <w:vAlign w:val="bottom"/>
            <w:tcBorders>
              <w:bottom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r>
      <w:tr>
        <w:trPr>
          <w:trHeight w:val="243"/>
        </w:trPr>
        <w:tc>
          <w:tcPr>
            <w:tcW w:w="40" w:type="dxa"/>
            <w:vAlign w:val="bottom"/>
          </w:tcPr>
          <w:p>
            <w:pPr>
              <w:spacing w:after="0"/>
              <w:rPr>
                <w:sz w:val="21"/>
                <w:szCs w:val="21"/>
                <w:color w:val="auto"/>
              </w:rPr>
            </w:pPr>
          </w:p>
        </w:tc>
        <w:tc>
          <w:tcPr>
            <w:tcW w:w="4240" w:type="dxa"/>
            <w:vAlign w:val="bottom"/>
            <w:gridSpan w:val="2"/>
          </w:tcPr>
          <w:p>
            <w:pPr>
              <w:ind w:left="140"/>
              <w:spacing w:after="0"/>
              <w:rPr>
                <w:sz w:val="20"/>
                <w:szCs w:val="20"/>
                <w:color w:val="auto"/>
              </w:rPr>
            </w:pPr>
            <w:r>
              <w:rPr>
                <w:rFonts w:ascii="Arial" w:cs="Arial" w:eastAsia="Arial" w:hAnsi="Arial"/>
                <w:sz w:val="18"/>
                <w:szCs w:val="18"/>
                <w:color w:val="auto"/>
              </w:rPr>
              <w:t>Income taxes paid</w:t>
            </w:r>
          </w:p>
        </w:tc>
        <w:tc>
          <w:tcPr>
            <w:tcW w:w="3980" w:type="dxa"/>
            <w:vAlign w:val="bottom"/>
            <w:gridSpan w:val="2"/>
          </w:tcPr>
          <w:p>
            <w:pPr>
              <w:jc w:val="right"/>
              <w:ind w:right="70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320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333</w:t>
            </w:r>
          </w:p>
        </w:tc>
      </w:tr>
      <w:tr>
        <w:trPr>
          <w:trHeight w:val="486"/>
        </w:trPr>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60" w:type="dxa"/>
            <w:vAlign w:val="bottom"/>
          </w:tcPr>
          <w:p>
            <w:pPr>
              <w:jc w:val="right"/>
              <w:ind w:right="1553"/>
              <w:spacing w:after="0"/>
              <w:rPr>
                <w:sz w:val="20"/>
                <w:szCs w:val="20"/>
                <w:color w:val="auto"/>
              </w:rPr>
            </w:pPr>
            <w:r>
              <w:rPr>
                <w:rFonts w:ascii="Arial" w:cs="Arial" w:eastAsia="Arial" w:hAnsi="Arial"/>
                <w:sz w:val="18"/>
                <w:szCs w:val="18"/>
                <w:color w:val="auto"/>
              </w:rPr>
              <w:t>71</w:t>
            </w: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420"/>
          </w:cols>
          <w:pgMar w:left="240" w:top="1230"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20. Quarterly Data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1,664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841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825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678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715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.35</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Net earnings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1.04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62.30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63.50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64.23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59.14</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52.59</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56.05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50.62</w:t>
            </w:r>
          </w:p>
        </w:tc>
      </w:tr>
      <w:tr>
        <w:trPr>
          <w:trHeight w:val="453"/>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2017</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69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First</w:t>
            </w:r>
          </w:p>
        </w:tc>
        <w:tc>
          <w:tcPr>
            <w:tcW w:w="200" w:type="dxa"/>
            <w:vAlign w:val="bottom"/>
          </w:tcPr>
          <w:p>
            <w:pPr>
              <w:spacing w:after="0"/>
              <w:rPr>
                <w:sz w:val="22"/>
                <w:szCs w:val="22"/>
                <w:color w:val="auto"/>
              </w:rPr>
            </w:pPr>
          </w:p>
        </w:tc>
        <w:tc>
          <w:tcPr>
            <w:tcW w:w="740" w:type="dxa"/>
            <w:vAlign w:val="bottom"/>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Third</w:t>
            </w:r>
          </w:p>
        </w:tc>
        <w:tc>
          <w:tcPr>
            <w:tcW w:w="200" w:type="dxa"/>
            <w:vAlign w:val="bottom"/>
          </w:tcPr>
          <w:p>
            <w:pPr>
              <w:spacing w:after="0"/>
              <w:rPr>
                <w:sz w:val="22"/>
                <w:szCs w:val="22"/>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 2017, the following charges (gains) were recorded in Net earnings attributable to Campbell</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Soup Company:</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180</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26</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Sale of notes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.09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Sale of notes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359"/>
        </w:trPr>
        <w:tc>
          <w:tcPr>
            <w:tcW w:w="69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89"/>
              </w:rPr>
              <w:t>2016</w:t>
            </w: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69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First</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Second</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Third</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1,687</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546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Dividends</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.312</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 share - assuming dilution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Net earnings (loss) attributable to Campbell Soup Company</w:t>
            </w: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 price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980" w:type="dxa"/>
            <w:vAlign w:val="bottom"/>
          </w:tcPr>
          <w:p>
            <w:pPr>
              <w:ind w:left="440"/>
              <w:spacing w:after="0"/>
              <w:rPr>
                <w:sz w:val="20"/>
                <w:szCs w:val="20"/>
                <w:color w:val="auto"/>
              </w:rPr>
            </w:pPr>
            <w:r>
              <w:rPr>
                <w:rFonts w:ascii="Arial" w:cs="Arial" w:eastAsia="Arial" w:hAnsi="Arial"/>
                <w:sz w:val="18"/>
                <w:szCs w:val="18"/>
                <w:color w:val="auto"/>
              </w:rPr>
              <w:t>High</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52.37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56.63</w:t>
            </w:r>
          </w:p>
        </w:tc>
        <w:tc>
          <w:tcPr>
            <w:tcW w:w="4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65.48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67.89</w:t>
            </w:r>
          </w:p>
        </w:tc>
      </w:tr>
      <w:tr>
        <w:trPr>
          <w:trHeight w:val="27"/>
        </w:trPr>
        <w:tc>
          <w:tcPr>
            <w:tcW w:w="6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47.77</w:t>
            </w:r>
          </w:p>
        </w:tc>
        <w:tc>
          <w:tcPr>
            <w:tcW w:w="4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54.97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59.51</w:t>
            </w:r>
          </w:p>
        </w:tc>
      </w:tr>
      <w:tr>
        <w:trPr>
          <w:trHeight w:val="459"/>
        </w:trPr>
        <w:tc>
          <w:tcPr>
            <w:tcW w:w="6980" w:type="dxa"/>
            <w:vAlign w:val="bottom"/>
          </w:tcPr>
          <w:p>
            <w:pPr>
              <w:ind w:left="562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1404" w:right="239" w:bottom="1440" w:gutter="0" w:footer="0" w:header="0"/>
        </w:sectPr>
      </w:pPr>
    </w:p>
    <w:bookmarkStart w:id="72" w:name="page73"/>
    <w:bookmarkEnd w:id="72"/>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2016</w:t>
            </w: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264"/>
        </w:trPr>
        <w:tc>
          <w:tcPr>
            <w:tcW w:w="69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First</w:t>
            </w: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Second</w:t>
            </w:r>
          </w:p>
        </w:tc>
        <w:tc>
          <w:tcPr>
            <w:tcW w:w="1120" w:type="dxa"/>
            <w:vAlign w:val="bottom"/>
            <w:gridSpan w:val="3"/>
          </w:tcPr>
          <w:p>
            <w:pPr>
              <w:ind w:left="120"/>
              <w:spacing w:after="0"/>
              <w:rPr>
                <w:sz w:val="20"/>
                <w:szCs w:val="20"/>
                <w:color w:val="auto"/>
              </w:rPr>
            </w:pPr>
            <w:r>
              <w:rPr>
                <w:rFonts w:ascii="Arial" w:cs="Arial" w:eastAsia="Arial" w:hAnsi="Arial"/>
                <w:sz w:val="14"/>
                <w:szCs w:val="14"/>
                <w:b w:val="1"/>
                <w:bCs w:val="1"/>
                <w:color w:val="auto"/>
              </w:rPr>
              <w:t>Third</w:t>
            </w: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Fourth</w:t>
            </w:r>
          </w:p>
        </w:tc>
      </w:tr>
      <w:tr>
        <w:trPr>
          <w:trHeight w:val="215"/>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 2016, the following charges (gains) were recorded in Net earnings attributable to Campbell</w:t>
            </w: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Soup Company:</w:t>
            </w:r>
          </w:p>
        </w:tc>
        <w:tc>
          <w:tcPr>
            <w:tcW w:w="6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Impairment charge</w:t>
            </w:r>
          </w:p>
        </w:tc>
        <w:tc>
          <w:tcPr>
            <w:tcW w:w="680" w:type="dxa"/>
            <w:vAlign w:val="bottom"/>
          </w:tcPr>
          <w:p>
            <w:pPr>
              <w:jc w:val="right"/>
              <w:ind w:right="479"/>
              <w:spacing w:after="0"/>
              <w:rPr>
                <w:sz w:val="20"/>
                <w:szCs w:val="20"/>
                <w:color w:val="auto"/>
              </w:rPr>
            </w:pPr>
            <w:r>
              <w:rPr>
                <w:rFonts w:ascii="Arial" w:cs="Arial" w:eastAsia="Arial" w:hAnsi="Arial"/>
                <w:sz w:val="18"/>
                <w:szCs w:val="18"/>
                <w:color w:val="auto"/>
                <w:w w:val="99"/>
              </w:rPr>
              <w:t>$</w:t>
            </w:r>
          </w:p>
        </w:tc>
        <w:tc>
          <w:tcPr>
            <w:tcW w:w="660" w:type="dxa"/>
            <w:vAlign w:val="bottom"/>
            <w:gridSpan w:val="3"/>
          </w:tcPr>
          <w:p>
            <w:pPr>
              <w:ind w:left="60"/>
              <w:spacing w:after="0"/>
              <w:rPr>
                <w:sz w:val="20"/>
                <w:szCs w:val="20"/>
                <w:color w:val="auto"/>
              </w:rPr>
            </w:pPr>
            <w:r>
              <w:rPr>
                <w:rFonts w:ascii="Arial" w:cs="Arial" w:eastAsia="Arial" w:hAnsi="Arial"/>
                <w:sz w:val="18"/>
                <w:szCs w:val="18"/>
                <w:color w:val="auto"/>
              </w:rPr>
              <w:t>—   $</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   $</w:t>
            </w:r>
          </w:p>
        </w:tc>
        <w:tc>
          <w:tcPr>
            <w:tcW w:w="1120" w:type="dxa"/>
            <w:vAlign w:val="bottom"/>
            <w:gridSpan w:val="3"/>
          </w:tcPr>
          <w:p>
            <w:pPr>
              <w:ind w:left="520"/>
              <w:spacing w:after="0"/>
              <w:rPr>
                <w:sz w:val="20"/>
                <w:szCs w:val="20"/>
                <w:color w:val="auto"/>
              </w:rPr>
            </w:pPr>
            <w:r>
              <w:rPr>
                <w:rFonts w:ascii="Arial" w:cs="Arial" w:eastAsia="Arial" w:hAnsi="Arial"/>
                <w:sz w:val="18"/>
                <w:szCs w:val="18"/>
                <w:color w:val="auto"/>
              </w:rPr>
              <w:t>—   $</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127</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6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90</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Claim settlement</w:t>
            </w: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180"/>
              <w:spacing w:after="0"/>
              <w:rPr>
                <w:sz w:val="20"/>
                <w:szCs w:val="20"/>
                <w:color w:val="auto"/>
              </w:rPr>
            </w:pPr>
            <w:r>
              <w:rPr>
                <w:rFonts w:ascii="Arial" w:cs="Arial" w:eastAsia="Arial" w:hAnsi="Arial"/>
                <w:sz w:val="18"/>
                <w:szCs w:val="18"/>
                <w:color w:val="auto"/>
              </w:rPr>
              <w:t>Per share - assuming dilution</w:t>
            </w:r>
          </w:p>
        </w:tc>
        <w:tc>
          <w:tcPr>
            <w:tcW w:w="6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Impairment charge</w:t>
            </w:r>
          </w:p>
        </w:tc>
        <w:tc>
          <w:tcPr>
            <w:tcW w:w="6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68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w w:val="87"/>
              </w:rPr>
              <w:t>.07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.02</w:t>
            </w:r>
          </w:p>
        </w:tc>
      </w:tr>
      <w:tr>
        <w:trPr>
          <w:trHeight w:val="27"/>
        </w:trPr>
        <w:tc>
          <w:tcPr>
            <w:tcW w:w="69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Pension and postretirement benefit mark-to-market adjustments</w:t>
            </w: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6980" w:type="dxa"/>
            <w:vAlign w:val="bottom"/>
          </w:tcPr>
          <w:p>
            <w:pPr>
              <w:ind w:left="500"/>
              <w:spacing w:after="0"/>
              <w:rPr>
                <w:sz w:val="20"/>
                <w:szCs w:val="20"/>
                <w:color w:val="auto"/>
              </w:rPr>
            </w:pPr>
            <w:r>
              <w:rPr>
                <w:rFonts w:ascii="Arial" w:cs="Arial" w:eastAsia="Arial" w:hAnsi="Arial"/>
                <w:sz w:val="18"/>
                <w:szCs w:val="18"/>
                <w:color w:val="auto"/>
              </w:rPr>
              <w:t>Claim settlement</w:t>
            </w:r>
          </w:p>
        </w:tc>
        <w:tc>
          <w:tcPr>
            <w:tcW w:w="680" w:type="dxa"/>
            <w:vAlign w:val="bottom"/>
          </w:tcPr>
          <w:p>
            <w:pPr>
              <w:spacing w:after="0"/>
              <w:rPr>
                <w:sz w:val="21"/>
                <w:szCs w:val="21"/>
                <w:color w:val="auto"/>
              </w:rPr>
            </w:pPr>
          </w:p>
        </w:tc>
        <w:tc>
          <w:tcPr>
            <w:tcW w:w="6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r>
    </w:tbl>
    <w:p>
      <w:pPr>
        <w:spacing w:after="0" w:line="9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fourth quarter of 2016, an out-of-period adjustment of $13 ($.04 per share) to increase taxes on earnings was recorded. The adjustment related to deferred tax expense that should have been provided on certain cross-currency swap contracts associated with intercompany debt. Most of the adjustment related to the third quarter of 2016. Management does not believe the adjustment is material to the consolidated financial statements for any period.</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440"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for external purposes in accordance with generally accepted accounting principles in the United States of America.</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internal control over financial reporting includes those policies and procedures that:</w:t>
      </w:r>
    </w:p>
    <w:p>
      <w:pPr>
        <w:spacing w:after="0" w:line="117" w:lineRule="exact"/>
        <w:rPr>
          <w:sz w:val="20"/>
          <w:szCs w:val="20"/>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any system of internal control over financial reporting, no matter how well defined,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company’s management assessed the effectiveness of the company’s internal control over financial reporting as of July 30, 2017.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 — Integrated Framework (2013)</w:t>
      </w:r>
      <w:r>
        <w:rPr>
          <w:rFonts w:ascii="Arial" w:cs="Arial" w:eastAsia="Arial" w:hAnsi="Arial"/>
          <w:sz w:val="18"/>
          <w:szCs w:val="18"/>
          <w:color w:val="auto"/>
        </w:rPr>
        <w:t>. Based on this assessment using those criteria, management concluded that the company’s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was effective as of July 30, 2017.</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July 30, 2017 has been audited by PricewaterhouseCoopers LLP, an independent registered public accounting firm, as stated in their report, which appears herein.</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Denise M. Morrison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Vice President and Chief Financial Officer</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4817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Accounting Officer)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29" w:right="239" w:bottom="1440" w:gutter="0" w:footer="0" w:header="0"/>
        </w:sectPr>
      </w:pPr>
    </w:p>
    <w:bookmarkStart w:id="74" w:name="page75"/>
    <w:bookmarkEnd w:id="74"/>
    <w:p>
      <w:pPr>
        <w:ind w:left="346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Directors of Campbell Soup Company:</w:t>
      </w:r>
    </w:p>
    <w:p>
      <w:pPr>
        <w:spacing w:after="0" w:line="225" w:lineRule="exact"/>
        <w:rPr>
          <w:sz w:val="20"/>
          <w:szCs w:val="20"/>
          <w:color w:val="auto"/>
        </w:rPr>
      </w:pPr>
    </w:p>
    <w:p>
      <w:pPr>
        <w:jc w:val="both"/>
        <w:ind w:firstLine="432"/>
        <w:spacing w:after="0" w:line="285" w:lineRule="auto"/>
        <w:rPr>
          <w:sz w:val="20"/>
          <w:szCs w:val="20"/>
          <w:color w:val="auto"/>
        </w:rPr>
      </w:pPr>
      <w:r>
        <w:rPr>
          <w:rFonts w:ascii="Arial" w:cs="Arial" w:eastAsia="Arial" w:hAnsi="Arial"/>
          <w:sz w:val="16"/>
          <w:szCs w:val="16"/>
          <w:color w:val="auto"/>
        </w:rPr>
        <w:t xml:space="preserve">In our opinion, the consolidated financial statements listed in the accompanying index appearing under Item 15(a)(1) present fairly, in all material respects, the financial position of Campbell Soup Company and its subsidiaries as of July 30, 2017 and July 31, 2016, and the results of their operations and their cash flows for each of the three years in the period ended July 30, 2017 in conformity with accounting principles generally accepted in the United States of America. In addition, in our opinion, the financial statement schedule listed in the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July 30, 2017,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The Company’s management is</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responsible for these financial statements and financial statement schedule,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2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Exchange Act) as of July 30, 2017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annual report of management on our internal control over financial reporting is provided under "Financial Statements and Supplementary Data" on page 74. The attestation report of PricewaterhouseCoopers LLP, our independent registered public accounting firm, regarding our internal control over financial reporting is provided under "Financial Statements and Supplementary Data" on page 75.</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fourth quarter of 2017, we replaced a financial planning and consolidation system with an upgraded version. In connection with this implementation, we modified select controls relating to financial data consolidation and financial reporting.</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Except as described above, there were no changes in our internal control over financial reporting that materially affected, or were likely to materially affect, such control over financial reporting during the quarter ended July 30, 2017.</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sections entitled "Item 1 — Election of Directors," "Voting Securities and Principal Shareholders — Ownership of Directors and Executive Officers" and "Voting Securities and Principal Shareholders — Compliance with Section 16(a) of the Exchange Act" in our Proxy Statement for the Annual Meeting of Shareholders to be held on November 15, 2017 (the 2017 Proxy) are incorporated herein by reference. The information presented in the section entitled "Corporate Governance Policies and Practices — Board Meetings and Committees — Board Committee Structure" in the 2017 Proxy relating to the members of our Audit Committee and the Audit Committee’s financial experts is incorporated herein by reference.</w:t>
      </w:r>
    </w:p>
    <w:p>
      <w:pPr>
        <w:spacing w:after="0" w:line="11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the information required by this Item relating to our executive officers is set forth under the heading "Executive Officers of the Company" in this Report.</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We have adopted a Code of Ethics for the Chief Executive Officer and Senior Financial Officers that applies to our Chief Executive Officer, Chief Financial Officer, Controller and members of the Chief Financial Officer’s financial leadership team. The Code of Ethics for the Chief Executive Officer and Senior Financial Officers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We intend to satisfy the disclosure requirement regarding any amendment to, or a waiver of, a provision of the Code of Ethics for the Chief Executive Officer and Senior Financial Officers by posting such information on our website.</w:t>
      </w:r>
    </w:p>
    <w:p>
      <w:pPr>
        <w:spacing w:after="0" w:line="134"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 xml:space="preserve">We have also adopted a separate Code of Business Conduct and Ethics applicable to the Board of Directors, our officers and all of our employees. The Code of Business Conduct and Ethics is posted on our website, </w:t>
      </w:r>
      <w:r>
        <w:rPr>
          <w:rFonts w:ascii="Arial" w:cs="Arial" w:eastAsia="Arial" w:hAnsi="Arial"/>
          <w:sz w:val="18"/>
          <w:szCs w:val="18"/>
          <w:u w:val="single" w:color="auto"/>
          <w:color w:val="auto"/>
        </w:rPr>
        <w:t>www.campbellsoupcompany.com</w:t>
      </w:r>
      <w:r>
        <w:rPr>
          <w:rFonts w:ascii="Arial" w:cs="Arial" w:eastAsia="Arial" w:hAnsi="Arial"/>
          <w:sz w:val="18"/>
          <w:szCs w:val="18"/>
          <w:color w:val="auto"/>
        </w:rPr>
        <w:t xml:space="preserve"> (under the "About Us — Corporate Governance" caption). Our Corporate Governance Standards and the charters of our four standing committees of the Board of Directors can also be found at this website. Printed copies of the foregoing are available to any shareholder requesting a copy by:</w:t>
      </w:r>
    </w:p>
    <w:p>
      <w:pPr>
        <w:spacing w:after="0" w:line="133"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writing to Investor Relations, Campbell Soup Company, 1 Campbell Place, Camden, NJ 08103-1799;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calling 1-800-840-2865;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e-mailing our Investor Relations Department at investorrelations@campbellsoup.com.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175"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The information presented in the sections entitled "Compensation Discussion and Analysis," "Executive Compensation Tables," "Corporate Governance Policies and Practices — Compensation of Directors," "Corporate Governance Policies and Practices — Board Meetings and Committees — Board Committee Structure — Compensation and Organization Committee Interlocks and Insider Participation" and "Compensation Discussion and Analysis — Compensation and Organization Committee Report" in the 2017 Proxy is incorporated herein by reference.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2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Shareholder Matters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information presented in the sections entitled "Voting Securities and Principal Shareholders — Ownership of Directors and Executive Officers" and "Voting Securities and Principal Shareholders — Principal Shareholders" in the 2017 Proxy is incorporated herein by reference.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the stock that could have been issued under our equity compensation plans as of July 30, 2017:</w:t>
      </w:r>
    </w:p>
    <w:p>
      <w:pPr>
        <w:sectPr>
          <w:pgSz w:w="11900" w:h="16838" w:orient="portrait"/>
          <w:cols w:equalWidth="0" w:num="1">
            <w:col w:w="11420"/>
          </w:cols>
          <w:pgMar w:left="240" w:top="13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63" w:lineRule="exact"/>
        <w:rPr>
          <w:sz w:val="20"/>
          <w:szCs w:val="20"/>
          <w:color w:val="auto"/>
        </w:rPr>
      </w:pPr>
    </w:p>
    <w:p>
      <w:pPr>
        <w:ind w:left="60" w:right="840"/>
        <w:spacing w:after="0" w:line="311" w:lineRule="auto"/>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Equity Compensation Plans Not Approved by Security Holders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0" w:type="dxa"/>
            <w:vAlign w:val="bottom"/>
          </w:tcPr>
          <w:p>
            <w:pPr>
              <w:spacing w:after="0"/>
              <w:rPr>
                <w:sz w:val="1"/>
                <w:szCs w:val="1"/>
                <w:color w:val="auto"/>
              </w:rPr>
            </w:pPr>
          </w:p>
        </w:tc>
      </w:tr>
      <w:tr>
        <w:trPr>
          <w:trHeight w:val="149"/>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For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Future Issuance Under</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Equity Compensation</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Options,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1"/>
              </w:rPr>
              <w:t>(Excluding Securities</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Options, Warrants and</w:t>
            </w:r>
          </w:p>
        </w:tc>
        <w:tc>
          <w:tcPr>
            <w:tcW w:w="1580" w:type="dxa"/>
            <w:vAlign w:val="bottom"/>
            <w:gridSpan w:val="3"/>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Warrants and Rights</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720" w:type="dxa"/>
            <w:vAlign w:val="bottom"/>
            <w:gridSpan w:val="2"/>
            <w:vMerge w:val="continue"/>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19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3"/>
              </w:rPr>
              <w:t>Reflected in the First</w:t>
            </w:r>
          </w:p>
        </w:tc>
        <w:tc>
          <w:tcPr>
            <w:tcW w:w="0" w:type="dxa"/>
            <w:vAlign w:val="bottom"/>
          </w:tcPr>
          <w:p>
            <w:pPr>
              <w:spacing w:after="0"/>
              <w:rPr>
                <w:sz w:val="1"/>
                <w:szCs w:val="1"/>
                <w:color w:val="auto"/>
              </w:rPr>
            </w:pPr>
          </w:p>
        </w:tc>
      </w:tr>
      <w:tr>
        <w:trPr>
          <w:trHeight w:val="81"/>
        </w:trPr>
        <w:tc>
          <w:tcPr>
            <w:tcW w:w="1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Rights (a)</w:t>
            </w:r>
          </w:p>
        </w:tc>
        <w:tc>
          <w:tcPr>
            <w:tcW w:w="160" w:type="dxa"/>
            <w:vAlign w:val="bottom"/>
          </w:tcPr>
          <w:p>
            <w:pPr>
              <w:spacing w:after="0"/>
              <w:rPr>
                <w:sz w:val="7"/>
                <w:szCs w:val="7"/>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(b)</w:t>
            </w: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72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Column) (c)</w:t>
            </w:r>
          </w:p>
        </w:tc>
        <w:tc>
          <w:tcPr>
            <w:tcW w:w="0" w:type="dxa"/>
            <w:vAlign w:val="bottom"/>
          </w:tcPr>
          <w:p>
            <w:pPr>
              <w:spacing w:after="0"/>
              <w:rPr>
                <w:sz w:val="1"/>
                <w:szCs w:val="1"/>
                <w:color w:val="auto"/>
              </w:rPr>
            </w:pPr>
          </w:p>
        </w:tc>
      </w:tr>
      <w:tr>
        <w:trPr>
          <w:trHeight w:val="87"/>
        </w:trPr>
        <w:tc>
          <w:tcPr>
            <w:tcW w:w="16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9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5,810,861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21"/>
                <w:szCs w:val="21"/>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9,650,970</w:t>
            </w:r>
          </w:p>
        </w:tc>
        <w:tc>
          <w:tcPr>
            <w:tcW w:w="0" w:type="dxa"/>
            <w:vAlign w:val="bottom"/>
          </w:tcPr>
          <w:p>
            <w:pPr>
              <w:spacing w:after="0"/>
              <w:rPr>
                <w:sz w:val="1"/>
                <w:szCs w:val="1"/>
                <w:color w:val="auto"/>
              </w:rPr>
            </w:pPr>
          </w:p>
        </w:tc>
      </w:tr>
      <w:tr>
        <w:trPr>
          <w:trHeight w:val="270"/>
        </w:trPr>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0" w:type="dxa"/>
            <w:vAlign w:val="bottom"/>
          </w:tcPr>
          <w:p>
            <w:pPr>
              <w:jc w:val="right"/>
              <w:ind w:right="43"/>
              <w:spacing w:after="0"/>
              <w:rPr>
                <w:sz w:val="20"/>
                <w:szCs w:val="20"/>
                <w:color w:val="auto"/>
              </w:rPr>
            </w:pPr>
            <w:r>
              <w:rPr>
                <w:rFonts w:ascii="Arial" w:cs="Arial" w:eastAsia="Arial" w:hAnsi="Arial"/>
                <w:sz w:val="18"/>
                <w:szCs w:val="18"/>
                <w:color w:val="auto"/>
              </w:rPr>
              <w:t>5,810,861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2"/>
              <w:spacing w:after="0"/>
              <w:rPr>
                <w:sz w:val="20"/>
                <w:szCs w:val="20"/>
                <w:color w:val="auto"/>
              </w:rPr>
            </w:pPr>
            <w:r>
              <w:rPr>
                <w:rFonts w:ascii="Arial" w:cs="Arial" w:eastAsia="Arial" w:hAnsi="Arial"/>
                <w:sz w:val="18"/>
                <w:szCs w:val="18"/>
                <w:color w:val="auto"/>
              </w:rPr>
              <w:t>52.08</w:t>
            </w:r>
          </w:p>
        </w:tc>
        <w:tc>
          <w:tcPr>
            <w:tcW w:w="120" w:type="dxa"/>
            <w:vAlign w:val="bottom"/>
          </w:tcPr>
          <w:p>
            <w:pPr>
              <w:spacing w:after="0"/>
              <w:rPr>
                <w:sz w:val="20"/>
                <w:szCs w:val="20"/>
                <w:color w:val="auto"/>
              </w:rPr>
            </w:pPr>
          </w:p>
        </w:tc>
        <w:tc>
          <w:tcPr>
            <w:tcW w:w="1920" w:type="dxa"/>
            <w:vAlign w:val="bottom"/>
          </w:tcPr>
          <w:p>
            <w:pPr>
              <w:jc w:val="right"/>
              <w:ind w:right="44"/>
              <w:spacing w:after="0"/>
              <w:rPr>
                <w:sz w:val="20"/>
                <w:szCs w:val="20"/>
                <w:color w:val="auto"/>
              </w:rPr>
            </w:pPr>
            <w:r>
              <w:rPr>
                <w:rFonts w:ascii="Arial" w:cs="Arial" w:eastAsia="Arial" w:hAnsi="Arial"/>
                <w:sz w:val="18"/>
                <w:szCs w:val="18"/>
                <w:color w:val="auto"/>
              </w:rPr>
              <w:t>9,650,970</w:t>
            </w:r>
          </w:p>
        </w:tc>
        <w:tc>
          <w:tcPr>
            <w:tcW w:w="0" w:type="dxa"/>
            <w:vAlign w:val="bottom"/>
          </w:tcPr>
          <w:p>
            <w:pPr>
              <w:spacing w:after="0"/>
              <w:rPr>
                <w:sz w:val="1"/>
                <w:szCs w:val="1"/>
                <w:color w:val="auto"/>
              </w:rPr>
            </w:pPr>
          </w:p>
        </w:tc>
      </w:tr>
      <w:tr>
        <w:trPr>
          <w:trHeight w:val="27"/>
        </w:trPr>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-3901440</wp:posOffset>
            </wp:positionH>
            <wp:positionV relativeFrom="paragraph">
              <wp:posOffset>-556895</wp:posOffset>
            </wp:positionV>
            <wp:extent cx="721233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180340"/>
                    </a:xfrm>
                    <a:prstGeom prst="rect">
                      <a:avLst/>
                    </a:prstGeom>
                    <a:noFill/>
                  </pic:spPr>
                </pic:pic>
              </a:graphicData>
            </a:graphic>
          </wp:anchor>
        </w:drawing>
        <w:drawing>
          <wp:anchor simplePos="0" relativeHeight="251657728" behindDoc="1" locked="0" layoutInCell="0" allowOverlap="1">
            <wp:simplePos x="0" y="0"/>
            <wp:positionH relativeFrom="column">
              <wp:posOffset>-3901440</wp:posOffset>
            </wp:positionH>
            <wp:positionV relativeFrom="paragraph">
              <wp:posOffset>-205105</wp:posOffset>
            </wp:positionV>
            <wp:extent cx="7212330" cy="188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18859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460" w:space="720"/>
            <w:col w:w="5240"/>
          </w:cols>
          <w:pgMar w:left="240" w:top="1309" w:right="239" w:bottom="1440" w:gutter="0" w:footer="0" w:header="0"/>
          <w:type w:val="continuous"/>
        </w:sectPr>
      </w:pPr>
    </w:p>
    <w:p>
      <w:pPr>
        <w:jc w:val="both"/>
        <w:ind w:left="340" w:hanging="332"/>
        <w:spacing w:after="0" w:line="275" w:lineRule="auto"/>
        <w:tabs>
          <w:tab w:leader="none" w:pos="340" w:val="left"/>
        </w:tabs>
        <w:numPr>
          <w:ilvl w:val="0"/>
          <w:numId w:val="51"/>
        </w:numPr>
        <w:rPr>
          <w:rFonts w:ascii="Arial" w:cs="Arial" w:eastAsia="Arial" w:hAnsi="Arial"/>
          <w:sz w:val="22"/>
          <w:szCs w:val="22"/>
          <w:color w:val="auto"/>
          <w:vertAlign w:val="superscript"/>
        </w:rPr>
      </w:pPr>
      <w:r>
        <w:rPr>
          <w:rFonts w:ascii="Arial" w:cs="Arial" w:eastAsia="Arial" w:hAnsi="Arial"/>
          <w:sz w:val="16"/>
          <w:szCs w:val="16"/>
          <w:color w:val="auto"/>
        </w:rPr>
        <w:t>Column (a) represents stock options and restricted stock units outstanding under the 2015 Long-Term Incentive Plan, 2005 Long-Term Incentive Plan and the 2003 Long-Term Incentive Plan. Column (a) includes 3,547,900 TSR performance restricted stock units based on the maximum number of shares potentially issuable under the awards, and the number of shares, if any, to be issued pursuant to such awards will be determined based upon performance during the applicable three-year performance period. No additional awards can be made under the 2003 Long-Term Incentive Plan or the 2005 Long-Term Incentive Plan. Future equity awards under the 2015 Long-Term Incentive Plan may take the form of stock options, SARs, performance unit awards, restricted stock, restricted performance stock, restricted stock units, or stock awards. Column (b) represents the weighted-average exercise price of the outstanding stock options only; the outstanding restricted stock units are not included in this calculation. Column (c) represents the maximum number of future equity awards that can be made under the 2015 Long-Term Incentive Plan as of July 30, 2017.</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presented in the section entitled "Corporate Governance Policies and Practices — Transactions with Related Persons," "Item 1 — Election of Directors — Director Independence" and "Corporate Governance Policies and Practices — Board Meetings and Committees — Board Committee Structure" in the 2017 Proxy is incorporated herein by reference.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presented in the sections entitled "Item 2 — Ratification of Appointment of Independent Registered Public Accounting Firm — Audit Firm Fees and Services" and "Item 2 — Ratification of Appointment of Independent Registered Public Accounting Firm — Audit Committee Pre-Approval Policy" in the 2017 Proxy is incorporated herein by reference.</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w:t>
      </w:r>
      <w:r>
        <w:rPr>
          <w:rFonts w:ascii="Arial" w:cs="Arial" w:eastAsia="Arial" w:hAnsi="Arial"/>
          <w:sz w:val="18"/>
          <w:szCs w:val="18"/>
          <w:b w:val="1"/>
          <w:bCs w:val="1"/>
          <w:i w:val="1"/>
          <w:iCs w:val="1"/>
          <w:color w:val="auto"/>
        </w:rPr>
        <w:t>Exhibits and Financial Statement Schedules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Report:</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Earnings for 2017, 2016 and 2015</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Comprehensive Income for 2017, 2016 and 2015</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Balance Sheets as of July 30, 2017 and July 31, 2016</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Cash Flows for 2017, 2016 and 2015</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Consolidated Statements of Equity for 2017, 2016 and 2015</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Management's Report on Internal Control Over Financial Reporting</w:t>
      </w:r>
    </w:p>
    <w:p>
      <w:pPr>
        <w:sectPr>
          <w:pgSz w:w="11900" w:h="16838" w:orient="portrait"/>
          <w:cols w:equalWidth="0" w:num="1">
            <w:col w:w="11420"/>
          </w:cols>
          <w:pgMar w:left="240" w:top="1309" w:right="239" w:bottom="1440" w:gutter="0" w:footer="0" w:header="0"/>
          <w:type w:val="continuous"/>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1309" w:right="239" w:bottom="1440" w:gutter="0" w:footer="0" w:header="0"/>
          <w:type w:val="continuous"/>
        </w:sectPr>
      </w:pPr>
    </w:p>
    <w:bookmarkStart w:id="77" w:name="page78"/>
    <w:bookmarkEnd w:id="77"/>
    <w:p>
      <w:pPr>
        <w:ind w:left="98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1" w:lineRule="exact"/>
        <w:rPr>
          <w:sz w:val="20"/>
          <w:szCs w:val="20"/>
          <w:color w:val="auto"/>
        </w:rPr>
      </w:pPr>
    </w:p>
    <w:p>
      <w:pPr>
        <w:ind w:left="240" w:hanging="232"/>
        <w:spacing w:after="0"/>
        <w:tabs>
          <w:tab w:leader="none" w:pos="24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w:t>
      </w:r>
    </w:p>
    <w:p>
      <w:pPr>
        <w:spacing w:after="0" w:line="171" w:lineRule="exact"/>
        <w:rPr>
          <w:rFonts w:ascii="Arial" w:cs="Arial" w:eastAsia="Arial" w:hAnsi="Arial"/>
          <w:sz w:val="18"/>
          <w:szCs w:val="18"/>
          <w:b w:val="1"/>
          <w:bCs w:val="1"/>
          <w:i w:val="1"/>
          <w:iCs w:val="1"/>
          <w:color w:val="auto"/>
        </w:rPr>
      </w:pPr>
    </w:p>
    <w:p>
      <w:pPr>
        <w:ind w:left="98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II - Valuation and Qualifying Accounts for 2017, 2016 and 2015</w:t>
      </w:r>
    </w:p>
    <w:p>
      <w:pPr>
        <w:spacing w:after="0" w:line="171" w:lineRule="exact"/>
        <w:rPr>
          <w:rFonts w:ascii="Arial" w:cs="Arial" w:eastAsia="Arial" w:hAnsi="Arial"/>
          <w:sz w:val="18"/>
          <w:szCs w:val="18"/>
          <w:b w:val="1"/>
          <w:bCs w:val="1"/>
          <w:i w:val="1"/>
          <w:iCs w:val="1"/>
          <w:color w:val="auto"/>
        </w:rPr>
      </w:pPr>
    </w:p>
    <w:p>
      <w:pPr>
        <w:ind w:left="240" w:hanging="232"/>
        <w:spacing w:after="0"/>
        <w:tabs>
          <w:tab w:leader="none" w:pos="24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Reference is made to Item 15(b) below.</w:t>
      </w:r>
    </w:p>
    <w:p>
      <w:pPr>
        <w:spacing w:after="0" w:line="171" w:lineRule="exact"/>
        <w:rPr>
          <w:sz w:val="20"/>
          <w:szCs w:val="20"/>
          <w:color w:val="auto"/>
        </w:rPr>
      </w:pPr>
    </w:p>
    <w:p>
      <w:pPr>
        <w:ind w:left="320" w:hanging="258"/>
        <w:spacing w:after="0"/>
        <w:tabs>
          <w:tab w:leader="none" w:pos="32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Exhibits</w:t>
      </w:r>
      <w:r>
        <w:rPr>
          <w:rFonts w:ascii="Arial" w:cs="Arial" w:eastAsia="Arial" w:hAnsi="Arial"/>
          <w:sz w:val="16"/>
          <w:szCs w:val="16"/>
          <w:color w:val="auto"/>
        </w:rPr>
        <w:t>. The Exhibit Index, which immediately precedes the signature page, is incorporated by reference into this Report.</w:t>
      </w:r>
    </w:p>
    <w:p>
      <w:pPr>
        <w:spacing w:after="0" w:line="194" w:lineRule="exact"/>
        <w:rPr>
          <w:rFonts w:ascii="Arial" w:cs="Arial" w:eastAsia="Arial" w:hAnsi="Arial"/>
          <w:sz w:val="16"/>
          <w:szCs w:val="16"/>
          <w:color w:val="auto"/>
        </w:rPr>
      </w:pPr>
    </w:p>
    <w:p>
      <w:pPr>
        <w:ind w:left="300" w:hanging="238"/>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Reference is made to Item 15(a)(2)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 </w:t>
      </w:r>
      <w:r>
        <w:rPr>
          <w:rFonts w:ascii="Arial" w:cs="Arial" w:eastAsia="Arial" w:hAnsi="Arial"/>
          <w:sz w:val="18"/>
          <w:szCs w:val="18"/>
          <w:b w:val="1"/>
          <w:bCs w:val="1"/>
          <w:i w:val="1"/>
          <w:i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9"/>
          </w:cols>
          <w:pgMar w:left="240" w:top="1314" w:right="1440" w:bottom="1440" w:gutter="0" w:footer="0" w:header="0"/>
        </w:sectPr>
      </w:pPr>
    </w:p>
    <w:bookmarkStart w:id="78" w:name="page79"/>
    <w:bookmarkEnd w:id="78"/>
    <w:tbl>
      <w:tblPr>
        <w:tblLayout w:type="fixed"/>
        <w:tblInd w:w="4" w:type="dxa"/>
        <w:tblCellMar>
          <w:top w:w="0" w:type="dxa"/>
          <w:left w:w="0" w:type="dxa"/>
          <w:bottom w:w="0" w:type="dxa"/>
          <w:right w:w="0" w:type="dxa"/>
        </w:tblCellMar>
      </w:tblPr>
      <w:tr>
        <w:trPr>
          <w:trHeight w:val="230"/>
        </w:trPr>
        <w:tc>
          <w:tcPr>
            <w:tcW w:w="1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0" w:type="dxa"/>
            <w:vAlign w:val="bottom"/>
            <w:gridSpan w:val="7"/>
          </w:tcPr>
          <w:p>
            <w:pPr>
              <w:ind w:left="1460"/>
              <w:spacing w:after="0"/>
              <w:rPr>
                <w:sz w:val="20"/>
                <w:szCs w:val="20"/>
                <w:color w:val="auto"/>
              </w:rPr>
            </w:pPr>
            <w:r>
              <w:rPr>
                <w:rFonts w:ascii="Arial" w:cs="Arial" w:eastAsia="Arial" w:hAnsi="Arial"/>
                <w:sz w:val="18"/>
                <w:szCs w:val="18"/>
                <w:color w:val="auto"/>
              </w:rPr>
              <w:t>INDEX TO EXHIBITS</w:t>
            </w:r>
          </w:p>
        </w:tc>
      </w:tr>
      <w:tr>
        <w:trPr>
          <w:trHeight w:val="419"/>
        </w:trPr>
        <w:tc>
          <w:tcPr>
            <w:tcW w:w="1140" w:type="dxa"/>
            <w:vAlign w:val="bottom"/>
          </w:tcPr>
          <w:p>
            <w:pPr>
              <w:spacing w:after="0"/>
              <w:rPr>
                <w:sz w:val="20"/>
                <w:szCs w:val="20"/>
                <w:color w:val="auto"/>
              </w:rPr>
            </w:pPr>
            <w:r>
              <w:rPr>
                <w:rFonts w:ascii="Arial" w:cs="Arial" w:eastAsia="Arial" w:hAnsi="Arial"/>
                <w:sz w:val="18"/>
                <w:szCs w:val="18"/>
                <w:color w:val="auto"/>
              </w:rPr>
              <w:t>2*</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2"/>
              </w:rPr>
            </w:pPr>
            <w:hyperlink r:id="rId28">
              <w:r>
                <w:rPr>
                  <w:rFonts w:ascii="Arial" w:cs="Arial" w:eastAsia="Arial" w:hAnsi="Arial"/>
                  <w:sz w:val="18"/>
                  <w:szCs w:val="18"/>
                  <w:color w:val="0000FF"/>
                  <w:w w:val="92"/>
                </w:rPr>
                <w:t>Securities Purchase Agreement, dated July 6, 2017, by and among Campbell Investment Company, Pacific Foods of Oregon, Inc. and the</w:t>
              </w:r>
            </w:hyperlink>
          </w:p>
        </w:tc>
      </w:tr>
      <w:tr>
        <w:trPr>
          <w:trHeight w:val="196"/>
        </w:trPr>
        <w:tc>
          <w:tcPr>
            <w:tcW w:w="114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FF"/>
                <w:w w:val="95"/>
              </w:rPr>
            </w:pPr>
            <w:hyperlink r:id="rId28">
              <w:r>
                <w:rPr>
                  <w:rFonts w:ascii="Arial" w:cs="Arial" w:eastAsia="Arial" w:hAnsi="Arial"/>
                  <w:sz w:val="18"/>
                  <w:szCs w:val="18"/>
                  <w:color w:val="0000FF"/>
                  <w:w w:val="95"/>
                </w:rPr>
                <w:t>other parties named therein is incorporated by reference to Exhibit 2.1 to Campbell's Form 8-K (SEC file number 1-3822) filed with the</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SEC on July 6,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3(a)</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4"/>
              </w:rPr>
            </w:pPr>
            <w:hyperlink r:id="rId29">
              <w:r>
                <w:rPr>
                  <w:rFonts w:ascii="Arial" w:cs="Arial" w:eastAsia="Arial" w:hAnsi="Arial"/>
                  <w:sz w:val="18"/>
                  <w:szCs w:val="18"/>
                  <w:color w:val="0000FF"/>
                  <w:w w:val="94"/>
                </w:rPr>
                <w:t>Campbell’s Restated Certificate of Incorporation, as amended through February 24, 1997, is incorporated by reference to Exhibit 3(i) to</w:t>
              </w:r>
            </w:hyperlink>
          </w:p>
        </w:tc>
      </w:tr>
      <w:tr>
        <w:trPr>
          <w:trHeight w:val="196"/>
        </w:trPr>
        <w:tc>
          <w:tcPr>
            <w:tcW w:w="1140" w:type="dxa"/>
            <w:vAlign w:val="bottom"/>
          </w:tcPr>
          <w:p>
            <w:pPr>
              <w:spacing w:after="0"/>
              <w:rPr>
                <w:sz w:val="17"/>
                <w:szCs w:val="17"/>
                <w:color w:val="auto"/>
              </w:rPr>
            </w:pPr>
          </w:p>
        </w:tc>
        <w:tc>
          <w:tcPr>
            <w:tcW w:w="644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Campbell’s Form 10-K (SEC file number 1-3822) for the fiscal year ended July 28, 2002.</w:t>
              </w:r>
            </w:hyperlink>
          </w:p>
        </w:tc>
        <w:tc>
          <w:tcPr>
            <w:tcW w:w="3700" w:type="dxa"/>
            <w:vAlign w:val="bottom"/>
            <w:gridSpan w:val="4"/>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3(b)</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Campbell’s By-Laws, amended and restated effective March 22, 2017, are incorporated by reference to Exhibit 3 to Campbell's Form 8-K</w:t>
              </w:r>
            </w:hyperlink>
          </w:p>
        </w:tc>
      </w:tr>
      <w:tr>
        <w:trPr>
          <w:trHeight w:val="196"/>
        </w:trPr>
        <w:tc>
          <w:tcPr>
            <w:tcW w:w="1140" w:type="dxa"/>
            <w:vAlign w:val="bottom"/>
          </w:tcPr>
          <w:p>
            <w:pPr>
              <w:spacing w:after="0"/>
              <w:rPr>
                <w:sz w:val="17"/>
                <w:szCs w:val="17"/>
                <w:color w:val="auto"/>
              </w:rPr>
            </w:pPr>
          </w:p>
        </w:tc>
        <w:tc>
          <w:tcPr>
            <w:tcW w:w="472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0">
              <w:r>
                <w:rPr>
                  <w:rFonts w:ascii="Arial" w:cs="Arial" w:eastAsia="Arial" w:hAnsi="Arial"/>
                  <w:sz w:val="18"/>
                  <w:szCs w:val="18"/>
                  <w:color w:val="0000FF"/>
                  <w:w w:val="91"/>
                </w:rPr>
                <w:t>(SEC file number 1-3822) filed with the SEC on March 23, 2017.</w:t>
              </w:r>
            </w:hyperlink>
          </w:p>
        </w:tc>
        <w:tc>
          <w:tcPr>
            <w:tcW w:w="5420" w:type="dxa"/>
            <w:vAlign w:val="bottom"/>
            <w:gridSpan w:val="6"/>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4(a)</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Indenture, dated November 24, 2008, between Campbell and The Bank of New York Mellon, as Trustee, is incorporated by reference to</w:t>
              </w:r>
            </w:hyperlink>
          </w:p>
        </w:tc>
      </w:tr>
      <w:tr>
        <w:trPr>
          <w:trHeight w:val="196"/>
        </w:trPr>
        <w:tc>
          <w:tcPr>
            <w:tcW w:w="114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FF"/>
                <w:w w:val="93"/>
              </w:rPr>
            </w:pPr>
            <w:hyperlink r:id="rId31">
              <w:r>
                <w:rPr>
                  <w:rFonts w:ascii="Arial" w:cs="Arial" w:eastAsia="Arial" w:hAnsi="Arial"/>
                  <w:sz w:val="18"/>
                  <w:szCs w:val="18"/>
                  <w:color w:val="0000FF"/>
                  <w:w w:val="93"/>
                </w:rPr>
                <w:t>Exhibit 4(a) to Campbell’s Registration Statement on Form S-3 (SEC file number 333-155626) filed with the SEC on November 24, 2008.</w:t>
              </w:r>
            </w:hyperlink>
          </w:p>
        </w:tc>
      </w:tr>
      <w:tr>
        <w:trPr>
          <w:trHeight w:val="20"/>
        </w:trPr>
        <w:tc>
          <w:tcPr>
            <w:tcW w:w="114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300" w:type="dxa"/>
            <w:vAlign w:val="bottom"/>
            <w:gridSpan w:val="2"/>
            <w:shd w:val="clear" w:color="auto" w:fill="0000FF"/>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4(b)</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5"/>
              </w:rPr>
            </w:pPr>
            <w:hyperlink r:id="rId32">
              <w:r>
                <w:rPr>
                  <w:rFonts w:ascii="Arial" w:cs="Arial" w:eastAsia="Arial" w:hAnsi="Arial"/>
                  <w:sz w:val="18"/>
                  <w:szCs w:val="18"/>
                  <w:color w:val="0000FF"/>
                  <w:w w:val="95"/>
                </w:rPr>
                <w:t>Form of First Supplemental Indenture, dated August 2, 2012, among Campbell, The Bank of New York Mellon and Wells Fargo Bank,</w:t>
              </w:r>
            </w:hyperlink>
          </w:p>
        </w:tc>
      </w:tr>
      <w:tr>
        <w:trPr>
          <w:trHeight w:val="196"/>
        </w:trPr>
        <w:tc>
          <w:tcPr>
            <w:tcW w:w="114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National Association, as Series Trustee, to Indenture dated November 24, 2008, is incorporated by reference to Exhibit 4.1 to Campbell's</w:t>
              </w:r>
            </w:hyperlink>
          </w:p>
        </w:tc>
      </w:tr>
      <w:tr>
        <w:trPr>
          <w:trHeight w:val="196"/>
        </w:trPr>
        <w:tc>
          <w:tcPr>
            <w:tcW w:w="1140" w:type="dxa"/>
            <w:vAlign w:val="bottom"/>
          </w:tcPr>
          <w:p>
            <w:pPr>
              <w:spacing w:after="0"/>
              <w:rPr>
                <w:sz w:val="17"/>
                <w:szCs w:val="17"/>
                <w:color w:val="auto"/>
              </w:rPr>
            </w:pPr>
          </w:p>
        </w:tc>
        <w:tc>
          <w:tcPr>
            <w:tcW w:w="544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Form 8-K (SEC file number 1-3822) filed with the SEC on August 2, 2012.</w:t>
              </w:r>
            </w:hyperlink>
          </w:p>
        </w:tc>
        <w:tc>
          <w:tcPr>
            <w:tcW w:w="4680" w:type="dxa"/>
            <w:vAlign w:val="bottom"/>
            <w:tcBorders>
              <w:top w:val="single" w:sz="8" w:color="0000FF"/>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4(c)</w:t>
            </w:r>
          </w:p>
        </w:tc>
        <w:tc>
          <w:tcPr>
            <w:tcW w:w="10140" w:type="dxa"/>
            <w:vAlign w:val="bottom"/>
            <w:gridSpan w:val="11"/>
          </w:tcPr>
          <w:p>
            <w:pPr>
              <w:spacing w:after="0"/>
              <w:rPr>
                <w:rFonts w:ascii="Arial" w:cs="Arial" w:eastAsia="Arial" w:hAnsi="Arial"/>
                <w:sz w:val="18"/>
                <w:szCs w:val="18"/>
                <w:color w:val="0000FF"/>
                <w:w w:val="90"/>
              </w:rPr>
            </w:pPr>
            <w:hyperlink r:id="rId33">
              <w:r>
                <w:rPr>
                  <w:rFonts w:ascii="Arial" w:cs="Arial" w:eastAsia="Arial" w:hAnsi="Arial"/>
                  <w:sz w:val="18"/>
                  <w:szCs w:val="18"/>
                  <w:color w:val="0000FF"/>
                  <w:w w:val="90"/>
                </w:rPr>
                <w:t>Form of Subordinated Indenture between Campbell and Wells Fargo Bank, National Association, as Trustee, is incorporated by reference to</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10"/>
          </w:tcPr>
          <w:p>
            <w:pPr>
              <w:spacing w:after="0" w:line="196" w:lineRule="exact"/>
              <w:rPr>
                <w:rFonts w:ascii="Arial" w:cs="Arial" w:eastAsia="Arial" w:hAnsi="Arial"/>
                <w:sz w:val="18"/>
                <w:szCs w:val="18"/>
                <w:color w:val="0000FF"/>
                <w:w w:val="98"/>
              </w:rPr>
            </w:pPr>
            <w:hyperlink r:id="rId33">
              <w:r>
                <w:rPr>
                  <w:rFonts w:ascii="Arial" w:cs="Arial" w:eastAsia="Arial" w:hAnsi="Arial"/>
                  <w:sz w:val="18"/>
                  <w:szCs w:val="18"/>
                  <w:color w:val="0000FF"/>
                  <w:w w:val="98"/>
                </w:rPr>
                <w:t>Exhibit 4.2 to Campbell's Registration Statement on Form S-3 (SEC file number 333-219217) filed with the SEC on July 10, 2017.</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280" w:type="dxa"/>
            <w:vAlign w:val="bottom"/>
            <w:gridSpan w:val="4"/>
            <w:shd w:val="clear" w:color="auto" w:fill="0000FF"/>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4(d)</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4"/>
              </w:rPr>
            </w:pPr>
            <w:hyperlink r:id="rId34">
              <w:r>
                <w:rPr>
                  <w:rFonts w:ascii="Arial" w:cs="Arial" w:eastAsia="Arial" w:hAnsi="Arial"/>
                  <w:sz w:val="18"/>
                  <w:szCs w:val="18"/>
                  <w:color w:val="0000FF"/>
                  <w:w w:val="94"/>
                </w:rPr>
                <w:t>Form of 4.500% Notes due 2019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2140" w:type="dxa"/>
            <w:vAlign w:val="bottom"/>
            <w:tcBorders>
              <w:bottom w:val="single" w:sz="8" w:color="0000FF"/>
            </w:tcBorders>
            <w:gridSpan w:val="4"/>
          </w:tcPr>
          <w:p>
            <w:pPr>
              <w:spacing w:after="0" w:line="196" w:lineRule="exact"/>
              <w:rPr>
                <w:rFonts w:ascii="Arial" w:cs="Arial" w:eastAsia="Arial" w:hAnsi="Arial"/>
                <w:sz w:val="18"/>
                <w:szCs w:val="18"/>
                <w:color w:val="0000FF"/>
                <w:w w:val="87"/>
              </w:rPr>
            </w:pPr>
            <w:hyperlink r:id="rId34">
              <w:r>
                <w:rPr>
                  <w:rFonts w:ascii="Arial" w:cs="Arial" w:eastAsia="Arial" w:hAnsi="Arial"/>
                  <w:sz w:val="18"/>
                  <w:szCs w:val="18"/>
                  <w:color w:val="0000FF"/>
                  <w:w w:val="87"/>
                </w:rPr>
                <w:t>the SEC on January 20, 2009.</w:t>
              </w:r>
            </w:hyperlink>
          </w:p>
        </w:tc>
        <w:tc>
          <w:tcPr>
            <w:tcW w:w="8000" w:type="dxa"/>
            <w:vAlign w:val="bottom"/>
            <w:gridSpan w:val="7"/>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4(e)</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4"/>
              </w:rPr>
            </w:pPr>
            <w:hyperlink r:id="rId35">
              <w:r>
                <w:rPr>
                  <w:rFonts w:ascii="Arial" w:cs="Arial" w:eastAsia="Arial" w:hAnsi="Arial"/>
                  <w:sz w:val="18"/>
                  <w:szCs w:val="18"/>
                  <w:color w:val="0000FF"/>
                  <w:w w:val="94"/>
                </w:rPr>
                <w:t>Form of 4.250% Notes due 2021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r:id="rId35">
              <w:r>
                <w:rPr>
                  <w:rFonts w:ascii="Arial" w:cs="Arial" w:eastAsia="Arial" w:hAnsi="Arial"/>
                  <w:sz w:val="18"/>
                  <w:szCs w:val="18"/>
                  <w:color w:val="0000FF"/>
                  <w:w w:val="90"/>
                </w:rPr>
                <w:t>the SEC on April 1, 2011.</w:t>
              </w:r>
            </w:hyperlink>
          </w:p>
        </w:tc>
        <w:tc>
          <w:tcPr>
            <w:tcW w:w="8280" w:type="dxa"/>
            <w:vAlign w:val="bottom"/>
            <w:gridSpan w:val="9"/>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4(f)</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Form of 2.500% Notes due 2022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the SEC on August 2, 2012.</w:t>
              </w:r>
            </w:hyperlink>
          </w:p>
        </w:tc>
      </w:tr>
      <w:tr>
        <w:trPr>
          <w:trHeight w:val="20"/>
        </w:trPr>
        <w:tc>
          <w:tcPr>
            <w:tcW w:w="1140" w:type="dxa"/>
            <w:vAlign w:val="bottom"/>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8140" w:type="dxa"/>
            <w:vAlign w:val="bottom"/>
            <w:gridSpan w:val="8"/>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4(g)</w:t>
            </w:r>
          </w:p>
        </w:tc>
        <w:tc>
          <w:tcPr>
            <w:tcW w:w="10140" w:type="dxa"/>
            <w:vAlign w:val="bottom"/>
            <w:tcBorders>
              <w:bottom w:val="single" w:sz="8" w:color="0000FF"/>
            </w:tcBorders>
            <w:gridSpan w:val="11"/>
          </w:tcPr>
          <w:p>
            <w:pPr>
              <w:spacing w:after="0"/>
              <w:rPr>
                <w:rFonts w:ascii="Arial" w:cs="Arial" w:eastAsia="Arial" w:hAnsi="Arial"/>
                <w:sz w:val="18"/>
                <w:szCs w:val="18"/>
                <w:color w:val="0000FF"/>
                <w:w w:val="94"/>
              </w:rPr>
            </w:pPr>
            <w:hyperlink r:id="rId32">
              <w:r>
                <w:rPr>
                  <w:rFonts w:ascii="Arial" w:cs="Arial" w:eastAsia="Arial" w:hAnsi="Arial"/>
                  <w:sz w:val="18"/>
                  <w:szCs w:val="18"/>
                  <w:color w:val="0000FF"/>
                  <w:w w:val="94"/>
                </w:rPr>
                <w:t>Form of 3.800% Notes due 2042 is incorporated by reference to Exhibit 4.1 to Campbell's Form 8-K (SEC file number 1-3822) filed with</w:t>
              </w:r>
            </w:hyperlink>
          </w:p>
        </w:tc>
      </w:tr>
      <w:tr>
        <w:trPr>
          <w:trHeight w:val="196"/>
        </w:trPr>
        <w:tc>
          <w:tcPr>
            <w:tcW w:w="1140" w:type="dxa"/>
            <w:vAlign w:val="bottom"/>
          </w:tcPr>
          <w:p>
            <w:pPr>
              <w:spacing w:after="0"/>
              <w:rPr>
                <w:sz w:val="17"/>
                <w:szCs w:val="17"/>
                <w:color w:val="auto"/>
              </w:rPr>
            </w:pPr>
          </w:p>
        </w:tc>
        <w:tc>
          <w:tcPr>
            <w:tcW w:w="10140" w:type="dxa"/>
            <w:vAlign w:val="bottom"/>
            <w:gridSpan w:val="11"/>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the SEC on August 2, 2012.</w:t>
              </w:r>
            </w:hyperlink>
          </w:p>
        </w:tc>
      </w:tr>
      <w:tr>
        <w:trPr>
          <w:trHeight w:val="20"/>
        </w:trPr>
        <w:tc>
          <w:tcPr>
            <w:tcW w:w="11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144" w:hanging="1144"/>
        <w:spacing w:after="0" w:line="297" w:lineRule="auto"/>
        <w:tabs>
          <w:tab w:leader="none" w:pos="1144" w:val="left"/>
        </w:tabs>
        <w:numPr>
          <w:ilvl w:val="0"/>
          <w:numId w:val="54"/>
        </w:numPr>
        <w:rPr>
          <w:rFonts w:ascii="Arial" w:cs="Arial" w:eastAsia="Arial" w:hAnsi="Arial"/>
          <w:sz w:val="16"/>
          <w:szCs w:val="16"/>
          <w:color w:val="0000FF"/>
        </w:rPr>
      </w:pPr>
      <w:hyperlink r:id="rId36">
        <w:r>
          <w:rPr>
            <w:rFonts w:ascii="Arial" w:cs="Arial" w:eastAsia="Arial" w:hAnsi="Arial"/>
            <w:sz w:val="16"/>
            <w:szCs w:val="16"/>
            <w:u w:val="single" w:color="auto"/>
            <w:color w:val="0000FF"/>
          </w:rPr>
          <w:t>Major Stockholders’ Voting Trust Agreement dated June 2, 1990, as amended, is incorporated by reference to (i) Exhibit 99.C to Campbell’s</w:t>
        </w:r>
      </w:hyperlink>
      <w:r>
        <w:rPr>
          <w:rFonts w:ascii="Arial" w:cs="Arial" w:eastAsia="Arial" w:hAnsi="Arial"/>
          <w:sz w:val="16"/>
          <w:szCs w:val="16"/>
          <w:u w:val="single" w:color="auto"/>
          <w:color w:val="0000FF"/>
        </w:rPr>
        <w:t xml:space="preserve"> </w:t>
      </w:r>
      <w:hyperlink r:id="rId37">
        <w:r>
          <w:rPr>
            <w:rFonts w:ascii="Arial" w:cs="Arial" w:eastAsia="Arial" w:hAnsi="Arial"/>
            <w:sz w:val="16"/>
            <w:szCs w:val="16"/>
            <w:u w:val="single" w:color="auto"/>
            <w:color w:val="0000FF"/>
          </w:rPr>
          <w:t>Schedule 13E-4 (SEC file number 5-7735) filed on September 12, 1996</w:t>
        </w:r>
        <w:r>
          <w:rPr>
            <w:rFonts w:ascii="Arial" w:cs="Arial" w:eastAsia="Arial" w:hAnsi="Arial"/>
            <w:sz w:val="16"/>
            <w:szCs w:val="16"/>
            <w:color w:val="000000"/>
          </w:rPr>
          <w:t>, (ii)</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Exhibit 99.G to Amendment No. 7 to Schedule 13D (SEC file</w:t>
        </w:r>
      </w:hyperlink>
      <w:r>
        <w:rPr>
          <w:rFonts w:ascii="Arial" w:cs="Arial" w:eastAsia="Arial" w:hAnsi="Arial"/>
          <w:sz w:val="16"/>
          <w:szCs w:val="16"/>
          <w:color w:val="0000FF"/>
        </w:rPr>
        <w:t xml:space="preserve"> </w:t>
      </w:r>
      <w:hyperlink r:id="rId38">
        <w:r>
          <w:rPr>
            <w:rFonts w:ascii="Arial" w:cs="Arial" w:eastAsia="Arial" w:hAnsi="Arial"/>
            <w:sz w:val="16"/>
            <w:szCs w:val="16"/>
            <w:u w:val="single" w:color="auto"/>
            <w:color w:val="0000FF"/>
          </w:rPr>
          <w:t>number 5-7735) dated March 3, 2000</w:t>
        </w:r>
        <w:r>
          <w:rPr>
            <w:rFonts w:ascii="Arial" w:cs="Arial" w:eastAsia="Arial" w:hAnsi="Arial"/>
            <w:sz w:val="16"/>
            <w:szCs w:val="16"/>
            <w:color w:val="000000"/>
          </w:rPr>
          <w:t>, (iii)</w:t>
        </w:r>
        <w:r>
          <w:rPr>
            <w:rFonts w:ascii="Arial" w:cs="Arial" w:eastAsia="Arial" w:hAnsi="Arial"/>
            <w:sz w:val="16"/>
            <w:szCs w:val="16"/>
            <w:color w:val="0000FF"/>
          </w:rPr>
          <w:t xml:space="preserve"> </w:t>
        </w:r>
        <w:r>
          <w:rPr>
            <w:rFonts w:ascii="Arial" w:cs="Arial" w:eastAsia="Arial" w:hAnsi="Arial"/>
            <w:sz w:val="16"/>
            <w:szCs w:val="16"/>
            <w:u w:val="single" w:color="auto"/>
            <w:color w:val="0000FF"/>
          </w:rPr>
          <w:t>Exhibit 99.M to Amendment No. 8 to Schedule 13D (SEC file number 5-7735) dated January 26,</w:t>
        </w:r>
      </w:hyperlink>
      <w:r>
        <w:rPr>
          <w:rFonts w:ascii="Arial" w:cs="Arial" w:eastAsia="Arial" w:hAnsi="Arial"/>
          <w:sz w:val="16"/>
          <w:szCs w:val="16"/>
          <w:color w:val="0000FF"/>
        </w:rPr>
        <w:t xml:space="preserve"> </w:t>
      </w:r>
      <w:hyperlink r:id="rId38">
        <w:r>
          <w:rPr>
            <w:rFonts w:ascii="Arial" w:cs="Arial" w:eastAsia="Arial" w:hAnsi="Arial"/>
            <w:sz w:val="16"/>
            <w:szCs w:val="16"/>
            <w:u w:val="single" w:color="auto"/>
            <w:color w:val="0000FF"/>
          </w:rPr>
          <w:t>2001</w:t>
        </w:r>
        <w:r>
          <w:rPr>
            <w:rFonts w:ascii="Arial" w:cs="Arial" w:eastAsia="Arial" w:hAnsi="Arial"/>
            <w:sz w:val="16"/>
            <w:szCs w:val="16"/>
            <w:color w:val="000000"/>
          </w:rPr>
          <w:t>, (iv)</w:t>
        </w:r>
        <w:r>
          <w:rPr>
            <w:rFonts w:ascii="Arial" w:cs="Arial" w:eastAsia="Arial" w:hAnsi="Arial"/>
            <w:sz w:val="16"/>
            <w:szCs w:val="16"/>
            <w:color w:val="0000FF"/>
          </w:rPr>
          <w:t xml:space="preserve"> </w:t>
        </w:r>
      </w:hyperlink>
      <w:hyperlink r:id="rId39">
        <w:r>
          <w:rPr>
            <w:rFonts w:ascii="Arial" w:cs="Arial" w:eastAsia="Arial" w:hAnsi="Arial"/>
            <w:sz w:val="16"/>
            <w:szCs w:val="16"/>
            <w:u w:val="single" w:color="auto"/>
            <w:color w:val="0000FF"/>
          </w:rPr>
          <w:t>Exhibit 99.P to Amendment No. 9 to Schedule 13D (SEC file number 5-7735) dated September 30, 2002</w:t>
        </w:r>
      </w:hyperlink>
      <w:hyperlink r:id="rId38">
        <w:r>
          <w:rPr>
            <w:rFonts w:ascii="Arial" w:cs="Arial" w:eastAsia="Arial" w:hAnsi="Arial"/>
            <w:sz w:val="16"/>
            <w:szCs w:val="16"/>
            <w:color w:val="000000"/>
          </w:rPr>
          <w:t>, and (v)</w:t>
        </w:r>
        <w:r>
          <w:rPr>
            <w:rFonts w:ascii="Arial" w:cs="Arial" w:eastAsia="Arial" w:hAnsi="Arial"/>
            <w:sz w:val="16"/>
            <w:szCs w:val="16"/>
            <w:color w:val="0000FF"/>
          </w:rPr>
          <w:t xml:space="preserve"> </w:t>
        </w:r>
      </w:hyperlink>
      <w:hyperlink r:id="rId40">
        <w:r>
          <w:rPr>
            <w:rFonts w:ascii="Arial" w:cs="Arial" w:eastAsia="Arial" w:hAnsi="Arial"/>
            <w:sz w:val="16"/>
            <w:szCs w:val="16"/>
            <w:u w:val="single" w:color="auto"/>
            <w:color w:val="0000FF"/>
          </w:rPr>
          <w:t>Exhibits 9(b)</w:t>
        </w:r>
      </w:hyperlink>
      <w:hyperlink r:id="rId38">
        <w:r>
          <w:rPr>
            <w:rFonts w:ascii="Arial" w:cs="Arial" w:eastAsia="Arial" w:hAnsi="Arial"/>
            <w:sz w:val="16"/>
            <w:szCs w:val="16"/>
            <w:color w:val="000000"/>
          </w:rPr>
          <w:t>,</w:t>
        </w:r>
      </w:hyperlink>
      <w:r>
        <w:rPr>
          <w:rFonts w:ascii="Arial" w:cs="Arial" w:eastAsia="Arial" w:hAnsi="Arial"/>
          <w:sz w:val="16"/>
          <w:szCs w:val="16"/>
          <w:color w:val="0000FF"/>
        </w:rPr>
        <w:t xml:space="preserve"> </w:t>
      </w:r>
      <w:hyperlink r:id="rId41">
        <w:r>
          <w:rPr>
            <w:rFonts w:ascii="Arial" w:cs="Arial" w:eastAsia="Arial" w:hAnsi="Arial"/>
            <w:sz w:val="16"/>
            <w:szCs w:val="16"/>
            <w:u w:val="single" w:color="auto"/>
            <w:color w:val="0000FF"/>
          </w:rPr>
          <w:t>9(c)</w:t>
        </w:r>
      </w:hyperlink>
      <w:r>
        <w:rPr>
          <w:rFonts w:ascii="Arial" w:cs="Arial" w:eastAsia="Arial" w:hAnsi="Arial"/>
          <w:sz w:val="16"/>
          <w:szCs w:val="16"/>
          <w:color w:val="000000"/>
        </w:rPr>
        <w:t>,</w:t>
      </w:r>
      <w:r>
        <w:rPr>
          <w:rFonts w:ascii="Arial" w:cs="Arial" w:eastAsia="Arial" w:hAnsi="Arial"/>
          <w:sz w:val="16"/>
          <w:szCs w:val="16"/>
          <w:color w:val="0000FF"/>
        </w:rPr>
        <w:t xml:space="preserve"> </w:t>
      </w:r>
      <w:hyperlink r:id="rId42">
        <w:r>
          <w:rPr>
            <w:rFonts w:ascii="Arial" w:cs="Arial" w:eastAsia="Arial" w:hAnsi="Arial"/>
            <w:sz w:val="16"/>
            <w:szCs w:val="16"/>
            <w:u w:val="single" w:color="auto"/>
            <w:color w:val="0000FF"/>
          </w:rPr>
          <w:t xml:space="preserve">9(d) </w:t>
        </w:r>
      </w:hyperlink>
      <w:r>
        <w:rPr>
          <w:rFonts w:ascii="Arial" w:cs="Arial" w:eastAsia="Arial" w:hAnsi="Arial"/>
          <w:sz w:val="16"/>
          <w:szCs w:val="16"/>
          <w:color w:val="000000"/>
        </w:rPr>
        <w:t>and</w:t>
      </w:r>
      <w:r>
        <w:rPr>
          <w:rFonts w:ascii="Arial" w:cs="Arial" w:eastAsia="Arial" w:hAnsi="Arial"/>
          <w:sz w:val="16"/>
          <w:szCs w:val="16"/>
          <w:color w:val="0000FF"/>
        </w:rPr>
        <w:t xml:space="preserve"> </w:t>
      </w:r>
      <w:hyperlink r:id="rId43">
        <w:r>
          <w:rPr>
            <w:rFonts w:ascii="Arial" w:cs="Arial" w:eastAsia="Arial" w:hAnsi="Arial"/>
            <w:sz w:val="16"/>
            <w:szCs w:val="16"/>
            <w:u w:val="single" w:color="auto"/>
            <w:color w:val="0000FF"/>
          </w:rPr>
          <w:t xml:space="preserve">9(e) </w:t>
        </w:r>
      </w:hyperlink>
      <w:r>
        <w:rPr>
          <w:rFonts w:ascii="Arial" w:cs="Arial" w:eastAsia="Arial" w:hAnsi="Arial"/>
          <w:sz w:val="16"/>
          <w:szCs w:val="16"/>
          <w:color w:val="000000"/>
        </w:rPr>
        <w:t>to</w:t>
      </w:r>
      <w:r>
        <w:rPr>
          <w:rFonts w:ascii="Arial" w:cs="Arial" w:eastAsia="Arial" w:hAnsi="Arial"/>
          <w:sz w:val="16"/>
          <w:szCs w:val="16"/>
          <w:color w:val="0000FF"/>
        </w:rPr>
        <w:t xml:space="preserve"> </w:t>
      </w:r>
      <w:r>
        <w:rPr>
          <w:rFonts w:ascii="Arial" w:cs="Arial" w:eastAsia="Arial" w:hAnsi="Arial"/>
          <w:sz w:val="16"/>
          <w:szCs w:val="16"/>
          <w:color w:val="000000"/>
        </w:rPr>
        <w:t>Campbell's Form 10-K (SEC file number 1-3822) for the fiscal year ended August 3, 2014, each as filed with the SEC.</w:t>
      </w:r>
    </w:p>
    <w:p>
      <w:pPr>
        <w:spacing w:after="0" w:line="114" w:lineRule="exact"/>
        <w:rPr>
          <w:rFonts w:ascii="Arial" w:cs="Arial" w:eastAsia="Arial" w:hAnsi="Arial"/>
          <w:sz w:val="16"/>
          <w:szCs w:val="16"/>
          <w:color w:val="0000FF"/>
        </w:rPr>
      </w:pPr>
    </w:p>
    <w:tbl>
      <w:tblPr>
        <w:tblLayout w:type="fixed"/>
        <w:tblInd w:w="4"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10(a)+</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0"/>
              </w:rPr>
            </w:pPr>
            <w:hyperlink r:id="rId44">
              <w:r>
                <w:rPr>
                  <w:rFonts w:ascii="Arial" w:cs="Arial" w:eastAsia="Arial" w:hAnsi="Arial"/>
                  <w:sz w:val="18"/>
                  <w:szCs w:val="18"/>
                  <w:color w:val="0000FF"/>
                  <w:w w:val="90"/>
                </w:rPr>
                <w:t>Campbell Soup Company 2003 Long-Term Incentive Plan, as amended and restated on September 25, 2008, is incorporated by reference to</w:t>
              </w:r>
            </w:hyperlink>
          </w:p>
        </w:tc>
      </w:tr>
      <w:tr>
        <w:trPr>
          <w:trHeight w:val="196"/>
        </w:trPr>
        <w:tc>
          <w:tcPr>
            <w:tcW w:w="1140" w:type="dxa"/>
            <w:vAlign w:val="bottom"/>
          </w:tcPr>
          <w:p>
            <w:pPr>
              <w:spacing w:after="0"/>
              <w:rPr>
                <w:sz w:val="17"/>
                <w:szCs w:val="17"/>
                <w:color w:val="auto"/>
              </w:rPr>
            </w:pPr>
          </w:p>
        </w:tc>
        <w:tc>
          <w:tcPr>
            <w:tcW w:w="10140" w:type="dxa"/>
            <w:vAlign w:val="bottom"/>
            <w:gridSpan w:val="9"/>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Exhibit 10(b) to Campbell’s Form 10-K (SEC file number 1-3822) for the fiscal year ended August 3, 2008.</w:t>
              </w:r>
            </w:hyperlink>
          </w:p>
        </w:tc>
      </w:tr>
      <w:tr>
        <w:trPr>
          <w:trHeight w:val="20"/>
        </w:trPr>
        <w:tc>
          <w:tcPr>
            <w:tcW w:w="11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10(b)+</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0"/>
              </w:rPr>
            </w:pPr>
            <w:hyperlink r:id="rId45">
              <w:r>
                <w:rPr>
                  <w:rFonts w:ascii="Arial" w:cs="Arial" w:eastAsia="Arial" w:hAnsi="Arial"/>
                  <w:sz w:val="18"/>
                  <w:szCs w:val="18"/>
                  <w:color w:val="0000FF"/>
                  <w:w w:val="90"/>
                </w:rPr>
                <w:t>Campbell Soup Company 2005 Long-Term Incentive Plan, as amended and restated on November 18, 2010, is incorporated by reference to</w:t>
              </w:r>
            </w:hyperlink>
          </w:p>
        </w:tc>
      </w:tr>
      <w:tr>
        <w:trPr>
          <w:trHeight w:val="196"/>
        </w:trPr>
        <w:tc>
          <w:tcPr>
            <w:tcW w:w="1140" w:type="dxa"/>
            <w:vAlign w:val="bottom"/>
          </w:tcPr>
          <w:p>
            <w:pPr>
              <w:spacing w:after="0"/>
              <w:rPr>
                <w:sz w:val="17"/>
                <w:szCs w:val="17"/>
                <w:color w:val="auto"/>
              </w:rPr>
            </w:pPr>
          </w:p>
        </w:tc>
        <w:tc>
          <w:tcPr>
            <w:tcW w:w="10140" w:type="dxa"/>
            <w:vAlign w:val="bottom"/>
            <w:gridSpan w:val="9"/>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Campbell’s 2010 Proxy Statement (SEC file number 1-3822) filed with the SEC on October 7, 2010.</w:t>
              </w:r>
            </w:hyperlink>
          </w:p>
        </w:tc>
      </w:tr>
      <w:tr>
        <w:trPr>
          <w:trHeight w:val="20"/>
        </w:trPr>
        <w:tc>
          <w:tcPr>
            <w:tcW w:w="11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10(c)+</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5"/>
              </w:rPr>
            </w:pPr>
            <w:hyperlink r:id="rId46">
              <w:r>
                <w:rPr>
                  <w:rFonts w:ascii="Arial" w:cs="Arial" w:eastAsia="Arial" w:hAnsi="Arial"/>
                  <w:sz w:val="18"/>
                  <w:szCs w:val="18"/>
                  <w:color w:val="0000FF"/>
                  <w:w w:val="95"/>
                </w:rPr>
                <w:t>Campbell Soup Company 2015 Long-Term Incentive Plan is incorporated by reference to Campbell’s 2015 Proxy Statement (SEC file</w:t>
              </w:r>
            </w:hyperlink>
          </w:p>
        </w:tc>
      </w:tr>
      <w:tr>
        <w:trPr>
          <w:trHeight w:val="196"/>
        </w:trPr>
        <w:tc>
          <w:tcPr>
            <w:tcW w:w="1140" w:type="dxa"/>
            <w:vAlign w:val="bottom"/>
          </w:tcPr>
          <w:p>
            <w:pPr>
              <w:spacing w:after="0"/>
              <w:rPr>
                <w:sz w:val="17"/>
                <w:szCs w:val="17"/>
                <w:color w:val="auto"/>
              </w:rPr>
            </w:pPr>
          </w:p>
        </w:tc>
        <w:tc>
          <w:tcPr>
            <w:tcW w:w="4020" w:type="dxa"/>
            <w:vAlign w:val="bottom"/>
            <w:tcBorders>
              <w:bottom w:val="single" w:sz="8" w:color="0000FF"/>
            </w:tcBorders>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number 1-3822) filed with the SEC on October 9, 2015.</w:t>
              </w:r>
            </w:hyperlink>
          </w:p>
        </w:tc>
        <w:tc>
          <w:tcPr>
            <w:tcW w:w="6120" w:type="dxa"/>
            <w:vAlign w:val="bottom"/>
            <w:gridSpan w:val="8"/>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10(d)+</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4"/>
              </w:rPr>
            </w:pPr>
            <w:hyperlink r:id="rId47">
              <w:r>
                <w:rPr>
                  <w:rFonts w:ascii="Arial" w:cs="Arial" w:eastAsia="Arial" w:hAnsi="Arial"/>
                  <w:sz w:val="18"/>
                  <w:szCs w:val="18"/>
                  <w:color w:val="0000FF"/>
                  <w:w w:val="94"/>
                </w:rPr>
                <w:t>Campbell Soup Company Annual Incentive Plan, as amended on November 19, 2014, is incorporated by reference to Campbell’s 2014</w:t>
              </w:r>
            </w:hyperlink>
          </w:p>
        </w:tc>
      </w:tr>
      <w:tr>
        <w:trPr>
          <w:trHeight w:val="196"/>
        </w:trPr>
        <w:tc>
          <w:tcPr>
            <w:tcW w:w="1140" w:type="dxa"/>
            <w:vAlign w:val="bottom"/>
          </w:tcPr>
          <w:p>
            <w:pPr>
              <w:spacing w:after="0"/>
              <w:rPr>
                <w:sz w:val="17"/>
                <w:szCs w:val="17"/>
                <w:color w:val="auto"/>
              </w:rPr>
            </w:pPr>
          </w:p>
        </w:tc>
        <w:tc>
          <w:tcPr>
            <w:tcW w:w="598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47">
              <w:r>
                <w:rPr>
                  <w:rFonts w:ascii="Arial" w:cs="Arial" w:eastAsia="Arial" w:hAnsi="Arial"/>
                  <w:sz w:val="18"/>
                  <w:szCs w:val="18"/>
                  <w:color w:val="0000FF"/>
                  <w:w w:val="91"/>
                </w:rPr>
                <w:t>Proxy Statement (SEC file number 1-3822) filed with the SEC on October 1, 2014.</w:t>
              </w:r>
            </w:hyperlink>
          </w:p>
        </w:tc>
        <w:tc>
          <w:tcPr>
            <w:tcW w:w="4160" w:type="dxa"/>
            <w:vAlign w:val="bottom"/>
            <w:gridSpan w:val="6"/>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10(e)+</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4"/>
              </w:rPr>
            </w:pPr>
            <w:hyperlink r:id="rId48">
              <w:r>
                <w:rPr>
                  <w:rFonts w:ascii="Arial" w:cs="Arial" w:eastAsia="Arial" w:hAnsi="Arial"/>
                  <w:sz w:val="18"/>
                  <w:szCs w:val="18"/>
                  <w:color w:val="0000FF"/>
                  <w:w w:val="94"/>
                </w:rPr>
                <w:t>Campbell Soup Company Mid-Career Hire Pension Plan, as amended and restated effective as of January 1, 2009, is incorporated by</w:t>
              </w:r>
            </w:hyperlink>
          </w:p>
        </w:tc>
      </w:tr>
      <w:tr>
        <w:trPr>
          <w:trHeight w:val="196"/>
        </w:trPr>
        <w:tc>
          <w:tcPr>
            <w:tcW w:w="1140" w:type="dxa"/>
            <w:vAlign w:val="bottom"/>
          </w:tcPr>
          <w:p>
            <w:pPr>
              <w:spacing w:after="0"/>
              <w:rPr>
                <w:sz w:val="17"/>
                <w:szCs w:val="17"/>
                <w:color w:val="auto"/>
              </w:rPr>
            </w:pPr>
          </w:p>
        </w:tc>
        <w:tc>
          <w:tcPr>
            <w:tcW w:w="900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reference to Exhibit 10(a) to Campbell’s Form 10-Q (SEC file number 1-3822) for the fiscal quarter ended February 1, 2009.</w:t>
              </w:r>
            </w:hyperlink>
          </w:p>
        </w:tc>
        <w:tc>
          <w:tcPr>
            <w:tcW w:w="1140" w:type="dxa"/>
            <w:vAlign w:val="bottom"/>
            <w:gridSpan w:val="2"/>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10(f)+</w:t>
            </w:r>
          </w:p>
        </w:tc>
        <w:tc>
          <w:tcPr>
            <w:tcW w:w="10140" w:type="dxa"/>
            <w:vAlign w:val="bottom"/>
            <w:tcBorders>
              <w:bottom w:val="single" w:sz="8" w:color="0000FF"/>
            </w:tcBorders>
            <w:gridSpan w:val="9"/>
          </w:tcPr>
          <w:p>
            <w:pPr>
              <w:spacing w:after="0"/>
              <w:rPr>
                <w:rFonts w:ascii="Arial" w:cs="Arial" w:eastAsia="Arial" w:hAnsi="Arial"/>
                <w:sz w:val="18"/>
                <w:szCs w:val="18"/>
                <w:color w:val="0000FF"/>
                <w:w w:val="93"/>
              </w:rPr>
            </w:pPr>
            <w:hyperlink r:id="rId49">
              <w:r>
                <w:rPr>
                  <w:rFonts w:ascii="Arial" w:cs="Arial" w:eastAsia="Arial" w:hAnsi="Arial"/>
                  <w:sz w:val="18"/>
                  <w:szCs w:val="18"/>
                  <w:color w:val="0000FF"/>
                  <w:w w:val="93"/>
                </w:rPr>
                <w:t>First Amendment to the Campbell Soup Company Mid-Career Hire Pension Plan, effective as of December 31, 2010, is incorporated by</w:t>
              </w:r>
            </w:hyperlink>
          </w:p>
        </w:tc>
      </w:tr>
      <w:tr>
        <w:trPr>
          <w:trHeight w:val="196"/>
        </w:trPr>
        <w:tc>
          <w:tcPr>
            <w:tcW w:w="1140" w:type="dxa"/>
            <w:vAlign w:val="bottom"/>
          </w:tcPr>
          <w:p>
            <w:pPr>
              <w:spacing w:after="0"/>
              <w:rPr>
                <w:sz w:val="17"/>
                <w:szCs w:val="17"/>
                <w:color w:val="auto"/>
              </w:rPr>
            </w:pPr>
          </w:p>
        </w:tc>
        <w:tc>
          <w:tcPr>
            <w:tcW w:w="8980" w:type="dxa"/>
            <w:vAlign w:val="bottom"/>
            <w:tcBorders>
              <w:bottom w:val="single" w:sz="8" w:color="0000FF"/>
            </w:tcBorders>
            <w:gridSpan w:val="6"/>
          </w:tcPr>
          <w:p>
            <w:pPr>
              <w:spacing w:after="0" w:line="196" w:lineRule="exact"/>
              <w:rPr>
                <w:rFonts w:ascii="Arial" w:cs="Arial" w:eastAsia="Arial" w:hAnsi="Arial"/>
                <w:sz w:val="18"/>
                <w:szCs w:val="18"/>
                <w:color w:val="0000FF"/>
                <w:w w:val="90"/>
              </w:rPr>
            </w:pPr>
            <w:hyperlink r:id="rId49">
              <w:r>
                <w:rPr>
                  <w:rFonts w:ascii="Arial" w:cs="Arial" w:eastAsia="Arial" w:hAnsi="Arial"/>
                  <w:sz w:val="18"/>
                  <w:szCs w:val="18"/>
                  <w:color w:val="0000FF"/>
                  <w:w w:val="90"/>
                </w:rPr>
                <w:t>reference to Exhibit 10(a) to Campbell’s Form 10-Q (SEC file number 1-3822) for the fiscal quarter ended January 30, 2011.</w:t>
              </w:r>
            </w:hyperlink>
          </w:p>
        </w:tc>
        <w:tc>
          <w:tcPr>
            <w:tcW w:w="1160" w:type="dxa"/>
            <w:vAlign w:val="bottom"/>
            <w:gridSpan w:val="3"/>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10(g)+</w:t>
            </w:r>
          </w:p>
        </w:tc>
        <w:tc>
          <w:tcPr>
            <w:tcW w:w="10140" w:type="dxa"/>
            <w:vAlign w:val="bottom"/>
            <w:gridSpan w:val="9"/>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Deferred Compensation Plan, effective November 18, 1999, is incorporated herein by reference to Exhibit 10(e) to Campbell’s Form 10-K</w:t>
              </w:r>
            </w:hyperlink>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8"/>
          </w:tcPr>
          <w:p>
            <w:pPr>
              <w:spacing w:after="0" w:line="196" w:lineRule="exact"/>
              <w:rPr>
                <w:rFonts w:ascii="Arial" w:cs="Arial" w:eastAsia="Arial" w:hAnsi="Arial"/>
                <w:sz w:val="18"/>
                <w:szCs w:val="18"/>
                <w:color w:val="0000FF"/>
              </w:rPr>
            </w:pPr>
            <w:hyperlink r:id="rId50">
              <w:r>
                <w:rPr>
                  <w:rFonts w:ascii="Arial" w:cs="Arial" w:eastAsia="Arial" w:hAnsi="Arial"/>
                  <w:sz w:val="18"/>
                  <w:szCs w:val="18"/>
                  <w:color w:val="0000FF"/>
                </w:rPr>
                <w:t>(SEC file number 1-3822) for the fiscal year ended July 30, 2000.</w:t>
              </w:r>
            </w:hyperlink>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4"/>
          </w:cols>
          <w:pgMar w:left="356" w:top="1233" w:right="259" w:bottom="1440" w:gutter="0" w:footer="0" w:header="0"/>
        </w:sectPr>
      </w:pPr>
    </w:p>
    <w:p>
      <w:pPr>
        <w:spacing w:after="0" w:line="299" w:lineRule="exact"/>
        <w:rPr>
          <w:sz w:val="20"/>
          <w:szCs w:val="20"/>
          <w:color w:val="auto"/>
        </w:rPr>
      </w:pPr>
    </w:p>
    <w:p>
      <w:pPr>
        <w:jc w:val="center"/>
        <w:ind w:right="96"/>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284"/>
          </w:cols>
          <w:pgMar w:left="356" w:top="1233" w:right="259" w:bottom="1440" w:gutter="0" w:footer="0" w:header="0"/>
          <w:type w:val="continuous"/>
        </w:sectPr>
      </w:pPr>
    </w:p>
    <w:bookmarkStart w:id="79" w:name="page80"/>
    <w:bookmarkEnd w:id="79"/>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10(h)+</w:t>
            </w:r>
          </w:p>
        </w:tc>
        <w:tc>
          <w:tcPr>
            <w:tcW w:w="10140" w:type="dxa"/>
            <w:vAlign w:val="bottom"/>
            <w:gridSpan w:val="21"/>
          </w:tcPr>
          <w:p>
            <w:pPr>
              <w:spacing w:after="0"/>
              <w:rPr>
                <w:rFonts w:ascii="Arial" w:cs="Arial" w:eastAsia="Arial" w:hAnsi="Arial"/>
                <w:sz w:val="18"/>
                <w:szCs w:val="18"/>
                <w:color w:val="0000FF"/>
                <w:w w:val="93"/>
              </w:rPr>
            </w:pPr>
            <w:hyperlink r:id="rId51">
              <w:r>
                <w:rPr>
                  <w:rFonts w:ascii="Arial" w:cs="Arial" w:eastAsia="Arial" w:hAnsi="Arial"/>
                  <w:sz w:val="18"/>
                  <w:szCs w:val="18"/>
                  <w:color w:val="0000FF"/>
                  <w:w w:val="93"/>
                </w:rPr>
                <w:t>Campbell Soup Company Supplemental Retirement Plan (formerly known as Deferred Compensation Plan II), as amended and restated</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w w:val="93"/>
              </w:rPr>
            </w:pPr>
            <w:hyperlink r:id="rId51">
              <w:r>
                <w:rPr>
                  <w:rFonts w:ascii="Arial" w:cs="Arial" w:eastAsia="Arial" w:hAnsi="Arial"/>
                  <w:sz w:val="18"/>
                  <w:szCs w:val="18"/>
                  <w:color w:val="0000FF"/>
                  <w:w w:val="93"/>
                </w:rPr>
                <w:t>effective as of August 1, 2015, is incorporated herein by reference to Exhibit 4(c) to Campbell’s Form S-8 (SEC file number 333-216582)</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filed with the SEC on March 9, 2017.</w:t>
              </w:r>
            </w:hyperlink>
          </w:p>
        </w:tc>
        <w:tc>
          <w:tcPr>
            <w:tcW w:w="7420" w:type="dxa"/>
            <w:vAlign w:val="bottom"/>
            <w:tcBorders>
              <w:top w:val="single" w:sz="8" w:color="0000FF"/>
            </w:tcBorders>
            <w:gridSpan w:val="1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10(i)+</w:t>
            </w:r>
          </w:p>
        </w:tc>
        <w:tc>
          <w:tcPr>
            <w:tcW w:w="10140" w:type="dxa"/>
            <w:vAlign w:val="bottom"/>
            <w:gridSpan w:val="21"/>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Form of Severance Protection Agreement filed herewith.</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10(j)+</w:t>
            </w:r>
          </w:p>
        </w:tc>
        <w:tc>
          <w:tcPr>
            <w:tcW w:w="10140" w:type="dxa"/>
            <w:vAlign w:val="bottom"/>
            <w:gridSpan w:val="21"/>
          </w:tcPr>
          <w:p>
            <w:pPr>
              <w:spacing w:after="0"/>
              <w:rPr>
                <w:rFonts w:ascii="Arial" w:cs="Arial" w:eastAsia="Arial" w:hAnsi="Arial"/>
                <w:sz w:val="18"/>
                <w:szCs w:val="18"/>
                <w:color w:val="0000FF"/>
              </w:rPr>
            </w:pPr>
            <w:hyperlink w:anchor="page99">
              <w:r>
                <w:rPr>
                  <w:rFonts w:ascii="Arial" w:cs="Arial" w:eastAsia="Arial" w:hAnsi="Arial"/>
                  <w:sz w:val="18"/>
                  <w:szCs w:val="18"/>
                  <w:color w:val="0000FF"/>
                </w:rPr>
                <w:t>Form of Amendment to the Severance Protection Agreement filed herewith.</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10(k)+</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2"/>
              </w:rPr>
            </w:pPr>
            <w:hyperlink r:id="rId52">
              <w:r>
                <w:rPr>
                  <w:rFonts w:ascii="Arial" w:cs="Arial" w:eastAsia="Arial" w:hAnsi="Arial"/>
                  <w:sz w:val="18"/>
                  <w:szCs w:val="18"/>
                  <w:color w:val="0000FF"/>
                  <w:w w:val="92"/>
                </w:rPr>
                <w:t>Form of U.S. Severance Protection Agreement is incorporated by reference to Exhibit 10(c) to Campbell’s Form 10-Q (SEC file number 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rPr>
            </w:pPr>
            <w:hyperlink r:id="rId52">
              <w:r>
                <w:rPr>
                  <w:rFonts w:ascii="Arial" w:cs="Arial" w:eastAsia="Arial" w:hAnsi="Arial"/>
                  <w:sz w:val="18"/>
                  <w:szCs w:val="18"/>
                  <w:color w:val="0000FF"/>
                </w:rPr>
                <w:t>3822) for the fiscal quarter ended November 2, 2008.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10(l)+</w:t>
            </w:r>
          </w:p>
        </w:tc>
        <w:tc>
          <w:tcPr>
            <w:tcW w:w="10140" w:type="dxa"/>
            <w:vAlign w:val="bottom"/>
            <w:gridSpan w:val="21"/>
          </w:tcPr>
          <w:p>
            <w:pPr>
              <w:spacing w:after="0"/>
              <w:rPr>
                <w:rFonts w:ascii="Arial" w:cs="Arial" w:eastAsia="Arial" w:hAnsi="Arial"/>
                <w:sz w:val="18"/>
                <w:szCs w:val="18"/>
                <w:color w:val="0000FF"/>
                <w:w w:val="96"/>
              </w:rPr>
            </w:pPr>
            <w:hyperlink r:id="rId53">
              <w:r>
                <w:rPr>
                  <w:rFonts w:ascii="Arial" w:cs="Arial" w:eastAsia="Arial" w:hAnsi="Arial"/>
                  <w:sz w:val="18"/>
                  <w:szCs w:val="18"/>
                  <w:color w:val="0000FF"/>
                  <w:w w:val="96"/>
                </w:rPr>
                <w:t>Form of Non-U.S. Severance Protection Agreement is incorporated by reference to Exhibit 10(d) to Campbell’s Form 10-Q (SEC file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hyperlink r:id="rId53">
              <w:r>
                <w:rPr>
                  <w:rFonts w:ascii="Arial" w:cs="Arial" w:eastAsia="Arial" w:hAnsi="Arial"/>
                  <w:sz w:val="18"/>
                  <w:szCs w:val="18"/>
                  <w:color w:val="0000FF"/>
                  <w:w w:val="90"/>
                </w:rPr>
                <w:t>number 1-3822) for the fiscal quarter ended November 2, 2008.</w:t>
              </w:r>
            </w:hyperlink>
          </w:p>
        </w:tc>
        <w:tc>
          <w:tcPr>
            <w:tcW w:w="5540" w:type="dxa"/>
            <w:vAlign w:val="bottom"/>
            <w:tcBorders>
              <w:top w:val="single" w:sz="8" w:color="0000FF"/>
            </w:tcBorders>
            <w:gridSpan w:val="1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10(m)+</w:t>
            </w:r>
          </w:p>
        </w:tc>
        <w:tc>
          <w:tcPr>
            <w:tcW w:w="10140" w:type="dxa"/>
            <w:vAlign w:val="bottom"/>
            <w:gridSpan w:val="21"/>
          </w:tcPr>
          <w:p>
            <w:pPr>
              <w:spacing w:after="0"/>
              <w:rPr>
                <w:rFonts w:ascii="Arial" w:cs="Arial" w:eastAsia="Arial" w:hAnsi="Arial"/>
                <w:sz w:val="18"/>
                <w:szCs w:val="18"/>
                <w:color w:val="0000FF"/>
                <w:w w:val="92"/>
              </w:rPr>
            </w:pPr>
            <w:hyperlink r:id="rId54">
              <w:r>
                <w:rPr>
                  <w:rFonts w:ascii="Arial" w:cs="Arial" w:eastAsia="Arial" w:hAnsi="Arial"/>
                  <w:sz w:val="18"/>
                  <w:szCs w:val="18"/>
                  <w:color w:val="0000FF"/>
                  <w:w w:val="92"/>
                </w:rPr>
                <w:t>Form of U.S. Severance Protection Agreement is incorporated by reference to Exhibit 10(m) to Campbell’s Form 10-K (SEC file number 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26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54">
              <w:r>
                <w:rPr>
                  <w:rFonts w:ascii="Arial" w:cs="Arial" w:eastAsia="Arial" w:hAnsi="Arial"/>
                  <w:sz w:val="18"/>
                  <w:szCs w:val="18"/>
                  <w:color w:val="0000FF"/>
                  <w:w w:val="89"/>
                </w:rPr>
                <w:t>3822) for the fiscal year ended July 31, 2011.</w:t>
              </w:r>
            </w:hyperlink>
          </w:p>
        </w:tc>
        <w:tc>
          <w:tcPr>
            <w:tcW w:w="6860" w:type="dxa"/>
            <w:vAlign w:val="bottom"/>
            <w:tcBorders>
              <w:top w:val="single" w:sz="8" w:color="0000FF"/>
            </w:tcBorders>
            <w:gridSpan w:val="17"/>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10(n)+</w:t>
            </w:r>
          </w:p>
        </w:tc>
        <w:tc>
          <w:tcPr>
            <w:tcW w:w="10140" w:type="dxa"/>
            <w:vAlign w:val="bottom"/>
            <w:gridSpan w:val="21"/>
          </w:tcPr>
          <w:p>
            <w:pPr>
              <w:spacing w:after="0"/>
              <w:rPr>
                <w:rFonts w:ascii="Arial" w:cs="Arial" w:eastAsia="Arial" w:hAnsi="Arial"/>
                <w:sz w:val="18"/>
                <w:szCs w:val="18"/>
                <w:color w:val="0000FF"/>
                <w:w w:val="96"/>
              </w:rPr>
            </w:pPr>
            <w:hyperlink r:id="rId55">
              <w:r>
                <w:rPr>
                  <w:rFonts w:ascii="Arial" w:cs="Arial" w:eastAsia="Arial" w:hAnsi="Arial"/>
                  <w:sz w:val="18"/>
                  <w:szCs w:val="18"/>
                  <w:color w:val="0000FF"/>
                  <w:w w:val="96"/>
                </w:rPr>
                <w:t>Form of Non-U.S. Severance Protection Agreement is incorporated by reference to Exhibit 10(n) to Campbell’s Form 10-K (SEC file</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00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89"/>
              </w:rPr>
            </w:pPr>
            <w:hyperlink r:id="rId55">
              <w:r>
                <w:rPr>
                  <w:rFonts w:ascii="Arial" w:cs="Arial" w:eastAsia="Arial" w:hAnsi="Arial"/>
                  <w:sz w:val="18"/>
                  <w:szCs w:val="18"/>
                  <w:color w:val="0000FF"/>
                  <w:w w:val="89"/>
                </w:rPr>
                <w:t>number 1-3822) for the fiscal year ended July 31, 2011.</w:t>
              </w:r>
            </w:hyperlink>
          </w:p>
        </w:tc>
        <w:tc>
          <w:tcPr>
            <w:tcW w:w="6120" w:type="dxa"/>
            <w:vAlign w:val="bottom"/>
            <w:tcBorders>
              <w:top w:val="single" w:sz="8" w:color="0000FF"/>
            </w:tcBorders>
            <w:gridSpan w:val="15"/>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10(o)+</w:t>
            </w:r>
          </w:p>
        </w:tc>
        <w:tc>
          <w:tcPr>
            <w:tcW w:w="10140" w:type="dxa"/>
            <w:vAlign w:val="bottom"/>
            <w:gridSpan w:val="21"/>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Form of Amendment to U.S. and Non-U.S. Severance Protection Agreements is incorporated by reference to Exhibit 10(o) to Campbell's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5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1"/>
              </w:rPr>
            </w:pPr>
            <w:hyperlink r:id="rId56">
              <w:r>
                <w:rPr>
                  <w:rFonts w:ascii="Arial" w:cs="Arial" w:eastAsia="Arial" w:hAnsi="Arial"/>
                  <w:sz w:val="18"/>
                  <w:szCs w:val="18"/>
                  <w:color w:val="0000FF"/>
                  <w:w w:val="91"/>
                </w:rPr>
                <w:t>Form 10-K (SEC file number 1-3822) for the fiscal year ended July 31, 2016.</w:t>
              </w:r>
            </w:hyperlink>
          </w:p>
        </w:tc>
        <w:tc>
          <w:tcPr>
            <w:tcW w:w="454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10(p)+</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Campbell Soup Company Severance Pay Plan for Salaried Employees, as amended and restated effective January 1, 2011, is incorporated</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rPr>
            </w:pPr>
            <w:hyperlink r:id="rId57">
              <w:r>
                <w:rPr>
                  <w:rFonts w:ascii="Arial" w:cs="Arial" w:eastAsia="Arial" w:hAnsi="Arial"/>
                  <w:sz w:val="18"/>
                  <w:szCs w:val="18"/>
                  <w:color w:val="0000FF"/>
                </w:rPr>
                <w:t>by reference to Exhibit 10(a) to Campbell’s Form 10-Q (SEC file number 1-3822) for the fiscal quarter ended May 1, 2011.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10(q)+</w:t>
            </w:r>
          </w:p>
        </w:tc>
        <w:tc>
          <w:tcPr>
            <w:tcW w:w="10140" w:type="dxa"/>
            <w:vAlign w:val="bottom"/>
            <w:gridSpan w:val="21"/>
          </w:tcPr>
          <w:p>
            <w:pPr>
              <w:spacing w:after="0"/>
              <w:rPr>
                <w:rFonts w:ascii="Arial" w:cs="Arial" w:eastAsia="Arial" w:hAnsi="Arial"/>
                <w:sz w:val="18"/>
                <w:szCs w:val="18"/>
                <w:color w:val="0000FF"/>
                <w:w w:val="92"/>
              </w:rPr>
            </w:pPr>
            <w:hyperlink r:id="rId58">
              <w:r>
                <w:rPr>
                  <w:rFonts w:ascii="Arial" w:cs="Arial" w:eastAsia="Arial" w:hAnsi="Arial"/>
                  <w:sz w:val="18"/>
                  <w:szCs w:val="18"/>
                  <w:color w:val="0000FF"/>
                  <w:w w:val="92"/>
                </w:rPr>
                <w:t>Amendment to the Campbell Soup Company Severance Pay Plan for Salaried Employees, effective as of May 1, 2015, is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680" w:type="dxa"/>
            <w:vAlign w:val="bottom"/>
            <w:tcBorders>
              <w:top w:val="single" w:sz="8" w:color="0000FF"/>
              <w:bottom w:val="single" w:sz="8" w:color="0000FF"/>
            </w:tcBorders>
            <w:gridSpan w:val="15"/>
          </w:tcPr>
          <w:p>
            <w:pPr>
              <w:spacing w:after="0" w:line="196"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reference to Exhibit 10(b) to Campbell’s Form 10-Q (SEC file number 1-3822) for the fiscal quarter ended May 3, 2015.</w:t>
              </w:r>
            </w:hyperlink>
          </w:p>
        </w:tc>
        <w:tc>
          <w:tcPr>
            <w:tcW w:w="1200" w:type="dxa"/>
            <w:vAlign w:val="bottom"/>
            <w:tcBorders>
              <w:top w:val="single" w:sz="8" w:color="0000FF"/>
            </w:tcBorders>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10(r)+</w:t>
            </w:r>
          </w:p>
        </w:tc>
        <w:tc>
          <w:tcPr>
            <w:tcW w:w="10140" w:type="dxa"/>
            <w:vAlign w:val="bottom"/>
            <w:gridSpan w:val="21"/>
          </w:tcPr>
          <w:p>
            <w:pPr>
              <w:spacing w:after="0"/>
              <w:rPr>
                <w:rFonts w:ascii="Arial" w:cs="Arial" w:eastAsia="Arial" w:hAnsi="Arial"/>
                <w:sz w:val="18"/>
                <w:szCs w:val="18"/>
                <w:color w:val="0000FF"/>
                <w:w w:val="93"/>
              </w:rPr>
            </w:pPr>
            <w:hyperlink r:id="rId59">
              <w:r>
                <w:rPr>
                  <w:rFonts w:ascii="Arial" w:cs="Arial" w:eastAsia="Arial" w:hAnsi="Arial"/>
                  <w:sz w:val="18"/>
                  <w:szCs w:val="18"/>
                  <w:color w:val="0000FF"/>
                  <w:w w:val="93"/>
                </w:rPr>
                <w:t>Amendment to the Campbell Soup Company Severance Pay Plan for Salaried Employees, dated December 17, 2015, is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760" w:type="dxa"/>
            <w:vAlign w:val="bottom"/>
            <w:tcBorders>
              <w:top w:val="single" w:sz="8" w:color="0000FF"/>
            </w:tcBorders>
            <w:gridSpan w:val="18"/>
          </w:tcPr>
          <w:p>
            <w:pPr>
              <w:spacing w:after="0" w:line="196" w:lineRule="exact"/>
              <w:rPr>
                <w:rFonts w:ascii="Arial" w:cs="Arial" w:eastAsia="Arial" w:hAnsi="Arial"/>
                <w:sz w:val="18"/>
                <w:szCs w:val="18"/>
                <w:color w:val="0000FF"/>
                <w:w w:val="98"/>
              </w:rPr>
            </w:pPr>
            <w:hyperlink r:id="rId59">
              <w:r>
                <w:rPr>
                  <w:rFonts w:ascii="Arial" w:cs="Arial" w:eastAsia="Arial" w:hAnsi="Arial"/>
                  <w:sz w:val="18"/>
                  <w:szCs w:val="18"/>
                  <w:color w:val="0000FF"/>
                  <w:w w:val="98"/>
                </w:rPr>
                <w:t>reference to Exhibit 10(a) to Campbell’s Form 10-Q (SEC file number 1-3822) for the fiscal quarter ended January 31, 2016.</w:t>
              </w:r>
            </w:hyperlink>
          </w:p>
        </w:tc>
        <w:tc>
          <w:tcPr>
            <w:tcW w:w="3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10(s)+</w:t>
            </w:r>
          </w:p>
        </w:tc>
        <w:tc>
          <w:tcPr>
            <w:tcW w:w="10120" w:type="dxa"/>
            <w:vAlign w:val="bottom"/>
            <w:tcBorders>
              <w:bottom w:val="single" w:sz="8" w:color="0000FF"/>
            </w:tcBorders>
            <w:gridSpan w:val="20"/>
          </w:tcPr>
          <w:p>
            <w:pPr>
              <w:spacing w:after="0"/>
              <w:rPr>
                <w:rFonts w:ascii="Arial" w:cs="Arial" w:eastAsia="Arial" w:hAnsi="Arial"/>
                <w:sz w:val="18"/>
                <w:szCs w:val="18"/>
                <w:color w:val="0000FF"/>
                <w:w w:val="90"/>
              </w:rPr>
            </w:pPr>
            <w:hyperlink r:id="rId60">
              <w:r>
                <w:rPr>
                  <w:rFonts w:ascii="Arial" w:cs="Arial" w:eastAsia="Arial" w:hAnsi="Arial"/>
                  <w:sz w:val="18"/>
                  <w:szCs w:val="18"/>
                  <w:color w:val="0000FF"/>
                  <w:w w:val="90"/>
                </w:rPr>
                <w:t>Amendment 2017-1 to the Campbell Soup Company Severance Pay Plan for Salaried Employees, effective January 1, 2017, is incorporated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8880" w:type="dxa"/>
            <w:vAlign w:val="bottom"/>
            <w:tcBorders>
              <w:bottom w:val="single" w:sz="8" w:color="0000FF"/>
            </w:tcBorders>
            <w:gridSpan w:val="16"/>
          </w:tcPr>
          <w:p>
            <w:pPr>
              <w:spacing w:after="0" w:line="19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by reference to Exhibit 10 to Campbell's Form 10-Q (SEC file number 1-3822) for the fiscal quarter ended April 30, 2017.</w:t>
              </w:r>
            </w:hyperlink>
          </w:p>
        </w:tc>
        <w:tc>
          <w:tcPr>
            <w:tcW w:w="12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10(t)+</w:t>
            </w:r>
          </w:p>
        </w:tc>
        <w:tc>
          <w:tcPr>
            <w:tcW w:w="10140" w:type="dxa"/>
            <w:vAlign w:val="bottom"/>
            <w:gridSpan w:val="21"/>
          </w:tcPr>
          <w:p>
            <w:pPr>
              <w:spacing w:after="0"/>
              <w:rPr>
                <w:rFonts w:ascii="Arial" w:cs="Arial" w:eastAsia="Arial" w:hAnsi="Arial"/>
                <w:sz w:val="18"/>
                <w:szCs w:val="18"/>
                <w:color w:val="0000FF"/>
                <w:w w:val="89"/>
              </w:rPr>
            </w:pPr>
            <w:hyperlink r:id="rId61">
              <w:r>
                <w:rPr>
                  <w:rFonts w:ascii="Arial" w:cs="Arial" w:eastAsia="Arial" w:hAnsi="Arial"/>
                  <w:sz w:val="18"/>
                  <w:szCs w:val="18"/>
                  <w:color w:val="0000FF"/>
                  <w:w w:val="89"/>
                </w:rPr>
                <w:t>Campbell Soup Company Supplemental Employees’ Retirement Plan, as amended and restated effective January 1, 2009, is incorporated by</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1">
              <w:r>
                <w:rPr>
                  <w:rFonts w:ascii="Arial" w:cs="Arial" w:eastAsia="Arial" w:hAnsi="Arial"/>
                  <w:sz w:val="18"/>
                  <w:szCs w:val="18"/>
                  <w:color w:val="0000FF"/>
                </w:rPr>
                <w:t>reference to Exhibit 10(c) to Campbell’s Form 10-Q (SEC file number 1-3822) for the fiscal quarter ended February 1, 2009.</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760" w:type="dxa"/>
            <w:vAlign w:val="bottom"/>
            <w:gridSpan w:val="9"/>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10(u)+</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6"/>
              </w:rPr>
            </w:pPr>
            <w:hyperlink r:id="rId62">
              <w:r>
                <w:rPr>
                  <w:rFonts w:ascii="Arial" w:cs="Arial" w:eastAsia="Arial" w:hAnsi="Arial"/>
                  <w:sz w:val="18"/>
                  <w:szCs w:val="18"/>
                  <w:color w:val="0000FF"/>
                  <w:w w:val="96"/>
                </w:rPr>
                <w:t>First Amendment to the Campbell Soup Company Supplemental Employees’ Retirement Plan, effective as of December 31, 2010, is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21"/>
          </w:tcPr>
          <w:p>
            <w:pPr>
              <w:spacing w:after="0" w:line="196" w:lineRule="exact"/>
              <w:rPr>
                <w:rFonts w:ascii="Arial" w:cs="Arial" w:eastAsia="Arial" w:hAnsi="Arial"/>
                <w:sz w:val="18"/>
                <w:szCs w:val="18"/>
                <w:color w:val="0000FF"/>
                <w:w w:val="95"/>
              </w:rPr>
            </w:pPr>
            <w:hyperlink r:id="rId62">
              <w:r>
                <w:rPr>
                  <w:rFonts w:ascii="Arial" w:cs="Arial" w:eastAsia="Arial" w:hAnsi="Arial"/>
                  <w:sz w:val="18"/>
                  <w:szCs w:val="18"/>
                  <w:color w:val="0000FF"/>
                  <w:w w:val="95"/>
                </w:rPr>
                <w:t>incorporated by reference to Exhibit 10(c) to Campbell’s Form 10-Q (SEC file number 1-3822) for the fiscal quarter ended January 30,</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2700" w:type="dxa"/>
            <w:vAlign w:val="bottom"/>
            <w:gridSpan w:val="2"/>
          </w:tcPr>
          <w:p>
            <w:pPr>
              <w:spacing w:after="0" w:line="196" w:lineRule="exact"/>
              <w:rPr>
                <w:rFonts w:ascii="Arial" w:cs="Arial" w:eastAsia="Arial" w:hAnsi="Arial"/>
                <w:sz w:val="18"/>
                <w:szCs w:val="18"/>
                <w:color w:val="0000FF"/>
              </w:rPr>
            </w:pPr>
            <w:hyperlink r:id="rId62">
              <w:r>
                <w:rPr>
                  <w:rFonts w:ascii="Arial" w:cs="Arial" w:eastAsia="Arial" w:hAnsi="Arial"/>
                  <w:sz w:val="18"/>
                  <w:szCs w:val="18"/>
                  <w:color w:val="0000FF"/>
                </w:rPr>
                <w:t>2011.</w:t>
              </w:r>
            </w:hyperlink>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10(v)+</w:t>
            </w:r>
          </w:p>
        </w:tc>
        <w:tc>
          <w:tcPr>
            <w:tcW w:w="380" w:type="dxa"/>
            <w:vAlign w:val="bottom"/>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140" w:type="dxa"/>
            <w:vAlign w:val="bottom"/>
            <w:vMerge w:val="continue"/>
          </w:tcPr>
          <w:p>
            <w:pPr>
              <w:spacing w:after="0"/>
              <w:rPr>
                <w:sz w:val="24"/>
                <w:szCs w:val="24"/>
                <w:color w:val="auto"/>
              </w:rPr>
            </w:pPr>
          </w:p>
        </w:tc>
        <w:tc>
          <w:tcPr>
            <w:tcW w:w="10140" w:type="dxa"/>
            <w:vAlign w:val="bottom"/>
            <w:gridSpan w:val="21"/>
            <w:vMerge w:val="restart"/>
          </w:tcPr>
          <w:p>
            <w:pPr>
              <w:spacing w:after="0"/>
              <w:rPr>
                <w:rFonts w:ascii="Arial" w:cs="Arial" w:eastAsia="Arial" w:hAnsi="Arial"/>
                <w:sz w:val="18"/>
                <w:szCs w:val="18"/>
                <w:color w:val="0000FF"/>
                <w:w w:val="94"/>
              </w:rPr>
            </w:pPr>
            <w:hyperlink r:id="rId63">
              <w:r>
                <w:rPr>
                  <w:rFonts w:ascii="Arial" w:cs="Arial" w:eastAsia="Arial" w:hAnsi="Arial"/>
                  <w:sz w:val="18"/>
                  <w:szCs w:val="18"/>
                  <w:color w:val="0000FF"/>
                  <w:w w:val="94"/>
                </w:rPr>
                <w:t>Wm. Bolthouse Farms, Inc. Deferred Compensation Plan, effective as of August 1, 2010, is incorporated by reference to Exhibit 10(f) to</w:t>
              </w:r>
            </w:hyperlink>
          </w:p>
        </w:tc>
        <w:tc>
          <w:tcPr>
            <w:tcW w:w="0" w:type="dxa"/>
            <w:vAlign w:val="bottom"/>
          </w:tcPr>
          <w:p>
            <w:pPr>
              <w:spacing w:after="0"/>
              <w:rPr>
                <w:sz w:val="1"/>
                <w:szCs w:val="1"/>
                <w:color w:val="auto"/>
              </w:rPr>
            </w:pPr>
          </w:p>
        </w:tc>
      </w:tr>
      <w:tr>
        <w:trPr>
          <w:trHeight w:val="41"/>
        </w:trPr>
        <w:tc>
          <w:tcPr>
            <w:tcW w:w="1140" w:type="dxa"/>
            <w:vAlign w:val="bottom"/>
          </w:tcPr>
          <w:p>
            <w:pPr>
              <w:spacing w:after="0"/>
              <w:rPr>
                <w:sz w:val="3"/>
                <w:szCs w:val="3"/>
                <w:color w:val="auto"/>
              </w:rPr>
            </w:pPr>
          </w:p>
        </w:tc>
        <w:tc>
          <w:tcPr>
            <w:tcW w:w="10140" w:type="dxa"/>
            <w:vAlign w:val="bottom"/>
            <w:gridSpan w:val="2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90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90"/>
              </w:rPr>
            </w:pPr>
            <w:hyperlink r:id="rId63">
              <w:r>
                <w:rPr>
                  <w:rFonts w:ascii="Arial" w:cs="Arial" w:eastAsia="Arial" w:hAnsi="Arial"/>
                  <w:sz w:val="18"/>
                  <w:szCs w:val="18"/>
                  <w:color w:val="0000FF"/>
                  <w:w w:val="90"/>
                </w:rPr>
                <w:t>Campbell’s Form 10-Q (SEC file number 1-3822) for the fiscal quarter ended February 1, 2015.</w:t>
              </w:r>
            </w:hyperlink>
          </w:p>
        </w:tc>
        <w:tc>
          <w:tcPr>
            <w:tcW w:w="3220" w:type="dxa"/>
            <w:vAlign w:val="bottom"/>
            <w:tcBorders>
              <w:top w:val="single" w:sz="8" w:color="0000FF"/>
            </w:tcBorders>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140" w:type="dxa"/>
            <w:vAlign w:val="bottom"/>
          </w:tcPr>
          <w:p>
            <w:pPr>
              <w:spacing w:after="0"/>
              <w:rPr>
                <w:sz w:val="20"/>
                <w:szCs w:val="20"/>
                <w:color w:val="auto"/>
              </w:rPr>
            </w:pPr>
            <w:r>
              <w:rPr>
                <w:rFonts w:ascii="Arial" w:cs="Arial" w:eastAsia="Arial" w:hAnsi="Arial"/>
                <w:sz w:val="18"/>
                <w:szCs w:val="18"/>
                <w:color w:val="auto"/>
              </w:rPr>
              <w:t>10(w)+</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5"/>
              </w:rPr>
            </w:pPr>
            <w:hyperlink r:id="rId64">
              <w:r>
                <w:rPr>
                  <w:rFonts w:ascii="Arial" w:cs="Arial" w:eastAsia="Arial" w:hAnsi="Arial"/>
                  <w:sz w:val="18"/>
                  <w:szCs w:val="18"/>
                  <w:color w:val="0000FF"/>
                  <w:w w:val="95"/>
                </w:rPr>
                <w:t>Form of 2005 Long-Term Incentive Plan Time-Lapsed Restricted Stock Unit Agreement is incorporated by reference to Exhibit 10.1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42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64">
              <w:r>
                <w:rPr>
                  <w:rFonts w:ascii="Arial" w:cs="Arial" w:eastAsia="Arial" w:hAnsi="Arial"/>
                  <w:sz w:val="18"/>
                  <w:szCs w:val="18"/>
                  <w:color w:val="0000FF"/>
                  <w:w w:val="91"/>
                </w:rPr>
                <w:t>Campbell's Form 8-K (SEC file number 1-3822) filed with the SEC on February 2, 2015.</w:t>
              </w:r>
            </w:hyperlink>
          </w:p>
        </w:tc>
        <w:tc>
          <w:tcPr>
            <w:tcW w:w="37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140" w:type="dxa"/>
            <w:vAlign w:val="bottom"/>
          </w:tcPr>
          <w:p>
            <w:pPr>
              <w:spacing w:after="0"/>
              <w:rPr>
                <w:sz w:val="20"/>
                <w:szCs w:val="20"/>
                <w:color w:val="auto"/>
              </w:rPr>
            </w:pPr>
            <w:r>
              <w:rPr>
                <w:rFonts w:ascii="Arial" w:cs="Arial" w:eastAsia="Arial" w:hAnsi="Arial"/>
                <w:sz w:val="18"/>
                <w:szCs w:val="18"/>
                <w:color w:val="auto"/>
              </w:rPr>
              <w:t>10(x)+</w:t>
            </w:r>
          </w:p>
        </w:tc>
        <w:tc>
          <w:tcPr>
            <w:tcW w:w="10140" w:type="dxa"/>
            <w:vAlign w:val="bottom"/>
            <w:gridSpan w:val="21"/>
          </w:tcPr>
          <w:p>
            <w:pPr>
              <w:spacing w:after="0"/>
              <w:rPr>
                <w:rFonts w:ascii="Arial" w:cs="Arial" w:eastAsia="Arial" w:hAnsi="Arial"/>
                <w:sz w:val="18"/>
                <w:szCs w:val="18"/>
                <w:color w:val="0000FF"/>
                <w:w w:val="94"/>
              </w:rPr>
            </w:pPr>
            <w:hyperlink r:id="rId65">
              <w:r>
                <w:rPr>
                  <w:rFonts w:ascii="Arial" w:cs="Arial" w:eastAsia="Arial" w:hAnsi="Arial"/>
                  <w:sz w:val="18"/>
                  <w:szCs w:val="18"/>
                  <w:color w:val="0000FF"/>
                  <w:w w:val="94"/>
                </w:rPr>
                <w:t>Form of 2005 Long-Term Incentive Plan Nonqualified Stock Option Agreement is incorporated by reference to Exhibit 10 to Campbell's</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5">
              <w:r>
                <w:rPr>
                  <w:rFonts w:ascii="Arial" w:cs="Arial" w:eastAsia="Arial" w:hAnsi="Arial"/>
                  <w:sz w:val="18"/>
                  <w:szCs w:val="18"/>
                  <w:color w:val="0000FF"/>
                </w:rPr>
                <w:t>Form 10-Q (SEC file number 1-3822) for the fiscal quarter ended November 1, 2015.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140" w:type="dxa"/>
            <w:vAlign w:val="bottom"/>
            <w:gridSpan w:val="10"/>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10(y)+</w:t>
            </w:r>
          </w:p>
        </w:tc>
        <w:tc>
          <w:tcPr>
            <w:tcW w:w="10140" w:type="dxa"/>
            <w:vAlign w:val="bottom"/>
            <w:gridSpan w:val="21"/>
          </w:tcPr>
          <w:p>
            <w:pPr>
              <w:spacing w:after="0"/>
              <w:rPr>
                <w:rFonts w:ascii="Arial" w:cs="Arial" w:eastAsia="Arial" w:hAnsi="Arial"/>
                <w:sz w:val="18"/>
                <w:szCs w:val="18"/>
                <w:color w:val="0000FF"/>
              </w:rPr>
            </w:pPr>
            <w:hyperlink r:id="rId66">
              <w:r>
                <w:rPr>
                  <w:rFonts w:ascii="Arial" w:cs="Arial" w:eastAsia="Arial" w:hAnsi="Arial"/>
                  <w:sz w:val="18"/>
                  <w:szCs w:val="18"/>
                  <w:color w:val="0000FF"/>
                </w:rPr>
                <w:t>Form of 2015 Long-Term Incentive Plan Nonqualified Stock Option Agreement is incorporated by reference to Exhibit 10(dd)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6">
              <w:r>
                <w:rPr>
                  <w:rFonts w:ascii="Arial" w:cs="Arial" w:eastAsia="Arial" w:hAnsi="Arial"/>
                  <w:sz w:val="18"/>
                  <w:szCs w:val="18"/>
                  <w:color w:val="0000FF"/>
                </w:rPr>
                <w:t>Campbell's Form 10-K (SEC file number 1-3822) for the fiscal year ended July 31,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20" w:type="dxa"/>
            <w:vAlign w:val="bottom"/>
            <w:gridSpan w:val="11"/>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10(z)+</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3"/>
              </w:rPr>
            </w:pPr>
            <w:hyperlink r:id="rId67">
              <w:r>
                <w:rPr>
                  <w:rFonts w:ascii="Arial" w:cs="Arial" w:eastAsia="Arial" w:hAnsi="Arial"/>
                  <w:sz w:val="18"/>
                  <w:szCs w:val="18"/>
                  <w:color w:val="0000FF"/>
                  <w:w w:val="93"/>
                </w:rPr>
                <w:t>Form of 2015 Long-Term Incentive Plan Performance Stock Unit Agreement (Earnings Per Share) is incorporated by reference to Exhibit</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rPr>
            </w:pPr>
            <w:hyperlink r:id="rId67">
              <w:r>
                <w:rPr>
                  <w:rFonts w:ascii="Arial" w:cs="Arial" w:eastAsia="Arial" w:hAnsi="Arial"/>
                  <w:sz w:val="18"/>
                  <w:szCs w:val="18"/>
                  <w:color w:val="0000FF"/>
                </w:rPr>
                <w:t>10(b) to Campbell's Form 10-Q (SEC file number 1-3822) for the fiscal quarter ended October 30, 2016.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00" w:type="dxa"/>
            <w:vAlign w:val="bottom"/>
            <w:gridSpan w:val="1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10(aa)+</w:t>
            </w:r>
          </w:p>
        </w:tc>
        <w:tc>
          <w:tcPr>
            <w:tcW w:w="10140" w:type="dxa"/>
            <w:vAlign w:val="bottom"/>
            <w:gridSpan w:val="21"/>
          </w:tcPr>
          <w:p>
            <w:pPr>
              <w:spacing w:after="0"/>
              <w:rPr>
                <w:rFonts w:ascii="Arial" w:cs="Arial" w:eastAsia="Arial" w:hAnsi="Arial"/>
                <w:sz w:val="18"/>
                <w:szCs w:val="18"/>
                <w:color w:val="0000FF"/>
                <w:w w:val="94"/>
              </w:rPr>
            </w:pPr>
            <w:hyperlink r:id="rId68">
              <w:r>
                <w:rPr>
                  <w:rFonts w:ascii="Arial" w:cs="Arial" w:eastAsia="Arial" w:hAnsi="Arial"/>
                  <w:sz w:val="18"/>
                  <w:szCs w:val="18"/>
                  <w:color w:val="0000FF"/>
                  <w:w w:val="94"/>
                </w:rPr>
                <w:t>Form of 2015 Long-Term Incentive Plan Performance Stock Unit Agreement (Total Shareholder Return) is incorporated by reference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2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68">
              <w:r>
                <w:rPr>
                  <w:rFonts w:ascii="Arial" w:cs="Arial" w:eastAsia="Arial" w:hAnsi="Arial"/>
                  <w:sz w:val="18"/>
                  <w:szCs w:val="18"/>
                  <w:color w:val="0000FF"/>
                </w:rPr>
                <w:t>Exhibit 10(ff) to Campbell’s Form 10-K (SEC file number 1-3822) for the fiscal year ended July 31, 2016.</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900" w:type="dxa"/>
            <w:vAlign w:val="bottom"/>
            <w:gridSpan w:val="1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10(bb)+</w:t>
            </w:r>
          </w:p>
        </w:tc>
        <w:tc>
          <w:tcPr>
            <w:tcW w:w="10140" w:type="dxa"/>
            <w:vAlign w:val="bottom"/>
            <w:tcBorders>
              <w:bottom w:val="single" w:sz="8" w:color="0000FF"/>
            </w:tcBorders>
            <w:gridSpan w:val="21"/>
          </w:tcPr>
          <w:p>
            <w:pPr>
              <w:spacing w:after="0"/>
              <w:rPr>
                <w:rFonts w:ascii="Arial" w:cs="Arial" w:eastAsia="Arial" w:hAnsi="Arial"/>
                <w:sz w:val="18"/>
                <w:szCs w:val="18"/>
                <w:color w:val="0000FF"/>
                <w:w w:val="95"/>
              </w:rPr>
            </w:pPr>
            <w:hyperlink r:id="rId69">
              <w:r>
                <w:rPr>
                  <w:rFonts w:ascii="Arial" w:cs="Arial" w:eastAsia="Arial" w:hAnsi="Arial"/>
                  <w:sz w:val="18"/>
                  <w:szCs w:val="18"/>
                  <w:color w:val="0000FF"/>
                  <w:w w:val="95"/>
                </w:rPr>
                <w:t>Form of 2015 Long-Term Incentive Plan Time-Lapse Restricted Stock Unit Agreement is incorporated by reference to Exhibit 10(c) to</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1"/>
          </w:tcPr>
          <w:p>
            <w:pPr>
              <w:spacing w:after="0" w:line="196" w:lineRule="exact"/>
              <w:rPr>
                <w:rFonts w:ascii="Arial" w:cs="Arial" w:eastAsia="Arial" w:hAnsi="Arial"/>
                <w:sz w:val="18"/>
                <w:szCs w:val="18"/>
                <w:color w:val="0000FF"/>
              </w:rPr>
            </w:pPr>
            <w:hyperlink r:id="rId69">
              <w:r>
                <w:rPr>
                  <w:rFonts w:ascii="Arial" w:cs="Arial" w:eastAsia="Arial" w:hAnsi="Arial"/>
                  <w:sz w:val="18"/>
                  <w:szCs w:val="18"/>
                  <w:color w:val="0000FF"/>
                </w:rPr>
                <w:t>Campbell's Form 10-Q (SEC file number 1-3822) for the fiscal quarter ended October 30, 2016.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80"/>
          </w:cols>
          <w:pgMar w:left="360" w:top="1440" w:right="259" w:bottom="1014" w:gutter="0" w:footer="0" w:header="0"/>
        </w:sectPr>
      </w:pPr>
    </w:p>
    <w:p>
      <w:pPr>
        <w:spacing w:after="0" w:line="29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280"/>
          </w:cols>
          <w:pgMar w:left="360" w:top="1440" w:right="259" w:bottom="1014" w:gutter="0" w:footer="0" w:header="0"/>
          <w:type w:val="continuous"/>
        </w:sectPr>
      </w:pPr>
    </w:p>
    <w:bookmarkStart w:id="80" w:name="page81"/>
    <w:bookmarkEnd w:id="80"/>
    <w:p>
      <w:pPr>
        <w:spacing w:after="0" w:line="19"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10(cc)+</w:t>
            </w:r>
          </w:p>
        </w:tc>
        <w:tc>
          <w:tcPr>
            <w:tcW w:w="10120" w:type="dxa"/>
            <w:vAlign w:val="bottom"/>
            <w:tcBorders>
              <w:bottom w:val="single" w:sz="8" w:color="0000FF"/>
            </w:tcBorders>
            <w:gridSpan w:val="3"/>
          </w:tcPr>
          <w:p>
            <w:pPr>
              <w:spacing w:after="0"/>
              <w:rPr>
                <w:rFonts w:ascii="Arial" w:cs="Arial" w:eastAsia="Arial" w:hAnsi="Arial"/>
                <w:sz w:val="18"/>
                <w:szCs w:val="18"/>
                <w:color w:val="0000FF"/>
                <w:w w:val="93"/>
              </w:rPr>
            </w:pPr>
            <w:hyperlink r:id="rId70">
              <w:r>
                <w:rPr>
                  <w:rFonts w:ascii="Arial" w:cs="Arial" w:eastAsia="Arial" w:hAnsi="Arial"/>
                  <w:sz w:val="18"/>
                  <w:szCs w:val="18"/>
                  <w:color w:val="0000FF"/>
                  <w:w w:val="93"/>
                </w:rPr>
                <w:t>2017 Non-Employee Director Fees are incorporated by reference to Exhibit 10(a) to Campbell's Form 10-Q (SEC file number 1-3822) for</w:t>
              </w:r>
            </w:hyperlink>
          </w:p>
        </w:tc>
      </w:tr>
      <w:tr>
        <w:trPr>
          <w:trHeight w:val="196"/>
        </w:trPr>
        <w:tc>
          <w:tcPr>
            <w:tcW w:w="1140" w:type="dxa"/>
            <w:vAlign w:val="bottom"/>
          </w:tcPr>
          <w:p>
            <w:pPr>
              <w:spacing w:after="0"/>
              <w:rPr>
                <w:sz w:val="17"/>
                <w:szCs w:val="17"/>
                <w:color w:val="auto"/>
              </w:rPr>
            </w:pPr>
          </w:p>
        </w:tc>
        <w:tc>
          <w:tcPr>
            <w:tcW w:w="302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70">
              <w:r>
                <w:rPr>
                  <w:rFonts w:ascii="Arial" w:cs="Arial" w:eastAsia="Arial" w:hAnsi="Arial"/>
                  <w:sz w:val="18"/>
                  <w:szCs w:val="18"/>
                  <w:color w:val="0000FF"/>
                  <w:w w:val="88"/>
                </w:rPr>
                <w:t>the fiscal quarter ended October 30, 2016.</w:t>
              </w:r>
            </w:hyperlink>
          </w:p>
        </w:tc>
        <w:tc>
          <w:tcPr>
            <w:tcW w:w="7100" w:type="dxa"/>
            <w:vAlign w:val="bottom"/>
            <w:gridSpan w:val="2"/>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10(dd)</w:t>
            </w:r>
          </w:p>
        </w:tc>
        <w:tc>
          <w:tcPr>
            <w:tcW w:w="10120" w:type="dxa"/>
            <w:vAlign w:val="bottom"/>
            <w:tcBorders>
              <w:bottom w:val="single" w:sz="8" w:color="0000FF"/>
            </w:tcBorders>
            <w:gridSpan w:val="3"/>
          </w:tcPr>
          <w:p>
            <w:pPr>
              <w:spacing w:after="0"/>
              <w:rPr>
                <w:rFonts w:ascii="Arial" w:cs="Arial" w:eastAsia="Arial" w:hAnsi="Arial"/>
                <w:sz w:val="18"/>
                <w:szCs w:val="18"/>
                <w:color w:val="0000FF"/>
                <w:w w:val="90"/>
              </w:rPr>
            </w:pPr>
            <w:hyperlink r:id="rId71">
              <w:r>
                <w:rPr>
                  <w:rFonts w:ascii="Arial" w:cs="Arial" w:eastAsia="Arial" w:hAnsi="Arial"/>
                  <w:sz w:val="18"/>
                  <w:szCs w:val="18"/>
                  <w:color w:val="0000FF"/>
                  <w:w w:val="90"/>
                </w:rPr>
                <w:t>Five-Year Credit Agreement, dated December 9, 2016, by and among Campbell Soup Company, the eligible subsidiaries referred to therein,</w:t>
              </w:r>
            </w:hyperlink>
          </w:p>
        </w:tc>
      </w:tr>
      <w:tr>
        <w:trPr>
          <w:trHeight w:val="196"/>
        </w:trPr>
        <w:tc>
          <w:tcPr>
            <w:tcW w:w="1140" w:type="dxa"/>
            <w:vAlign w:val="bottom"/>
          </w:tcPr>
          <w:p>
            <w:pPr>
              <w:spacing w:after="0"/>
              <w:rPr>
                <w:sz w:val="17"/>
                <w:szCs w:val="17"/>
                <w:color w:val="auto"/>
              </w:rPr>
            </w:pPr>
          </w:p>
        </w:tc>
        <w:tc>
          <w:tcPr>
            <w:tcW w:w="10120" w:type="dxa"/>
            <w:vAlign w:val="bottom"/>
            <w:tcBorders>
              <w:bottom w:val="single" w:sz="8" w:color="0000FF"/>
            </w:tcBorders>
            <w:gridSpan w:val="3"/>
          </w:tcPr>
          <w:p>
            <w:pPr>
              <w:spacing w:after="0" w:line="196"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JPMorgan Chase Bank, N.A., as administrative agent, and the other lenders named therein, is incorporated by reference to Exhibit 10 to</w:t>
              </w:r>
            </w:hyperlink>
          </w:p>
        </w:tc>
      </w:tr>
      <w:tr>
        <w:trPr>
          <w:trHeight w:val="196"/>
        </w:trPr>
        <w:tc>
          <w:tcPr>
            <w:tcW w:w="1140" w:type="dxa"/>
            <w:vAlign w:val="bottom"/>
          </w:tcPr>
          <w:p>
            <w:pPr>
              <w:spacing w:after="0"/>
              <w:rPr>
                <w:sz w:val="17"/>
                <w:szCs w:val="17"/>
                <w:color w:val="auto"/>
              </w:rPr>
            </w:pPr>
          </w:p>
        </w:tc>
        <w:tc>
          <w:tcPr>
            <w:tcW w:w="66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71">
              <w:r>
                <w:rPr>
                  <w:rFonts w:ascii="Arial" w:cs="Arial" w:eastAsia="Arial" w:hAnsi="Arial"/>
                  <w:sz w:val="18"/>
                  <w:szCs w:val="18"/>
                  <w:color w:val="0000FF"/>
                  <w:w w:val="91"/>
                </w:rPr>
                <w:t>Campbell's Form 8-K (SEC file number 1-3822) filed with the SEC on December 12, 2016.</w:t>
              </w:r>
            </w:hyperlink>
          </w:p>
        </w:tc>
        <w:tc>
          <w:tcPr>
            <w:tcW w:w="3520" w:type="dxa"/>
            <w:vAlign w:val="bottom"/>
          </w:tcPr>
          <w:p>
            <w:pPr>
              <w:spacing w:after="0"/>
              <w:rPr>
                <w:sz w:val="17"/>
                <w:szCs w:val="17"/>
                <w:color w:val="auto"/>
              </w:rPr>
            </w:pPr>
          </w:p>
        </w:tc>
      </w:tr>
    </w:tbl>
    <w:p>
      <w:pPr>
        <w:spacing w:after="0" w:line="202" w:lineRule="exact"/>
        <w:rPr>
          <w:sz w:val="20"/>
          <w:szCs w:val="20"/>
          <w:color w:val="auto"/>
        </w:rPr>
      </w:pPr>
    </w:p>
    <w:p>
      <w:pPr>
        <w:ind w:left="1260" w:hanging="1144"/>
        <w:spacing w:after="0"/>
        <w:tabs>
          <w:tab w:leader="none" w:pos="1260" w:val="left"/>
        </w:tabs>
        <w:numPr>
          <w:ilvl w:val="0"/>
          <w:numId w:val="55"/>
        </w:numPr>
        <w:rPr>
          <w:rFonts w:ascii="Arial" w:cs="Arial" w:eastAsia="Arial" w:hAnsi="Arial"/>
          <w:sz w:val="18"/>
          <w:szCs w:val="18"/>
          <w:u w:val="single" w:color="auto"/>
          <w:color w:val="0000FF"/>
        </w:rPr>
      </w:pPr>
      <w:hyperlink w:anchor="page101">
        <w:r>
          <w:rPr>
            <w:rFonts w:ascii="Arial" w:cs="Arial" w:eastAsia="Arial" w:hAnsi="Arial"/>
            <w:sz w:val="18"/>
            <w:szCs w:val="18"/>
            <w:u w:val="single" w:color="auto"/>
            <w:color w:val="0000FF"/>
          </w:rPr>
          <w:t>Computation of Ratio of Earnings to Fixed Charges.</w:t>
        </w:r>
      </w:hyperlink>
    </w:p>
    <w:p>
      <w:pPr>
        <w:spacing w:after="0" w:line="198" w:lineRule="exact"/>
        <w:rPr>
          <w:sz w:val="20"/>
          <w:szCs w:val="20"/>
          <w:color w:val="auto"/>
        </w:rPr>
      </w:pPr>
    </w:p>
    <w:p>
      <w:pPr>
        <w:ind w:left="1260" w:hanging="1144"/>
        <w:spacing w:after="0"/>
        <w:tabs>
          <w:tab w:leader="none" w:pos="1260" w:val="left"/>
        </w:tabs>
        <w:numPr>
          <w:ilvl w:val="0"/>
          <w:numId w:val="56"/>
        </w:numPr>
        <w:rPr>
          <w:rFonts w:ascii="Arial" w:cs="Arial" w:eastAsia="Arial" w:hAnsi="Arial"/>
          <w:sz w:val="18"/>
          <w:szCs w:val="18"/>
          <w:u w:val="single" w:color="auto"/>
          <w:color w:val="0000FF"/>
        </w:rPr>
      </w:pPr>
      <w:hyperlink w:anchor="page102">
        <w:r>
          <w:rPr>
            <w:rFonts w:ascii="Arial" w:cs="Arial" w:eastAsia="Arial" w:hAnsi="Arial"/>
            <w:sz w:val="18"/>
            <w:szCs w:val="18"/>
            <w:u w:val="single" w:color="auto"/>
            <w:color w:val="0000FF"/>
          </w:rPr>
          <w:t>Subsidiary List.</w:t>
        </w:r>
      </w:hyperlink>
    </w:p>
    <w:p>
      <w:pPr>
        <w:spacing w:after="0" w:line="198" w:lineRule="exact"/>
        <w:rPr>
          <w:sz w:val="20"/>
          <w:szCs w:val="20"/>
          <w:color w:val="auto"/>
        </w:rPr>
      </w:pPr>
    </w:p>
    <w:p>
      <w:pPr>
        <w:ind w:left="1260" w:hanging="1144"/>
        <w:spacing w:after="0"/>
        <w:tabs>
          <w:tab w:leader="none" w:pos="1260" w:val="left"/>
        </w:tabs>
        <w:numPr>
          <w:ilvl w:val="0"/>
          <w:numId w:val="57"/>
        </w:numPr>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Consent of Independent Registered Public Accounting Firm.</w:t>
        </w:r>
      </w:hyperlink>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5440" w:type="dxa"/>
            <w:vAlign w:val="bottom"/>
            <w:gridSpan w:val="4"/>
          </w:tcPr>
          <w:p>
            <w:pPr>
              <w:spacing w:after="0"/>
              <w:rPr>
                <w:rFonts w:ascii="Arial" w:cs="Arial" w:eastAsia="Arial" w:hAnsi="Arial"/>
                <w:sz w:val="18"/>
                <w:szCs w:val="18"/>
                <w:color w:val="0000FF"/>
              </w:rPr>
            </w:pPr>
            <w:hyperlink w:anchor="page105">
              <w:r>
                <w:rPr>
                  <w:rFonts w:ascii="Arial" w:cs="Arial" w:eastAsia="Arial" w:hAnsi="Arial"/>
                  <w:sz w:val="18"/>
                  <w:szCs w:val="18"/>
                  <w:color w:val="0000FF"/>
                </w:rPr>
                <w:t>Certification of Denise M. Morrison pursuant to Rule 13a-14(a).</w:t>
              </w:r>
            </w:hyperlink>
          </w:p>
        </w:tc>
      </w:tr>
      <w:tr>
        <w:trPr>
          <w:trHeight w:val="20"/>
        </w:trPr>
        <w:tc>
          <w:tcPr>
            <w:tcW w:w="1140" w:type="dxa"/>
            <w:vAlign w:val="bottom"/>
          </w:tcPr>
          <w:p>
            <w:pPr>
              <w:spacing w:after="0" w:line="20" w:lineRule="exact"/>
              <w:rPr>
                <w:sz w:val="1"/>
                <w:szCs w:val="1"/>
                <w:color w:val="auto"/>
              </w:rPr>
            </w:pPr>
          </w:p>
        </w:tc>
        <w:tc>
          <w:tcPr>
            <w:tcW w:w="46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5440" w:type="dxa"/>
            <w:vAlign w:val="bottom"/>
            <w:gridSpan w:val="4"/>
          </w:tcPr>
          <w:p>
            <w:pPr>
              <w:spacing w:after="0"/>
              <w:rPr>
                <w:rFonts w:ascii="Arial" w:cs="Arial" w:eastAsia="Arial" w:hAnsi="Arial"/>
                <w:sz w:val="18"/>
                <w:szCs w:val="18"/>
                <w:color w:val="0000FF"/>
              </w:rPr>
            </w:pPr>
            <w:hyperlink w:anchor="page106">
              <w:r>
                <w:rPr>
                  <w:rFonts w:ascii="Arial" w:cs="Arial" w:eastAsia="Arial" w:hAnsi="Arial"/>
                  <w:sz w:val="18"/>
                  <w:szCs w:val="18"/>
                  <w:color w:val="0000FF"/>
                </w:rPr>
                <w:t>Certification of Anthony P. DiSilvestro pursuant to Rule 13a-14(a).</w:t>
              </w:r>
            </w:hyperlink>
          </w:p>
        </w:tc>
      </w:tr>
      <w:tr>
        <w:trPr>
          <w:trHeight w:val="20"/>
        </w:trPr>
        <w:tc>
          <w:tcPr>
            <w:tcW w:w="1140" w:type="dxa"/>
            <w:vAlign w:val="bottom"/>
          </w:tcPr>
          <w:p>
            <w:pPr>
              <w:spacing w:after="0" w:line="20" w:lineRule="exact"/>
              <w:rPr>
                <w:sz w:val="1"/>
                <w:szCs w:val="1"/>
                <w:color w:val="auto"/>
              </w:rPr>
            </w:pPr>
          </w:p>
        </w:tc>
        <w:tc>
          <w:tcPr>
            <w:tcW w:w="4820" w:type="dxa"/>
            <w:vAlign w:val="bottom"/>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32(a)</w:t>
            </w:r>
          </w:p>
        </w:tc>
        <w:tc>
          <w:tcPr>
            <w:tcW w:w="5440" w:type="dxa"/>
            <w:vAlign w:val="bottom"/>
            <w:gridSpan w:val="4"/>
          </w:tcPr>
          <w:p>
            <w:pPr>
              <w:spacing w:after="0"/>
              <w:rPr>
                <w:rFonts w:ascii="Arial" w:cs="Arial" w:eastAsia="Arial" w:hAnsi="Arial"/>
                <w:sz w:val="18"/>
                <w:szCs w:val="18"/>
                <w:color w:val="0000FF"/>
                <w:w w:val="95"/>
              </w:rPr>
            </w:pPr>
            <w:hyperlink w:anchor="page107">
              <w:r>
                <w:rPr>
                  <w:rFonts w:ascii="Arial" w:cs="Arial" w:eastAsia="Arial" w:hAnsi="Arial"/>
                  <w:sz w:val="18"/>
                  <w:szCs w:val="18"/>
                  <w:color w:val="0000FF"/>
                  <w:w w:val="95"/>
                </w:rPr>
                <w:t>Certification of Denise M. Morrison pursuant to 18 U.S.C. Section 1350.</w:t>
              </w:r>
            </w:hyperlink>
          </w:p>
        </w:tc>
      </w:tr>
      <w:tr>
        <w:trPr>
          <w:trHeight w:val="20"/>
        </w:trPr>
        <w:tc>
          <w:tcPr>
            <w:tcW w:w="1140" w:type="dxa"/>
            <w:vAlign w:val="bottom"/>
          </w:tcPr>
          <w:p>
            <w:pPr>
              <w:spacing w:after="0" w:line="20" w:lineRule="exact"/>
              <w:rPr>
                <w:sz w:val="1"/>
                <w:szCs w:val="1"/>
                <w:color w:val="auto"/>
              </w:rPr>
            </w:pPr>
          </w:p>
        </w:tc>
        <w:tc>
          <w:tcPr>
            <w:tcW w:w="52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32(b)</w:t>
            </w:r>
          </w:p>
        </w:tc>
        <w:tc>
          <w:tcPr>
            <w:tcW w:w="5440" w:type="dxa"/>
            <w:vAlign w:val="bottom"/>
            <w:tcBorders>
              <w:bottom w:val="single" w:sz="8" w:color="0000FF"/>
            </w:tcBorders>
            <w:gridSpan w:val="4"/>
          </w:tcPr>
          <w:p>
            <w:pPr>
              <w:spacing w:after="0"/>
              <w:rPr>
                <w:rFonts w:ascii="Arial" w:cs="Arial" w:eastAsia="Arial" w:hAnsi="Arial"/>
                <w:sz w:val="18"/>
                <w:szCs w:val="18"/>
                <w:color w:val="0000FF"/>
                <w:w w:val="91"/>
              </w:rPr>
            </w:pPr>
            <w:hyperlink w:anchor="page108">
              <w:r>
                <w:rPr>
                  <w:rFonts w:ascii="Arial" w:cs="Arial" w:eastAsia="Arial" w:hAnsi="Arial"/>
                  <w:sz w:val="18"/>
                  <w:szCs w:val="18"/>
                  <w:color w:val="0000FF"/>
                  <w:w w:val="91"/>
                </w:rPr>
                <w:t>Certification of Anthony P. DiSilvestro pursuant to 18 U.S.C. Section 1350.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Instance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Schema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5440" w:type="dxa"/>
            <w:vAlign w:val="bottom"/>
            <w:gridSpan w:val="4"/>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94" w:lineRule="exact"/>
        <w:rPr>
          <w:sz w:val="20"/>
          <w:szCs w:val="20"/>
          <w:color w:val="auto"/>
        </w:rPr>
      </w:pPr>
    </w:p>
    <w:p>
      <w:pPr>
        <w:ind w:left="80" w:right="420"/>
        <w:spacing w:after="0" w:line="258" w:lineRule="auto"/>
        <w:rPr>
          <w:sz w:val="20"/>
          <w:szCs w:val="20"/>
          <w:color w:val="auto"/>
        </w:rPr>
      </w:pPr>
      <w:r>
        <w:rPr>
          <w:rFonts w:ascii="Arial" w:cs="Arial" w:eastAsia="Arial" w:hAnsi="Arial"/>
          <w:sz w:val="18"/>
          <w:szCs w:val="18"/>
          <w:color w:val="auto"/>
        </w:rPr>
        <w:t>*Disclosure schedules and exhibits have been omitted pursuant to Item 601(b)(2) of Regulation S-K. Campbell agrees to furnish a copy of any omitted attachment to the SEC on a confidential basis upon request.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80"/>
          </w:cols>
          <w:pgMar w:left="240" w:top="1440" w:right="279" w:bottom="1440" w:gutter="0" w:footer="0" w:header="0"/>
        </w:sectPr>
      </w:pPr>
    </w:p>
    <w:bookmarkStart w:id="81" w:name="page82"/>
    <w:bookmarkEnd w:id="81"/>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Campbell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2017</w:t>
      </w:r>
    </w:p>
    <w:p>
      <w:pPr>
        <w:spacing w:after="0" w:line="167" w:lineRule="exact"/>
        <w:rPr>
          <w:sz w:val="20"/>
          <w:szCs w:val="20"/>
          <w:color w:val="auto"/>
        </w:rPr>
      </w:pPr>
    </w:p>
    <w:tbl>
      <w:tblPr>
        <w:tblLayout w:type="fixed"/>
        <w:tblInd w:w="578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9"/>
              </w:rPr>
              <w:t>CAMPBELL SOUP COMPANY</w:t>
            </w:r>
          </w:p>
        </w:tc>
      </w:tr>
      <w:tr>
        <w:trPr>
          <w:trHeight w:val="554"/>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 Anthony P. DiSilvestro</w:t>
            </w:r>
          </w:p>
        </w:tc>
      </w:tr>
      <w:tr>
        <w:trPr>
          <w:trHeight w:val="27"/>
        </w:trPr>
        <w:tc>
          <w:tcPr>
            <w:tcW w:w="280" w:type="dxa"/>
            <w:vAlign w:val="bottom"/>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237"/>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Anthony P. DiSilvestro</w:t>
            </w:r>
          </w:p>
        </w:tc>
      </w:tr>
      <w:tr>
        <w:trPr>
          <w:trHeight w:val="256"/>
        </w:trPr>
        <w:tc>
          <w:tcPr>
            <w:tcW w:w="280" w:type="dxa"/>
            <w:vAlign w:val="bottom"/>
          </w:tcPr>
          <w:p>
            <w:pPr>
              <w:spacing w:after="0"/>
              <w:rPr>
                <w:sz w:val="22"/>
                <w:szCs w:val="22"/>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2"/>
              </w:rPr>
              <w:t>Senior Vice President and Chief Financial Officer (Principal</w:t>
            </w:r>
          </w:p>
        </w:tc>
      </w:tr>
      <w:tr>
        <w:trPr>
          <w:trHeight w:val="230"/>
        </w:trPr>
        <w:tc>
          <w:tcPr>
            <w:tcW w:w="280" w:type="dxa"/>
            <w:vAlign w:val="bottom"/>
          </w:tcPr>
          <w:p>
            <w:pPr>
              <w:spacing w:after="0"/>
              <w:rPr>
                <w:sz w:val="20"/>
                <w:szCs w:val="20"/>
                <w:color w:val="auto"/>
              </w:rPr>
            </w:pPr>
          </w:p>
        </w:tc>
        <w:tc>
          <w:tcPr>
            <w:tcW w:w="5080" w:type="dxa"/>
            <w:vAlign w:val="bottom"/>
          </w:tcPr>
          <w:p>
            <w:pPr>
              <w:jc w:val="center"/>
              <w:spacing w:after="0"/>
              <w:rPr>
                <w:sz w:val="20"/>
                <w:szCs w:val="20"/>
                <w:color w:val="auto"/>
              </w:rPr>
            </w:pPr>
            <w:r>
              <w:rPr>
                <w:rFonts w:ascii="Arial" w:cs="Arial" w:eastAsia="Arial" w:hAnsi="Arial"/>
                <w:sz w:val="18"/>
                <w:szCs w:val="18"/>
                <w:color w:val="auto"/>
                <w:w w:val="94"/>
              </w:rPr>
              <w:t>Financial Officer)</w:t>
            </w:r>
          </w:p>
        </w:tc>
      </w:tr>
    </w:tbl>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Campbell and in the capacities indicated on September 27, 2017.</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66465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72">
                      <a:extLst>
                        <a:ext uri="{28A0092B-C50C-407E-A947-70E740481C1C}"/>
                      </a:extLst>
                    </a:blip>
                    <a:srcRect/>
                    <a:stretch>
                      <a:fillRect/>
                    </a:stretch>
                  </pic:blipFill>
                  <pic:spPr bwMode="auto">
                    <a:xfrm>
                      <a:off x="0" y="0"/>
                      <a:ext cx="6646545" cy="8890"/>
                    </a:xfrm>
                    <a:prstGeom prst="rect">
                      <a:avLst/>
                    </a:prstGeom>
                    <a:noFill/>
                  </pic:spPr>
                </pic:pic>
              </a:graphicData>
            </a:graphic>
          </wp:anchor>
        </w:drawing>
      </w:r>
    </w:p>
    <w:p>
      <w:pPr>
        <w:sectPr>
          <w:pgSz w:w="11900" w:h="16838" w:orient="portrait"/>
          <w:cols w:equalWidth="0" w:num="1">
            <w:col w:w="11300"/>
          </w:cols>
          <w:pgMar w:left="240" w:top="1229" w:right="359" w:bottom="528" w:gutter="0" w:footer="0" w:header="0"/>
        </w:sectPr>
      </w:pPr>
    </w:p>
    <w:p>
      <w:pPr>
        <w:spacing w:after="0" w:line="360"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3">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Denise M. Morrison</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7"/>
          <w:szCs w:val="17"/>
          <w:color w:val="auto"/>
        </w:rPr>
        <w:t>President, Chief Executive Officer and Director</w:t>
      </w:r>
    </w:p>
    <w:p>
      <w:pPr>
        <w:spacing w:after="0" w:line="75"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4">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Senior Vice President and Chief Financial Officer</w:t>
      </w:r>
    </w:p>
    <w:p>
      <w:pPr>
        <w:spacing w:after="0" w:line="86"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Financial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75">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Vice President and Controller</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(Principal Accounting Officer)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Les C. Vinney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6">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Les C. Vinney</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Chairman and 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Fabiola R. Arredondo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7">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Fabiola R. Arredondo</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Bennett Dorrance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8">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Bennett Dorrance</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Randall W. Larrimore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Randall W. Larrimore</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 Marc B. Lautenbach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31750</wp:posOffset>
            </wp:positionV>
            <wp:extent cx="30613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80">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57"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Marc B. Lautenbach</w:t>
      </w:r>
    </w:p>
    <w:p>
      <w:pPr>
        <w:spacing w:after="0" w:line="63"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jc w:val="center"/>
        <w:ind w:right="1760"/>
        <w:spacing w:after="0"/>
        <w:rPr>
          <w:sz w:val="20"/>
          <w:szCs w:val="20"/>
          <w:color w:val="auto"/>
        </w:rPr>
      </w:pPr>
      <w:r>
        <w:rPr>
          <w:rFonts w:ascii="Arial" w:cs="Arial" w:eastAsia="Arial" w:hAnsi="Arial"/>
          <w:sz w:val="17"/>
          <w:szCs w:val="17"/>
          <w:color w:val="auto"/>
        </w:rPr>
        <w:t>/s/ Mary Alice D. Malone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39370</wp:posOffset>
            </wp:positionV>
            <wp:extent cx="30530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1">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68"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Mary Alice D. Malone</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Sara Mathew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2">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Sara Mathew</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Keith R. McLoughlin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Charles R. Perrin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Charles R. Perrin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Nick Shreiber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5">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Nick Shreiber</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/s/ Tracey T. Travis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31750</wp:posOffset>
            </wp:positionV>
            <wp:extent cx="30530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6">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Tracey T. Travis</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jc w:val="center"/>
        <w:ind w:right="1800"/>
        <w:spacing w:after="0"/>
        <w:rPr>
          <w:sz w:val="20"/>
          <w:szCs w:val="20"/>
          <w:color w:val="auto"/>
        </w:rPr>
      </w:pPr>
      <w:r>
        <w:rPr>
          <w:rFonts w:ascii="Arial" w:cs="Arial" w:eastAsia="Arial" w:hAnsi="Arial"/>
          <w:sz w:val="16"/>
          <w:szCs w:val="16"/>
          <w:color w:val="auto"/>
        </w:rPr>
        <w:t>/s/ Archbold D. van Beuren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46355</wp:posOffset>
            </wp:positionV>
            <wp:extent cx="305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7">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80" w:lineRule="exact"/>
        <w:rPr>
          <w:sz w:val="20"/>
          <w:szCs w:val="20"/>
          <w:color w:val="auto"/>
        </w:rPr>
      </w:pPr>
    </w:p>
    <w:p>
      <w:pPr>
        <w:jc w:val="center"/>
        <w:ind w:right="1800"/>
        <w:spacing w:after="0"/>
        <w:rPr>
          <w:sz w:val="20"/>
          <w:szCs w:val="20"/>
          <w:color w:val="auto"/>
        </w:rPr>
      </w:pPr>
      <w:r>
        <w:rPr>
          <w:rFonts w:ascii="Arial" w:cs="Arial" w:eastAsia="Arial" w:hAnsi="Arial"/>
          <w:sz w:val="18"/>
          <w:szCs w:val="18"/>
          <w:color w:val="auto"/>
        </w:rPr>
        <w:t>Archbold D. van Beuren</w:t>
      </w:r>
    </w:p>
    <w:p>
      <w:pPr>
        <w:spacing w:after="0" w:line="63" w:lineRule="exact"/>
        <w:rPr>
          <w:sz w:val="20"/>
          <w:szCs w:val="20"/>
          <w:color w:val="auto"/>
        </w:rPr>
      </w:pPr>
    </w:p>
    <w:p>
      <w:pPr>
        <w:jc w:val="center"/>
        <w:ind w:right="1760"/>
        <w:spacing w:after="0"/>
        <w:rPr>
          <w:sz w:val="20"/>
          <w:szCs w:val="20"/>
          <w:color w:val="auto"/>
        </w:rPr>
      </w:pPr>
      <w:r>
        <w:rPr>
          <w:rFonts w:ascii="Arial" w:cs="Arial" w:eastAsia="Arial" w:hAnsi="Arial"/>
          <w:sz w:val="18"/>
          <w:szCs w:val="18"/>
          <w:color w:val="auto"/>
        </w:rPr>
        <w:t>Director</w:t>
      </w:r>
    </w:p>
    <w:p>
      <w:pPr>
        <w:spacing w:after="0" w:line="1307" w:lineRule="exact"/>
        <w:rPr>
          <w:sz w:val="20"/>
          <w:szCs w:val="20"/>
          <w:color w:val="auto"/>
        </w:rPr>
      </w:pPr>
    </w:p>
    <w:p>
      <w:pPr>
        <w:sectPr>
          <w:pgSz w:w="11900" w:h="16838" w:orient="portrait"/>
          <w:cols w:equalWidth="0" w:num="2">
            <w:col w:w="6820" w:space="720"/>
            <w:col w:w="3760"/>
          </w:cols>
          <w:pgMar w:left="240" w:top="1229" w:right="359" w:bottom="528"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300"/>
          </w:cols>
          <w:pgMar w:left="240" w:top="1229" w:right="359" w:bottom="528" w:gutter="0" w:footer="0" w:header="0"/>
          <w:type w:val="continuous"/>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July 30, 2017, July 31, 2016, and August 2, 2015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Charged to/</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(Reduction in)</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9"/>
              </w:rPr>
              <w:t>Balance at</w:t>
            </w: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Costs</w:t>
            </w: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and</w:t>
            </w:r>
          </w:p>
        </w:tc>
        <w:tc>
          <w:tcPr>
            <w:tcW w:w="18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Deductions</w:t>
            </w:r>
          </w:p>
        </w:tc>
        <w:tc>
          <w:tcPr>
            <w:tcW w:w="180" w:type="dxa"/>
            <w:vAlign w:val="bottom"/>
          </w:tcPr>
          <w:p>
            <w:pPr>
              <w:spacing w:after="0"/>
              <w:rPr>
                <w:sz w:val="12"/>
                <w:szCs w:val="12"/>
                <w:color w:val="auto"/>
              </w:rPr>
            </w:pPr>
          </w:p>
        </w:tc>
        <w:tc>
          <w:tcPr>
            <w:tcW w:w="96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End of</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Expenses</w:t>
            </w:r>
          </w:p>
        </w:tc>
        <w:tc>
          <w:tcPr>
            <w:tcW w:w="1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ind w:right="274"/>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50"/>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30, 2017</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b w:val="1"/>
                <w:bCs w:val="1"/>
                <w:color w:val="auto"/>
              </w:rPr>
              <w:t>5</w:t>
            </w:r>
          </w:p>
        </w:tc>
        <w:tc>
          <w:tcPr>
            <w:tcW w:w="0" w:type="dxa"/>
            <w:vAlign w:val="bottom"/>
          </w:tcPr>
          <w:p>
            <w:pPr>
              <w:spacing w:after="0"/>
              <w:rPr>
                <w:sz w:val="1"/>
                <w:szCs w:val="1"/>
                <w:color w:val="auto"/>
              </w:rPr>
            </w:pPr>
          </w:p>
        </w:tc>
      </w:tr>
      <w:tr>
        <w:trPr>
          <w:trHeight w:val="257"/>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July 31, 2016</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year ended August 2, 2015</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Cash discount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reserve</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520" w:type="dxa"/>
            <w:vAlign w:val="bottom"/>
          </w:tcPr>
          <w:p>
            <w:pPr>
              <w:ind w:left="40"/>
              <w:spacing w:after="0" w:line="270" w:lineRule="exact"/>
              <w:rPr>
                <w:sz w:val="20"/>
                <w:szCs w:val="20"/>
                <w:color w:val="auto"/>
              </w:rPr>
            </w:pPr>
            <w:r>
              <w:rPr>
                <w:rFonts w:ascii="Arial" w:cs="Arial" w:eastAsia="Arial" w:hAnsi="Arial"/>
                <w:sz w:val="18"/>
                <w:szCs w:val="18"/>
                <w:color w:val="auto"/>
              </w:rPr>
              <w:t>Returns reserve</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6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Accounts receivable allowances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27" w:lineRule="auto"/>
        <w:tabs>
          <w:tab w:leader="none" w:pos="340" w:val="left"/>
        </w:tabs>
        <w:numPr>
          <w:ilvl w:val="0"/>
          <w:numId w:val="58"/>
        </w:numPr>
        <w:rPr>
          <w:rFonts w:ascii="Arial" w:cs="Arial" w:eastAsia="Arial" w:hAnsi="Arial"/>
          <w:sz w:val="24"/>
          <w:szCs w:val="24"/>
          <w:color w:val="auto"/>
          <w:vertAlign w:val="superscript"/>
        </w:rPr>
      </w:pPr>
      <w:r>
        <w:rPr>
          <w:rFonts w:ascii="Arial" w:cs="Arial" w:eastAsia="Arial" w:hAnsi="Arial"/>
          <w:sz w:val="17"/>
          <w:szCs w:val="17"/>
          <w:color w:val="auto"/>
        </w:rPr>
        <w:t>The returns reserve is evaluated quarterly and adjusted accordingly. During each period, returns are charged to net sales in the Consolidated Statements of Earnings as incurred. Actual returns were approximately $103 in 2017, $95 in 2016 and $105 in 2015, or less than 2% of net sales.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1229"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10(i)</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SEVERANCE PROTECTION AGREEMENT</w:t>
      </w:r>
    </w:p>
    <w:p>
      <w:pPr>
        <w:spacing w:after="0" w:line="200" w:lineRule="exact"/>
        <w:rPr>
          <w:sz w:val="20"/>
          <w:szCs w:val="20"/>
          <w:color w:val="auto"/>
        </w:rPr>
      </w:pPr>
    </w:p>
    <w:p>
      <w:pPr>
        <w:spacing w:after="0" w:line="2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AGREEMENT made as of _______________, by and between Campbell Soup Company (the “</w:t>
      </w:r>
      <w:r>
        <w:rPr>
          <w:rFonts w:ascii="Arial" w:cs="Arial" w:eastAsia="Arial" w:hAnsi="Arial"/>
          <w:sz w:val="19"/>
          <w:szCs w:val="19"/>
          <w:i w:val="1"/>
          <w:iCs w:val="1"/>
          <w:color w:val="auto"/>
        </w:rPr>
        <w:t>Company”</w:t>
      </w:r>
      <w:r>
        <w:rPr>
          <w:rFonts w:ascii="Arial" w:cs="Arial" w:eastAsia="Arial" w:hAnsi="Arial"/>
          <w:sz w:val="19"/>
          <w:szCs w:val="19"/>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and _______________ (the “</w:t>
      </w:r>
      <w:r>
        <w:rPr>
          <w:rFonts w:ascii="Arial" w:cs="Arial" w:eastAsia="Arial" w:hAnsi="Arial"/>
          <w:sz w:val="22"/>
          <w:szCs w:val="22"/>
          <w:i w:val="1"/>
          <w:iCs w:val="1"/>
          <w:color w:val="auto"/>
        </w:rPr>
        <w:t>Executive”</w:t>
      </w:r>
      <w:r>
        <w:rPr>
          <w:rFonts w:ascii="Arial" w:cs="Arial" w:eastAsia="Arial" w:hAnsi="Arial"/>
          <w:sz w:val="22"/>
          <w:szCs w:val="22"/>
          <w:color w:val="auto"/>
        </w:rPr>
        <w:t>).</w:t>
      </w:r>
    </w:p>
    <w:p>
      <w:pPr>
        <w:spacing w:after="0" w:line="202" w:lineRule="exact"/>
        <w:rPr>
          <w:sz w:val="20"/>
          <w:szCs w:val="20"/>
          <w:color w:val="auto"/>
        </w:rPr>
      </w:pPr>
    </w:p>
    <w:p>
      <w:pPr>
        <w:ind w:right="100" w:firstLine="1297"/>
        <w:spacing w:after="0" w:line="312" w:lineRule="auto"/>
        <w:rPr>
          <w:sz w:val="20"/>
          <w:szCs w:val="20"/>
          <w:color w:val="auto"/>
        </w:rPr>
      </w:pPr>
      <w:r>
        <w:rPr>
          <w:rFonts w:ascii="Arial" w:cs="Arial" w:eastAsia="Arial" w:hAnsi="Arial"/>
          <w:sz w:val="19"/>
          <w:szCs w:val="19"/>
          <w:color w:val="auto"/>
        </w:rPr>
        <w:t>WHEREAS, the Board of Directors of the Company (the “</w:t>
      </w:r>
      <w:r>
        <w:rPr>
          <w:rFonts w:ascii="Arial" w:cs="Arial" w:eastAsia="Arial" w:hAnsi="Arial"/>
          <w:sz w:val="19"/>
          <w:szCs w:val="19"/>
          <w:i w:val="1"/>
          <w:iCs w:val="1"/>
          <w:color w:val="auto"/>
        </w:rPr>
        <w:t>Board”</w:t>
      </w:r>
      <w:r>
        <w:rPr>
          <w:rFonts w:ascii="Arial" w:cs="Arial" w:eastAsia="Arial" w:hAnsi="Arial"/>
          <w:sz w:val="19"/>
          <w:szCs w:val="19"/>
          <w:color w:val="auto"/>
        </w:rPr>
        <w:t>) recognizes that the possibility of a Change in Control (as hereinafter defined) exists and that the threat of or the occurrence of a Change in Control may result in the departure or in significant distractions of its key management personnel because of the uncertainties inherent in such a situation;</w:t>
      </w:r>
    </w:p>
    <w:p>
      <w:pPr>
        <w:spacing w:after="0" w:line="134" w:lineRule="exact"/>
        <w:rPr>
          <w:sz w:val="20"/>
          <w:szCs w:val="20"/>
          <w:color w:val="auto"/>
        </w:rPr>
      </w:pPr>
    </w:p>
    <w:p>
      <w:pPr>
        <w:ind w:right="140" w:firstLine="1297"/>
        <w:spacing w:after="0" w:line="302" w:lineRule="auto"/>
        <w:rPr>
          <w:sz w:val="20"/>
          <w:szCs w:val="20"/>
          <w:color w:val="auto"/>
        </w:rPr>
      </w:pPr>
      <w:r>
        <w:rPr>
          <w:rFonts w:ascii="Arial" w:cs="Arial" w:eastAsia="Arial" w:hAnsi="Arial"/>
          <w:sz w:val="19"/>
          <w:szCs w:val="19"/>
          <w:color w:val="auto"/>
        </w:rPr>
        <w:t>WHEREAS, the Board has, as recommended and approved by the Compensation and Organization Committee (the “</w:t>
      </w:r>
      <w:r>
        <w:rPr>
          <w:rFonts w:ascii="Arial" w:cs="Arial" w:eastAsia="Arial" w:hAnsi="Arial"/>
          <w:sz w:val="19"/>
          <w:szCs w:val="19"/>
          <w:i w:val="1"/>
          <w:iCs w:val="1"/>
          <w:color w:val="auto"/>
        </w:rPr>
        <w:t>Committee</w:t>
      </w:r>
      <w:r>
        <w:rPr>
          <w:rFonts w:ascii="Arial" w:cs="Arial" w:eastAsia="Arial" w:hAnsi="Arial"/>
          <w:sz w:val="19"/>
          <w:szCs w:val="19"/>
          <w:color w:val="auto"/>
        </w:rPr>
        <w:t>”), determined that it is essential and in the best interest of the Company and its stockholders to retain the services of the Executive in the event of a threat or occurrence of a Change in Control and to ensure her continued dedication and efforts in such event without undue concern for her personal financial and employment security; and</w:t>
      </w:r>
    </w:p>
    <w:p>
      <w:pPr>
        <w:spacing w:after="0" w:line="143" w:lineRule="exact"/>
        <w:rPr>
          <w:sz w:val="20"/>
          <w:szCs w:val="20"/>
          <w:color w:val="auto"/>
        </w:rPr>
      </w:pPr>
    </w:p>
    <w:p>
      <w:pPr>
        <w:ind w:right="60" w:firstLine="1297"/>
        <w:spacing w:after="0" w:line="265" w:lineRule="auto"/>
        <w:rPr>
          <w:sz w:val="20"/>
          <w:szCs w:val="20"/>
          <w:color w:val="auto"/>
        </w:rPr>
      </w:pPr>
      <w:r>
        <w:rPr>
          <w:rFonts w:ascii="Arial" w:cs="Arial" w:eastAsia="Arial" w:hAnsi="Arial"/>
          <w:sz w:val="21"/>
          <w:szCs w:val="21"/>
          <w:color w:val="auto"/>
        </w:rPr>
        <w:t>WHEREAS, in order to induce the Executive to remain in the employ of the Company and to encourage the continued attention and dedication of the Executive, particularly in the event of a threat or the occurrence of a Change in Control, the Company desires to enter into this Agreement with the Executive to provide the Executive with certain benefits in the event her employment is terminated as a result of, or in connection with, a Change in Control.</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in consideration of the respective agreements of the parties contained herein, it is agreed as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follows:</w:t>
      </w:r>
    </w:p>
    <w:p>
      <w:pPr>
        <w:spacing w:after="0" w:line="202" w:lineRule="exact"/>
        <w:rPr>
          <w:sz w:val="20"/>
          <w:szCs w:val="20"/>
          <w:color w:val="auto"/>
        </w:rPr>
      </w:pPr>
    </w:p>
    <w:p>
      <w:pPr>
        <w:ind w:left="1960" w:hanging="655"/>
        <w:spacing w:after="0" w:line="259" w:lineRule="auto"/>
        <w:tabs>
          <w:tab w:leader="none" w:pos="1960" w:val="left"/>
        </w:tabs>
        <w:numPr>
          <w:ilvl w:val="0"/>
          <w:numId w:val="59"/>
        </w:numPr>
        <w:rPr>
          <w:rFonts w:ascii="Arial" w:cs="Arial" w:eastAsia="Arial" w:hAnsi="Arial"/>
          <w:sz w:val="21"/>
          <w:szCs w:val="21"/>
          <w:color w:val="auto"/>
        </w:rPr>
      </w:pPr>
      <w:r>
        <w:rPr>
          <w:rFonts w:ascii="Arial" w:cs="Arial" w:eastAsia="Arial" w:hAnsi="Arial"/>
          <w:sz w:val="21"/>
          <w:szCs w:val="21"/>
          <w:i w:val="1"/>
          <w:iCs w:val="1"/>
          <w:color w:val="auto"/>
        </w:rPr>
        <w:t>Term of Agreement</w:t>
      </w:r>
      <w:r>
        <w:rPr>
          <w:rFonts w:ascii="Arial" w:cs="Arial" w:eastAsia="Arial" w:hAnsi="Arial"/>
          <w:sz w:val="21"/>
          <w:szCs w:val="21"/>
          <w:color w:val="auto"/>
        </w:rPr>
        <w:t>. The term of this Agreement (the “</w:t>
      </w:r>
      <w:r>
        <w:rPr>
          <w:rFonts w:ascii="Arial" w:cs="Arial" w:eastAsia="Arial" w:hAnsi="Arial"/>
          <w:sz w:val="21"/>
          <w:szCs w:val="21"/>
          <w:i w:val="1"/>
          <w:iCs w:val="1"/>
          <w:color w:val="auto"/>
        </w:rPr>
        <w:t>Term</w:t>
      </w:r>
      <w:r>
        <w:rPr>
          <w:rFonts w:ascii="Arial" w:cs="Arial" w:eastAsia="Arial" w:hAnsi="Arial"/>
          <w:sz w:val="21"/>
          <w:szCs w:val="21"/>
          <w:color w:val="auto"/>
        </w:rPr>
        <w:t>”) shall commence on ______________, and shall</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continue in effect until the third anniversary of such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commencing on the second anniversary of such date and on each anniversary thereafter, the term of this Agreement shall automatically be extended for one (1) year unless either the Company or the Executive shall have given written notice to the other at least ninety (90) days prior thereto that the term of this Agreement shall not be so extended; and </w:t>
      </w:r>
      <w:r>
        <w:rPr>
          <w:rFonts w:ascii="Arial" w:cs="Arial" w:eastAsia="Arial" w:hAnsi="Arial"/>
          <w:sz w:val="21"/>
          <w:szCs w:val="21"/>
          <w:i w:val="1"/>
          <w:iCs w:val="1"/>
          <w:color w:val="auto"/>
        </w:rPr>
        <w:t>provided, further, however</w:t>
      </w:r>
      <w:r>
        <w:rPr>
          <w:rFonts w:ascii="Arial" w:cs="Arial" w:eastAsia="Arial" w:hAnsi="Arial"/>
          <w:sz w:val="21"/>
          <w:szCs w:val="21"/>
          <w:color w:val="auto"/>
        </w:rPr>
        <w:t>, that notwithstanding any such notice by the Company not to extend, the Term</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expire prior to the expiration of twenty-four (24) months after the occurrence of a Change in Control.</w:t>
      </w:r>
    </w:p>
    <w:p>
      <w:pPr>
        <w:spacing w:after="0" w:line="224" w:lineRule="exact"/>
        <w:rPr>
          <w:rFonts w:ascii="Arial" w:cs="Arial" w:eastAsia="Arial" w:hAnsi="Arial"/>
          <w:sz w:val="21"/>
          <w:szCs w:val="21"/>
          <w:color w:val="auto"/>
        </w:rPr>
      </w:pPr>
    </w:p>
    <w:p>
      <w:pPr>
        <w:ind w:left="1960" w:hanging="655"/>
        <w:spacing w:after="0"/>
        <w:tabs>
          <w:tab w:leader="none" w:pos="1960" w:val="left"/>
        </w:tabs>
        <w:numPr>
          <w:ilvl w:val="0"/>
          <w:numId w:val="59"/>
        </w:numPr>
        <w:rPr>
          <w:rFonts w:ascii="Arial" w:cs="Arial" w:eastAsia="Arial" w:hAnsi="Arial"/>
          <w:sz w:val="22"/>
          <w:szCs w:val="22"/>
          <w:color w:val="auto"/>
        </w:rPr>
      </w:pPr>
      <w:r>
        <w:rPr>
          <w:rFonts w:ascii="Arial" w:cs="Arial" w:eastAsia="Arial" w:hAnsi="Arial"/>
          <w:sz w:val="22"/>
          <w:szCs w:val="22"/>
          <w:i w:val="1"/>
          <w:iCs w:val="1"/>
          <w:color w:val="auto"/>
        </w:rPr>
        <w:t>Definitions.</w:t>
      </w:r>
    </w:p>
    <w:p>
      <w:pPr>
        <w:spacing w:after="0" w:line="22" w:lineRule="exact"/>
        <w:rPr>
          <w:sz w:val="20"/>
          <w:szCs w:val="20"/>
          <w:color w:val="auto"/>
        </w:rPr>
      </w:pPr>
    </w:p>
    <w:p>
      <w:pPr>
        <w:ind w:left="660" w:firstLine="648"/>
        <w:spacing w:after="0" w:line="287" w:lineRule="auto"/>
        <w:rPr>
          <w:sz w:val="20"/>
          <w:szCs w:val="20"/>
          <w:color w:val="auto"/>
        </w:rPr>
      </w:pPr>
      <w:r>
        <w:rPr>
          <w:rFonts w:ascii="Arial" w:cs="Arial" w:eastAsia="Arial" w:hAnsi="Arial"/>
          <w:sz w:val="19"/>
          <w:szCs w:val="19"/>
          <w:color w:val="auto"/>
        </w:rPr>
        <w:t>2.1. “</w:t>
      </w:r>
      <w:r>
        <w:rPr>
          <w:rFonts w:ascii="Arial" w:cs="Arial" w:eastAsia="Arial" w:hAnsi="Arial"/>
          <w:sz w:val="19"/>
          <w:szCs w:val="19"/>
          <w:i w:val="1"/>
          <w:iCs w:val="1"/>
          <w:color w:val="auto"/>
        </w:rPr>
        <w:t>Cause”</w:t>
      </w:r>
      <w:r>
        <w:rPr>
          <w:rFonts w:ascii="Arial" w:cs="Arial" w:eastAsia="Arial" w:hAnsi="Arial"/>
          <w:sz w:val="19"/>
          <w:szCs w:val="19"/>
          <w:color w:val="auto"/>
        </w:rPr>
        <w:t xml:space="preserve"> means a termination evidenced by a resolution adopted in good faith by no less than two-thirds of the Board that the Executive (a) intentionally and continually failed to substantially perform her duties with the Company (other than a failure resulting from the Executive's incapacity due to physical or mental illness) which failure continued for a period of at least thirty (30) days after a written notice of demand for substantial performance has been delivered to the Executive specifying the manner in which the Executive has failed to substantially perform, or (b) intentionally engaged in conduct which is demonstrably and materially injurious to the Company, monetarily or otherwise;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 termination of the Executive's employment shall be for Cause as set forth in clause (b) above until (x) there shall have been delivered to the Executive a copy of a written notice setting forth that the Executive was guilty of</w:t>
      </w:r>
    </w:p>
    <w:p>
      <w:pPr>
        <w:sectPr>
          <w:pgSz w:w="11900" w:h="16838" w:orient="portrait"/>
          <w:cols w:equalWidth="0" w:num="1">
            <w:col w:w="11420"/>
          </w:cols>
          <w:pgMar w:left="240" w:top="580" w:right="239" w:bottom="1440" w:gutter="0" w:footer="0" w:header="0"/>
        </w:sectPr>
      </w:pPr>
    </w:p>
    <w:bookmarkStart w:id="84" w:name="page85"/>
    <w:bookmarkEnd w:id="84"/>
    <w:p>
      <w:pPr>
        <w:ind w:left="660" w:right="20"/>
        <w:spacing w:after="0" w:line="294" w:lineRule="auto"/>
        <w:rPr>
          <w:sz w:val="20"/>
          <w:szCs w:val="20"/>
          <w:color w:val="auto"/>
        </w:rPr>
      </w:pPr>
      <w:r>
        <w:rPr>
          <w:rFonts w:ascii="Arial" w:cs="Arial" w:eastAsia="Arial" w:hAnsi="Arial"/>
          <w:sz w:val="19"/>
          <w:szCs w:val="19"/>
          <w:color w:val="auto"/>
        </w:rPr>
        <w:t>the conduct set forth in clause (b) and specifying the particulars thereof in detail, and (y) the Executive shall have been provided an opportunity to be heard by the Board (with the assistance of the Executive's counsel if the Executive so desires). No act, nor failure to act, on the Executive's part, shall be considered “intentional” unless she has acted, or failed to act, with an absence of good faith and without a reasonable belief that her action or failure to act was in the best interest of the Company. Notwithstanding anything contained in this Agreement to the contrary, no failure to perform by the Executive after a Notice of Termination is given by the Executive shall constitute Cause for purposes of this Agreement.</w:t>
      </w:r>
    </w:p>
    <w:p>
      <w:pPr>
        <w:spacing w:after="0" w:line="190"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2.2 “</w:t>
      </w:r>
      <w:r>
        <w:rPr>
          <w:rFonts w:ascii="Arial" w:cs="Arial" w:eastAsia="Arial" w:hAnsi="Arial"/>
          <w:sz w:val="22"/>
          <w:szCs w:val="22"/>
          <w:i w:val="1"/>
          <w:iCs w:val="1"/>
          <w:color w:val="auto"/>
        </w:rPr>
        <w:t>Change in Control</w:t>
      </w:r>
      <w:r>
        <w:rPr>
          <w:rFonts w:ascii="Arial" w:cs="Arial" w:eastAsia="Arial" w:hAnsi="Arial"/>
          <w:sz w:val="22"/>
          <w:szCs w:val="22"/>
          <w:color w:val="auto"/>
        </w:rPr>
        <w:t>” means any of the following events:</w:t>
      </w:r>
    </w:p>
    <w:p>
      <w:pPr>
        <w:spacing w:after="0" w:line="260" w:lineRule="exact"/>
        <w:rPr>
          <w:sz w:val="20"/>
          <w:szCs w:val="20"/>
          <w:color w:val="auto"/>
        </w:rPr>
      </w:pPr>
    </w:p>
    <w:p>
      <w:pPr>
        <w:ind w:left="660" w:right="200" w:firstLine="1293"/>
        <w:spacing w:after="0" w:line="259" w:lineRule="exact"/>
        <w:tabs>
          <w:tab w:leader="none" w:pos="2845"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acquisition in one or more transactions by any “</w:t>
      </w:r>
      <w:r>
        <w:rPr>
          <w:rFonts w:ascii="Arial" w:cs="Arial" w:eastAsia="Arial" w:hAnsi="Arial"/>
          <w:sz w:val="19"/>
          <w:szCs w:val="19"/>
          <w:i w:val="1"/>
          <w:iCs w:val="1"/>
          <w:color w:val="auto"/>
        </w:rPr>
        <w:t>Person</w:t>
      </w:r>
      <w:r>
        <w:rPr>
          <w:rFonts w:ascii="Arial" w:cs="Arial" w:eastAsia="Arial" w:hAnsi="Arial"/>
          <w:sz w:val="19"/>
          <w:szCs w:val="19"/>
          <w:color w:val="auto"/>
        </w:rPr>
        <w:t>” (as the term person is used for purposes of Section 13(d) or 14(d) of the Securities Exchange Act of 1934, as amended (the “</w:t>
      </w:r>
      <w:r>
        <w:rPr>
          <w:rFonts w:ascii="Arial" w:cs="Arial" w:eastAsia="Arial" w:hAnsi="Arial"/>
          <w:sz w:val="19"/>
          <w:szCs w:val="19"/>
          <w:i w:val="1"/>
          <w:iCs w:val="1"/>
          <w:color w:val="auto"/>
        </w:rPr>
        <w:t>1934 Act</w:t>
      </w:r>
      <w:r>
        <w:rPr>
          <w:rFonts w:ascii="Arial" w:cs="Arial" w:eastAsia="Arial" w:hAnsi="Arial"/>
          <w:sz w:val="19"/>
          <w:szCs w:val="19"/>
          <w:color w:val="auto"/>
        </w:rPr>
        <w:t>”) of “</w:t>
      </w:r>
      <w:r>
        <w:rPr>
          <w:rFonts w:ascii="Arial" w:cs="Arial" w:eastAsia="Arial" w:hAnsi="Arial"/>
          <w:sz w:val="19"/>
          <w:szCs w:val="19"/>
          <w:i w:val="1"/>
          <w:iCs w:val="1"/>
          <w:color w:val="auto"/>
        </w:rPr>
        <w:t>Beneficial</w:t>
      </w:r>
      <w:r>
        <w:rPr>
          <w:rFonts w:ascii="Arial" w:cs="Arial" w:eastAsia="Arial" w:hAnsi="Arial"/>
          <w:sz w:val="19"/>
          <w:szCs w:val="19"/>
          <w:color w:val="auto"/>
        </w:rPr>
        <w:t xml:space="preserve"> </w:t>
      </w:r>
      <w:r>
        <w:rPr>
          <w:rFonts w:ascii="Arial" w:cs="Arial" w:eastAsia="Arial" w:hAnsi="Arial"/>
          <w:sz w:val="19"/>
          <w:szCs w:val="19"/>
          <w:i w:val="1"/>
          <w:iCs w:val="1"/>
          <w:color w:val="auto"/>
        </w:rPr>
        <w:t>Ownership</w:t>
      </w:r>
      <w:r>
        <w:rPr>
          <w:rFonts w:ascii="Arial" w:cs="Arial" w:eastAsia="Arial" w:hAnsi="Arial"/>
          <w:sz w:val="19"/>
          <w:szCs w:val="19"/>
          <w:color w:val="auto"/>
        </w:rPr>
        <w:t>” (within the meaning of Rule 13d</w:t>
      </w:r>
      <w:r>
        <w:rPr>
          <w:rFonts w:ascii="MS PGothic" w:cs="MS PGothic" w:eastAsia="MS PGothic" w:hAnsi="MS PGothic"/>
          <w:sz w:val="19"/>
          <w:szCs w:val="19"/>
          <w:color w:val="auto"/>
        </w:rPr>
        <w:t>‑</w:t>
      </w:r>
      <w:r>
        <w:rPr>
          <w:rFonts w:ascii="Arial" w:cs="Arial" w:eastAsia="Arial" w:hAnsi="Arial"/>
          <w:sz w:val="19"/>
          <w:szCs w:val="19"/>
          <w:color w:val="auto"/>
        </w:rPr>
        <w:t>3 promulgated under the 1934 Act) of twenty</w:t>
      </w:r>
      <w:r>
        <w:rPr>
          <w:rFonts w:ascii="MS PGothic" w:cs="MS PGothic" w:eastAsia="MS PGothic" w:hAnsi="MS PGothic"/>
          <w:sz w:val="19"/>
          <w:szCs w:val="19"/>
          <w:color w:val="auto"/>
        </w:rPr>
        <w:t>‑</w:t>
      </w:r>
      <w:r>
        <w:rPr>
          <w:rFonts w:ascii="Arial" w:cs="Arial" w:eastAsia="Arial" w:hAnsi="Arial"/>
          <w:sz w:val="19"/>
          <w:szCs w:val="19"/>
          <w:color w:val="auto"/>
        </w:rPr>
        <w:t>five percent (25%) or more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combined voting power of the Company’s then outstanding voting securities (the “</w:t>
      </w:r>
      <w:r>
        <w:rPr>
          <w:rFonts w:ascii="Arial" w:cs="Arial" w:eastAsia="Arial" w:hAnsi="Arial"/>
          <w:sz w:val="19"/>
          <w:szCs w:val="19"/>
          <w:i w:val="1"/>
          <w:iCs w:val="1"/>
          <w:color w:val="auto"/>
        </w:rPr>
        <w:t>Voting Securities”</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purposes of this Section 2.2(a), the Voting Securities acquired directly from the Company by any Person</w:t>
      </w:r>
      <w:r>
        <w:rPr>
          <w:rFonts w:ascii="Arial" w:cs="Arial" w:eastAsia="Arial" w:hAnsi="Arial"/>
          <w:sz w:val="19"/>
          <w:szCs w:val="19"/>
          <w:i w:val="1"/>
          <w:iCs w:val="1"/>
          <w:color w:val="auto"/>
        </w:rPr>
        <w:t xml:space="preserve"> </w:t>
      </w:r>
      <w:r>
        <w:rPr>
          <w:rFonts w:ascii="Arial" w:cs="Arial" w:eastAsia="Arial" w:hAnsi="Arial"/>
          <w:sz w:val="19"/>
          <w:szCs w:val="19"/>
          <w:color w:val="auto"/>
        </w:rPr>
        <w:t>shall be excluded from the determination of such Person's Beneficial Ownership of Voting Securities (but such Voting Securities shall be included in the calculation of the total number of Voting Securities then outstanding); or</w:t>
      </w:r>
    </w:p>
    <w:p>
      <w:pPr>
        <w:spacing w:after="0" w:line="242" w:lineRule="exact"/>
        <w:rPr>
          <w:rFonts w:ascii="Arial" w:cs="Arial" w:eastAsia="Arial" w:hAnsi="Arial"/>
          <w:sz w:val="19"/>
          <w:szCs w:val="19"/>
          <w:color w:val="auto"/>
        </w:rPr>
      </w:pPr>
    </w:p>
    <w:p>
      <w:pPr>
        <w:jc w:val="both"/>
        <w:ind w:left="660" w:right="180" w:firstLine="1293"/>
        <w:spacing w:after="0" w:line="260" w:lineRule="exact"/>
        <w:tabs>
          <w:tab w:leader="none" w:pos="2857"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individuals who, as of September 28, 2000, are members of the Board (the “</w:t>
      </w:r>
      <w:r>
        <w:rPr>
          <w:rFonts w:ascii="Arial" w:cs="Arial" w:eastAsia="Arial" w:hAnsi="Arial"/>
          <w:sz w:val="22"/>
          <w:szCs w:val="22"/>
          <w:i w:val="1"/>
          <w:iCs w:val="1"/>
          <w:color w:val="auto"/>
        </w:rPr>
        <w:t>Incumbent</w:t>
      </w:r>
      <w:r>
        <w:rPr>
          <w:rFonts w:ascii="Arial" w:cs="Arial" w:eastAsia="Arial" w:hAnsi="Arial"/>
          <w:sz w:val="22"/>
          <w:szCs w:val="22"/>
          <w:color w:val="auto"/>
        </w:rPr>
        <w:t xml:space="preserve"> </w:t>
      </w:r>
      <w:r>
        <w:rPr>
          <w:rFonts w:ascii="Arial" w:cs="Arial" w:eastAsia="Arial" w:hAnsi="Arial"/>
          <w:sz w:val="22"/>
          <w:szCs w:val="22"/>
          <w:i w:val="1"/>
          <w:iCs w:val="1"/>
          <w:color w:val="auto"/>
        </w:rPr>
        <w:t>Board</w:t>
      </w:r>
      <w:r>
        <w:rPr>
          <w:rFonts w:ascii="Arial" w:cs="Arial" w:eastAsia="Arial" w:hAnsi="Arial"/>
          <w:sz w:val="22"/>
          <w:szCs w:val="22"/>
          <w:color w:val="auto"/>
        </w:rPr>
        <w:t>”), cease for any reason to constitute more than fifty percent (50%) of the Board;</w:t>
      </w:r>
      <w:r>
        <w:rPr>
          <w:rFonts w:ascii="Arial" w:cs="Arial" w:eastAsia="Arial" w:hAnsi="Arial"/>
          <w:sz w:val="22"/>
          <w:szCs w:val="22"/>
          <w:i w:val="1"/>
          <w:iCs w:val="1"/>
          <w:color w:val="auto"/>
        </w:rPr>
        <w:t xml:space="preserve"> provided</w:t>
      </w:r>
      <w:r>
        <w:rPr>
          <w:rFonts w:ascii="Arial" w:cs="Arial" w:eastAsia="Arial" w:hAnsi="Arial"/>
          <w:sz w:val="22"/>
          <w:szCs w:val="22"/>
          <w:color w:val="auto"/>
        </w:rPr>
        <w:t>,</w:t>
      </w:r>
      <w:r>
        <w:rPr>
          <w:rFonts w:ascii="Arial" w:cs="Arial" w:eastAsia="Arial" w:hAnsi="Arial"/>
          <w:sz w:val="22"/>
          <w:szCs w:val="22"/>
          <w:i w:val="1"/>
          <w:iCs w:val="1"/>
          <w:color w:val="auto"/>
        </w:rPr>
        <w:t xml:space="preserve"> however</w:t>
      </w:r>
      <w:r>
        <w:rPr>
          <w:rFonts w:ascii="Arial" w:cs="Arial" w:eastAsia="Arial" w:hAnsi="Arial"/>
          <w:sz w:val="22"/>
          <w:szCs w:val="22"/>
          <w:color w:val="auto"/>
        </w:rPr>
        <w:t>, that if the</w:t>
      </w:r>
      <w:r>
        <w:rPr>
          <w:rFonts w:ascii="Arial" w:cs="Arial" w:eastAsia="Arial" w:hAnsi="Arial"/>
          <w:sz w:val="22"/>
          <w:szCs w:val="22"/>
          <w:i w:val="1"/>
          <w:iCs w:val="1"/>
          <w:color w:val="auto"/>
        </w:rPr>
        <w:t xml:space="preserve"> </w:t>
      </w:r>
      <w:r>
        <w:rPr>
          <w:rFonts w:ascii="Arial" w:cs="Arial" w:eastAsia="Arial" w:hAnsi="Arial"/>
          <w:sz w:val="22"/>
          <w:szCs w:val="22"/>
          <w:color w:val="auto"/>
        </w:rPr>
        <w:t>election, or nomination for election by the Company's stockholders, of any new director was approved by a vote of at least two</w:t>
      </w:r>
      <w:r>
        <w:rPr>
          <w:rFonts w:ascii="MS PGothic" w:cs="MS PGothic" w:eastAsia="MS PGothic" w:hAnsi="MS PGothic"/>
          <w:sz w:val="22"/>
          <w:szCs w:val="22"/>
          <w:color w:val="auto"/>
        </w:rPr>
        <w:t>‑</w:t>
      </w:r>
      <w:r>
        <w:rPr>
          <w:rFonts w:ascii="Arial" w:cs="Arial" w:eastAsia="Arial" w:hAnsi="Arial"/>
          <w:sz w:val="22"/>
          <w:szCs w:val="22"/>
          <w:color w:val="auto"/>
        </w:rPr>
        <w:t>thirds of the Incumbent Board, such new director shall, for purposes of this Agreement, be considered as a member of the Incumbent Board; or</w:t>
      </w:r>
    </w:p>
    <w:p>
      <w:pPr>
        <w:spacing w:after="0" w:line="243" w:lineRule="exact"/>
        <w:rPr>
          <w:rFonts w:ascii="Arial" w:cs="Arial" w:eastAsia="Arial" w:hAnsi="Arial"/>
          <w:sz w:val="22"/>
          <w:szCs w:val="22"/>
          <w:color w:val="auto"/>
        </w:rPr>
      </w:pPr>
    </w:p>
    <w:p>
      <w:pPr>
        <w:ind w:left="660" w:firstLine="1293"/>
        <w:spacing w:after="0" w:line="246" w:lineRule="auto"/>
        <w:tabs>
          <w:tab w:leader="none" w:pos="2845" w:val="left"/>
        </w:tabs>
        <w:numPr>
          <w:ilvl w:val="0"/>
          <w:numId w:val="60"/>
        </w:numPr>
        <w:rPr>
          <w:rFonts w:ascii="Arial" w:cs="Arial" w:eastAsia="Arial" w:hAnsi="Arial"/>
          <w:sz w:val="22"/>
          <w:szCs w:val="22"/>
          <w:color w:val="auto"/>
        </w:rPr>
      </w:pPr>
      <w:r>
        <w:rPr>
          <w:rFonts w:ascii="Arial" w:cs="Arial" w:eastAsia="Arial" w:hAnsi="Arial"/>
          <w:sz w:val="22"/>
          <w:szCs w:val="22"/>
          <w:color w:val="auto"/>
        </w:rPr>
        <w:t>Approval by stockholders of the Company of (1) a merger or consolidation involving the Company if the stockholders of the Company, immediately before such merger or consolidation, do not own, directly or indirectly immediately following such merger or consolidation, more than fifty percent (50%) of the combined voting power of the outstanding voting securities of the corporation resulting from such merger or consolidation in substantially the same proportion as their ownership of the Voting Securities immediately before such merger or consolidation or (2) a complete liquidation or dissolution of the Company or an agreement for the sale or other disposition of all or substantially all of the assets of the Company; or</w:t>
      </w:r>
    </w:p>
    <w:p>
      <w:pPr>
        <w:spacing w:after="0" w:line="237" w:lineRule="exact"/>
        <w:rPr>
          <w:rFonts w:ascii="Arial" w:cs="Arial" w:eastAsia="Arial" w:hAnsi="Arial"/>
          <w:sz w:val="22"/>
          <w:szCs w:val="22"/>
          <w:color w:val="auto"/>
        </w:rPr>
      </w:pPr>
    </w:p>
    <w:p>
      <w:pPr>
        <w:ind w:left="660" w:right="40" w:firstLine="1293"/>
        <w:spacing w:after="0" w:line="263" w:lineRule="auto"/>
        <w:tabs>
          <w:tab w:leader="none" w:pos="2857" w:val="left"/>
        </w:tabs>
        <w:numPr>
          <w:ilvl w:val="0"/>
          <w:numId w:val="60"/>
        </w:numPr>
        <w:rPr>
          <w:rFonts w:ascii="Arial" w:cs="Arial" w:eastAsia="Arial" w:hAnsi="Arial"/>
          <w:sz w:val="21"/>
          <w:szCs w:val="21"/>
          <w:color w:val="auto"/>
        </w:rPr>
      </w:pPr>
      <w:r>
        <w:rPr>
          <w:rFonts w:ascii="Arial" w:cs="Arial" w:eastAsia="Arial" w:hAnsi="Arial"/>
          <w:sz w:val="21"/>
          <w:szCs w:val="21"/>
          <w:color w:val="auto"/>
        </w:rPr>
        <w:t>Acceptance of stockholders of the Company of shares in a share exchange if the stockholders of the Company, immediately before such share exchange, do not own, directly or indirectly immediately following such share exchange, more than fifty percent (50%) of the combined voting power of the outstanding voting securities of the corporation resulting from such share exchange in substantially the same proportion as their ownership of the Voting Securities outstanding immediately before such share exchange.</w:t>
      </w:r>
    </w:p>
    <w:p>
      <w:pPr>
        <w:spacing w:after="0" w:line="176" w:lineRule="exact"/>
        <w:rPr>
          <w:sz w:val="20"/>
          <w:szCs w:val="20"/>
          <w:color w:val="auto"/>
        </w:rPr>
      </w:pPr>
    </w:p>
    <w:p>
      <w:pPr>
        <w:ind w:right="20" w:firstLine="1297"/>
        <w:spacing w:after="0" w:line="302" w:lineRule="auto"/>
        <w:rPr>
          <w:sz w:val="20"/>
          <w:szCs w:val="20"/>
          <w:color w:val="auto"/>
        </w:rPr>
      </w:pPr>
      <w:r>
        <w:rPr>
          <w:rFonts w:ascii="Arial" w:cs="Arial" w:eastAsia="Arial" w:hAnsi="Arial"/>
          <w:sz w:val="19"/>
          <w:szCs w:val="19"/>
          <w:color w:val="auto"/>
        </w:rPr>
        <w:t>Notwithstanding the foregoing, a Change in Control shall not be deemed to occur solely because twenty-five percent (25%) or more of the then outstanding Voting Securities is acquired by (i) a trustee or other fiduciary holding securities under one or more employee benefit plans maintained by the Company or any of its subsidiaries, (ii) any corporation which, immediately prior to such acquisition, is owned directly or indirectly by the stockholders of the Company in the same proportion as their</w:t>
      </w:r>
    </w:p>
    <w:p>
      <w:pPr>
        <w:sectPr>
          <w:pgSz w:w="11900" w:h="16838" w:orient="portrait"/>
          <w:cols w:equalWidth="0" w:num="1">
            <w:col w:w="11420"/>
          </w:cols>
          <w:pgMar w:left="240" w:top="591" w:right="239" w:bottom="1440" w:gutter="0" w:footer="0" w:header="0"/>
        </w:sectPr>
      </w:pPr>
    </w:p>
    <w:bookmarkStart w:id="85" w:name="page86"/>
    <w:bookmarkEnd w:id="85"/>
    <w:p>
      <w:pPr>
        <w:ind w:right="60"/>
        <w:spacing w:after="0" w:line="259" w:lineRule="exact"/>
        <w:rPr>
          <w:sz w:val="20"/>
          <w:szCs w:val="20"/>
          <w:color w:val="auto"/>
        </w:rPr>
      </w:pPr>
      <w:r>
        <w:rPr>
          <w:rFonts w:ascii="Arial" w:cs="Arial" w:eastAsia="Arial" w:hAnsi="Arial"/>
          <w:sz w:val="21"/>
          <w:szCs w:val="21"/>
          <w:color w:val="auto"/>
        </w:rPr>
        <w:t>ownership of stock in the Company immediately prior to such acquisition, (iii) any “</w:t>
      </w:r>
      <w:r>
        <w:rPr>
          <w:rFonts w:ascii="Arial" w:cs="Arial" w:eastAsia="Arial" w:hAnsi="Arial"/>
          <w:sz w:val="21"/>
          <w:szCs w:val="21"/>
          <w:i w:val="1"/>
          <w:iCs w:val="1"/>
          <w:color w:val="auto"/>
        </w:rPr>
        <w:t>Grandfathered Dorrance Family Stockholder”</w:t>
      </w:r>
      <w:r>
        <w:rPr>
          <w:rFonts w:ascii="Arial" w:cs="Arial" w:eastAsia="Arial" w:hAnsi="Arial"/>
          <w:sz w:val="21"/>
          <w:szCs w:val="21"/>
          <w:color w:val="auto"/>
        </w:rPr>
        <w:t xml:space="preserve"> (as hereinafter defined) or (iv) any Person who has acquired such Voting Securities directly from any Grandfathered Dorrance Family Stockholder but only if such Person has executed an agreement which is approved by two</w:t>
      </w:r>
      <w:r>
        <w:rPr>
          <w:rFonts w:ascii="MS PGothic" w:cs="MS PGothic" w:eastAsia="MS PGothic" w:hAnsi="MS PGothic"/>
          <w:sz w:val="21"/>
          <w:szCs w:val="21"/>
          <w:color w:val="auto"/>
        </w:rPr>
        <w:t>‑</w:t>
      </w:r>
      <w:r>
        <w:rPr>
          <w:rFonts w:ascii="Arial" w:cs="Arial" w:eastAsia="Arial" w:hAnsi="Arial"/>
          <w:sz w:val="21"/>
          <w:szCs w:val="21"/>
          <w:color w:val="auto"/>
        </w:rPr>
        <w:t>thirds of the Board and pursuant to which such Person has agreed that she (or they) will not increase her (or their) Beneficial Ownership (directly or indirectly) to 30% or more of the outstanding Voting Securities (the “</w:t>
      </w:r>
      <w:r>
        <w:rPr>
          <w:rFonts w:ascii="Arial" w:cs="Arial" w:eastAsia="Arial" w:hAnsi="Arial"/>
          <w:sz w:val="21"/>
          <w:szCs w:val="21"/>
          <w:i w:val="1"/>
          <w:iCs w:val="1"/>
          <w:color w:val="auto"/>
        </w:rPr>
        <w:t>Standstill Agreement</w:t>
      </w:r>
      <w:r>
        <w:rPr>
          <w:rFonts w:ascii="Arial" w:cs="Arial" w:eastAsia="Arial" w:hAnsi="Arial"/>
          <w:sz w:val="21"/>
          <w:szCs w:val="21"/>
          <w:color w:val="auto"/>
        </w:rPr>
        <w:t>”) and only for the period during which the Standstill Agreement is effective and fully honored by such Person.</w:t>
      </w:r>
    </w:p>
    <w:p>
      <w:pPr>
        <w:spacing w:after="0" w:line="204" w:lineRule="exact"/>
        <w:rPr>
          <w:sz w:val="20"/>
          <w:szCs w:val="20"/>
          <w:color w:val="auto"/>
        </w:rPr>
      </w:pPr>
    </w:p>
    <w:p>
      <w:pPr>
        <w:ind w:right="140" w:firstLine="1297"/>
        <w:spacing w:after="0" w:line="288" w:lineRule="auto"/>
        <w:rPr>
          <w:sz w:val="20"/>
          <w:szCs w:val="20"/>
          <w:color w:val="auto"/>
        </w:rPr>
      </w:pPr>
      <w:r>
        <w:rPr>
          <w:rFonts w:ascii="Arial" w:cs="Arial" w:eastAsia="Arial" w:hAnsi="Arial"/>
          <w:sz w:val="19"/>
          <w:szCs w:val="19"/>
          <w:color w:val="auto"/>
        </w:rPr>
        <w:t>For purposes of this Section, “</w:t>
      </w:r>
      <w:r>
        <w:rPr>
          <w:rFonts w:ascii="Arial" w:cs="Arial" w:eastAsia="Arial" w:hAnsi="Arial"/>
          <w:sz w:val="19"/>
          <w:szCs w:val="19"/>
          <w:i w:val="1"/>
          <w:iCs w:val="1"/>
          <w:color w:val="auto"/>
        </w:rPr>
        <w:t>Grandfathered Dorrance Family Stockholder”</w:t>
      </w:r>
      <w:r>
        <w:rPr>
          <w:rFonts w:ascii="Arial" w:cs="Arial" w:eastAsia="Arial" w:hAnsi="Arial"/>
          <w:sz w:val="19"/>
          <w:szCs w:val="19"/>
          <w:color w:val="auto"/>
        </w:rPr>
        <w:t xml:space="preserve"> shall mean at any time a “</w:t>
      </w:r>
      <w:r>
        <w:rPr>
          <w:rFonts w:ascii="Arial" w:cs="Arial" w:eastAsia="Arial" w:hAnsi="Arial"/>
          <w:sz w:val="19"/>
          <w:szCs w:val="19"/>
          <w:i w:val="1"/>
          <w:iCs w:val="1"/>
          <w:color w:val="auto"/>
        </w:rPr>
        <w:t>Dorrance</w:t>
      </w:r>
      <w:r>
        <w:rPr>
          <w:rFonts w:ascii="Arial" w:cs="Arial" w:eastAsia="Arial" w:hAnsi="Arial"/>
          <w:sz w:val="19"/>
          <w:szCs w:val="19"/>
          <w:color w:val="auto"/>
        </w:rPr>
        <w:t xml:space="preserve"> </w:t>
      </w:r>
      <w:r>
        <w:rPr>
          <w:rFonts w:ascii="Arial" w:cs="Arial" w:eastAsia="Arial" w:hAnsi="Arial"/>
          <w:sz w:val="19"/>
          <w:szCs w:val="19"/>
          <w:i w:val="1"/>
          <w:iCs w:val="1"/>
          <w:color w:val="auto"/>
        </w:rPr>
        <w:t>Family Stockholder</w:t>
      </w:r>
      <w:r>
        <w:rPr>
          <w:rFonts w:ascii="Arial" w:cs="Arial" w:eastAsia="Arial" w:hAnsi="Arial"/>
          <w:sz w:val="19"/>
          <w:szCs w:val="19"/>
          <w:color w:val="auto"/>
        </w:rPr>
        <w:t>” (as hereinafter defined) who or which is at the time in question the Beneficial Owner solely of (v) Voting</w:t>
      </w:r>
      <w:r>
        <w:rPr>
          <w:rFonts w:ascii="Arial" w:cs="Arial" w:eastAsia="Arial" w:hAnsi="Arial"/>
          <w:sz w:val="19"/>
          <w:szCs w:val="19"/>
          <w:i w:val="1"/>
          <w:iCs w:val="1"/>
          <w:color w:val="auto"/>
        </w:rPr>
        <w:t xml:space="preserve"> </w:t>
      </w:r>
      <w:r>
        <w:rPr>
          <w:rFonts w:ascii="Arial" w:cs="Arial" w:eastAsia="Arial" w:hAnsi="Arial"/>
          <w:sz w:val="19"/>
          <w:szCs w:val="19"/>
          <w:color w:val="auto"/>
        </w:rPr>
        <w:t>Securities Beneficially Owned by such individual on January 25, 1990, (w) Voting Securities acquired directly from the Company,</w:t>
      </w:r>
    </w:p>
    <w:p>
      <w:pPr>
        <w:spacing w:after="0" w:line="1" w:lineRule="exact"/>
        <w:rPr>
          <w:sz w:val="20"/>
          <w:szCs w:val="20"/>
          <w:color w:val="auto"/>
        </w:rPr>
      </w:pPr>
    </w:p>
    <w:p>
      <w:pPr>
        <w:ind w:right="20" w:firstLine="8"/>
        <w:spacing w:after="0" w:line="244" w:lineRule="auto"/>
        <w:tabs>
          <w:tab w:leader="none" w:pos="302" w:val="left"/>
        </w:tabs>
        <w:numPr>
          <w:ilvl w:val="0"/>
          <w:numId w:val="61"/>
        </w:numPr>
        <w:rPr>
          <w:rFonts w:ascii="Arial" w:cs="Arial" w:eastAsia="Arial" w:hAnsi="Arial"/>
          <w:sz w:val="22"/>
          <w:szCs w:val="22"/>
          <w:color w:val="auto"/>
        </w:rPr>
      </w:pPr>
      <w:r>
        <w:rPr>
          <w:rFonts w:ascii="Arial" w:cs="Arial" w:eastAsia="Arial" w:hAnsi="Arial"/>
          <w:sz w:val="22"/>
          <w:szCs w:val="22"/>
          <w:color w:val="auto"/>
        </w:rPr>
        <w:t>Voting Securities acquired directly from another Grandfathered Dorrance Family Stockholder, (y) Voting Securities which are also Beneficially Owned by other Grandfathered Dorrance Family Stockholders at the time in question, and (z) Voting Securities acquired after January 25, 1990 other than directly from the Company or from another Grandfathered Dorrance Family Stockholder by any “</w:t>
      </w:r>
      <w:r>
        <w:rPr>
          <w:rFonts w:ascii="Arial" w:cs="Arial" w:eastAsia="Arial" w:hAnsi="Arial"/>
          <w:sz w:val="22"/>
          <w:szCs w:val="22"/>
          <w:i w:val="1"/>
          <w:iCs w:val="1"/>
          <w:color w:val="auto"/>
        </w:rPr>
        <w:t>Dorrance Grandchild</w:t>
      </w:r>
      <w:r>
        <w:rPr>
          <w:rFonts w:ascii="Arial" w:cs="Arial" w:eastAsia="Arial" w:hAnsi="Arial"/>
          <w:sz w:val="22"/>
          <w:szCs w:val="22"/>
          <w:color w:val="auto"/>
        </w:rPr>
        <w:t xml:space="preserve">” (as hereinafter defined),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the aggregate amount of Voting Securities so acquired by each such Dorrance Grandchild shall not exceed five percent (5%) of the Voting Securities outstanding at the time of such acquisition.</w:t>
      </w:r>
    </w:p>
    <w:p>
      <w:pPr>
        <w:spacing w:after="0" w:line="195" w:lineRule="exact"/>
        <w:rPr>
          <w:sz w:val="20"/>
          <w:szCs w:val="20"/>
          <w:color w:val="auto"/>
        </w:rPr>
      </w:pPr>
    </w:p>
    <w:p>
      <w:pPr>
        <w:ind w:firstLine="1297"/>
        <w:spacing w:after="0" w:line="260" w:lineRule="auto"/>
        <w:rPr>
          <w:sz w:val="20"/>
          <w:szCs w:val="20"/>
          <w:color w:val="auto"/>
        </w:rPr>
      </w:pPr>
      <w:r>
        <w:rPr>
          <w:rFonts w:ascii="Arial" w:cs="Arial" w:eastAsia="Arial" w:hAnsi="Arial"/>
          <w:sz w:val="21"/>
          <w:szCs w:val="21"/>
          <w:color w:val="auto"/>
        </w:rPr>
        <w:t>A “</w:t>
      </w:r>
      <w:r>
        <w:rPr>
          <w:rFonts w:ascii="Arial" w:cs="Arial" w:eastAsia="Arial" w:hAnsi="Arial"/>
          <w:sz w:val="21"/>
          <w:szCs w:val="21"/>
          <w:i w:val="1"/>
          <w:iCs w:val="1"/>
          <w:color w:val="auto"/>
        </w:rPr>
        <w:t>Dorrance Family Stockholder</w:t>
      </w:r>
      <w:r>
        <w:rPr>
          <w:rFonts w:ascii="Arial" w:cs="Arial" w:eastAsia="Arial" w:hAnsi="Arial"/>
          <w:sz w:val="21"/>
          <w:szCs w:val="21"/>
          <w:color w:val="auto"/>
        </w:rPr>
        <w:t>” who or which is at the time in question the Beneficial Owner of Voting Securities which are not specified in clauses (v), (w), (x), (y) and (z) of the immediately preceding sentence shall not be a Grandfathered Dorrance Family Stockholder at the time in question. For purposes of this Section, “</w:t>
      </w:r>
      <w:r>
        <w:rPr>
          <w:rFonts w:ascii="Arial" w:cs="Arial" w:eastAsia="Arial" w:hAnsi="Arial"/>
          <w:sz w:val="21"/>
          <w:szCs w:val="21"/>
          <w:i w:val="1"/>
          <w:iCs w:val="1"/>
          <w:color w:val="auto"/>
        </w:rPr>
        <w:t>Dorrance Family Stockholders”</w:t>
      </w:r>
      <w:r>
        <w:rPr>
          <w:rFonts w:ascii="Arial" w:cs="Arial" w:eastAsia="Arial" w:hAnsi="Arial"/>
          <w:sz w:val="21"/>
          <w:szCs w:val="21"/>
          <w:color w:val="auto"/>
        </w:rPr>
        <w:t xml:space="preserve"> shall mean individuals who are descendants of the late Dr. John T. Dorrance, Sr. and/or the spouses, fiduciaries and foundations of such descendants. A “</w:t>
      </w:r>
      <w:r>
        <w:rPr>
          <w:rFonts w:ascii="Arial" w:cs="Arial" w:eastAsia="Arial" w:hAnsi="Arial"/>
          <w:sz w:val="21"/>
          <w:szCs w:val="21"/>
          <w:i w:val="1"/>
          <w:iCs w:val="1"/>
          <w:color w:val="auto"/>
        </w:rPr>
        <w:t>Dorrance Grandchild</w:t>
      </w:r>
      <w:r>
        <w:rPr>
          <w:rFonts w:ascii="Arial" w:cs="Arial" w:eastAsia="Arial" w:hAnsi="Arial"/>
          <w:sz w:val="21"/>
          <w:szCs w:val="21"/>
          <w:color w:val="auto"/>
        </w:rPr>
        <w:t>” means as to each particular grandchild of the late Dr. John T. Dorrance, Sr., all of the following taken collectively: such grandchild, such grandchild's descendants and/or the spouses, fiduciaries and foundations of such grandchild and such grandchild's descendants.</w:t>
      </w:r>
    </w:p>
    <w:p>
      <w:pPr>
        <w:spacing w:after="0" w:line="181" w:lineRule="exact"/>
        <w:rPr>
          <w:sz w:val="20"/>
          <w:szCs w:val="20"/>
          <w:color w:val="auto"/>
        </w:rPr>
      </w:pPr>
    </w:p>
    <w:p>
      <w:pPr>
        <w:ind w:right="100" w:firstLine="1297"/>
        <w:spacing w:after="0" w:line="259" w:lineRule="auto"/>
        <w:rPr>
          <w:sz w:val="20"/>
          <w:szCs w:val="20"/>
          <w:color w:val="auto"/>
        </w:rPr>
      </w:pPr>
      <w:r>
        <w:rPr>
          <w:rFonts w:ascii="Arial" w:cs="Arial" w:eastAsia="Arial" w:hAnsi="Arial"/>
          <w:sz w:val="21"/>
          <w:szCs w:val="21"/>
          <w:color w:val="auto"/>
        </w:rPr>
        <w:t>Moreover, notwithstanding the foregoing, a Change in Control shall not be deemed to occur solely because any Person (the “</w:t>
      </w:r>
      <w:r>
        <w:rPr>
          <w:rFonts w:ascii="Arial" w:cs="Arial" w:eastAsia="Arial" w:hAnsi="Arial"/>
          <w:sz w:val="21"/>
          <w:szCs w:val="21"/>
          <w:i w:val="1"/>
          <w:iCs w:val="1"/>
          <w:color w:val="auto"/>
        </w:rPr>
        <w:t>Subject Person</w:t>
      </w:r>
      <w:r>
        <w:rPr>
          <w:rFonts w:ascii="Arial" w:cs="Arial" w:eastAsia="Arial" w:hAnsi="Arial"/>
          <w:sz w:val="21"/>
          <w:szCs w:val="21"/>
          <w:color w:val="auto"/>
        </w:rPr>
        <w:t xml:space="preserve">”) acquired Beneficial Ownership of more than the permitted amount of the outstanding Voting Securities as a result of the acquisition of Voting Securities by the Company which, by reducing the number of Voting Securities outstanding, increases the proportional number of shares Beneficially Owned by the Subject Person,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 Change in Control would occur (but for the operation of this sentence) as a result of the acquisition of Voting Securities by the Company, and after such share acquisition by the Company, the Subject Person becomes the Beneficial Owner of any additional Voting Securities which increases the percentage of the then outstanding Voting Securities Beneficially Owned by the Subject Person, then a Change in Control shall occur.</w:t>
      </w:r>
    </w:p>
    <w:p>
      <w:pPr>
        <w:spacing w:after="0" w:line="184" w:lineRule="exact"/>
        <w:rPr>
          <w:sz w:val="20"/>
          <w:szCs w:val="20"/>
          <w:color w:val="auto"/>
        </w:rPr>
      </w:pPr>
    </w:p>
    <w:p>
      <w:pPr>
        <w:ind w:left="660" w:right="220" w:firstLine="1293"/>
        <w:spacing w:after="0" w:line="261" w:lineRule="auto"/>
        <w:tabs>
          <w:tab w:leader="none" w:pos="2845" w:val="left"/>
        </w:tabs>
        <w:numPr>
          <w:ilvl w:val="0"/>
          <w:numId w:val="62"/>
        </w:numPr>
        <w:rPr>
          <w:rFonts w:ascii="Arial" w:cs="Arial" w:eastAsia="Arial" w:hAnsi="Arial"/>
          <w:sz w:val="21"/>
          <w:szCs w:val="21"/>
          <w:color w:val="auto"/>
        </w:rPr>
      </w:pPr>
      <w:r>
        <w:rPr>
          <w:rFonts w:ascii="Arial" w:cs="Arial" w:eastAsia="Arial" w:hAnsi="Arial"/>
          <w:sz w:val="21"/>
          <w:szCs w:val="21"/>
          <w:color w:val="auto"/>
        </w:rPr>
        <w:t>Notwithstanding anything contained in this Agreement to the contrary, if the Executive’s employment is terminated by the Company without Cause within one year prior to a Change in Control and the Executive reasonably demonstrates that such termination (1) was at the request of a Third Party (as defined in Section 2.4(b)) who effectuates a Change in Control or (2) otherwise occurred in connection with or in anticipation of, a Change in Control, then, for all purposes of this Agreement, the date of a Change in Control shall mean the date immediately prior to the date of such Executive's termination of employment.</w:t>
      </w:r>
    </w:p>
    <w:p>
      <w:pPr>
        <w:spacing w:after="0" w:line="221" w:lineRule="exact"/>
        <w:rPr>
          <w:sz w:val="20"/>
          <w:szCs w:val="20"/>
          <w:color w:val="auto"/>
        </w:rPr>
      </w:pPr>
    </w:p>
    <w:p>
      <w:pPr>
        <w:ind w:right="160" w:firstLine="1297"/>
        <w:spacing w:after="0" w:line="253" w:lineRule="auto"/>
        <w:rPr>
          <w:sz w:val="20"/>
          <w:szCs w:val="20"/>
          <w:color w:val="auto"/>
        </w:rPr>
      </w:pPr>
      <w:r>
        <w:rPr>
          <w:rFonts w:ascii="Arial" w:cs="Arial" w:eastAsia="Arial" w:hAnsi="Arial"/>
          <w:sz w:val="22"/>
          <w:szCs w:val="22"/>
          <w:color w:val="auto"/>
        </w:rPr>
        <w:t>2.3 “</w:t>
      </w:r>
      <w:r>
        <w:rPr>
          <w:rFonts w:ascii="Arial" w:cs="Arial" w:eastAsia="Arial" w:hAnsi="Arial"/>
          <w:sz w:val="22"/>
          <w:szCs w:val="22"/>
          <w:i w:val="1"/>
          <w:iCs w:val="1"/>
          <w:color w:val="auto"/>
        </w:rPr>
        <w:t>Disability”</w:t>
      </w:r>
      <w:r>
        <w:rPr>
          <w:rFonts w:ascii="Arial" w:cs="Arial" w:eastAsia="Arial" w:hAnsi="Arial"/>
          <w:sz w:val="22"/>
          <w:szCs w:val="22"/>
          <w:color w:val="auto"/>
        </w:rPr>
        <w:t xml:space="preserve"> means a physical or mental infirmity that impairs the Executive's ability to substantially perform her duties under this Agreement for a continous period of one hundred eighty (180) days. Any question as to the existence of an Executive’s Disability upon which the Executive</w:t>
      </w:r>
    </w:p>
    <w:p>
      <w:pPr>
        <w:sectPr>
          <w:pgSz w:w="11900" w:h="16838" w:orient="portrait"/>
          <w:cols w:equalWidth="0" w:num="1">
            <w:col w:w="11420"/>
          </w:cols>
          <w:pgMar w:left="240" w:top="591" w:right="239" w:bottom="1440" w:gutter="0" w:footer="0" w:header="0"/>
        </w:sectPr>
      </w:pPr>
    </w:p>
    <w:bookmarkStart w:id="86" w:name="page87"/>
    <w:bookmarkEnd w:id="86"/>
    <w:p>
      <w:pPr>
        <w:spacing w:after="0" w:line="250" w:lineRule="auto"/>
        <w:rPr>
          <w:sz w:val="20"/>
          <w:szCs w:val="20"/>
          <w:color w:val="auto"/>
        </w:rPr>
      </w:pPr>
      <w:r>
        <w:rPr>
          <w:rFonts w:ascii="Arial" w:cs="Arial" w:eastAsia="Arial" w:hAnsi="Arial"/>
          <w:sz w:val="22"/>
          <w:szCs w:val="22"/>
          <w:color w:val="auto"/>
        </w:rPr>
        <w:t>and the Company cannot agree will be determined by a qualified independent physician selected by the Executive and the Company. If the Company and the Executive cannot agree on a physician, the Chief of Staff of Thomas Jefferson Hospital in Philadelphia, Pennsylvania shall select a physician. The determination of such physician made in writing to the Company and to the Executive shall be final and conclusive for all purposes of this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2.4</w:t>
      </w:r>
    </w:p>
    <w:p>
      <w:pPr>
        <w:spacing w:after="0" w:line="260" w:lineRule="exact"/>
        <w:rPr>
          <w:sz w:val="20"/>
          <w:szCs w:val="20"/>
          <w:color w:val="auto"/>
        </w:rPr>
      </w:pPr>
    </w:p>
    <w:p>
      <w:pPr>
        <w:ind w:right="720" w:firstLine="1305"/>
        <w:spacing w:after="0" w:line="263" w:lineRule="auto"/>
        <w:tabs>
          <w:tab w:leader="none" w:pos="2185" w:val="left"/>
        </w:tabs>
        <w:numPr>
          <w:ilvl w:val="0"/>
          <w:numId w:val="6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Good Reason”</w:t>
      </w:r>
      <w:r>
        <w:rPr>
          <w:rFonts w:ascii="Arial" w:cs="Arial" w:eastAsia="Arial" w:hAnsi="Arial"/>
          <w:sz w:val="22"/>
          <w:szCs w:val="22"/>
          <w:color w:val="auto"/>
        </w:rPr>
        <w:t xml:space="preserve"> means the occurrence after a Change in Control of any of the events or conditions described in subsections (1) through (7) hereof:</w:t>
      </w:r>
    </w:p>
    <w:p>
      <w:pPr>
        <w:spacing w:after="0" w:line="215" w:lineRule="exact"/>
        <w:rPr>
          <w:rFonts w:ascii="Arial" w:cs="Arial" w:eastAsia="Arial" w:hAnsi="Arial"/>
          <w:sz w:val="22"/>
          <w:szCs w:val="22"/>
          <w:color w:val="auto"/>
        </w:rPr>
      </w:pPr>
    </w:p>
    <w:p>
      <w:pPr>
        <w:ind w:left="1300" w:right="20" w:firstLine="653"/>
        <w:spacing w:after="0" w:line="294" w:lineRule="auto"/>
        <w:tabs>
          <w:tab w:leader="none" w:pos="2848" w:val="left"/>
        </w:tabs>
        <w:numPr>
          <w:ilvl w:val="1"/>
          <w:numId w:val="63"/>
        </w:numPr>
        <w:rPr>
          <w:rFonts w:ascii="Arial" w:cs="Arial" w:eastAsia="Arial" w:hAnsi="Arial"/>
          <w:sz w:val="19"/>
          <w:szCs w:val="19"/>
          <w:color w:val="auto"/>
        </w:rPr>
      </w:pPr>
      <w:r>
        <w:rPr>
          <w:rFonts w:ascii="Arial" w:cs="Arial" w:eastAsia="Arial" w:hAnsi="Arial"/>
          <w:sz w:val="19"/>
          <w:szCs w:val="19"/>
          <w:color w:val="auto"/>
        </w:rPr>
        <w:t>a change in the Executive’s position or responsibilities (including reporting responsibilities) which represents a material adverse change from her position or responsibilities as in effect immediately prior to such Change in Control; the assignment to the Executive of any duties or responsibilities which, in the Executive’s reasonable judgment, are inconsistent with her status, position or responsibilities; or any removal of the Executive from or failure to reappoint or reelect the Executive to any of such offices or positions, except in connection with the termination of her employment for Disability, Cause, death or by the Executive other than for Good Reason;</w:t>
      </w:r>
    </w:p>
    <w:p>
      <w:pPr>
        <w:spacing w:after="0" w:line="190" w:lineRule="exact"/>
        <w:rPr>
          <w:rFonts w:ascii="Arial" w:cs="Arial" w:eastAsia="Arial" w:hAnsi="Arial"/>
          <w:sz w:val="19"/>
          <w:szCs w:val="19"/>
          <w:color w:val="auto"/>
        </w:rPr>
      </w:pPr>
    </w:p>
    <w:p>
      <w:pPr>
        <w:ind w:left="1300" w:right="100" w:firstLine="653"/>
        <w:spacing w:after="0" w:line="263" w:lineRule="auto"/>
        <w:tabs>
          <w:tab w:leader="none" w:pos="2848" w:val="left"/>
        </w:tabs>
        <w:numPr>
          <w:ilvl w:val="1"/>
          <w:numId w:val="63"/>
        </w:numPr>
        <w:rPr>
          <w:rFonts w:ascii="Arial" w:cs="Arial" w:eastAsia="Arial" w:hAnsi="Arial"/>
          <w:sz w:val="22"/>
          <w:szCs w:val="22"/>
          <w:color w:val="auto"/>
        </w:rPr>
      </w:pPr>
      <w:r>
        <w:rPr>
          <w:rFonts w:ascii="Arial" w:cs="Arial" w:eastAsia="Arial" w:hAnsi="Arial"/>
          <w:sz w:val="22"/>
          <w:szCs w:val="22"/>
          <w:color w:val="auto"/>
        </w:rPr>
        <w:t>a reduction in the Executive’s base salary or any failure to pay the Executive any compensation or benefits to which she is entitled within thirty (30) days of the date due;</w:t>
      </w:r>
    </w:p>
    <w:p>
      <w:pPr>
        <w:spacing w:after="0" w:line="215" w:lineRule="exact"/>
        <w:rPr>
          <w:rFonts w:ascii="Arial" w:cs="Arial" w:eastAsia="Arial" w:hAnsi="Arial"/>
          <w:sz w:val="22"/>
          <w:szCs w:val="22"/>
          <w:color w:val="auto"/>
        </w:rPr>
      </w:pPr>
    </w:p>
    <w:p>
      <w:pPr>
        <w:ind w:left="1300" w:right="120" w:firstLine="653"/>
        <w:spacing w:after="0" w:line="312" w:lineRule="auto"/>
        <w:tabs>
          <w:tab w:leader="none" w:pos="2848"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Company’s requiring the Executive to be based at any place outside a 50-mile radius from her principal place of employment immediately prior to such Change in Control, except for reasonably required travel on the Company’s business which is not greater than such travel requirements prior to the Change in Control;</w:t>
      </w:r>
    </w:p>
    <w:p>
      <w:pPr>
        <w:spacing w:after="0" w:line="174" w:lineRule="exact"/>
        <w:rPr>
          <w:rFonts w:ascii="Arial" w:cs="Arial" w:eastAsia="Arial" w:hAnsi="Arial"/>
          <w:sz w:val="19"/>
          <w:szCs w:val="19"/>
          <w:color w:val="auto"/>
        </w:rPr>
      </w:pPr>
    </w:p>
    <w:p>
      <w:pPr>
        <w:ind w:left="1300" w:right="60" w:firstLine="653"/>
        <w:spacing w:after="0" w:line="292" w:lineRule="auto"/>
        <w:tabs>
          <w:tab w:leader="none" w:pos="2848"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failure by the Company to (A) continue in effect (without reduction in benefit level, and/or reward opportunities) any compensation or employee benefit plan in which the Executive was participating immediately prior to the Change in Control, unless a substitute or replacement plan has been implemented which provides substantially identical compensation or benefits to the Executive or (B) provide the Executive with compensation and benefits, in the aggregate, at least equal (in terms of benefit levels and/or reward opportunities) to those provided for under each other compensation or employee benefit plan, program and practice as in effect immediately prior to the Change in Control (or as in effect following the Change in Control, if greater);</w:t>
      </w:r>
    </w:p>
    <w:p>
      <w:pPr>
        <w:spacing w:after="0" w:line="192" w:lineRule="exact"/>
        <w:rPr>
          <w:rFonts w:ascii="Arial" w:cs="Arial" w:eastAsia="Arial" w:hAnsi="Arial"/>
          <w:sz w:val="19"/>
          <w:szCs w:val="19"/>
          <w:color w:val="auto"/>
        </w:rPr>
      </w:pPr>
    </w:p>
    <w:p>
      <w:pPr>
        <w:ind w:left="2860" w:hanging="907"/>
        <w:spacing w:after="0"/>
        <w:tabs>
          <w:tab w:leader="none" w:pos="2860"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material breach by the Company of any provision of this Agreement;</w:t>
      </w:r>
    </w:p>
    <w:p>
      <w:pPr>
        <w:spacing w:after="0" w:line="260" w:lineRule="exact"/>
        <w:rPr>
          <w:rFonts w:ascii="Arial" w:cs="Arial" w:eastAsia="Arial" w:hAnsi="Arial"/>
          <w:sz w:val="22"/>
          <w:szCs w:val="22"/>
          <w:color w:val="auto"/>
        </w:rPr>
      </w:pPr>
    </w:p>
    <w:p>
      <w:pPr>
        <w:ind w:left="1300" w:right="160" w:firstLine="653"/>
        <w:spacing w:after="0" w:line="263" w:lineRule="auto"/>
        <w:tabs>
          <w:tab w:leader="none" w:pos="2848" w:val="left"/>
        </w:tabs>
        <w:numPr>
          <w:ilvl w:val="1"/>
          <w:numId w:val="63"/>
        </w:numPr>
        <w:rPr>
          <w:rFonts w:ascii="Arial" w:cs="Arial" w:eastAsia="Arial" w:hAnsi="Arial"/>
          <w:sz w:val="22"/>
          <w:szCs w:val="22"/>
          <w:color w:val="auto"/>
        </w:rPr>
      </w:pPr>
      <w:r>
        <w:rPr>
          <w:rFonts w:ascii="Arial" w:cs="Arial" w:eastAsia="Arial" w:hAnsi="Arial"/>
          <w:sz w:val="22"/>
          <w:szCs w:val="22"/>
          <w:color w:val="auto"/>
        </w:rPr>
        <w:t>any purported termination of the Executive’s employment for Cause by the Company which does not comply with the terms of Section 2.1; or</w:t>
      </w:r>
    </w:p>
    <w:p>
      <w:pPr>
        <w:spacing w:after="0" w:line="215" w:lineRule="exact"/>
        <w:rPr>
          <w:rFonts w:ascii="Arial" w:cs="Arial" w:eastAsia="Arial" w:hAnsi="Arial"/>
          <w:sz w:val="22"/>
          <w:szCs w:val="22"/>
          <w:color w:val="auto"/>
        </w:rPr>
      </w:pPr>
    </w:p>
    <w:p>
      <w:pPr>
        <w:ind w:left="1300" w:right="260" w:firstLine="653"/>
        <w:spacing w:after="0" w:line="253" w:lineRule="auto"/>
        <w:tabs>
          <w:tab w:leader="none" w:pos="2848" w:val="left"/>
        </w:tabs>
        <w:numPr>
          <w:ilvl w:val="1"/>
          <w:numId w:val="63"/>
        </w:numPr>
        <w:rPr>
          <w:rFonts w:ascii="Arial" w:cs="Arial" w:eastAsia="Arial" w:hAnsi="Arial"/>
          <w:sz w:val="22"/>
          <w:szCs w:val="22"/>
          <w:color w:val="auto"/>
        </w:rPr>
      </w:pPr>
      <w:r>
        <w:rPr>
          <w:rFonts w:ascii="Arial" w:cs="Arial" w:eastAsia="Arial" w:hAnsi="Arial"/>
          <w:sz w:val="22"/>
          <w:szCs w:val="22"/>
          <w:color w:val="auto"/>
        </w:rPr>
        <w:t>the failure of the Company to obtain an agreement, satisfactory to the Executive, from any successor or assign of the Company to assume and agree to perform this Agreement, as contemplated in Section 8 hereof.</w:t>
      </w:r>
    </w:p>
    <w:p>
      <w:pPr>
        <w:sectPr>
          <w:pgSz w:w="11900" w:h="16838" w:orient="portrait"/>
          <w:cols w:equalWidth="0" w:num="1">
            <w:col w:w="11420"/>
          </w:cols>
          <w:pgMar w:left="240" w:top="591" w:right="239" w:bottom="1440" w:gutter="0" w:footer="0" w:header="0"/>
        </w:sectPr>
      </w:pPr>
    </w:p>
    <w:bookmarkStart w:id="87" w:name="page88"/>
    <w:bookmarkEnd w:id="87"/>
    <w:p>
      <w:pPr>
        <w:ind w:right="180" w:firstLine="1305"/>
        <w:spacing w:after="0" w:line="248" w:lineRule="auto"/>
        <w:tabs>
          <w:tab w:leader="none" w:pos="1753" w:val="left"/>
        </w:tabs>
        <w:numPr>
          <w:ilvl w:val="0"/>
          <w:numId w:val="64"/>
        </w:numPr>
        <w:rPr>
          <w:rFonts w:ascii="Arial" w:cs="Arial" w:eastAsia="Arial" w:hAnsi="Arial"/>
          <w:sz w:val="22"/>
          <w:szCs w:val="22"/>
          <w:color w:val="auto"/>
        </w:rPr>
      </w:pPr>
      <w:r>
        <w:rPr>
          <w:rFonts w:ascii="Arial" w:cs="Arial" w:eastAsia="Arial" w:hAnsi="Arial"/>
          <w:sz w:val="22"/>
          <w:szCs w:val="22"/>
          <w:color w:val="auto"/>
        </w:rPr>
        <w:t>Any event or condition described in Section 2.4(a)(1) through (7) which occurs prior to a Change in Control but which the Executive reasonably demonstrates (1) was at the request of a third party who has indicated an intention or taken steps reasonably calculated to effect a Change in Control (a “</w:t>
      </w:r>
      <w:r>
        <w:rPr>
          <w:rFonts w:ascii="Arial" w:cs="Arial" w:eastAsia="Arial" w:hAnsi="Arial"/>
          <w:sz w:val="22"/>
          <w:szCs w:val="22"/>
          <w:i w:val="1"/>
          <w:iCs w:val="1"/>
          <w:color w:val="auto"/>
        </w:rPr>
        <w:t>Third Party”</w:t>
      </w:r>
      <w:r>
        <w:rPr>
          <w:rFonts w:ascii="Arial" w:cs="Arial" w:eastAsia="Arial" w:hAnsi="Arial"/>
          <w:sz w:val="22"/>
          <w:szCs w:val="22"/>
          <w:color w:val="auto"/>
        </w:rPr>
        <w:t>), or (2) otherwise arose in connection with or in anticipation of a Change in Control, shall constitute Good Reason for purposes of this Agreement notwithstanding that it occurred prior to the Change in Control.</w:t>
      </w:r>
    </w:p>
    <w:p>
      <w:pPr>
        <w:spacing w:after="0" w:line="232" w:lineRule="exact"/>
        <w:rPr>
          <w:rFonts w:ascii="Arial" w:cs="Arial" w:eastAsia="Arial" w:hAnsi="Arial"/>
          <w:sz w:val="22"/>
          <w:szCs w:val="22"/>
          <w:color w:val="auto"/>
        </w:rPr>
      </w:pPr>
    </w:p>
    <w:p>
      <w:pPr>
        <w:ind w:right="380" w:firstLine="1305"/>
        <w:spacing w:after="0" w:line="263" w:lineRule="auto"/>
        <w:tabs>
          <w:tab w:leader="none" w:pos="1803"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Executive’s right to terminate her employment pursuant to this Section 2.4 shall not be affected by her incapacity due to physical or mental illness.</w:t>
      </w:r>
    </w:p>
    <w:p>
      <w:pPr>
        <w:spacing w:after="0" w:line="215" w:lineRule="exact"/>
        <w:rPr>
          <w:sz w:val="20"/>
          <w:szCs w:val="20"/>
          <w:color w:val="auto"/>
        </w:rPr>
      </w:pPr>
    </w:p>
    <w:p>
      <w:pPr>
        <w:ind w:left="1740" w:hanging="435"/>
        <w:spacing w:after="0"/>
        <w:tabs>
          <w:tab w:leader="none" w:pos="1740" w:val="left"/>
        </w:tabs>
        <w:numPr>
          <w:ilvl w:val="0"/>
          <w:numId w:val="65"/>
        </w:numPr>
        <w:rPr>
          <w:rFonts w:ascii="Arial" w:cs="Arial" w:eastAsia="Arial" w:hAnsi="Arial"/>
          <w:sz w:val="22"/>
          <w:szCs w:val="22"/>
          <w:color w:val="auto"/>
        </w:rPr>
      </w:pPr>
      <w:r>
        <w:rPr>
          <w:rFonts w:ascii="Arial" w:cs="Arial" w:eastAsia="Arial" w:hAnsi="Arial"/>
          <w:sz w:val="22"/>
          <w:szCs w:val="22"/>
          <w:i w:val="1"/>
          <w:iCs w:val="1"/>
          <w:color w:val="auto"/>
        </w:rPr>
        <w:t>Severance and Benefits.</w:t>
      </w:r>
    </w:p>
    <w:p>
      <w:pPr>
        <w:spacing w:after="0" w:line="22"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If, during the Term, the Executive’s employment with the Company is terminated within twenty-four (24)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months following a Change in Control, the Executive shall be entitled to the following compensation and benefits:</w:t>
      </w:r>
    </w:p>
    <w:p>
      <w:pPr>
        <w:spacing w:after="0" w:line="242" w:lineRule="exact"/>
        <w:rPr>
          <w:sz w:val="20"/>
          <w:szCs w:val="20"/>
          <w:color w:val="auto"/>
        </w:rPr>
      </w:pPr>
    </w:p>
    <w:p>
      <w:pPr>
        <w:ind w:firstLine="1305"/>
        <w:spacing w:after="0" w:line="286" w:lineRule="auto"/>
        <w:tabs>
          <w:tab w:leader="none" w:pos="2185" w:val="left"/>
        </w:tabs>
        <w:numPr>
          <w:ilvl w:val="0"/>
          <w:numId w:val="66"/>
        </w:numPr>
        <w:rPr>
          <w:rFonts w:ascii="Arial" w:cs="Arial" w:eastAsia="Arial" w:hAnsi="Arial"/>
          <w:sz w:val="19"/>
          <w:szCs w:val="19"/>
          <w:color w:val="auto"/>
        </w:rPr>
      </w:pPr>
      <w:r>
        <w:rPr>
          <w:rFonts w:ascii="Arial" w:cs="Arial" w:eastAsia="Arial" w:hAnsi="Arial"/>
          <w:sz w:val="19"/>
          <w:szCs w:val="19"/>
          <w:color w:val="auto"/>
        </w:rPr>
        <w:t>If the Executive’s employment with the Company is terminated (1) by the Company for Cause or Disability, (2) by reason of the Executive's death, or (3) by the Executive other than for Good Reason, the Company shall pay the Executive all amounts earned or accrued through the Termination Date (as hereinafter defined) but not paid as of the Termination Date, including (i) base salary (at the rate then in effect), (ii) reimbursement for reasonable and necessary expenses incurred by the Executive on behalf of the Company during the period ending on the Termination Date, and (iii) vacation pay (collectively, “</w:t>
      </w:r>
      <w:r>
        <w:rPr>
          <w:rFonts w:ascii="Arial" w:cs="Arial" w:eastAsia="Arial" w:hAnsi="Arial"/>
          <w:sz w:val="19"/>
          <w:szCs w:val="19"/>
          <w:i w:val="1"/>
          <w:iCs w:val="1"/>
          <w:color w:val="auto"/>
        </w:rPr>
        <w:t>Accrued Compensation”</w:t>
      </w:r>
      <w:r>
        <w:rPr>
          <w:rFonts w:ascii="Arial" w:cs="Arial" w:eastAsia="Arial" w:hAnsi="Arial"/>
          <w:sz w:val="19"/>
          <w:szCs w:val="19"/>
          <w:color w:val="auto"/>
        </w:rPr>
        <w:t>). In addition to the foregoing, if the Executive’s employment is terminated by the Company for Disability or by reason of the Executive’s death, the Company shall pay to the Executive or her beneficiaries an amount equal to the Pro Rata Bonus (as hereinafter defined). The “</w:t>
      </w:r>
      <w:r>
        <w:rPr>
          <w:rFonts w:ascii="Arial" w:cs="Arial" w:eastAsia="Arial" w:hAnsi="Arial"/>
          <w:sz w:val="19"/>
          <w:szCs w:val="19"/>
          <w:i w:val="1"/>
          <w:iCs w:val="1"/>
          <w:color w:val="auto"/>
        </w:rPr>
        <w:t>Pro Rata Bonus”</w:t>
      </w:r>
      <w:r>
        <w:rPr>
          <w:rFonts w:ascii="Arial" w:cs="Arial" w:eastAsia="Arial" w:hAnsi="Arial"/>
          <w:sz w:val="19"/>
          <w:szCs w:val="19"/>
          <w:color w:val="auto"/>
        </w:rPr>
        <w:t xml:space="preserve"> is an amount equal to the Bonus Amount (as hereinafter defined) multiplied by a fraction the numerator of which is the number of days in such fiscal year through the Termination Date and the denominator of which is 365. The term “</w:t>
      </w:r>
      <w:r>
        <w:rPr>
          <w:rFonts w:ascii="Arial" w:cs="Arial" w:eastAsia="Arial" w:hAnsi="Arial"/>
          <w:sz w:val="19"/>
          <w:szCs w:val="19"/>
          <w:i w:val="1"/>
          <w:iCs w:val="1"/>
          <w:color w:val="auto"/>
        </w:rPr>
        <w:t>Bonus Amount”</w:t>
      </w:r>
      <w:r>
        <w:rPr>
          <w:rFonts w:ascii="Arial" w:cs="Arial" w:eastAsia="Arial" w:hAnsi="Arial"/>
          <w:sz w:val="19"/>
          <w:szCs w:val="19"/>
          <w:color w:val="auto"/>
        </w:rPr>
        <w:t xml:space="preserve"> shall mean the greater of the (x) Executive's target bonus under the Campbell Soup Company Management Worldwide Incentive Plan for the fiscal year in which the Termination Date occurs or (y) average of the annual bonuses paid or payable to the Executive during the two full fiscal years immediately prior to the Termination Date. Executive’s entitlement to any other compensation or benefits shall be determined in accordance with the Company’s employee benefit plans and other applicable programs and practices then in effect.</w:t>
      </w:r>
    </w:p>
    <w:p>
      <w:pPr>
        <w:spacing w:after="0" w:line="200" w:lineRule="exact"/>
        <w:rPr>
          <w:rFonts w:ascii="Arial" w:cs="Arial" w:eastAsia="Arial" w:hAnsi="Arial"/>
          <w:sz w:val="19"/>
          <w:szCs w:val="19"/>
          <w:color w:val="auto"/>
        </w:rPr>
      </w:pPr>
    </w:p>
    <w:p>
      <w:pPr>
        <w:spacing w:after="0" w:line="264" w:lineRule="exact"/>
        <w:rPr>
          <w:rFonts w:ascii="Arial" w:cs="Arial" w:eastAsia="Arial" w:hAnsi="Arial"/>
          <w:sz w:val="19"/>
          <w:szCs w:val="19"/>
          <w:color w:val="auto"/>
        </w:rPr>
      </w:pPr>
    </w:p>
    <w:p>
      <w:pPr>
        <w:ind w:right="60" w:firstLine="1305"/>
        <w:spacing w:after="0" w:line="253" w:lineRule="auto"/>
        <w:tabs>
          <w:tab w:leader="none" w:pos="2197" w:val="left"/>
        </w:tabs>
        <w:numPr>
          <w:ilvl w:val="0"/>
          <w:numId w:val="66"/>
        </w:numPr>
        <w:rPr>
          <w:rFonts w:ascii="Arial" w:cs="Arial" w:eastAsia="Arial" w:hAnsi="Arial"/>
          <w:sz w:val="22"/>
          <w:szCs w:val="22"/>
          <w:color w:val="auto"/>
        </w:rPr>
      </w:pPr>
      <w:r>
        <w:rPr>
          <w:rFonts w:ascii="Arial" w:cs="Arial" w:eastAsia="Arial" w:hAnsi="Arial"/>
          <w:sz w:val="22"/>
          <w:szCs w:val="22"/>
          <w:color w:val="auto"/>
        </w:rPr>
        <w:t>If the Executive’s employment with the Company is terminated (other than by reason of death), (1) by the Company other than for Cause or Disability or (2) by the Executive for Good Reason, the Executive shall be entitled to the following benefits provided below:</w:t>
      </w:r>
    </w:p>
    <w:p>
      <w:pPr>
        <w:spacing w:after="0" w:line="226" w:lineRule="exact"/>
        <w:rPr>
          <w:rFonts w:ascii="Arial" w:cs="Arial" w:eastAsia="Arial" w:hAnsi="Arial"/>
          <w:sz w:val="22"/>
          <w:szCs w:val="22"/>
          <w:color w:val="auto"/>
        </w:rPr>
      </w:pPr>
    </w:p>
    <w:p>
      <w:pPr>
        <w:ind w:left="1300" w:right="80" w:firstLine="1301"/>
        <w:spacing w:after="0" w:line="276" w:lineRule="auto"/>
        <w:tabs>
          <w:tab w:leader="none" w:pos="2980"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Company shall pay the Executive all Accrued Compensation and a Pro-Rata Bonus (each as defined in Section 3.1(a)).</w:t>
      </w:r>
    </w:p>
    <w:p>
      <w:pPr>
        <w:spacing w:after="0" w:line="160" w:lineRule="exact"/>
        <w:rPr>
          <w:rFonts w:ascii="Arial" w:cs="Arial" w:eastAsia="Arial" w:hAnsi="Arial"/>
          <w:sz w:val="22"/>
          <w:szCs w:val="22"/>
          <w:color w:val="auto"/>
        </w:rPr>
      </w:pPr>
    </w:p>
    <w:p>
      <w:pPr>
        <w:ind w:left="1300" w:right="120" w:firstLine="1301"/>
        <w:spacing w:after="0" w:line="260" w:lineRule="auto"/>
        <w:tabs>
          <w:tab w:leader="none" w:pos="3040" w:val="left"/>
        </w:tabs>
        <w:numPr>
          <w:ilvl w:val="1"/>
          <w:numId w:val="66"/>
        </w:numPr>
        <w:rPr>
          <w:rFonts w:ascii="Arial" w:cs="Arial" w:eastAsia="Arial" w:hAnsi="Arial"/>
          <w:sz w:val="22"/>
          <w:szCs w:val="22"/>
          <w:color w:val="auto"/>
        </w:rPr>
      </w:pPr>
      <w:r>
        <w:rPr>
          <w:rFonts w:ascii="Arial" w:cs="Arial" w:eastAsia="Arial" w:hAnsi="Arial"/>
          <w:sz w:val="22"/>
          <w:szCs w:val="22"/>
          <w:color w:val="auto"/>
        </w:rPr>
        <w:t>The Company shall pay the Executive as severance pay and in lieu of any further compensation for periods subsequent to the Termination Date, a single sum cash payment (the “Severance Amount”) equal to the amount set forth in paragraph (a) on Schedule A.</w:t>
      </w:r>
    </w:p>
    <w:p>
      <w:pPr>
        <w:spacing w:after="0" w:line="177" w:lineRule="exact"/>
        <w:rPr>
          <w:rFonts w:ascii="Arial" w:cs="Arial" w:eastAsia="Arial" w:hAnsi="Arial"/>
          <w:sz w:val="22"/>
          <w:szCs w:val="22"/>
          <w:color w:val="auto"/>
        </w:rPr>
      </w:pPr>
    </w:p>
    <w:p>
      <w:pPr>
        <w:ind w:left="3100" w:hanging="499"/>
        <w:spacing w:after="0"/>
        <w:tabs>
          <w:tab w:leader="none" w:pos="3100" w:val="left"/>
        </w:tabs>
        <w:numPr>
          <w:ilvl w:val="1"/>
          <w:numId w:val="66"/>
        </w:numPr>
        <w:rPr>
          <w:rFonts w:ascii="Arial" w:cs="Arial" w:eastAsia="Arial" w:hAnsi="Arial"/>
          <w:sz w:val="19"/>
          <w:szCs w:val="19"/>
          <w:color w:val="auto"/>
        </w:rPr>
      </w:pPr>
      <w:r>
        <w:rPr>
          <w:rFonts w:ascii="Arial" w:cs="Arial" w:eastAsia="Arial" w:hAnsi="Arial"/>
          <w:sz w:val="19"/>
          <w:szCs w:val="19"/>
          <w:color w:val="auto"/>
        </w:rPr>
        <w:t>For a number of months equal to the lesser of (A) the number of months set forth in paragraph</w:t>
      </w:r>
    </w:p>
    <w:p>
      <w:pPr>
        <w:spacing w:after="0" w:line="56" w:lineRule="exact"/>
        <w:rPr>
          <w:rFonts w:ascii="Arial" w:cs="Arial" w:eastAsia="Arial" w:hAnsi="Arial"/>
          <w:sz w:val="19"/>
          <w:szCs w:val="19"/>
          <w:color w:val="auto"/>
        </w:rPr>
      </w:pPr>
    </w:p>
    <w:p>
      <w:pPr>
        <w:ind w:left="1300" w:right="200" w:firstLine="5"/>
        <w:spacing w:after="0" w:line="251" w:lineRule="auto"/>
        <w:tabs>
          <w:tab w:leader="none" w:pos="1606" w:val="left"/>
        </w:tabs>
        <w:numPr>
          <w:ilvl w:val="0"/>
          <w:numId w:val="67"/>
        </w:numPr>
        <w:rPr>
          <w:rFonts w:ascii="Arial" w:cs="Arial" w:eastAsia="Arial" w:hAnsi="Arial"/>
          <w:sz w:val="22"/>
          <w:szCs w:val="22"/>
          <w:color w:val="auto"/>
        </w:rPr>
      </w:pPr>
      <w:r>
        <w:rPr>
          <w:rFonts w:ascii="Arial" w:cs="Arial" w:eastAsia="Arial" w:hAnsi="Arial"/>
          <w:sz w:val="22"/>
          <w:szCs w:val="22"/>
          <w:color w:val="auto"/>
        </w:rPr>
        <w:t>on Schedule A or (B) the number of months remaining until the Executive's 65th birthday (the “</w:t>
      </w:r>
      <w:r>
        <w:rPr>
          <w:rFonts w:ascii="Arial" w:cs="Arial" w:eastAsia="Arial" w:hAnsi="Arial"/>
          <w:sz w:val="22"/>
          <w:szCs w:val="22"/>
          <w:i w:val="1"/>
          <w:iCs w:val="1"/>
          <w:color w:val="auto"/>
        </w:rPr>
        <w:t>Continuation</w:t>
      </w:r>
      <w:r>
        <w:rPr>
          <w:rFonts w:ascii="Arial" w:cs="Arial" w:eastAsia="Arial" w:hAnsi="Arial"/>
          <w:sz w:val="22"/>
          <w:szCs w:val="22"/>
          <w:color w:val="auto"/>
        </w:rPr>
        <w:t xml:space="preserve"> </w:t>
      </w:r>
      <w:r>
        <w:rPr>
          <w:rFonts w:ascii="Arial" w:cs="Arial" w:eastAsia="Arial" w:hAnsi="Arial"/>
          <w:sz w:val="22"/>
          <w:szCs w:val="22"/>
          <w:i w:val="1"/>
          <w:iCs w:val="1"/>
          <w:color w:val="auto"/>
        </w:rPr>
        <w:t>Period</w:t>
      </w:r>
      <w:r>
        <w:rPr>
          <w:rFonts w:ascii="Arial" w:cs="Arial" w:eastAsia="Arial" w:hAnsi="Arial"/>
          <w:sz w:val="22"/>
          <w:szCs w:val="22"/>
          <w:color w:val="auto"/>
        </w:rPr>
        <w:t>”), the Company shall at its expense continue to provide the Executive and her dependents and beneficiaries</w:t>
      </w:r>
      <w:r>
        <w:rPr>
          <w:rFonts w:ascii="Arial" w:cs="Arial" w:eastAsia="Arial" w:hAnsi="Arial"/>
          <w:sz w:val="22"/>
          <w:szCs w:val="22"/>
          <w:i w:val="1"/>
          <w:iCs w:val="1"/>
          <w:color w:val="auto"/>
        </w:rPr>
        <w:t xml:space="preserve"> </w:t>
      </w:r>
      <w:r>
        <w:rPr>
          <w:rFonts w:ascii="Arial" w:cs="Arial" w:eastAsia="Arial" w:hAnsi="Arial"/>
          <w:sz w:val="22"/>
          <w:szCs w:val="22"/>
          <w:color w:val="auto"/>
        </w:rPr>
        <w:t>the life insurance</w:t>
      </w:r>
    </w:p>
    <w:p>
      <w:pPr>
        <w:sectPr>
          <w:pgSz w:w="11900" w:h="16838" w:orient="portrait"/>
          <w:cols w:equalWidth="0" w:num="1">
            <w:col w:w="11420"/>
          </w:cols>
          <w:pgMar w:left="240" w:top="591" w:right="239" w:bottom="1440" w:gutter="0" w:footer="0" w:header="0"/>
        </w:sectPr>
      </w:pPr>
    </w:p>
    <w:bookmarkStart w:id="88" w:name="page89"/>
    <w:bookmarkEnd w:id="88"/>
    <w:p>
      <w:pPr>
        <w:ind w:left="100" w:right="60"/>
        <w:spacing w:after="0" w:line="286" w:lineRule="auto"/>
        <w:rPr>
          <w:sz w:val="20"/>
          <w:szCs w:val="20"/>
          <w:color w:val="auto"/>
        </w:rPr>
      </w:pPr>
      <w:r>
        <w:rPr>
          <w:rFonts w:ascii="Arial" w:cs="Arial" w:eastAsia="Arial" w:hAnsi="Arial"/>
          <w:sz w:val="19"/>
          <w:szCs w:val="19"/>
          <w:color w:val="auto"/>
        </w:rPr>
        <w:t>and medical benefits in an amount equal to the greater of: (x) the greater of (1) such benefits provided to the Executive at any time during the 90-day period immediately prior to the Change in Control or (2) the benefits provided to the Executive at any time following the Change in Control or (y) the benefits provided to other similarly situated executives who continue in the employ of the Company during the Continuation Period. The coverage and benefits (including deductibles and costs) provided in this Section 3.1(b)(iii) during the Continuation Period shall be no less favorable to the Executive and her dependents and beneficiaries, than the most favorable of such coverages and benefits provided during any of the periods referred to in clauses (x) and (y) above. The Company’s obligation hereunder with respect to the foregoing benefits shall be limited to the extent that the Executive obtains any such benefits pursuant to a subsequent employer's benefit plans, in which case the Company may reduce the coverage of any benefits it is required to provide the Executive hereunder as long as the aggregate coverages and benefits of the combined benefit plans is no less favorable to the Executive than the coverages and benefits required to be provided hereunder. This subsection (iii) shall not be interpreted so as to limit any benefits to which the Executive, her dependents or beneficiaries may be entitled under any of the Company's employee benefit plans, programs or practices following the Executive's termination of employment, including without limitation, life insurance benefits.</w:t>
      </w:r>
    </w:p>
    <w:p>
      <w:pPr>
        <w:spacing w:after="0" w:line="163" w:lineRule="exact"/>
        <w:rPr>
          <w:sz w:val="20"/>
          <w:szCs w:val="20"/>
          <w:color w:val="auto"/>
        </w:rPr>
      </w:pPr>
    </w:p>
    <w:p>
      <w:pPr>
        <w:ind w:left="100" w:firstLine="1301"/>
        <w:spacing w:after="0" w:line="284" w:lineRule="auto"/>
        <w:tabs>
          <w:tab w:leader="none" w:pos="1888"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Company shall pay the Executive a single sum cash payment equal to the actuarial equivalent of the excess of (A) the Supplemental Retirement Benefit (as defined below) (determined as a straight life annuity commencing at age 65) determined as if (w) the Executive remained employed by the Company and accumulated additional months of credited service as set forth in paragraph (c) on Schedule A (but in no event shall the Executive be deemed to have accumulated additional credited service after attaining age 65), (x) her annual compensation during such period had been equal to the sum of (A) the greater of (1) the Executive’s annual base salary in effect at any time during the 90-day period immediately prior to the Change in Control or (2) the Executive’s annual base salary in effect at any time following the Change in Control and (B) the Bonus Amount, (y) the Company and/or the Subsidiary or division made employer contributions to each defined contribution plan in which the Executive was a participant at the Termination Date (in an amount equal to the amount of such contribution for the applicable plan year immediately preceding the Termination Date) and (z) the Executive had been fully (100%) vested in her benefit under each retirement plan in which the Executive was a participant, over</w:t>
      </w:r>
    </w:p>
    <w:p>
      <w:pPr>
        <w:spacing w:after="0" w:line="8" w:lineRule="exact"/>
        <w:rPr>
          <w:rFonts w:ascii="Arial" w:cs="Arial" w:eastAsia="Arial" w:hAnsi="Arial"/>
          <w:sz w:val="19"/>
          <w:szCs w:val="19"/>
          <w:color w:val="auto"/>
        </w:rPr>
      </w:pPr>
    </w:p>
    <w:p>
      <w:pPr>
        <w:ind w:left="100" w:right="120" w:firstLine="5"/>
        <w:spacing w:after="0" w:line="286" w:lineRule="auto"/>
        <w:tabs>
          <w:tab w:leader="none" w:pos="442"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lump sum actuarial equivalent of the aggregate retirement benefit the Executive has actually accrued under such retirement plans (determined as a straight life annuity commencing at age 65). For purposes of this subsection (iv), the “</w:t>
      </w:r>
      <w:r>
        <w:rPr>
          <w:rFonts w:ascii="Arial" w:cs="Arial" w:eastAsia="Arial" w:hAnsi="Arial"/>
          <w:sz w:val="19"/>
          <w:szCs w:val="19"/>
          <w:i w:val="1"/>
          <w:iCs w:val="1"/>
          <w:color w:val="auto"/>
        </w:rPr>
        <w:t>Supplemental Retirement Benefit</w:t>
      </w:r>
      <w:r>
        <w:rPr>
          <w:rFonts w:ascii="Arial" w:cs="Arial" w:eastAsia="Arial" w:hAnsi="Arial"/>
          <w:sz w:val="19"/>
          <w:szCs w:val="19"/>
          <w:color w:val="auto"/>
        </w:rPr>
        <w:t>” shall mean the lump sum actuarial equivalent of the aggregate retirement benefit the Executive would have been entitled to receive under the Company's supplemental and other retirement plans including, but not limited to, the Campbell Soup Company Retirement and Pension Plan for Salaried Employees, the Campbell Soup Company Supplemental Employees’ Retirement Benefit Plan (collectively referred to as the “</w:t>
      </w:r>
      <w:r>
        <w:rPr>
          <w:rFonts w:ascii="Arial" w:cs="Arial" w:eastAsia="Arial" w:hAnsi="Arial"/>
          <w:sz w:val="19"/>
          <w:szCs w:val="19"/>
          <w:i w:val="1"/>
          <w:iCs w:val="1"/>
          <w:color w:val="auto"/>
        </w:rPr>
        <w:t>Retirement Plan</w:t>
      </w:r>
      <w:r>
        <w:rPr>
          <w:rFonts w:ascii="Arial" w:cs="Arial" w:eastAsia="Arial" w:hAnsi="Arial"/>
          <w:sz w:val="19"/>
          <w:szCs w:val="19"/>
          <w:color w:val="auto"/>
        </w:rPr>
        <w:t>”), the Campbell Soup Company Mid-Career Hire Pension Plan, the Campbell Soup Company Savings and 401(k) Plan for Salaried Employees and the Campbell Soup Company Deferred Compensation Plan. For purposes of this subsection (iv), the “</w:t>
      </w:r>
      <w:r>
        <w:rPr>
          <w:rFonts w:ascii="Arial" w:cs="Arial" w:eastAsia="Arial" w:hAnsi="Arial"/>
          <w:sz w:val="19"/>
          <w:szCs w:val="19"/>
          <w:i w:val="1"/>
          <w:iCs w:val="1"/>
          <w:color w:val="auto"/>
        </w:rPr>
        <w:t>actuarial equivalent</w:t>
      </w:r>
      <w:r>
        <w:rPr>
          <w:rFonts w:ascii="Arial" w:cs="Arial" w:eastAsia="Arial" w:hAnsi="Arial"/>
          <w:sz w:val="19"/>
          <w:szCs w:val="19"/>
          <w:color w:val="auto"/>
        </w:rPr>
        <w:t>” shall be determined in accordance with the actuarial assumptions used for the calculation of benefits under the Company Retirement and</w:t>
      </w:r>
    </w:p>
    <w:p>
      <w:pPr>
        <w:sectPr>
          <w:pgSz w:w="11900" w:h="16838" w:orient="portrait"/>
          <w:cols w:equalWidth="0" w:num="1">
            <w:col w:w="10220"/>
          </w:cols>
          <w:pgMar w:left="1440" w:top="591" w:right="239" w:bottom="1440" w:gutter="0" w:footer="0" w:header="0"/>
        </w:sectPr>
      </w:pPr>
    </w:p>
    <w:bookmarkStart w:id="89" w:name="page90"/>
    <w:bookmarkEnd w:id="89"/>
    <w:p>
      <w:pPr>
        <w:ind w:left="1300" w:right="320"/>
        <w:spacing w:after="0" w:line="263" w:lineRule="auto"/>
        <w:rPr>
          <w:sz w:val="20"/>
          <w:szCs w:val="20"/>
          <w:color w:val="auto"/>
        </w:rPr>
      </w:pPr>
      <w:r>
        <w:rPr>
          <w:rFonts w:ascii="Arial" w:cs="Arial" w:eastAsia="Arial" w:hAnsi="Arial"/>
          <w:sz w:val="22"/>
          <w:szCs w:val="22"/>
          <w:color w:val="auto"/>
        </w:rPr>
        <w:t>Pension Plan for Salaried Employees as applied prior to the Termination Date in accordance with such plan's past practices.</w:t>
      </w:r>
    </w:p>
    <w:p>
      <w:pPr>
        <w:spacing w:after="0" w:line="175" w:lineRule="exact"/>
        <w:rPr>
          <w:sz w:val="20"/>
          <w:szCs w:val="20"/>
          <w:color w:val="auto"/>
        </w:rPr>
      </w:pPr>
    </w:p>
    <w:p>
      <w:pPr>
        <w:ind w:left="1300" w:right="40" w:firstLine="653"/>
        <w:spacing w:after="0" w:line="290" w:lineRule="auto"/>
        <w:tabs>
          <w:tab w:leader="none" w:pos="23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In the event that the Executive has unvested outstanding incentive awards (including restricted stock and performance shares or units, stock options or stock appreciation rights, hereinafter collectively referred to as the “</w:t>
      </w:r>
      <w:r>
        <w:rPr>
          <w:rFonts w:ascii="Arial" w:cs="Arial" w:eastAsia="Arial" w:hAnsi="Arial"/>
          <w:sz w:val="19"/>
          <w:szCs w:val="19"/>
          <w:i w:val="1"/>
          <w:iCs w:val="1"/>
          <w:color w:val="auto"/>
        </w:rPr>
        <w:t>Incentive Awards</w:t>
      </w:r>
      <w:r>
        <w:rPr>
          <w:rFonts w:ascii="Arial" w:cs="Arial" w:eastAsia="Arial" w:hAnsi="Arial"/>
          <w:sz w:val="19"/>
          <w:szCs w:val="19"/>
          <w:color w:val="auto"/>
        </w:rPr>
        <w:t>”) pursuant to the terms of the LTIP or under any subsequent incentive plan or arrangement on her Termination Date, then (A) all such Incentive Awards shall vest and any restrictions thereon shall lapse as follows:</w:t>
      </w:r>
    </w:p>
    <w:p>
      <w:pPr>
        <w:spacing w:after="0" w:line="1" w:lineRule="exact"/>
        <w:rPr>
          <w:rFonts w:ascii="Arial" w:cs="Arial" w:eastAsia="Arial" w:hAnsi="Arial"/>
          <w:sz w:val="19"/>
          <w:szCs w:val="19"/>
          <w:color w:val="auto"/>
        </w:rPr>
      </w:pPr>
    </w:p>
    <w:p>
      <w:pPr>
        <w:ind w:left="1300" w:firstLine="5"/>
        <w:spacing w:after="0" w:line="256" w:lineRule="auto"/>
        <w:tabs>
          <w:tab w:leader="none" w:pos="1558" w:val="left"/>
        </w:tabs>
        <w:numPr>
          <w:ilvl w:val="0"/>
          <w:numId w:val="71"/>
        </w:numPr>
        <w:rPr>
          <w:rFonts w:ascii="Arial" w:cs="Arial" w:eastAsia="Arial" w:hAnsi="Arial"/>
          <w:sz w:val="21"/>
          <w:szCs w:val="21"/>
          <w:color w:val="auto"/>
        </w:rPr>
      </w:pPr>
      <w:r>
        <w:rPr>
          <w:rFonts w:ascii="Arial" w:cs="Arial" w:eastAsia="Arial" w:hAnsi="Arial"/>
          <w:sz w:val="21"/>
          <w:szCs w:val="21"/>
          <w:color w:val="auto"/>
        </w:rPr>
        <w:t xml:space="preserve">all such Incentive Awards (other than performance related awards) shall vest or become exercisable immediately and any restrictions thereon shall lapse and (ii) any performance related awards shall vest or become exercisable and any restrictions thereon shall lapse on a pro-rata portion of such awards based on the portion of the relevant performance period that has expired as of the Termination Date (but in no event shall such performance related award vest, become exercisable or restrictions lapse with respect to less than 50% of the total outstanding awards); </w:t>
      </w:r>
      <w:r>
        <w:rPr>
          <w:rFonts w:ascii="Arial" w:cs="Arial" w:eastAsia="Arial" w:hAnsi="Arial"/>
          <w:sz w:val="21"/>
          <w:szCs w:val="21"/>
          <w:i w:val="1"/>
          <w:iCs w:val="1"/>
          <w:color w:val="auto"/>
        </w:rPr>
        <w:t>provided</w:t>
      </w:r>
      <w:r>
        <w:rPr>
          <w:rFonts w:ascii="Arial" w:cs="Arial" w:eastAsia="Arial" w:hAnsi="Arial"/>
          <w:sz w:val="21"/>
          <w:szCs w:val="21"/>
          <w:color w:val="auto"/>
        </w:rPr>
        <w:t>, that such accelerated vesting shall apply first to those awards which have been outstanding the longest,</w:t>
      </w:r>
      <w:r>
        <w:rPr>
          <w:rFonts w:ascii="Arial" w:cs="Arial" w:eastAsia="Arial" w:hAnsi="Arial"/>
          <w:sz w:val="21"/>
          <w:szCs w:val="21"/>
          <w:i w:val="1"/>
          <w:iCs w:val="1"/>
          <w:color w:val="auto"/>
        </w:rPr>
        <w:t xml:space="preserve"> </w:t>
      </w:r>
      <w:r>
        <w:rPr>
          <w:rFonts w:ascii="Arial" w:cs="Arial" w:eastAsia="Arial" w:hAnsi="Arial"/>
          <w:sz w:val="21"/>
          <w:szCs w:val="21"/>
          <w:color w:val="auto"/>
        </w:rPr>
        <w:t>and (B) the Executive shall have the right to require the Company to purchase, for cash, any shares of unrestricted stock or shares purchased upon exercise of any options, at a price equal to the fair market value of such shares on the date of purchase by the Company.</w:t>
      </w:r>
    </w:p>
    <w:p>
      <w:pPr>
        <w:spacing w:after="0" w:line="189" w:lineRule="exact"/>
        <w:rPr>
          <w:rFonts w:ascii="Arial" w:cs="Arial" w:eastAsia="Arial" w:hAnsi="Arial"/>
          <w:sz w:val="21"/>
          <w:szCs w:val="21"/>
          <w:color w:val="auto"/>
        </w:rPr>
      </w:pPr>
    </w:p>
    <w:p>
      <w:pPr>
        <w:ind w:left="660" w:right="740" w:firstLine="1293"/>
        <w:spacing w:after="0" w:line="263" w:lineRule="auto"/>
        <w:tabs>
          <w:tab w:leader="none" w:pos="2845" w:val="left"/>
        </w:tabs>
        <w:numPr>
          <w:ilvl w:val="1"/>
          <w:numId w:val="71"/>
        </w:numPr>
        <w:rPr>
          <w:rFonts w:ascii="Arial" w:cs="Arial" w:eastAsia="Arial" w:hAnsi="Arial"/>
          <w:sz w:val="21"/>
          <w:szCs w:val="21"/>
          <w:color w:val="auto"/>
        </w:rPr>
      </w:pPr>
      <w:r>
        <w:rPr>
          <w:rFonts w:ascii="Arial" w:cs="Arial" w:eastAsia="Arial" w:hAnsi="Arial"/>
          <w:sz w:val="21"/>
          <w:szCs w:val="21"/>
          <w:color w:val="auto"/>
        </w:rPr>
        <w:t>The amounts provided for in Sections 3.1(a) and 3.1(b)(i), (ii), (iv) and (v) (with respect to performance units) shall be paid within thirty (30) days after the Executive’s Termination Date.</w:t>
      </w:r>
    </w:p>
    <w:p>
      <w:pPr>
        <w:spacing w:after="0" w:line="1" w:lineRule="exact"/>
        <w:rPr>
          <w:rFonts w:ascii="Arial" w:cs="Arial" w:eastAsia="Arial" w:hAnsi="Arial"/>
          <w:sz w:val="21"/>
          <w:szCs w:val="21"/>
          <w:color w:val="auto"/>
        </w:rPr>
      </w:pPr>
    </w:p>
    <w:p>
      <w:pPr>
        <w:ind w:left="660" w:right="20" w:firstLine="1293"/>
        <w:spacing w:after="0" w:line="302" w:lineRule="auto"/>
        <w:tabs>
          <w:tab w:leader="none" w:pos="2857" w:val="left"/>
        </w:tabs>
        <w:numPr>
          <w:ilvl w:val="1"/>
          <w:numId w:val="71"/>
        </w:numPr>
        <w:rPr>
          <w:rFonts w:ascii="Arial" w:cs="Arial" w:eastAsia="Arial" w:hAnsi="Arial"/>
          <w:sz w:val="19"/>
          <w:szCs w:val="19"/>
          <w:color w:val="auto"/>
        </w:rPr>
      </w:pPr>
      <w:r>
        <w:rPr>
          <w:rFonts w:ascii="Arial" w:cs="Arial" w:eastAsia="Arial" w:hAnsi="Arial"/>
          <w:sz w:val="19"/>
          <w:szCs w:val="19"/>
          <w:color w:val="auto"/>
        </w:rPr>
        <w:t>The Executive shall not be required to mitigate the amount of any payment provided for in this Agreement by seeking other employment or otherwise and no such payment shall be offset or reduced by the amount of any compensation or benefits provided to the Executive in any subsequent employment except as provided in Section 3.1(b)(iii).</w:t>
      </w:r>
    </w:p>
    <w:p>
      <w:pPr>
        <w:spacing w:after="0" w:line="184" w:lineRule="exact"/>
        <w:rPr>
          <w:sz w:val="20"/>
          <w:szCs w:val="20"/>
          <w:color w:val="auto"/>
        </w:rPr>
      </w:pPr>
    </w:p>
    <w:p>
      <w:pPr>
        <w:ind w:right="420" w:firstLine="1297"/>
        <w:spacing w:after="0" w:line="253" w:lineRule="auto"/>
        <w:rPr>
          <w:sz w:val="20"/>
          <w:szCs w:val="20"/>
          <w:color w:val="auto"/>
        </w:rPr>
      </w:pPr>
      <w:r>
        <w:rPr>
          <w:rFonts w:ascii="Arial" w:cs="Arial" w:eastAsia="Arial" w:hAnsi="Arial"/>
          <w:sz w:val="22"/>
          <w:szCs w:val="22"/>
          <w:color w:val="auto"/>
        </w:rPr>
        <w:t>3.2 The severance pay and benefits provided for in Sections 3.1(a) and 3.1(b)(i) and (ii) shall be in lieu of any other severance pay to which the Executive may be entitled under any Company severance plan, program or arrangement (including, without limitation, the Company’s Special Severance Protection Program).</w:t>
      </w:r>
    </w:p>
    <w:p>
      <w:pPr>
        <w:spacing w:after="0" w:line="226" w:lineRule="exact"/>
        <w:rPr>
          <w:sz w:val="20"/>
          <w:szCs w:val="20"/>
          <w:color w:val="auto"/>
        </w:rPr>
      </w:pPr>
    </w:p>
    <w:p>
      <w:pPr>
        <w:ind w:right="380" w:firstLine="1305"/>
        <w:spacing w:after="0" w:line="294" w:lineRule="auto"/>
        <w:tabs>
          <w:tab w:leader="none" w:pos="1729"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Notice of Termination</w:t>
      </w:r>
      <w:r>
        <w:rPr>
          <w:rFonts w:ascii="Arial" w:cs="Arial" w:eastAsia="Arial" w:hAnsi="Arial"/>
          <w:sz w:val="19"/>
          <w:szCs w:val="19"/>
          <w:color w:val="auto"/>
        </w:rPr>
        <w:t>. Following a Change in Control, any purported termination of the Executive's</w:t>
      </w:r>
      <w:r>
        <w:rPr>
          <w:rFonts w:ascii="Arial" w:cs="Arial" w:eastAsia="Arial" w:hAnsi="Arial"/>
          <w:sz w:val="19"/>
          <w:szCs w:val="19"/>
          <w:i w:val="1"/>
          <w:iCs w:val="1"/>
          <w:color w:val="auto"/>
        </w:rPr>
        <w:t xml:space="preserve"> </w:t>
      </w:r>
      <w:r>
        <w:rPr>
          <w:rFonts w:ascii="Arial" w:cs="Arial" w:eastAsia="Arial" w:hAnsi="Arial"/>
          <w:sz w:val="19"/>
          <w:szCs w:val="19"/>
          <w:color w:val="auto"/>
        </w:rPr>
        <w:t>employment by the Company or by the Executive shall be communicated by written Notice of Termination to the other party in accordance with Section 10. For purposes of this Agreement, a “</w:t>
      </w:r>
      <w:r>
        <w:rPr>
          <w:rFonts w:ascii="Arial" w:cs="Arial" w:eastAsia="Arial" w:hAnsi="Arial"/>
          <w:sz w:val="19"/>
          <w:szCs w:val="19"/>
          <w:i w:val="1"/>
          <w:iCs w:val="1"/>
          <w:color w:val="auto"/>
        </w:rPr>
        <w:t>Notice of Termination”</w:t>
      </w:r>
      <w:r>
        <w:rPr>
          <w:rFonts w:ascii="Arial" w:cs="Arial" w:eastAsia="Arial" w:hAnsi="Arial"/>
          <w:sz w:val="19"/>
          <w:szCs w:val="19"/>
          <w:color w:val="auto"/>
        </w:rPr>
        <w:t xml:space="preserve"> shall mean a notice which indicates the specific termination provision in this Agreement relied upon and shall set forth in reasonable detail the facts and circumstances claimed to provide a basis for termination of the Executive’s employment under the provision so indicated. For purposes of this Agreement, no such purported termination shall be effective without such Notice of Termination.</w:t>
      </w:r>
    </w:p>
    <w:p>
      <w:pPr>
        <w:spacing w:after="0" w:line="190" w:lineRule="exact"/>
        <w:rPr>
          <w:rFonts w:ascii="Arial" w:cs="Arial" w:eastAsia="Arial" w:hAnsi="Arial"/>
          <w:sz w:val="19"/>
          <w:szCs w:val="19"/>
          <w:color w:val="auto"/>
        </w:rPr>
      </w:pPr>
    </w:p>
    <w:p>
      <w:pPr>
        <w:ind w:right="260" w:firstLine="1305"/>
        <w:spacing w:after="0" w:line="343" w:lineRule="auto"/>
        <w:tabs>
          <w:tab w:leader="none" w:pos="1729" w:val="left"/>
        </w:tabs>
        <w:numPr>
          <w:ilvl w:val="0"/>
          <w:numId w:val="72"/>
        </w:numPr>
        <w:rPr>
          <w:rFonts w:ascii="Arial" w:cs="Arial" w:eastAsia="Arial" w:hAnsi="Arial"/>
          <w:sz w:val="19"/>
          <w:szCs w:val="19"/>
          <w:color w:val="auto"/>
        </w:rPr>
      </w:pPr>
      <w:r>
        <w:rPr>
          <w:rFonts w:ascii="Arial" w:cs="Arial" w:eastAsia="Arial" w:hAnsi="Arial"/>
          <w:sz w:val="19"/>
          <w:szCs w:val="19"/>
          <w:i w:val="1"/>
          <w:iCs w:val="1"/>
          <w:color w:val="auto"/>
        </w:rPr>
        <w:t>Termination Date</w:t>
      </w:r>
      <w:r>
        <w:rPr>
          <w:rFonts w:ascii="Arial" w:cs="Arial" w:eastAsia="Arial" w:hAnsi="Arial"/>
          <w:sz w:val="19"/>
          <w:szCs w:val="19"/>
          <w:color w:val="auto"/>
        </w:rPr>
        <w:t>. For purposes of this Agreement, “Termination Date” means, in the case of the Executive’s</w:t>
      </w:r>
      <w:r>
        <w:rPr>
          <w:rFonts w:ascii="Arial" w:cs="Arial" w:eastAsia="Arial" w:hAnsi="Arial"/>
          <w:sz w:val="19"/>
          <w:szCs w:val="19"/>
          <w:i w:val="1"/>
          <w:iCs w:val="1"/>
          <w:color w:val="auto"/>
        </w:rPr>
        <w:t xml:space="preserve"> </w:t>
      </w:r>
      <w:r>
        <w:rPr>
          <w:rFonts w:ascii="Arial" w:cs="Arial" w:eastAsia="Arial" w:hAnsi="Arial"/>
          <w:sz w:val="19"/>
          <w:szCs w:val="19"/>
          <w:color w:val="auto"/>
        </w:rPr>
        <w:t>death, her date of death, and in all other cases, the date specified in the Notice of Termination subject to the following:</w:t>
      </w:r>
    </w:p>
    <w:p>
      <w:pPr>
        <w:spacing w:after="0" w:line="145" w:lineRule="exact"/>
        <w:rPr>
          <w:rFonts w:ascii="Arial" w:cs="Arial" w:eastAsia="Arial" w:hAnsi="Arial"/>
          <w:sz w:val="19"/>
          <w:szCs w:val="19"/>
          <w:color w:val="auto"/>
        </w:rPr>
      </w:pPr>
    </w:p>
    <w:p>
      <w:pPr>
        <w:ind w:left="660" w:right="280" w:firstLine="1293"/>
        <w:spacing w:after="0" w:line="263" w:lineRule="auto"/>
        <w:tabs>
          <w:tab w:leader="none" w:pos="2845" w:val="left"/>
        </w:tabs>
        <w:numPr>
          <w:ilvl w:val="1"/>
          <w:numId w:val="72"/>
        </w:numPr>
        <w:rPr>
          <w:rFonts w:ascii="Arial" w:cs="Arial" w:eastAsia="Arial" w:hAnsi="Arial"/>
          <w:sz w:val="22"/>
          <w:szCs w:val="22"/>
          <w:color w:val="auto"/>
        </w:rPr>
      </w:pPr>
      <w:r>
        <w:rPr>
          <w:rFonts w:ascii="Arial" w:cs="Arial" w:eastAsia="Arial" w:hAnsi="Arial"/>
          <w:sz w:val="22"/>
          <w:szCs w:val="22"/>
          <w:color w:val="auto"/>
        </w:rPr>
        <w:t>If the Executive’s employment is terminated by the Company for Cause or due to Disability, the date specified in the Notice of Termination shall be at least thirty (30) days</w:t>
      </w:r>
    </w:p>
    <w:p>
      <w:pPr>
        <w:sectPr>
          <w:pgSz w:w="11900" w:h="16838" w:orient="portrait"/>
          <w:cols w:equalWidth="0" w:num="1">
            <w:col w:w="11420"/>
          </w:cols>
          <w:pgMar w:left="240" w:top="591" w:right="239" w:bottom="1440" w:gutter="0" w:footer="0" w:header="0"/>
        </w:sectPr>
      </w:pPr>
    </w:p>
    <w:bookmarkStart w:id="90" w:name="page91"/>
    <w:bookmarkEnd w:id="90"/>
    <w:p>
      <w:pPr>
        <w:ind w:left="660" w:right="60"/>
        <w:spacing w:after="0" w:line="343" w:lineRule="auto"/>
        <w:rPr>
          <w:sz w:val="20"/>
          <w:szCs w:val="20"/>
          <w:color w:val="auto"/>
        </w:rPr>
      </w:pPr>
      <w:r>
        <w:rPr>
          <w:rFonts w:ascii="Arial" w:cs="Arial" w:eastAsia="Arial" w:hAnsi="Arial"/>
          <w:sz w:val="19"/>
          <w:szCs w:val="19"/>
          <w:color w:val="auto"/>
        </w:rPr>
        <w:t xml:space="preserve">from the date the Notice of Termination is given to the Executive,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the case of Disability the Executive shall not have returned to the full-time performance of her duties during such period of at least thirty (30) days; and</w:t>
      </w:r>
    </w:p>
    <w:p>
      <w:pPr>
        <w:spacing w:after="0" w:line="145" w:lineRule="exact"/>
        <w:rPr>
          <w:sz w:val="20"/>
          <w:szCs w:val="20"/>
          <w:color w:val="auto"/>
        </w:rPr>
      </w:pPr>
    </w:p>
    <w:p>
      <w:pPr>
        <w:ind w:left="660" w:right="40" w:firstLine="1293"/>
        <w:spacing w:after="0" w:line="287" w:lineRule="auto"/>
        <w:tabs>
          <w:tab w:leader="none" w:pos="2857" w:val="left"/>
        </w:tabs>
        <w:numPr>
          <w:ilvl w:val="0"/>
          <w:numId w:val="73"/>
        </w:numPr>
        <w:rPr>
          <w:rFonts w:ascii="Arial" w:cs="Arial" w:eastAsia="Arial" w:hAnsi="Arial"/>
          <w:sz w:val="21"/>
          <w:szCs w:val="21"/>
          <w:color w:val="auto"/>
        </w:rPr>
      </w:pPr>
      <w:r>
        <w:rPr>
          <w:rFonts w:ascii="Arial" w:cs="Arial" w:eastAsia="Arial" w:hAnsi="Arial"/>
          <w:sz w:val="21"/>
          <w:szCs w:val="21"/>
          <w:color w:val="auto"/>
        </w:rPr>
        <w:t>If the Executive resigns for Good Reason, the date specified in the Notice of Termination shall not be more than sixty (60) days from the date the Notice of Termination is given to the Company.</w:t>
      </w:r>
    </w:p>
    <w:p>
      <w:pPr>
        <w:spacing w:after="0" w:line="192" w:lineRule="exact"/>
        <w:rPr>
          <w:rFonts w:ascii="Arial" w:cs="Arial" w:eastAsia="Arial" w:hAnsi="Arial"/>
          <w:sz w:val="21"/>
          <w:szCs w:val="21"/>
          <w:color w:val="auto"/>
        </w:rPr>
      </w:pPr>
    </w:p>
    <w:p>
      <w:pPr>
        <w:ind w:left="660" w:right="20" w:firstLine="1293"/>
        <w:spacing w:after="0" w:line="286" w:lineRule="auto"/>
        <w:tabs>
          <w:tab w:leader="none" w:pos="2845"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in this Agreement to the contrary, the termination of the Executive's employment in connection with the sale, divestiture or other disposition of a division, group or business unit of the Company (or part thereof) at which the Executive was employed at the time of such sale, divestiture or other disposition, shall not be deemed to be a termination of employment of the Executive for purposes of this Agreement,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the Executive is offered employment by the purchaser or acquiror of such division, group or business unit of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Company and the Company obtains an agreement from such purchaser or acquiror as contemplated in Section 8(c) and </w:t>
      </w:r>
      <w:r>
        <w:rPr>
          <w:rFonts w:ascii="Arial" w:cs="Arial" w:eastAsia="Arial" w:hAnsi="Arial"/>
          <w:sz w:val="19"/>
          <w:szCs w:val="19"/>
          <w:i w:val="1"/>
          <w:iCs w:val="1"/>
          <w:color w:val="auto"/>
        </w:rPr>
        <w:t xml:space="preserve">provided, further, </w:t>
      </w:r>
      <w:r>
        <w:rPr>
          <w:rFonts w:ascii="Arial" w:cs="Arial" w:eastAsia="Arial" w:hAnsi="Arial"/>
          <w:sz w:val="19"/>
          <w:szCs w:val="19"/>
          <w:color w:val="auto"/>
        </w:rPr>
        <w:t>that the Executive shall not be entitled to any benefits from the Company under this Agreement as a result</w:t>
      </w:r>
      <w:r>
        <w:rPr>
          <w:rFonts w:ascii="Arial" w:cs="Arial" w:eastAsia="Arial" w:hAnsi="Arial"/>
          <w:sz w:val="19"/>
          <w:szCs w:val="19"/>
          <w:i w:val="1"/>
          <w:iCs w:val="1"/>
          <w:color w:val="auto"/>
        </w:rPr>
        <w:t xml:space="preserve"> </w:t>
      </w:r>
      <w:r>
        <w:rPr>
          <w:rFonts w:ascii="Arial" w:cs="Arial" w:eastAsia="Arial" w:hAnsi="Arial"/>
          <w:sz w:val="19"/>
          <w:szCs w:val="19"/>
          <w:color w:val="auto"/>
        </w:rPr>
        <w:t>of such sale, divestiture, or other disposition, or as a result of any subsequent termination of employment. This Section 5 (c) will only apply in the event that (i) the Executive’s employment is terminated by the Company without Cause or the Executive resigns for Good Reason on or after the occurrence of a Change in Control and (ii) the Executive’s employment is terminated by the Company without Cause within one year prior to a Change in Control and the Executive reasonably demonstrates that such termination (y) was at the request of a Third Party who effectuates a Change in Control or (z) otherwise occurred in connection with, or in anticipation of, a Change in Control.</w:t>
      </w:r>
    </w:p>
    <w:p>
      <w:pPr>
        <w:spacing w:after="0" w:line="208" w:lineRule="exact"/>
        <w:rPr>
          <w:sz w:val="20"/>
          <w:szCs w:val="20"/>
          <w:color w:val="auto"/>
        </w:rPr>
      </w:pPr>
    </w:p>
    <w:p>
      <w:pPr>
        <w:ind w:left="1740" w:hanging="435"/>
        <w:spacing w:after="0"/>
        <w:tabs>
          <w:tab w:leader="none" w:pos="1740" w:val="left"/>
        </w:tabs>
        <w:numPr>
          <w:ilvl w:val="0"/>
          <w:numId w:val="74"/>
        </w:numPr>
        <w:rPr>
          <w:rFonts w:ascii="Arial" w:cs="Arial" w:eastAsia="Arial" w:hAnsi="Arial"/>
          <w:sz w:val="22"/>
          <w:szCs w:val="22"/>
          <w:color w:val="auto"/>
        </w:rPr>
      </w:pPr>
      <w:r>
        <w:rPr>
          <w:rFonts w:ascii="Arial" w:cs="Arial" w:eastAsia="Arial" w:hAnsi="Arial"/>
          <w:sz w:val="22"/>
          <w:szCs w:val="22"/>
          <w:i w:val="1"/>
          <w:iCs w:val="1"/>
          <w:color w:val="auto"/>
        </w:rPr>
        <w:t>Excise Tax Payment.</w:t>
      </w:r>
    </w:p>
    <w:p>
      <w:pPr>
        <w:spacing w:after="0" w:line="22" w:lineRule="exact"/>
        <w:rPr>
          <w:sz w:val="20"/>
          <w:szCs w:val="20"/>
          <w:color w:val="auto"/>
        </w:rPr>
      </w:pPr>
    </w:p>
    <w:p>
      <w:pPr>
        <w:ind w:right="20" w:firstLine="1297"/>
        <w:spacing w:after="0" w:line="286" w:lineRule="auto"/>
        <w:rPr>
          <w:sz w:val="20"/>
          <w:szCs w:val="20"/>
          <w:color w:val="auto"/>
        </w:rPr>
      </w:pPr>
      <w:r>
        <w:rPr>
          <w:rFonts w:ascii="Arial" w:cs="Arial" w:eastAsia="Arial" w:hAnsi="Arial"/>
          <w:sz w:val="19"/>
          <w:szCs w:val="19"/>
          <w:color w:val="auto"/>
        </w:rPr>
        <w:t>6.1 (a) If any amount or benefit payable to the Executive under this Agreement and under any other agreement, plan or program of the Company (such payments and benefits referred to as a “</w:t>
      </w:r>
      <w:r>
        <w:rPr>
          <w:rFonts w:ascii="Arial" w:cs="Arial" w:eastAsia="Arial" w:hAnsi="Arial"/>
          <w:sz w:val="19"/>
          <w:szCs w:val="19"/>
          <w:i w:val="1"/>
          <w:iCs w:val="1"/>
          <w:color w:val="auto"/>
        </w:rPr>
        <w:t>Payment”</w:t>
      </w:r>
      <w:r>
        <w:rPr>
          <w:rFonts w:ascii="Arial" w:cs="Arial" w:eastAsia="Arial" w:hAnsi="Arial"/>
          <w:sz w:val="19"/>
          <w:szCs w:val="19"/>
          <w:color w:val="auto"/>
        </w:rPr>
        <w:t>) is subject to the excise tax imposed under Section 4999 of the Internal Revenue Code of 1986, as amended (the “</w:t>
      </w:r>
      <w:r>
        <w:rPr>
          <w:rFonts w:ascii="Arial" w:cs="Arial" w:eastAsia="Arial" w:hAnsi="Arial"/>
          <w:sz w:val="19"/>
          <w:szCs w:val="19"/>
          <w:i w:val="1"/>
          <w:iCs w:val="1"/>
          <w:color w:val="auto"/>
        </w:rPr>
        <w:t>Code</w:t>
      </w:r>
      <w:r>
        <w:rPr>
          <w:rFonts w:ascii="Arial" w:cs="Arial" w:eastAsia="Arial" w:hAnsi="Arial"/>
          <w:sz w:val="19"/>
          <w:szCs w:val="19"/>
          <w:color w:val="auto"/>
        </w:rPr>
        <w:t>”) or any similar federal or state law (an “</w:t>
      </w:r>
      <w:r>
        <w:rPr>
          <w:rFonts w:ascii="Arial" w:cs="Arial" w:eastAsia="Arial" w:hAnsi="Arial"/>
          <w:sz w:val="19"/>
          <w:szCs w:val="19"/>
          <w:i w:val="1"/>
          <w:iCs w:val="1"/>
          <w:color w:val="auto"/>
        </w:rPr>
        <w:t>Excise</w:t>
      </w:r>
      <w:r>
        <w:rPr>
          <w:rFonts w:ascii="Arial" w:cs="Arial" w:eastAsia="Arial" w:hAnsi="Arial"/>
          <w:sz w:val="19"/>
          <w:szCs w:val="19"/>
          <w:color w:val="auto"/>
        </w:rPr>
        <w:t xml:space="preserve"> </w:t>
      </w:r>
      <w:r>
        <w:rPr>
          <w:rFonts w:ascii="Arial" w:cs="Arial" w:eastAsia="Arial" w:hAnsi="Arial"/>
          <w:sz w:val="19"/>
          <w:szCs w:val="19"/>
          <w:i w:val="1"/>
          <w:iCs w:val="1"/>
          <w:color w:val="auto"/>
        </w:rPr>
        <w:t>Tax”</w:t>
      </w:r>
      <w:r>
        <w:rPr>
          <w:rFonts w:ascii="Arial" w:cs="Arial" w:eastAsia="Arial" w:hAnsi="Arial"/>
          <w:sz w:val="19"/>
          <w:szCs w:val="19"/>
          <w:color w:val="auto"/>
        </w:rPr>
        <w:t>), the Company shall pay to the Executive an additional amount (the “</w:t>
      </w:r>
      <w:r>
        <w:rPr>
          <w:rFonts w:ascii="Arial" w:cs="Arial" w:eastAsia="Arial" w:hAnsi="Arial"/>
          <w:sz w:val="19"/>
          <w:szCs w:val="19"/>
          <w:i w:val="1"/>
          <w:iCs w:val="1"/>
          <w:color w:val="auto"/>
        </w:rPr>
        <w:t>Gross Up Amount”</w:t>
      </w:r>
      <w:r>
        <w:rPr>
          <w:rFonts w:ascii="Arial" w:cs="Arial" w:eastAsia="Arial" w:hAnsi="Arial"/>
          <w:sz w:val="19"/>
          <w:szCs w:val="19"/>
          <w:color w:val="auto"/>
        </w:rPr>
        <w:t>) in cash, equal to (i) the amount of</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 Excise Tax, plus (ii) the aggregate amount of any interest, penalties, fines or additions to any tax which is imposed in connection with the imposition of such Excise Tax, plus (iii) all income, excise and other applicable taxes imposed on the Executive under the laws of any federal, state or local government or taxing authority by reason of the payments required under clause (i) and clause (ii) and this clause (iii);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Gross Up Amount will not be paid to the Executive unless the aggregate amount of Payments received by the Executive which constitute “parachute payments” under Section 280G(b)(2) of the Code equals or exceeds the product of 3.1 multiplied by the amount of the Executive’s “base amount” as such term is defined in Section 280G(b)(3) of the Code (the “</w:t>
      </w:r>
      <w:r>
        <w:rPr>
          <w:rFonts w:ascii="Arial" w:cs="Arial" w:eastAsia="Arial" w:hAnsi="Arial"/>
          <w:sz w:val="19"/>
          <w:szCs w:val="19"/>
          <w:i w:val="1"/>
          <w:iCs w:val="1"/>
          <w:color w:val="auto"/>
        </w:rPr>
        <w:t>Base Amount</w:t>
      </w:r>
      <w:r>
        <w:rPr>
          <w:rFonts w:ascii="Arial" w:cs="Arial" w:eastAsia="Arial" w:hAnsi="Arial"/>
          <w:sz w:val="19"/>
          <w:szCs w:val="19"/>
          <w:color w:val="auto"/>
        </w:rPr>
        <w:t>”).</w:t>
      </w:r>
    </w:p>
    <w:p>
      <w:pPr>
        <w:spacing w:after="0" w:line="200" w:lineRule="exact"/>
        <w:rPr>
          <w:sz w:val="20"/>
          <w:szCs w:val="20"/>
          <w:color w:val="auto"/>
        </w:rPr>
      </w:pPr>
    </w:p>
    <w:p>
      <w:pPr>
        <w:spacing w:after="0" w:line="258" w:lineRule="exact"/>
        <w:rPr>
          <w:sz w:val="20"/>
          <w:szCs w:val="20"/>
          <w:color w:val="auto"/>
        </w:rPr>
      </w:pPr>
    </w:p>
    <w:p>
      <w:pPr>
        <w:ind w:right="320" w:firstLine="1953"/>
        <w:spacing w:after="0" w:line="250" w:lineRule="auto"/>
        <w:tabs>
          <w:tab w:leader="none" w:pos="2251" w:val="left"/>
        </w:tabs>
        <w:numPr>
          <w:ilvl w:val="0"/>
          <w:numId w:val="75"/>
        </w:numPr>
        <w:rPr>
          <w:rFonts w:ascii="Arial" w:cs="Arial" w:eastAsia="Arial" w:hAnsi="Arial"/>
          <w:sz w:val="22"/>
          <w:szCs w:val="22"/>
          <w:color w:val="auto"/>
        </w:rPr>
      </w:pPr>
      <w:r>
        <w:rPr>
          <w:rFonts w:ascii="Arial" w:cs="Arial" w:eastAsia="Arial" w:hAnsi="Arial"/>
          <w:sz w:val="22"/>
          <w:szCs w:val="22"/>
          <w:color w:val="auto"/>
        </w:rPr>
        <w:t>For purposes of determining the Gross Up Amount, the Executive shall be deemed to be taxed at the highest marginal rate under all applicable local, state, federal and foreign income tax laws for the year in which the Gross Up Amount is paid. The Gross Up Amount payable with respect to an Excise Tax shall be paid by the Company coincident with the Payment with respect to which such Excise Tax relates.</w:t>
      </w:r>
    </w:p>
    <w:p>
      <w:pPr>
        <w:spacing w:after="0" w:line="228" w:lineRule="exact"/>
        <w:rPr>
          <w:rFonts w:ascii="Arial" w:cs="Arial" w:eastAsia="Arial" w:hAnsi="Arial"/>
          <w:sz w:val="22"/>
          <w:szCs w:val="22"/>
          <w:color w:val="auto"/>
        </w:rPr>
      </w:pPr>
    </w:p>
    <w:p>
      <w:pPr>
        <w:ind w:firstLine="1953"/>
        <w:spacing w:after="0" w:line="253" w:lineRule="auto"/>
        <w:tabs>
          <w:tab w:leader="none" w:pos="2239" w:val="left"/>
        </w:tabs>
        <w:numPr>
          <w:ilvl w:val="0"/>
          <w:numId w:val="75"/>
        </w:numPr>
        <w:rPr>
          <w:rFonts w:ascii="Arial" w:cs="Arial" w:eastAsia="Arial" w:hAnsi="Arial"/>
          <w:sz w:val="22"/>
          <w:szCs w:val="22"/>
          <w:color w:val="auto"/>
        </w:rPr>
      </w:pPr>
      <w:r>
        <w:rPr>
          <w:rFonts w:ascii="Arial" w:cs="Arial" w:eastAsia="Arial" w:hAnsi="Arial"/>
          <w:sz w:val="22"/>
          <w:szCs w:val="22"/>
          <w:color w:val="auto"/>
        </w:rPr>
        <w:t>All calculations under this Section 6.1 shall be made by a nationally recognized accounting firm designated by the Company and reasonably acceptable to the Executive (other than the accounting firm that is regularly engaged by any party who has effectuated a Change in Control) (the</w:t>
      </w:r>
    </w:p>
    <w:p>
      <w:pPr>
        <w:sectPr>
          <w:pgSz w:w="11900" w:h="16838" w:orient="portrait"/>
          <w:cols w:equalWidth="0" w:num="1">
            <w:col w:w="11400"/>
          </w:cols>
          <w:pgMar w:left="240" w:top="591" w:right="259" w:bottom="1440" w:gutter="0" w:footer="0" w:header="0"/>
        </w:sectPr>
      </w:pPr>
    </w:p>
    <w:bookmarkStart w:id="91" w:name="page92"/>
    <w:bookmarkEnd w:id="91"/>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Accounting Firm”</w:t>
      </w:r>
      <w:r>
        <w:rPr>
          <w:rFonts w:ascii="Arial" w:cs="Arial" w:eastAsia="Arial" w:hAnsi="Arial"/>
          <w:sz w:val="19"/>
          <w:szCs w:val="19"/>
          <w:color w:val="auto"/>
        </w:rPr>
        <w:t>). The Company shall pay all fees and expenses of such Accounting Firm. The Accounting Firm shall provide</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its calculations, together with detailed supporting documentation, both to the Company and the Executive within 15 days after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Termination Date (or such earlier time as is requested by the Company) and, if applicable, a reasonable opinion to the Executive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that she is not required to report any Excise Tax on her federal income tax return with respect to the Payment (collectively,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Determination</w:t>
      </w:r>
      <w:r>
        <w:rPr>
          <w:rFonts w:ascii="Arial" w:cs="Arial" w:eastAsia="Arial" w:hAnsi="Arial"/>
          <w:sz w:val="19"/>
          <w:szCs w:val="19"/>
          <w:color w:val="auto"/>
        </w:rPr>
        <w:t>"). Within 5 days of the Executive's receipt of the Determination, the Executive shall have the right to dispute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Determination (the “</w:t>
      </w:r>
      <w:r>
        <w:rPr>
          <w:rFonts w:ascii="Arial" w:cs="Arial" w:eastAsia="Arial" w:hAnsi="Arial"/>
          <w:sz w:val="19"/>
          <w:szCs w:val="19"/>
          <w:i w:val="1"/>
          <w:iCs w:val="1"/>
          <w:color w:val="auto"/>
        </w:rPr>
        <w:t>Dispute</w:t>
      </w:r>
      <w:r>
        <w:rPr>
          <w:rFonts w:ascii="Arial" w:cs="Arial" w:eastAsia="Arial" w:hAnsi="Arial"/>
          <w:sz w:val="19"/>
          <w:szCs w:val="19"/>
          <w:color w:val="auto"/>
        </w:rPr>
        <w:t>”). The existence of the Dispute shall not in any way affect the right of the Executive to receive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Payments in accordance with the Determination. If the Executive is successful in the Dispute, the Company shall pay the Executive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any additional amount determined by the Accounting Firm to be due under this Section 6.1 (together with interest thereon at a rate</w:t>
      </w:r>
    </w:p>
    <w:p>
      <w:pPr>
        <w:spacing w:after="0" w:line="38" w:lineRule="exact"/>
        <w:rPr>
          <w:sz w:val="20"/>
          <w:szCs w:val="20"/>
          <w:color w:val="auto"/>
        </w:rPr>
      </w:pPr>
    </w:p>
    <w:p>
      <w:pPr>
        <w:spacing w:after="0" w:line="219" w:lineRule="exact"/>
        <w:rPr>
          <w:sz w:val="20"/>
          <w:szCs w:val="20"/>
          <w:color w:val="auto"/>
        </w:rPr>
      </w:pPr>
      <w:r>
        <w:rPr>
          <w:rFonts w:ascii="Arial" w:cs="Arial" w:eastAsia="Arial" w:hAnsi="Arial"/>
          <w:sz w:val="19"/>
          <w:szCs w:val="19"/>
          <w:color w:val="auto"/>
        </w:rPr>
        <w:t>equal to 120% of the federal short</w:t>
      </w:r>
      <w:r>
        <w:rPr>
          <w:rFonts w:ascii="MS PGothic" w:cs="MS PGothic" w:eastAsia="MS PGothic" w:hAnsi="MS PGothic"/>
          <w:sz w:val="19"/>
          <w:szCs w:val="19"/>
          <w:color w:val="auto"/>
        </w:rPr>
        <w:t>‑</w:t>
      </w:r>
      <w:r>
        <w:rPr>
          <w:rFonts w:ascii="Arial" w:cs="Arial" w:eastAsia="Arial" w:hAnsi="Arial"/>
          <w:sz w:val="19"/>
          <w:szCs w:val="19"/>
          <w:color w:val="auto"/>
        </w:rPr>
        <w:t>term rate determined under Section 1274(d) of the Code) promptly after such determination.</w:t>
      </w:r>
    </w:p>
    <w:p>
      <w:pPr>
        <w:spacing w:after="0" w:line="277" w:lineRule="exact"/>
        <w:rPr>
          <w:sz w:val="20"/>
          <w:szCs w:val="20"/>
          <w:color w:val="auto"/>
        </w:rPr>
      </w:pPr>
    </w:p>
    <w:p>
      <w:pPr>
        <w:ind w:firstLine="1953"/>
        <w:spacing w:after="0" w:line="250" w:lineRule="auto"/>
        <w:tabs>
          <w:tab w:leader="none" w:pos="2251"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there is no Dispute, the final determination by the Accounting Firm shall be conclusive and binding upon all parties unless the Internal Revenue Service, a court of competent jurisdiction, or such other duly empowered governmental body or agency (a “</w:t>
      </w:r>
      <w:r>
        <w:rPr>
          <w:rFonts w:ascii="Arial" w:cs="Arial" w:eastAsia="Arial" w:hAnsi="Arial"/>
          <w:sz w:val="22"/>
          <w:szCs w:val="22"/>
          <w:i w:val="1"/>
          <w:iCs w:val="1"/>
          <w:color w:val="auto"/>
        </w:rPr>
        <w:t>Tax Authority</w:t>
      </w:r>
      <w:r>
        <w:rPr>
          <w:rFonts w:ascii="Arial" w:cs="Arial" w:eastAsia="Arial" w:hAnsi="Arial"/>
          <w:sz w:val="22"/>
          <w:szCs w:val="22"/>
          <w:color w:val="auto"/>
        </w:rPr>
        <w:t>”) determines that the Executive owes a greater or lesser amount of Excise Tax with respect to any Payment than the amount determined by the Accounting Firm.</w:t>
      </w:r>
    </w:p>
    <w:p>
      <w:pPr>
        <w:spacing w:after="0" w:line="228" w:lineRule="exact"/>
        <w:rPr>
          <w:rFonts w:ascii="Arial" w:cs="Arial" w:eastAsia="Arial" w:hAnsi="Arial"/>
          <w:sz w:val="22"/>
          <w:szCs w:val="22"/>
          <w:color w:val="auto"/>
        </w:rPr>
      </w:pPr>
    </w:p>
    <w:p>
      <w:pPr>
        <w:ind w:firstLine="1953"/>
        <w:spacing w:after="0" w:line="253" w:lineRule="auto"/>
        <w:tabs>
          <w:tab w:leader="none" w:pos="2239"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a Taxing Authority makes a claim against the Executive which, if successful, would require the Company to make a payment under this Section 6.1, the Executive agrees to contest the claim on request of the Company subject to the following conditions:</w:t>
      </w:r>
    </w:p>
    <w:p>
      <w:pPr>
        <w:spacing w:after="0" w:line="226" w:lineRule="exact"/>
        <w:rPr>
          <w:sz w:val="20"/>
          <w:szCs w:val="20"/>
          <w:color w:val="auto"/>
        </w:rPr>
      </w:pPr>
    </w:p>
    <w:p>
      <w:pPr>
        <w:ind w:left="1300" w:firstLine="653"/>
        <w:spacing w:after="0" w:line="261" w:lineRule="exact"/>
        <w:tabs>
          <w:tab w:leader="none" w:pos="2332"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Executive shall notify the Company of any such claim within 10 days of becoming aware thereof. In the event that the Company desires the claim to be contested, it shall promptly (but in no event more than 30 days after the notice from the Executive or such shorter time as the Taxing Authority may specify for responding to such claim) request the Executive to contest the claim. The Executive shall not make any payment of any tax which is the subject of the claim before she has given the notice or during the 30</w:t>
      </w:r>
      <w:r>
        <w:rPr>
          <w:rFonts w:ascii="MS PGothic" w:cs="MS PGothic" w:eastAsia="MS PGothic" w:hAnsi="MS PGothic"/>
          <w:sz w:val="19"/>
          <w:szCs w:val="19"/>
          <w:color w:val="auto"/>
        </w:rPr>
        <w:t>‑</w:t>
      </w:r>
      <w:r>
        <w:rPr>
          <w:rFonts w:ascii="Arial" w:cs="Arial" w:eastAsia="Arial" w:hAnsi="Arial"/>
          <w:sz w:val="19"/>
          <w:szCs w:val="19"/>
          <w:color w:val="auto"/>
        </w:rPr>
        <w:t>day period thereafter unless the Executive receives written instructions from the Company to make such payment together with an advance of funds sufficient to make the requested payment plus any amounts payable under this Section 6.1 determined as if such advance were an Excise Tax, in which the Executive will act promptly in accordance with such instructions.</w:t>
      </w:r>
    </w:p>
    <w:p>
      <w:pPr>
        <w:spacing w:after="0" w:line="199" w:lineRule="exact"/>
        <w:rPr>
          <w:rFonts w:ascii="Arial" w:cs="Arial" w:eastAsia="Arial" w:hAnsi="Arial"/>
          <w:sz w:val="19"/>
          <w:szCs w:val="19"/>
          <w:color w:val="auto"/>
        </w:rPr>
      </w:pPr>
    </w:p>
    <w:p>
      <w:pPr>
        <w:ind w:left="1300" w:firstLine="653"/>
        <w:spacing w:after="0" w:line="289" w:lineRule="auto"/>
        <w:tabs>
          <w:tab w:leader="none" w:pos="2392" w:val="left"/>
        </w:tabs>
        <w:numPr>
          <w:ilvl w:val="0"/>
          <w:numId w:val="77"/>
        </w:numPr>
        <w:rPr>
          <w:rFonts w:ascii="Arial" w:cs="Arial" w:eastAsia="Arial" w:hAnsi="Arial"/>
          <w:sz w:val="19"/>
          <w:szCs w:val="19"/>
          <w:color w:val="auto"/>
        </w:rPr>
      </w:pPr>
      <w:r>
        <w:rPr>
          <w:rFonts w:ascii="Arial" w:cs="Arial" w:eastAsia="Arial" w:hAnsi="Arial"/>
          <w:sz w:val="19"/>
          <w:szCs w:val="19"/>
          <w:color w:val="auto"/>
        </w:rPr>
        <w:t xml:space="preserve">If the Company so requests, the Executive will contest the claim by either paying the tax claimed and suing for a refund in the appropriate court or contesting the claim in the United States Tax Court or other appropriate court, as directed by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any request by the Company for the Executive to pay the tax shall be accompanied by an advance from the Company to the Executive of funds sufficient to make the requested payment plus any amounts under this Section 6.1 determined as if such advance were an Excise Tax. If directed by the Company in writing the Executive will take all action necessary to compromise or settle the claim, but in no event will the Executive compromise or settle the claim or cease to contest the claim without the written consent of the Company;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Executive may take any such action if the Executive waives in writing her right to a payment under this Section 6.1 for any amounts payable in connection with such claim. The Executive agrees to cooperate in good faith with the Company in contesting the claim and to comply with any reasonable request from the Company concerning the contest of the claim, including</w:t>
      </w:r>
    </w:p>
    <w:p>
      <w:pPr>
        <w:sectPr>
          <w:pgSz w:w="11900" w:h="16838" w:orient="portrait"/>
          <w:cols w:equalWidth="0" w:num="1">
            <w:col w:w="11400"/>
          </w:cols>
          <w:pgMar w:left="240" w:top="591" w:right="259" w:bottom="1440" w:gutter="0" w:footer="0" w:header="0"/>
        </w:sectPr>
      </w:pPr>
    </w:p>
    <w:bookmarkStart w:id="92" w:name="page93"/>
    <w:bookmarkEnd w:id="92"/>
    <w:p>
      <w:pPr>
        <w:ind w:left="1300" w:right="60"/>
        <w:spacing w:after="0" w:line="290" w:lineRule="auto"/>
        <w:rPr>
          <w:sz w:val="20"/>
          <w:szCs w:val="20"/>
          <w:color w:val="auto"/>
        </w:rPr>
      </w:pPr>
      <w:r>
        <w:rPr>
          <w:rFonts w:ascii="Arial" w:cs="Arial" w:eastAsia="Arial" w:hAnsi="Arial"/>
          <w:sz w:val="19"/>
          <w:szCs w:val="19"/>
          <w:color w:val="auto"/>
        </w:rPr>
        <w:t>the pursuit of administrative remedies, the appropriate forum for any judicial proceedings, and the legal basis for contesting the claim. Upon request of the Company, the Executive shall take appropriate appeals of any judgment or decision that would require the Company to make a payment under this Section 6.1. Provided that the Executive is in compliance with the provisions of this subparagraph (ii), the Company shall be liable for and indemnify the Executive against any loss in connection with, and all costs and expenses, including attorneys’ fees, which may be incurred as a result of, contesting the claim, and shall provide to the Executive within 30 days after each written request therefor by the Executive cash advances or reimbursement for all such costs and expenses actually incurred or reasonably expected to be incurred by the Executive as a result of contesting the claim.</w:t>
      </w:r>
    </w:p>
    <w:p>
      <w:pPr>
        <w:spacing w:after="0" w:line="157" w:lineRule="exact"/>
        <w:rPr>
          <w:sz w:val="20"/>
          <w:szCs w:val="20"/>
          <w:color w:val="auto"/>
        </w:rPr>
      </w:pPr>
    </w:p>
    <w:p>
      <w:pPr>
        <w:ind w:right="340" w:firstLine="1953"/>
        <w:spacing w:after="0" w:line="260" w:lineRule="auto"/>
        <w:tabs>
          <w:tab w:leader="none" w:pos="2215" w:val="left"/>
        </w:tabs>
        <w:numPr>
          <w:ilvl w:val="0"/>
          <w:numId w:val="78"/>
        </w:numPr>
        <w:rPr>
          <w:rFonts w:ascii="Arial" w:cs="Arial" w:eastAsia="Arial" w:hAnsi="Arial"/>
          <w:sz w:val="21"/>
          <w:szCs w:val="21"/>
          <w:color w:val="auto"/>
        </w:rPr>
      </w:pPr>
      <w:r>
        <w:rPr>
          <w:rFonts w:ascii="Arial" w:cs="Arial" w:eastAsia="Arial" w:hAnsi="Arial"/>
          <w:sz w:val="21"/>
          <w:szCs w:val="21"/>
          <w:color w:val="auto"/>
        </w:rPr>
        <w:t xml:space="preserve">Should a Tax Authority ultimately determine that an additional Excise Tax is owed, then the Company shall pay an additional Gross Up Amount to the Executive in a manner consistent with this Section 6.1 with respect to any additional Excise Tax and any assessed interest, fines, or penalties. If any Excise Tax as calculated by the Company or the Accounting Firm, as the case may be, is finally determined by a Tax Authority to exceed the amount required to be paid under applicable law, then the Executive shall repay such excess to the Company within 30 days of such determination;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repayment shall be reduced by the amount of any taxes paid by the Executive on such excess which is not offset by the tax benefit attributable to the repayment.</w:t>
      </w:r>
    </w:p>
    <w:p>
      <w:pPr>
        <w:spacing w:after="0" w:line="222" w:lineRule="exact"/>
        <w:rPr>
          <w:sz w:val="20"/>
          <w:szCs w:val="20"/>
          <w:color w:val="auto"/>
        </w:rPr>
      </w:pPr>
    </w:p>
    <w:p>
      <w:pPr>
        <w:ind w:firstLine="1297"/>
        <w:spacing w:after="0" w:line="250" w:lineRule="auto"/>
        <w:rPr>
          <w:sz w:val="20"/>
          <w:szCs w:val="20"/>
          <w:color w:val="auto"/>
        </w:rPr>
      </w:pPr>
      <w:r>
        <w:rPr>
          <w:rFonts w:ascii="Arial" w:cs="Arial" w:eastAsia="Arial" w:hAnsi="Arial"/>
          <w:sz w:val="22"/>
          <w:szCs w:val="22"/>
          <w:color w:val="auto"/>
        </w:rPr>
        <w:t>6.2 If (i) the aggregate amount of any Payments received by the Executive which constitute “parachute payments” under Section 280G(b)(2) of the Code equals less than the product of 3.1 multiplied by the Executive’s Base Amount, and is subject to an Excise Tax, or (ii) if the provisions of Section 7 of this Agreement are invoked, with respect to the Executive, then the Company and the Executive agree that the following provisions shall apply:</w:t>
      </w:r>
    </w:p>
    <w:p>
      <w:pPr>
        <w:spacing w:after="0" w:line="229" w:lineRule="exact"/>
        <w:rPr>
          <w:sz w:val="20"/>
          <w:szCs w:val="20"/>
          <w:color w:val="auto"/>
        </w:rPr>
      </w:pPr>
    </w:p>
    <w:p>
      <w:pPr>
        <w:ind w:right="20" w:firstLine="1305"/>
        <w:spacing w:after="0" w:line="259" w:lineRule="auto"/>
        <w:tabs>
          <w:tab w:leader="none" w:pos="1776" w:val="left"/>
        </w:tabs>
        <w:numPr>
          <w:ilvl w:val="0"/>
          <w:numId w:val="79"/>
        </w:numPr>
        <w:rPr>
          <w:rFonts w:ascii="Arial" w:cs="Arial" w:eastAsia="Arial" w:hAnsi="Arial"/>
          <w:sz w:val="21"/>
          <w:szCs w:val="21"/>
          <w:color w:val="auto"/>
        </w:rPr>
      </w:pPr>
      <w:r>
        <w:rPr>
          <w:rFonts w:ascii="Arial" w:cs="Arial" w:eastAsia="Arial" w:hAnsi="Arial"/>
          <w:sz w:val="21"/>
          <w:szCs w:val="21"/>
          <w:color w:val="auto"/>
        </w:rPr>
        <w:t>Notwithstanding anything contained in this Agreement to the contrary, to the extent that any or all Payments would be subject to the imposition of an Excise Tax, the Payments shall be reduced (but not below zero) if and to the extent that such reduction would result in the Executive retaining a larger amount, on an after tax basis (taking into account federal, state and local income taxes and the imposition of the Excise Tax), than if the Executive received all of the Payments (such reduced amount is hereinafter referred to as the “</w:t>
      </w:r>
      <w:r>
        <w:rPr>
          <w:rFonts w:ascii="Arial" w:cs="Arial" w:eastAsia="Arial" w:hAnsi="Arial"/>
          <w:sz w:val="21"/>
          <w:szCs w:val="21"/>
          <w:i w:val="1"/>
          <w:iCs w:val="1"/>
          <w:color w:val="auto"/>
        </w:rPr>
        <w:t>Limited Payment Amount”</w:t>
      </w:r>
      <w:r>
        <w:rPr>
          <w:rFonts w:ascii="Arial" w:cs="Arial" w:eastAsia="Arial" w:hAnsi="Arial"/>
          <w:sz w:val="21"/>
          <w:szCs w:val="21"/>
          <w:color w:val="auto"/>
        </w:rPr>
        <w:t>). Unless the Executive shall have given prior written notice specifying a different order to the Company to effectuate the limitations described in the preceding sentence, the Company shall reduce or eliminate the Payments, by first reducing or eliminating those payments or benefits which are not payable in cash and then by reducing or eliminating cash payments, in each case in reverse order beginning with payments or benefits which are to be paid the farthest in time from the Determination. Any notice given by the Executive pursuant to the preceding sentence shall take precedence over the provisions of any other plan, arrangement or agreement governing the Executive's rights and entitlements to any benefits or compensation.</w:t>
      </w:r>
    </w:p>
    <w:p>
      <w:pPr>
        <w:spacing w:after="0" w:line="185" w:lineRule="exact"/>
        <w:rPr>
          <w:rFonts w:ascii="Arial" w:cs="Arial" w:eastAsia="Arial" w:hAnsi="Arial"/>
          <w:sz w:val="21"/>
          <w:szCs w:val="21"/>
          <w:color w:val="auto"/>
        </w:rPr>
      </w:pPr>
    </w:p>
    <w:p>
      <w:pPr>
        <w:ind w:right="20" w:firstLine="1305"/>
        <w:spacing w:after="0" w:line="262" w:lineRule="auto"/>
        <w:tabs>
          <w:tab w:leader="none" w:pos="1765" w:val="left"/>
        </w:tabs>
        <w:numPr>
          <w:ilvl w:val="0"/>
          <w:numId w:val="79"/>
        </w:numPr>
        <w:rPr>
          <w:rFonts w:ascii="Arial" w:cs="Arial" w:eastAsia="Arial" w:hAnsi="Arial"/>
          <w:sz w:val="21"/>
          <w:szCs w:val="21"/>
          <w:color w:val="auto"/>
        </w:rPr>
      </w:pPr>
      <w:r>
        <w:rPr>
          <w:rFonts w:ascii="Arial" w:cs="Arial" w:eastAsia="Arial" w:hAnsi="Arial"/>
          <w:sz w:val="21"/>
          <w:szCs w:val="21"/>
          <w:color w:val="auto"/>
        </w:rPr>
        <w:t>All calculations required to be made under this Section 6.2 shall be made, at the Company's expense, by an Accounting Firm. The Accounting Firm shall provide their Determination, both to the Company and the Executive within 15 days after the Executive's Termination Date (or such earlier time as is requested by the Company) and, with respect to the Limited Payment Amount, a reasonable opinion to the Executive that she is not required to report any Excise Tax on her federal income tax return with respect to the Limited Payment Amount. Within 5 days of the Executive's receipt of the Determination, the Executive shall have the right to Dispute the Determination. The existence of the Dispute shall not in any way affect the right of the Executive to receive the Payments in accordance</w:t>
      </w:r>
    </w:p>
    <w:p>
      <w:pPr>
        <w:sectPr>
          <w:pgSz w:w="11900" w:h="16838" w:orient="portrait"/>
          <w:cols w:equalWidth="0" w:num="1">
            <w:col w:w="11420"/>
          </w:cols>
          <w:pgMar w:left="240" w:top="591" w:right="239" w:bottom="1440" w:gutter="0" w:footer="0" w:header="0"/>
        </w:sectPr>
      </w:pPr>
    </w:p>
    <w:bookmarkStart w:id="93" w:name="page94"/>
    <w:bookmarkEnd w:id="93"/>
    <w:p>
      <w:pPr>
        <w:ind w:right="420"/>
        <w:spacing w:after="0" w:line="263" w:lineRule="auto"/>
        <w:rPr>
          <w:sz w:val="20"/>
          <w:szCs w:val="20"/>
          <w:color w:val="auto"/>
        </w:rPr>
      </w:pPr>
      <w:r>
        <w:rPr>
          <w:rFonts w:ascii="Arial" w:cs="Arial" w:eastAsia="Arial" w:hAnsi="Arial"/>
          <w:sz w:val="22"/>
          <w:szCs w:val="22"/>
          <w:color w:val="auto"/>
        </w:rPr>
        <w:t>with the Determination. If there is no Dispute, the Determination by the Accounting Firm shall be final binding and conclusive upon the Company and the Executive (except as provided in Subsection (C) below).</w:t>
      </w:r>
    </w:p>
    <w:p>
      <w:pPr>
        <w:spacing w:after="0" w:line="175" w:lineRule="exact"/>
        <w:rPr>
          <w:sz w:val="20"/>
          <w:szCs w:val="20"/>
          <w:color w:val="auto"/>
        </w:rPr>
      </w:pPr>
    </w:p>
    <w:p>
      <w:pPr>
        <w:ind w:right="20" w:firstLine="1305"/>
        <w:spacing w:after="0" w:line="288" w:lineRule="auto"/>
        <w:tabs>
          <w:tab w:leader="none" w:pos="1765" w:val="left"/>
        </w:tabs>
        <w:numPr>
          <w:ilvl w:val="0"/>
          <w:numId w:val="80"/>
        </w:numPr>
        <w:rPr>
          <w:rFonts w:ascii="Arial" w:cs="Arial" w:eastAsia="Arial" w:hAnsi="Arial"/>
          <w:sz w:val="19"/>
          <w:szCs w:val="19"/>
          <w:color w:val="auto"/>
        </w:rPr>
      </w:pPr>
      <w:r>
        <w:rPr>
          <w:rFonts w:ascii="Arial" w:cs="Arial" w:eastAsia="Arial" w:hAnsi="Arial"/>
          <w:sz w:val="19"/>
          <w:szCs w:val="19"/>
          <w:color w:val="auto"/>
        </w:rPr>
        <w:t>If it is established that the Payments made to, or provided for the benefit of, the Executive either have been made or have not been made by the Company, in a manner inconsistent with the limitations provided in Subsection (A) (hereinafter referred to as an “</w:t>
      </w:r>
      <w:r>
        <w:rPr>
          <w:rFonts w:ascii="Arial" w:cs="Arial" w:eastAsia="Arial" w:hAnsi="Arial"/>
          <w:sz w:val="19"/>
          <w:szCs w:val="19"/>
          <w:i w:val="1"/>
          <w:iCs w:val="1"/>
          <w:color w:val="auto"/>
        </w:rPr>
        <w:t>Excess Payment”</w:t>
      </w:r>
      <w:r>
        <w:rPr>
          <w:rFonts w:ascii="Arial" w:cs="Arial" w:eastAsia="Arial" w:hAnsi="Arial"/>
          <w:sz w:val="19"/>
          <w:szCs w:val="19"/>
          <w:color w:val="auto"/>
        </w:rPr>
        <w:t xml:space="preserve"> or “</w:t>
      </w:r>
      <w:r>
        <w:rPr>
          <w:rFonts w:ascii="Arial" w:cs="Arial" w:eastAsia="Arial" w:hAnsi="Arial"/>
          <w:sz w:val="19"/>
          <w:szCs w:val="19"/>
          <w:i w:val="1"/>
          <w:iCs w:val="1"/>
          <w:color w:val="auto"/>
        </w:rPr>
        <w:t>Underpayment”</w:t>
      </w:r>
      <w:r>
        <w:rPr>
          <w:rFonts w:ascii="Arial" w:cs="Arial" w:eastAsia="Arial" w:hAnsi="Arial"/>
          <w:sz w:val="19"/>
          <w:szCs w:val="19"/>
          <w:color w:val="auto"/>
        </w:rPr>
        <w:t>, respectively), then the provisions of this Subsection (C) shall apply. If it is established pursuant to a final determination of a court or an Internal Revenue Service (the “</w:t>
      </w:r>
      <w:r>
        <w:rPr>
          <w:rFonts w:ascii="Arial" w:cs="Arial" w:eastAsia="Arial" w:hAnsi="Arial"/>
          <w:sz w:val="19"/>
          <w:szCs w:val="19"/>
          <w:i w:val="1"/>
          <w:iCs w:val="1"/>
          <w:color w:val="auto"/>
        </w:rPr>
        <w:t>IRS”</w:t>
      </w:r>
      <w:r>
        <w:rPr>
          <w:rFonts w:ascii="Arial" w:cs="Arial" w:eastAsia="Arial" w:hAnsi="Arial"/>
          <w:sz w:val="19"/>
          <w:szCs w:val="19"/>
          <w:color w:val="auto"/>
        </w:rPr>
        <w:t>) proceeding which has been finally and conclusively resolved, that an Excess Payment has been made, such Excess Payment shall be deemed for all purposes to be a loan to the Executive made on the date the Executive received the Excess Payment and the Executive shall repay the Excess Payment to the Company on demand, together with interest on the Excess Payment at the applicable federal rate (as defined in Section 1274(d) of the Code) from the date of the Executive's receipt of such Excess Payment until the date of such repayment. In the event that it is determined by (i) the Accounting Firm, the Company (which shall include the position taken by the Company, or together with its consolidated group, on its federal income tax return) or the IRS, (ii) pursuant to a determination by a court, or (iii) upon the resolution to the satisfaction of the Executive of the Dispute, that an Underpayment has occurred, the Company shall pay an amount equal to the Underpayment to the Executive within 10 days of such determination or resolution together with interest on such amount at the applicable federal rate from the date such amount would have been paid to the Executive until the date of payment.</w:t>
      </w:r>
    </w:p>
    <w:p>
      <w:pPr>
        <w:spacing w:after="0" w:line="200" w:lineRule="exact"/>
        <w:rPr>
          <w:sz w:val="20"/>
          <w:szCs w:val="20"/>
          <w:color w:val="auto"/>
        </w:rPr>
      </w:pPr>
    </w:p>
    <w:p>
      <w:pPr>
        <w:spacing w:after="0" w:line="214" w:lineRule="exact"/>
        <w:rPr>
          <w:sz w:val="20"/>
          <w:szCs w:val="20"/>
          <w:color w:val="auto"/>
        </w:rPr>
      </w:pPr>
    </w:p>
    <w:p>
      <w:pPr>
        <w:ind w:right="60" w:firstLine="1305"/>
        <w:spacing w:after="0" w:line="248" w:lineRule="auto"/>
        <w:tabs>
          <w:tab w:leader="none" w:pos="1729"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Pooling Savings Clause</w:t>
      </w:r>
      <w:r>
        <w:rPr>
          <w:rFonts w:ascii="Arial" w:cs="Arial" w:eastAsia="Arial" w:hAnsi="Arial"/>
          <w:sz w:val="22"/>
          <w:szCs w:val="22"/>
          <w:color w:val="auto"/>
        </w:rPr>
        <w:t>. If the Company becomes a party to a transaction or series of transactions that are</w:t>
      </w:r>
      <w:r>
        <w:rPr>
          <w:rFonts w:ascii="Arial" w:cs="Arial" w:eastAsia="Arial" w:hAnsi="Arial"/>
          <w:sz w:val="22"/>
          <w:szCs w:val="22"/>
          <w:i w:val="1"/>
          <w:iCs w:val="1"/>
          <w:color w:val="auto"/>
        </w:rPr>
        <w:t xml:space="preserve"> </w:t>
      </w:r>
      <w:r>
        <w:rPr>
          <w:rFonts w:ascii="Arial" w:cs="Arial" w:eastAsia="Arial" w:hAnsi="Arial"/>
          <w:sz w:val="22"/>
          <w:szCs w:val="22"/>
          <w:color w:val="auto"/>
        </w:rPr>
        <w:t>intended to qualify for “pooling of interests” accounting treatment and, but for the Executive entering into this Agreement, would so qualify, then, to the extent that the Board determines that Section 6.1 of this Agreement would disqualify the transaction(s) from pooling of interests accounting treatment, then Section 6.1 shall be null and void and any Payments payable to the Executive shall be subject to Section 6.2</w:t>
      </w:r>
      <w:r>
        <w:rPr>
          <w:rFonts w:ascii="Arial" w:cs="Arial" w:eastAsia="Arial" w:hAnsi="Arial"/>
          <w:sz w:val="22"/>
          <w:szCs w:val="22"/>
          <w:i w:val="1"/>
          <w:iCs w:val="1"/>
          <w:color w:val="auto"/>
        </w:rPr>
        <w:t>.</w:t>
      </w:r>
    </w:p>
    <w:p>
      <w:pPr>
        <w:spacing w:after="0" w:line="232" w:lineRule="exact"/>
        <w:rPr>
          <w:rFonts w:ascii="Arial" w:cs="Arial" w:eastAsia="Arial" w:hAnsi="Arial"/>
          <w:sz w:val="22"/>
          <w:szCs w:val="22"/>
          <w:color w:val="auto"/>
        </w:rPr>
      </w:pPr>
    </w:p>
    <w:p>
      <w:pPr>
        <w:ind w:left="1740" w:hanging="435"/>
        <w:spacing w:after="0"/>
        <w:tabs>
          <w:tab w:leader="none" w:pos="1740" w:val="left"/>
        </w:tabs>
        <w:numPr>
          <w:ilvl w:val="0"/>
          <w:numId w:val="81"/>
        </w:numPr>
        <w:rPr>
          <w:rFonts w:ascii="Arial" w:cs="Arial" w:eastAsia="Arial" w:hAnsi="Arial"/>
          <w:sz w:val="22"/>
          <w:szCs w:val="22"/>
          <w:color w:val="auto"/>
        </w:rPr>
      </w:pPr>
      <w:r>
        <w:rPr>
          <w:rFonts w:ascii="Arial" w:cs="Arial" w:eastAsia="Arial" w:hAnsi="Arial"/>
          <w:sz w:val="22"/>
          <w:szCs w:val="22"/>
          <w:i w:val="1"/>
          <w:iCs w:val="1"/>
          <w:color w:val="auto"/>
        </w:rPr>
        <w:t>Successors; Binding Agreement.</w:t>
      </w:r>
    </w:p>
    <w:p>
      <w:pPr>
        <w:spacing w:after="0" w:line="260" w:lineRule="exact"/>
        <w:rPr>
          <w:sz w:val="20"/>
          <w:szCs w:val="20"/>
          <w:color w:val="auto"/>
        </w:rPr>
      </w:pPr>
    </w:p>
    <w:p>
      <w:pPr>
        <w:ind w:right="40" w:firstLine="1305"/>
        <w:spacing w:after="0" w:line="294" w:lineRule="auto"/>
        <w:tabs>
          <w:tab w:leader="none" w:pos="1749"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This Agreement shall be binding upon and shall inure to the benefit of the Company, its successors and assigns and the Company shall require any successor or assign to expressly assume and agree to perform this Agreement in the same manner and to the same extent that the Company would be required to perform it if no such succession or assignment had taken place. In such event, the term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as used herein shall include such successors and assigns. The term “</w:t>
      </w:r>
      <w:r>
        <w:rPr>
          <w:rFonts w:ascii="Arial" w:cs="Arial" w:eastAsia="Arial" w:hAnsi="Arial"/>
          <w:sz w:val="19"/>
          <w:szCs w:val="19"/>
          <w:i w:val="1"/>
          <w:iCs w:val="1"/>
          <w:color w:val="auto"/>
        </w:rPr>
        <w:t>successors and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assigns” </w:t>
      </w:r>
      <w:r>
        <w:rPr>
          <w:rFonts w:ascii="Arial" w:cs="Arial" w:eastAsia="Arial" w:hAnsi="Arial"/>
          <w:sz w:val="19"/>
          <w:szCs w:val="19"/>
          <w:color w:val="auto"/>
        </w:rPr>
        <w:t>as used herein shall mean a corporation or other entity acquiring all or substantially all the assets and business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(including this Agreement) whether by operation of law or otherwise.</w:t>
      </w:r>
    </w:p>
    <w:p>
      <w:pPr>
        <w:spacing w:after="0" w:line="190" w:lineRule="exact"/>
        <w:rPr>
          <w:rFonts w:ascii="Arial" w:cs="Arial" w:eastAsia="Arial" w:hAnsi="Arial"/>
          <w:sz w:val="19"/>
          <w:szCs w:val="19"/>
          <w:color w:val="auto"/>
        </w:rPr>
      </w:pPr>
    </w:p>
    <w:p>
      <w:pPr>
        <w:ind w:right="40" w:firstLine="1305"/>
        <w:spacing w:after="0" w:line="253" w:lineRule="auto"/>
        <w:tabs>
          <w:tab w:leader="none" w:pos="1765" w:val="left"/>
        </w:tabs>
        <w:numPr>
          <w:ilvl w:val="0"/>
          <w:numId w:val="82"/>
        </w:numPr>
        <w:rPr>
          <w:rFonts w:ascii="Arial" w:cs="Arial" w:eastAsia="Arial" w:hAnsi="Arial"/>
          <w:sz w:val="22"/>
          <w:szCs w:val="22"/>
          <w:color w:val="auto"/>
        </w:rPr>
      </w:pPr>
      <w:r>
        <w:rPr>
          <w:rFonts w:ascii="Arial" w:cs="Arial" w:eastAsia="Arial" w:hAnsi="Arial"/>
          <w:sz w:val="22"/>
          <w:szCs w:val="22"/>
          <w:color w:val="auto"/>
        </w:rPr>
        <w:t>Neither this Agreement nor any right or interest hereunder shall be assignable or transferable by the Executive, her beneficiaries or legal representatives, except by will or by the laws of descent and distribution. This Agreement shall inure to the benefit of and be enforceable by the Executive's legal personal representative.</w:t>
      </w:r>
    </w:p>
    <w:p>
      <w:pPr>
        <w:spacing w:after="0" w:line="226" w:lineRule="exact"/>
        <w:rPr>
          <w:rFonts w:ascii="Arial" w:cs="Arial" w:eastAsia="Arial" w:hAnsi="Arial"/>
          <w:sz w:val="22"/>
          <w:szCs w:val="22"/>
          <w:color w:val="auto"/>
        </w:rPr>
      </w:pPr>
    </w:p>
    <w:p>
      <w:pPr>
        <w:ind w:firstLine="1305"/>
        <w:spacing w:after="0" w:line="302" w:lineRule="auto"/>
        <w:tabs>
          <w:tab w:leader="none" w:pos="1752"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 the event that one or more divisions, groups and business units of the Company (or parts thereof) that the Executive is primarily associated with (or part thereof) are sold, divested, or otherwise disposed of by the Company subsequent to a Change in Control, the Company shall require such purchaser or acquiror, as a condition precedent to such purchase or acquisition, to assume, and agree to perform the Company's obligations under this Agreement, in the same manner, and to the same extent</w:t>
      </w:r>
    </w:p>
    <w:p>
      <w:pPr>
        <w:sectPr>
          <w:pgSz w:w="11900" w:h="16838" w:orient="portrait"/>
          <w:cols w:equalWidth="0" w:num="1">
            <w:col w:w="11400"/>
          </w:cols>
          <w:pgMar w:left="240" w:top="591" w:right="259" w:bottom="1440" w:gutter="0" w:footer="0" w:header="0"/>
        </w:sectPr>
      </w:pPr>
    </w:p>
    <w:bookmarkStart w:id="94" w:name="page95"/>
    <w:bookmarkEnd w:id="94"/>
    <w:p>
      <w:pPr>
        <w:jc w:val="both"/>
        <w:ind w:right="500"/>
        <w:spacing w:after="0" w:line="253" w:lineRule="auto"/>
        <w:rPr>
          <w:sz w:val="20"/>
          <w:szCs w:val="20"/>
          <w:color w:val="auto"/>
        </w:rPr>
      </w:pPr>
      <w:r>
        <w:rPr>
          <w:rFonts w:ascii="Arial" w:cs="Arial" w:eastAsia="Arial" w:hAnsi="Arial"/>
          <w:sz w:val="22"/>
          <w:szCs w:val="22"/>
          <w:color w:val="auto"/>
        </w:rPr>
        <w:t>that the Company would be required to perform if no such acquisition or purchase had taken place. In such circumstances, the purchaser or acquiror shall be solely responsible for providing any payments or benefits payable under this Agreement to the Executive.</w:t>
      </w:r>
    </w:p>
    <w:p>
      <w:pPr>
        <w:spacing w:after="0" w:line="226" w:lineRule="exact"/>
        <w:rPr>
          <w:sz w:val="20"/>
          <w:szCs w:val="20"/>
          <w:color w:val="auto"/>
        </w:rPr>
      </w:pPr>
    </w:p>
    <w:p>
      <w:pPr>
        <w:ind w:right="220" w:firstLine="1305"/>
        <w:spacing w:after="0" w:line="285" w:lineRule="auto"/>
        <w:tabs>
          <w:tab w:leader="none" w:pos="1729" w:val="left"/>
        </w:tabs>
        <w:numPr>
          <w:ilvl w:val="1"/>
          <w:numId w:val="83"/>
        </w:numPr>
        <w:rPr>
          <w:rFonts w:ascii="Arial" w:cs="Arial" w:eastAsia="Arial" w:hAnsi="Arial"/>
          <w:sz w:val="19"/>
          <w:szCs w:val="19"/>
          <w:color w:val="auto"/>
        </w:rPr>
      </w:pPr>
      <w:r>
        <w:rPr>
          <w:rFonts w:ascii="Arial" w:cs="Arial" w:eastAsia="Arial" w:hAnsi="Arial"/>
          <w:sz w:val="19"/>
          <w:szCs w:val="19"/>
          <w:i w:val="1"/>
          <w:iCs w:val="1"/>
          <w:color w:val="auto"/>
        </w:rPr>
        <w:t>Fees and Expense</w:t>
      </w:r>
      <w:r>
        <w:rPr>
          <w:rFonts w:ascii="Arial" w:cs="Arial" w:eastAsia="Arial" w:hAnsi="Arial"/>
          <w:sz w:val="19"/>
          <w:szCs w:val="19"/>
          <w:color w:val="auto"/>
        </w:rPr>
        <w:t>. The Company shall pay all legal fees and related expenses (including the costs of experts,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evidence and counsel) incurred by the Executive as they become due as a result of (a) the Executive's termination of employment (including all such fees and expenses, if any, incurred in contesting or disputing any such termination of employment), (b) the Executive seeking to obtain or enforce any right or benefit provided by this Agreement or by any other plan or arrangement maintained by the Company under which the Executive is or may be entitled to receive benefits, or (c) the Executive’s hearing before the Board as contemplated in Section 2.1 of this Agreement;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circumstances set forth in clauses</w:t>
      </w:r>
    </w:p>
    <w:p>
      <w:pPr>
        <w:ind w:right="260" w:firstLine="8"/>
        <w:spacing w:after="0" w:line="246" w:lineRule="auto"/>
        <w:tabs>
          <w:tab w:leader="none" w:pos="29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and (b) (other than as a result of the Executive’s termination of employment under circumstances described in Section 2.2(e)) occurred on or after a Change in Control.</w:t>
      </w:r>
    </w:p>
    <w:p>
      <w:pPr>
        <w:spacing w:after="0" w:line="233" w:lineRule="exact"/>
        <w:rPr>
          <w:rFonts w:ascii="Arial" w:cs="Arial" w:eastAsia="Arial" w:hAnsi="Arial"/>
          <w:sz w:val="22"/>
          <w:szCs w:val="22"/>
          <w:color w:val="auto"/>
        </w:rPr>
      </w:pPr>
    </w:p>
    <w:p>
      <w:pPr>
        <w:ind w:right="100" w:firstLine="1305"/>
        <w:spacing w:after="0" w:line="294" w:lineRule="auto"/>
        <w:tabs>
          <w:tab w:leader="none" w:pos="1837" w:val="left"/>
        </w:tabs>
        <w:numPr>
          <w:ilvl w:val="1"/>
          <w:numId w:val="84"/>
        </w:numPr>
        <w:rPr>
          <w:rFonts w:ascii="Arial" w:cs="Arial" w:eastAsia="Arial" w:hAnsi="Arial"/>
          <w:sz w:val="19"/>
          <w:szCs w:val="19"/>
          <w:color w:val="auto"/>
        </w:rPr>
      </w:pPr>
      <w:r>
        <w:rPr>
          <w:rFonts w:ascii="Arial" w:cs="Arial" w:eastAsia="Arial" w:hAnsi="Arial"/>
          <w:sz w:val="19"/>
          <w:szCs w:val="19"/>
          <w:i w:val="1"/>
          <w:iCs w:val="1"/>
          <w:color w:val="auto"/>
        </w:rPr>
        <w:t>Notice</w:t>
      </w:r>
      <w:r>
        <w:rPr>
          <w:rFonts w:ascii="Arial" w:cs="Arial" w:eastAsia="Arial" w:hAnsi="Arial"/>
          <w:sz w:val="19"/>
          <w:szCs w:val="19"/>
          <w:color w:val="auto"/>
        </w:rPr>
        <w:t>. For the purposes of this Agreement, notices and all other communications provided for in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Agreement (including the Notice of Termination) shall be in writing and shall be deemed to have been duly given when personally delivered or sent by certified mail, return receipt requested, postage prepaid, addressed to the respective addresses last given by each party to the other,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all notices to the Company shall be directed to the attention of the Board with a copy to the Secretary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190" w:lineRule="exact"/>
        <w:rPr>
          <w:rFonts w:ascii="Arial" w:cs="Arial" w:eastAsia="Arial" w:hAnsi="Arial"/>
          <w:sz w:val="19"/>
          <w:szCs w:val="19"/>
          <w:color w:val="auto"/>
        </w:rPr>
      </w:pPr>
    </w:p>
    <w:p>
      <w:pPr>
        <w:ind w:right="20" w:firstLine="1305"/>
        <w:spacing w:after="0" w:line="259" w:lineRule="auto"/>
        <w:tabs>
          <w:tab w:leader="none" w:pos="1829" w:val="left"/>
        </w:tabs>
        <w:numPr>
          <w:ilvl w:val="1"/>
          <w:numId w:val="84"/>
        </w:numPr>
        <w:rPr>
          <w:rFonts w:ascii="Arial" w:cs="Arial" w:eastAsia="Arial" w:hAnsi="Arial"/>
          <w:sz w:val="21"/>
          <w:szCs w:val="21"/>
          <w:color w:val="auto"/>
        </w:rPr>
      </w:pPr>
      <w:r>
        <w:rPr>
          <w:rFonts w:ascii="Arial" w:cs="Arial" w:eastAsia="Arial" w:hAnsi="Arial"/>
          <w:sz w:val="21"/>
          <w:szCs w:val="21"/>
          <w:i w:val="1"/>
          <w:iCs w:val="1"/>
          <w:color w:val="auto"/>
        </w:rPr>
        <w:t>Non-exclusivity of Rights</w:t>
      </w:r>
      <w:r>
        <w:rPr>
          <w:rFonts w:ascii="Arial" w:cs="Arial" w:eastAsia="Arial" w:hAnsi="Arial"/>
          <w:sz w:val="21"/>
          <w:szCs w:val="21"/>
          <w:color w:val="auto"/>
        </w:rPr>
        <w:t>. Nothing in this Agreement shall prevent or limit the Executive’s continuing or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future participation in any benefit, bonus, incentive or other plan or program provided by the Company or any of its subsidiaries and for which the Executive may qualify, nor shall anything herein limit or reduce such rights as the Executive may have under any other agreements with the Company or any of its subsidiaries; </w:t>
      </w:r>
      <w:r>
        <w:rPr>
          <w:rFonts w:ascii="Arial" w:cs="Arial" w:eastAsia="Arial" w:hAnsi="Arial"/>
          <w:sz w:val="21"/>
          <w:szCs w:val="21"/>
          <w:i w:val="1"/>
          <w:iCs w:val="1"/>
          <w:color w:val="auto"/>
        </w:rPr>
        <w:t>provided, however</w:t>
      </w:r>
      <w:r>
        <w:rPr>
          <w:rFonts w:ascii="Arial" w:cs="Arial" w:eastAsia="Arial" w:hAnsi="Arial"/>
          <w:sz w:val="21"/>
          <w:szCs w:val="21"/>
          <w:color w:val="auto"/>
        </w:rPr>
        <w:t>, to the extent that the Executive receives benefits under this Agreement, she will not be entitled to severance pay or benefits under any other severance plan, program, policy or arrangement of the Company, including, without limitation, the Company’s Special Severance Protection Program. Amounts which are vested benefits or which the Executive is otherwise entitled to receive under any plan, program or arrangement of the Company or any of its subsidiaries shall be payable in accordance with such plan, program or arrangement except as expressly modified by this Agreement.</w:t>
      </w:r>
    </w:p>
    <w:p>
      <w:pPr>
        <w:spacing w:after="0" w:line="220" w:lineRule="exact"/>
        <w:rPr>
          <w:rFonts w:ascii="Arial" w:cs="Arial" w:eastAsia="Arial" w:hAnsi="Arial"/>
          <w:sz w:val="21"/>
          <w:szCs w:val="21"/>
          <w:color w:val="auto"/>
        </w:rPr>
      </w:pPr>
    </w:p>
    <w:p>
      <w:pPr>
        <w:ind w:firstLine="1305"/>
        <w:spacing w:after="0" w:line="312" w:lineRule="auto"/>
        <w:tabs>
          <w:tab w:leader="none" w:pos="1837" w:val="left"/>
        </w:tabs>
        <w:numPr>
          <w:ilvl w:val="1"/>
          <w:numId w:val="84"/>
        </w:numPr>
        <w:rPr>
          <w:rFonts w:ascii="Arial" w:cs="Arial" w:eastAsia="Arial" w:hAnsi="Arial"/>
          <w:sz w:val="19"/>
          <w:szCs w:val="19"/>
          <w:color w:val="auto"/>
        </w:rPr>
      </w:pPr>
      <w:r>
        <w:rPr>
          <w:rFonts w:ascii="Arial" w:cs="Arial" w:eastAsia="Arial" w:hAnsi="Arial"/>
          <w:sz w:val="19"/>
          <w:szCs w:val="19"/>
          <w:i w:val="1"/>
          <w:iCs w:val="1"/>
          <w:color w:val="auto"/>
        </w:rPr>
        <w:t>Settlement of Claims</w:t>
      </w:r>
      <w:r>
        <w:rPr>
          <w:rFonts w:ascii="Arial" w:cs="Arial" w:eastAsia="Arial" w:hAnsi="Arial"/>
          <w:sz w:val="19"/>
          <w:szCs w:val="19"/>
          <w:color w:val="auto"/>
        </w:rPr>
        <w:t>. The Company’s obligation to make the payments provided for in this Agreement and</w:t>
      </w:r>
      <w:r>
        <w:rPr>
          <w:rFonts w:ascii="Arial" w:cs="Arial" w:eastAsia="Arial" w:hAnsi="Arial"/>
          <w:sz w:val="19"/>
          <w:szCs w:val="19"/>
          <w:i w:val="1"/>
          <w:iCs w:val="1"/>
          <w:color w:val="auto"/>
        </w:rPr>
        <w:t xml:space="preserve"> </w:t>
      </w:r>
      <w:r>
        <w:rPr>
          <w:rFonts w:ascii="Arial" w:cs="Arial" w:eastAsia="Arial" w:hAnsi="Arial"/>
          <w:sz w:val="19"/>
          <w:szCs w:val="19"/>
          <w:color w:val="auto"/>
        </w:rPr>
        <w:t>otherwise to perform its obligations hereunder shall not be affected by any circumstances, including, without limitation, any set-off, counterclaim, recoupment, defense or other right which the Company may have against the Executive or others.</w:t>
      </w:r>
    </w:p>
    <w:p>
      <w:pPr>
        <w:spacing w:after="0" w:line="174" w:lineRule="exact"/>
        <w:rPr>
          <w:rFonts w:ascii="Arial" w:cs="Arial" w:eastAsia="Arial" w:hAnsi="Arial"/>
          <w:sz w:val="19"/>
          <w:szCs w:val="19"/>
          <w:color w:val="auto"/>
        </w:rPr>
      </w:pPr>
    </w:p>
    <w:p>
      <w:pPr>
        <w:ind w:right="40" w:firstLine="1305"/>
        <w:spacing w:after="0" w:line="294" w:lineRule="auto"/>
        <w:tabs>
          <w:tab w:leader="none" w:pos="1837" w:val="left"/>
        </w:tabs>
        <w:numPr>
          <w:ilvl w:val="1"/>
          <w:numId w:val="84"/>
        </w:numPr>
        <w:rPr>
          <w:rFonts w:ascii="Arial" w:cs="Arial" w:eastAsia="Arial" w:hAnsi="Arial"/>
          <w:sz w:val="19"/>
          <w:szCs w:val="19"/>
          <w:color w:val="auto"/>
        </w:rPr>
      </w:pPr>
      <w:r>
        <w:rPr>
          <w:rFonts w:ascii="Arial" w:cs="Arial" w:eastAsia="Arial" w:hAnsi="Arial"/>
          <w:sz w:val="19"/>
          <w:szCs w:val="19"/>
          <w:i w:val="1"/>
          <w:iCs w:val="1"/>
          <w:color w:val="auto"/>
        </w:rPr>
        <w:t>Miscellaneous</w:t>
      </w:r>
      <w:r>
        <w:rPr>
          <w:rFonts w:ascii="Arial" w:cs="Arial" w:eastAsia="Arial" w:hAnsi="Arial"/>
          <w:sz w:val="19"/>
          <w:szCs w:val="19"/>
          <w:color w:val="auto"/>
        </w:rPr>
        <w:t>. No provision of this Agreement may be modified, waived, amended or discharged unless such</w:t>
      </w:r>
      <w:r>
        <w:rPr>
          <w:rFonts w:ascii="Arial" w:cs="Arial" w:eastAsia="Arial" w:hAnsi="Arial"/>
          <w:sz w:val="19"/>
          <w:szCs w:val="19"/>
          <w:i w:val="1"/>
          <w:iCs w:val="1"/>
          <w:color w:val="auto"/>
        </w:rPr>
        <w:t xml:space="preserve"> </w:t>
      </w:r>
      <w:r>
        <w:rPr>
          <w:rFonts w:ascii="Arial" w:cs="Arial" w:eastAsia="Arial" w:hAnsi="Arial"/>
          <w:sz w:val="19"/>
          <w:szCs w:val="19"/>
          <w:color w:val="auto"/>
        </w:rPr>
        <w:t>waiver, modification or discharge is agreed to in writing and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ectPr>
          <w:pgSz w:w="11900" w:h="16838" w:orient="portrait"/>
          <w:cols w:equalWidth="0" w:num="1">
            <w:col w:w="11400"/>
          </w:cols>
          <w:pgMar w:left="240" w:top="591" w:right="259" w:bottom="1440" w:gutter="0" w:footer="0" w:header="0"/>
        </w:sectPr>
      </w:pPr>
    </w:p>
    <w:bookmarkStart w:id="95" w:name="page96"/>
    <w:bookmarkEnd w:id="95"/>
    <w:p>
      <w:pPr>
        <w:ind w:left="-1200" w:right="20" w:firstLine="1305"/>
        <w:spacing w:after="0" w:line="343" w:lineRule="auto"/>
        <w:tabs>
          <w:tab w:leader="none" w:pos="637" w:val="left"/>
        </w:tabs>
        <w:numPr>
          <w:ilvl w:val="0"/>
          <w:numId w:val="85"/>
        </w:numPr>
        <w:rPr>
          <w:rFonts w:ascii="Arial" w:cs="Arial" w:eastAsia="Arial" w:hAnsi="Arial"/>
          <w:sz w:val="19"/>
          <w:szCs w:val="19"/>
          <w:color w:val="auto"/>
        </w:rPr>
      </w:pPr>
      <w:r>
        <w:rPr>
          <w:rFonts w:ascii="Arial" w:cs="Arial" w:eastAsia="Arial" w:hAnsi="Arial"/>
          <w:sz w:val="19"/>
          <w:szCs w:val="19"/>
          <w:i w:val="1"/>
          <w:iCs w:val="1"/>
          <w:color w:val="auto"/>
        </w:rPr>
        <w:t>Employment Status</w:t>
      </w:r>
      <w:r>
        <w:rPr>
          <w:rFonts w:ascii="Arial" w:cs="Arial" w:eastAsia="Arial" w:hAnsi="Arial"/>
          <w:sz w:val="19"/>
          <w:szCs w:val="19"/>
          <w:color w:val="auto"/>
        </w:rPr>
        <w:t>. This Agreement does not constitute a contract of employment or impose on the Company</w:t>
      </w:r>
      <w:r>
        <w:rPr>
          <w:rFonts w:ascii="Arial" w:cs="Arial" w:eastAsia="Arial" w:hAnsi="Arial"/>
          <w:sz w:val="19"/>
          <w:szCs w:val="19"/>
          <w:i w:val="1"/>
          <w:iCs w:val="1"/>
          <w:color w:val="auto"/>
        </w:rPr>
        <w:t xml:space="preserve"> </w:t>
      </w:r>
      <w:r>
        <w:rPr>
          <w:rFonts w:ascii="Arial" w:cs="Arial" w:eastAsia="Arial" w:hAnsi="Arial"/>
          <w:sz w:val="19"/>
          <w:szCs w:val="19"/>
          <w:color w:val="auto"/>
        </w:rPr>
        <w:t>any obligation to retain the Executive, or any obligation on the Executive to remain in the employment of the Company.</w:t>
      </w:r>
    </w:p>
    <w:p>
      <w:pPr>
        <w:spacing w:after="0" w:line="145" w:lineRule="exact"/>
        <w:rPr>
          <w:rFonts w:ascii="Arial" w:cs="Arial" w:eastAsia="Arial" w:hAnsi="Arial"/>
          <w:sz w:val="19"/>
          <w:szCs w:val="19"/>
          <w:color w:val="auto"/>
        </w:rPr>
      </w:pPr>
    </w:p>
    <w:p>
      <w:pPr>
        <w:ind w:left="-1200" w:right="100" w:firstLine="1305"/>
        <w:spacing w:after="0" w:line="248" w:lineRule="auto"/>
        <w:tabs>
          <w:tab w:leader="none" w:pos="637"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This Agreement shall be governed by and construed and enforced in accordance with the</w:t>
      </w:r>
      <w:r>
        <w:rPr>
          <w:rFonts w:ascii="Arial" w:cs="Arial" w:eastAsia="Arial" w:hAnsi="Arial"/>
          <w:sz w:val="22"/>
          <w:szCs w:val="22"/>
          <w:i w:val="1"/>
          <w:iCs w:val="1"/>
          <w:color w:val="auto"/>
        </w:rPr>
        <w:t xml:space="preserve"> </w:t>
      </w:r>
      <w:r>
        <w:rPr>
          <w:rFonts w:ascii="Arial" w:cs="Arial" w:eastAsia="Arial" w:hAnsi="Arial"/>
          <w:sz w:val="22"/>
          <w:szCs w:val="22"/>
          <w:color w:val="auto"/>
        </w:rPr>
        <w:t>laws of the State of New Jersey, without reference to the principles of conflicts of laws. Each party hereto consents to in personam jurisdiction and venue in the United States District Court of New Jersey. In the event that the United States District Court of New Jersey should lack subject matter jurisdiction, the parties consent to jurisdiction and venue in a court of competent jurisdiction in Camden County in the State of New Jersey.</w:t>
      </w:r>
    </w:p>
    <w:p>
      <w:pPr>
        <w:spacing w:after="0" w:line="232" w:lineRule="exact"/>
        <w:rPr>
          <w:rFonts w:ascii="Arial" w:cs="Arial" w:eastAsia="Arial" w:hAnsi="Arial"/>
          <w:sz w:val="22"/>
          <w:szCs w:val="22"/>
          <w:color w:val="auto"/>
        </w:rPr>
      </w:pPr>
    </w:p>
    <w:p>
      <w:pPr>
        <w:ind w:left="-1200" w:right="240" w:firstLine="1305"/>
        <w:spacing w:after="0" w:line="287" w:lineRule="auto"/>
        <w:tabs>
          <w:tab w:leader="none" w:pos="637" w:val="left"/>
        </w:tabs>
        <w:numPr>
          <w:ilvl w:val="0"/>
          <w:numId w:val="85"/>
        </w:numPr>
        <w:rPr>
          <w:rFonts w:ascii="Arial" w:cs="Arial" w:eastAsia="Arial" w:hAnsi="Arial"/>
          <w:sz w:val="21"/>
          <w:szCs w:val="21"/>
          <w:color w:val="auto"/>
        </w:rPr>
      </w:pPr>
      <w:r>
        <w:rPr>
          <w:rFonts w:ascii="Arial" w:cs="Arial" w:eastAsia="Arial" w:hAnsi="Arial"/>
          <w:sz w:val="21"/>
          <w:szCs w:val="21"/>
          <w:i w:val="1"/>
          <w:iCs w:val="1"/>
          <w:color w:val="auto"/>
        </w:rPr>
        <w:t>Withholding</w:t>
      </w:r>
      <w:r>
        <w:rPr>
          <w:rFonts w:ascii="Arial" w:cs="Arial" w:eastAsia="Arial" w:hAnsi="Arial"/>
          <w:sz w:val="21"/>
          <w:szCs w:val="21"/>
          <w:color w:val="auto"/>
        </w:rPr>
        <w:t>. The Company may withhold from all payments due to Executive (or her beneficiary or estate)</w:t>
      </w:r>
      <w:r>
        <w:rPr>
          <w:rFonts w:ascii="Arial" w:cs="Arial" w:eastAsia="Arial" w:hAnsi="Arial"/>
          <w:sz w:val="21"/>
          <w:szCs w:val="21"/>
          <w:i w:val="1"/>
          <w:iCs w:val="1"/>
          <w:color w:val="auto"/>
        </w:rPr>
        <w:t xml:space="preserve"> </w:t>
      </w:r>
      <w:r>
        <w:rPr>
          <w:rFonts w:ascii="Arial" w:cs="Arial" w:eastAsia="Arial" w:hAnsi="Arial"/>
          <w:sz w:val="21"/>
          <w:szCs w:val="21"/>
          <w:color w:val="auto"/>
        </w:rPr>
        <w:t>under this Agreement all applicable federal, state, local and foreign income and employment taxes.</w:t>
      </w:r>
    </w:p>
    <w:p>
      <w:pPr>
        <w:spacing w:after="0" w:line="192" w:lineRule="exact"/>
        <w:rPr>
          <w:rFonts w:ascii="Arial" w:cs="Arial" w:eastAsia="Arial" w:hAnsi="Arial"/>
          <w:sz w:val="21"/>
          <w:szCs w:val="21"/>
          <w:color w:val="auto"/>
        </w:rPr>
      </w:pPr>
    </w:p>
    <w:p>
      <w:pPr>
        <w:ind w:left="-1200" w:right="1380" w:firstLine="1305"/>
        <w:spacing w:after="0" w:line="343" w:lineRule="auto"/>
        <w:tabs>
          <w:tab w:leader="none" w:pos="637" w:val="left"/>
        </w:tabs>
        <w:numPr>
          <w:ilvl w:val="0"/>
          <w:numId w:val="85"/>
        </w:numPr>
        <w:rPr>
          <w:rFonts w:ascii="Arial" w:cs="Arial" w:eastAsia="Arial" w:hAnsi="Arial"/>
          <w:sz w:val="19"/>
          <w:szCs w:val="19"/>
          <w:color w:val="auto"/>
        </w:rPr>
      </w:pPr>
      <w:r>
        <w:rPr>
          <w:rFonts w:ascii="Arial" w:cs="Arial" w:eastAsia="Arial" w:hAnsi="Arial"/>
          <w:sz w:val="19"/>
          <w:szCs w:val="19"/>
          <w:i w:val="1"/>
          <w:iCs w:val="1"/>
          <w:color w:val="auto"/>
        </w:rPr>
        <w:t>Severability</w:t>
      </w:r>
      <w:r>
        <w:rPr>
          <w:rFonts w:ascii="Arial" w:cs="Arial" w:eastAsia="Arial" w:hAnsi="Arial"/>
          <w:sz w:val="19"/>
          <w:szCs w:val="19"/>
          <w:color w:val="auto"/>
        </w:rPr>
        <w:t>. The provisions of this Agreement shall be deemed severable and the invalidity or</w:t>
      </w:r>
      <w:r>
        <w:rPr>
          <w:rFonts w:ascii="Arial" w:cs="Arial" w:eastAsia="Arial" w:hAnsi="Arial"/>
          <w:sz w:val="19"/>
          <w:szCs w:val="19"/>
          <w:i w:val="1"/>
          <w:iCs w:val="1"/>
          <w:color w:val="auto"/>
        </w:rPr>
        <w:t xml:space="preserve"> </w:t>
      </w:r>
      <w:r>
        <w:rPr>
          <w:rFonts w:ascii="Arial" w:cs="Arial" w:eastAsia="Arial" w:hAnsi="Arial"/>
          <w:sz w:val="19"/>
          <w:szCs w:val="19"/>
          <w:color w:val="auto"/>
        </w:rPr>
        <w:t>unenforceability of any provision shall not affect the validity or enforceability of the other provisions hereof.</w:t>
      </w:r>
    </w:p>
    <w:p>
      <w:pPr>
        <w:spacing w:after="0" w:line="145" w:lineRule="exact"/>
        <w:rPr>
          <w:rFonts w:ascii="Arial" w:cs="Arial" w:eastAsia="Arial" w:hAnsi="Arial"/>
          <w:sz w:val="19"/>
          <w:szCs w:val="19"/>
          <w:color w:val="auto"/>
        </w:rPr>
      </w:pPr>
    </w:p>
    <w:p>
      <w:pPr>
        <w:ind w:left="-1200" w:right="120" w:firstLine="1305"/>
        <w:spacing w:after="0" w:line="263" w:lineRule="auto"/>
        <w:tabs>
          <w:tab w:leader="none" w:pos="637"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Counterparts</w:t>
      </w:r>
      <w:r>
        <w:rPr>
          <w:rFonts w:ascii="Arial" w:cs="Arial" w:eastAsia="Arial" w:hAnsi="Arial"/>
          <w:sz w:val="22"/>
          <w:szCs w:val="22"/>
          <w:color w:val="auto"/>
        </w:rPr>
        <w:t>. This Agreement may be executed in several counterparts, each of which shall be deemed to be</w:t>
      </w:r>
      <w:r>
        <w:rPr>
          <w:rFonts w:ascii="Arial" w:cs="Arial" w:eastAsia="Arial" w:hAnsi="Arial"/>
          <w:sz w:val="22"/>
          <w:szCs w:val="22"/>
          <w:i w:val="1"/>
          <w:iCs w:val="1"/>
          <w:color w:val="auto"/>
        </w:rPr>
        <w:t xml:space="preserve"> </w:t>
      </w:r>
      <w:r>
        <w:rPr>
          <w:rFonts w:ascii="Arial" w:cs="Arial" w:eastAsia="Arial" w:hAnsi="Arial"/>
          <w:sz w:val="22"/>
          <w:szCs w:val="22"/>
          <w:color w:val="auto"/>
        </w:rPr>
        <w:t>an original but all of which together will constitute one and the same instrument.</w:t>
      </w:r>
    </w:p>
    <w:p>
      <w:pPr>
        <w:spacing w:after="0" w:line="215" w:lineRule="exact"/>
        <w:rPr>
          <w:rFonts w:ascii="Arial" w:cs="Arial" w:eastAsia="Arial" w:hAnsi="Arial"/>
          <w:sz w:val="22"/>
          <w:szCs w:val="22"/>
          <w:color w:val="auto"/>
        </w:rPr>
      </w:pPr>
    </w:p>
    <w:p>
      <w:pPr>
        <w:ind w:left="-1200" w:firstLine="1305"/>
        <w:spacing w:after="0" w:line="263" w:lineRule="auto"/>
        <w:tabs>
          <w:tab w:leader="none" w:pos="637"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Headings</w:t>
      </w:r>
      <w:r>
        <w:rPr>
          <w:rFonts w:ascii="Arial" w:cs="Arial" w:eastAsia="Arial" w:hAnsi="Arial"/>
          <w:sz w:val="22"/>
          <w:szCs w:val="22"/>
          <w:color w:val="auto"/>
        </w:rPr>
        <w:t>. The headings contained in this Agreement are intended solely for convenience and shall not control</w:t>
      </w:r>
      <w:r>
        <w:rPr>
          <w:rFonts w:ascii="Arial" w:cs="Arial" w:eastAsia="Arial" w:hAnsi="Arial"/>
          <w:sz w:val="22"/>
          <w:szCs w:val="22"/>
          <w:i w:val="1"/>
          <w:iCs w:val="1"/>
          <w:color w:val="auto"/>
        </w:rPr>
        <w:t xml:space="preserve"> </w:t>
      </w:r>
      <w:r>
        <w:rPr>
          <w:rFonts w:ascii="Arial" w:cs="Arial" w:eastAsia="Arial" w:hAnsi="Arial"/>
          <w:sz w:val="22"/>
          <w:szCs w:val="22"/>
          <w:color w:val="auto"/>
        </w:rPr>
        <w:t>or affect the meaning or construction of the provisions of this Agreement.</w:t>
      </w:r>
    </w:p>
    <w:p>
      <w:pPr>
        <w:spacing w:after="0" w:line="215" w:lineRule="exact"/>
        <w:rPr>
          <w:rFonts w:ascii="Arial" w:cs="Arial" w:eastAsia="Arial" w:hAnsi="Arial"/>
          <w:sz w:val="22"/>
          <w:szCs w:val="22"/>
          <w:color w:val="auto"/>
        </w:rPr>
      </w:pPr>
    </w:p>
    <w:p>
      <w:pPr>
        <w:ind w:left="-1200" w:right="120" w:firstLine="1305"/>
        <w:spacing w:after="0" w:line="250" w:lineRule="auto"/>
        <w:tabs>
          <w:tab w:leader="none" w:pos="583" w:val="left"/>
        </w:tabs>
        <w:numPr>
          <w:ilvl w:val="0"/>
          <w:numId w:val="85"/>
        </w:numPr>
        <w:rPr>
          <w:rFonts w:ascii="Arial" w:cs="Arial" w:eastAsia="Arial" w:hAnsi="Arial"/>
          <w:sz w:val="22"/>
          <w:szCs w:val="22"/>
          <w:color w:val="auto"/>
        </w:rPr>
      </w:pPr>
      <w:r>
        <w:rPr>
          <w:rFonts w:ascii="Arial" w:cs="Arial" w:eastAsia="Arial" w:hAnsi="Arial"/>
          <w:sz w:val="22"/>
          <w:szCs w:val="22"/>
          <w:i w:val="1"/>
          <w:iCs w:val="1"/>
          <w:color w:val="auto"/>
        </w:rPr>
        <w:t>Entire Agreement</w:t>
      </w:r>
      <w:r>
        <w:rPr>
          <w:rFonts w:ascii="Arial" w:cs="Arial" w:eastAsia="Arial" w:hAnsi="Arial"/>
          <w:sz w:val="22"/>
          <w:szCs w:val="22"/>
          <w:color w:val="auto"/>
        </w:rPr>
        <w:t>. This Agreement constitutes the entire agreement between the parties hereto with respect to</w:t>
      </w:r>
      <w:r>
        <w:rPr>
          <w:rFonts w:ascii="Arial" w:cs="Arial" w:eastAsia="Arial" w:hAnsi="Arial"/>
          <w:sz w:val="22"/>
          <w:szCs w:val="22"/>
          <w:i w:val="1"/>
          <w:iCs w:val="1"/>
          <w:color w:val="auto"/>
        </w:rPr>
        <w:t xml:space="preserve"> </w:t>
      </w:r>
      <w:r>
        <w:rPr>
          <w:rFonts w:ascii="Arial" w:cs="Arial" w:eastAsia="Arial" w:hAnsi="Arial"/>
          <w:sz w:val="22"/>
          <w:szCs w:val="22"/>
          <w:color w:val="auto"/>
        </w:rPr>
        <w:t>the subject matter hereof and, in the event of a Change in Control, supersedes all prior agreements (including, without limitation, the Company’s Special Severance Protection Program), understandings and arrangements, whether oral or written, between the parties hereto with respect to such subject matter.</w:t>
      </w:r>
    </w:p>
    <w:p>
      <w:pPr>
        <w:sectPr>
          <w:pgSz w:w="11900" w:h="16838" w:orient="portrait"/>
          <w:cols w:equalWidth="0" w:num="1">
            <w:col w:w="10180"/>
          </w:cols>
          <w:pgMar w:left="1440" w:top="591" w:right="279" w:bottom="1440" w:gutter="0" w:footer="0" w:header="0"/>
        </w:sectPr>
      </w:pPr>
    </w:p>
    <w:bookmarkStart w:id="96" w:name="page97"/>
    <w:bookmarkEnd w:id="96"/>
    <w:p>
      <w:pPr>
        <w:ind w:firstLine="1297"/>
        <w:spacing w:after="0" w:line="263"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the Executive has executed this Agreement as of the day and year first above written.</w:t>
      </w:r>
    </w:p>
    <w:p>
      <w:pPr>
        <w:sectPr>
          <w:pgSz w:w="11900" w:h="16838" w:orient="portrait"/>
          <w:cols w:equalWidth="0" w:num="1">
            <w:col w:w="11100"/>
          </w:cols>
          <w:pgMar w:left="240" w:top="591" w:right="55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Attest: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Campbell Soup Company</w:t>
      </w:r>
    </w:p>
    <w:p>
      <w:pPr>
        <w:spacing w:after="0" w:line="200" w:lineRule="exact"/>
        <w:rPr>
          <w:sz w:val="20"/>
          <w:szCs w:val="20"/>
          <w:color w:val="auto"/>
        </w:rPr>
      </w:pPr>
    </w:p>
    <w:p>
      <w:pPr>
        <w:sectPr>
          <w:pgSz w:w="11900" w:h="16838" w:orient="portrait"/>
          <w:cols w:equalWidth="0" w:num="2">
            <w:col w:w="1380" w:space="720"/>
            <w:col w:w="9000"/>
          </w:cols>
          <w:pgMar w:left="240" w:top="591" w:right="559" w:bottom="1440" w:gutter="0" w:footer="0" w:header="0"/>
          <w:type w:val="continuous"/>
        </w:sectPr>
      </w:pPr>
    </w:p>
    <w:p>
      <w:pPr>
        <w:spacing w:after="0" w:line="351" w:lineRule="exact"/>
        <w:rPr>
          <w:sz w:val="20"/>
          <w:szCs w:val="20"/>
          <w:color w:val="auto"/>
        </w:rPr>
      </w:pPr>
    </w:p>
    <w:p>
      <w:pPr>
        <w:ind w:right="3720"/>
        <w:spacing w:after="0" w:line="287" w:lineRule="auto"/>
        <w:rPr>
          <w:sz w:val="20"/>
          <w:szCs w:val="20"/>
          <w:color w:val="auto"/>
        </w:rPr>
      </w:pPr>
      <w:r>
        <w:rPr>
          <w:rFonts w:ascii="Arial" w:cs="Arial" w:eastAsia="Arial" w:hAnsi="Arial"/>
          <w:sz w:val="21"/>
          <w:szCs w:val="21"/>
          <w:color w:val="auto"/>
        </w:rPr>
        <w:t>By: __________________________ By:______________________________ Corporate Secretary President and Chief Executive Officer</w:t>
      </w:r>
    </w:p>
    <w:p>
      <w:pPr>
        <w:sectPr>
          <w:pgSz w:w="11900" w:h="16838" w:orient="portrait"/>
          <w:cols w:equalWidth="0" w:num="1">
            <w:col w:w="11100"/>
          </w:cols>
          <w:pgMar w:left="240" w:top="591" w:right="55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By:______________________________</w:t>
      </w:r>
    </w:p>
    <w:p>
      <w:pPr>
        <w:spacing w:after="0" w:line="56"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w:t>
      </w:r>
    </w:p>
    <w:p>
      <w:pPr>
        <w:sectPr>
          <w:pgSz w:w="11900" w:h="16838" w:orient="portrait"/>
          <w:cols w:equalWidth="0" w:num="1">
            <w:col w:w="11100"/>
          </w:cols>
          <w:pgMar w:left="240" w:top="591" w:right="55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22"/>
          <w:szCs w:val="22"/>
          <w:u w:val="single" w:color="auto"/>
          <w:color w:val="auto"/>
        </w:rPr>
        <w:t>Schedule A to Severance Protection Agreement</w:t>
      </w:r>
    </w:p>
    <w:p>
      <w:pPr>
        <w:spacing w:after="0" w:line="220" w:lineRule="exact"/>
        <w:rPr>
          <w:sz w:val="20"/>
          <w:szCs w:val="20"/>
          <w:color w:val="auto"/>
        </w:rPr>
      </w:pPr>
    </w:p>
    <w:p>
      <w:pPr>
        <w:ind w:left="-140" w:firstLine="656"/>
        <w:spacing w:after="0" w:line="302" w:lineRule="auto"/>
        <w:tabs>
          <w:tab w:leader="none" w:pos="802" w:val="left"/>
        </w:tabs>
        <w:numPr>
          <w:ilvl w:val="0"/>
          <w:numId w:val="86"/>
        </w:numPr>
        <w:rPr>
          <w:rFonts w:ascii="Arial" w:cs="Arial" w:eastAsia="Arial" w:hAnsi="Arial"/>
          <w:sz w:val="19"/>
          <w:szCs w:val="19"/>
          <w:color w:val="auto"/>
        </w:rPr>
      </w:pPr>
      <w:r>
        <w:rPr>
          <w:rFonts w:ascii="Arial" w:cs="Arial" w:eastAsia="Arial" w:hAnsi="Arial"/>
          <w:sz w:val="19"/>
          <w:szCs w:val="19"/>
          <w:color w:val="auto"/>
        </w:rPr>
        <w:t>The Executive’s Severance Amount provided for in Section 3.1 (b) (ii) shall equal the severance pay multiple set forth below next to the Executive’s salary grade level at the Termination Date multiplied by the sum of (A) the greater of (1) the Executive’s annual base salary in effect at any time during the 90-day period immediately prior to the Change in Control or (2) the Executive’s annual base salary in effect at any time following the Change in Control and (B) the Bonus Amount.</w:t>
      </w:r>
    </w:p>
    <w:p>
      <w:pPr>
        <w:spacing w:after="0" w:line="200" w:lineRule="exact"/>
        <w:rPr>
          <w:sz w:val="20"/>
          <w:szCs w:val="20"/>
          <w:color w:val="auto"/>
        </w:rPr>
      </w:pPr>
    </w:p>
    <w:p>
      <w:pPr>
        <w:spacing w:after="0" w:line="297"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2880" w:type="dxa"/>
            <w:vAlign w:val="bottom"/>
          </w:tcPr>
          <w:p>
            <w:pPr>
              <w:jc w:val="center"/>
              <w:spacing w:after="0"/>
              <w:rPr>
                <w:sz w:val="20"/>
                <w:szCs w:val="20"/>
                <w:color w:val="auto"/>
              </w:rPr>
            </w:pPr>
            <w:r>
              <w:rPr>
                <w:rFonts w:ascii="Arial" w:cs="Arial" w:eastAsia="Arial" w:hAnsi="Arial"/>
                <w:sz w:val="18"/>
                <w:szCs w:val="18"/>
                <w:color w:val="auto"/>
                <w:w w:val="90"/>
              </w:rPr>
              <w:t>Salary Grade Level at Termination Date</w:t>
            </w:r>
          </w:p>
        </w:tc>
        <w:tc>
          <w:tcPr>
            <w:tcW w:w="1500" w:type="dxa"/>
            <w:vAlign w:val="bottom"/>
          </w:tcPr>
          <w:p>
            <w:pPr>
              <w:spacing w:after="0"/>
              <w:rPr>
                <w:sz w:val="17"/>
                <w:szCs w:val="17"/>
                <w:color w:val="auto"/>
              </w:rPr>
            </w:pPr>
          </w:p>
        </w:tc>
        <w:tc>
          <w:tcPr>
            <w:tcW w:w="3240" w:type="dxa"/>
            <w:vAlign w:val="bottom"/>
            <w:gridSpan w:val="2"/>
          </w:tcPr>
          <w:p>
            <w:pPr>
              <w:jc w:val="center"/>
              <w:ind w:left="1430"/>
              <w:spacing w:after="0"/>
              <w:rPr>
                <w:sz w:val="20"/>
                <w:szCs w:val="20"/>
                <w:color w:val="auto"/>
              </w:rPr>
            </w:pPr>
            <w:r>
              <w:rPr>
                <w:rFonts w:ascii="Arial" w:cs="Arial" w:eastAsia="Arial" w:hAnsi="Arial"/>
                <w:sz w:val="18"/>
                <w:szCs w:val="18"/>
                <w:color w:val="auto"/>
                <w:w w:val="90"/>
              </w:rPr>
              <w:t>Severance Pay Multiple</w:t>
            </w:r>
          </w:p>
        </w:tc>
      </w:tr>
      <w:tr>
        <w:trPr>
          <w:trHeight w:val="291"/>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42 - 44</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1.5</w:t>
            </w:r>
          </w:p>
        </w:tc>
      </w:tr>
      <w:tr>
        <w:trPr>
          <w:trHeight w:val="27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46 - 48</w:t>
            </w:r>
          </w:p>
        </w:tc>
        <w:tc>
          <w:tcPr>
            <w:tcW w:w="1500" w:type="dxa"/>
            <w:vAlign w:val="bottom"/>
          </w:tcPr>
          <w:p>
            <w:pPr>
              <w:spacing w:after="0"/>
              <w:rPr>
                <w:sz w:val="23"/>
                <w:szCs w:val="23"/>
                <w:color w:val="auto"/>
              </w:rPr>
            </w:pPr>
          </w:p>
        </w:tc>
        <w:tc>
          <w:tcPr>
            <w:tcW w:w="3240" w:type="dxa"/>
            <w:vAlign w:val="bottom"/>
            <w:gridSpan w:val="2"/>
          </w:tcPr>
          <w:p>
            <w:pPr>
              <w:jc w:val="center"/>
              <w:ind w:left="1410"/>
              <w:spacing w:after="0"/>
              <w:rPr>
                <w:sz w:val="20"/>
                <w:szCs w:val="20"/>
                <w:color w:val="auto"/>
              </w:rPr>
            </w:pPr>
            <w:r>
              <w:rPr>
                <w:rFonts w:ascii="Arial" w:cs="Arial" w:eastAsia="Arial" w:hAnsi="Arial"/>
                <w:sz w:val="18"/>
                <w:szCs w:val="18"/>
                <w:color w:val="auto"/>
                <w:w w:val="87"/>
              </w:rPr>
              <w:t>2.0</w:t>
            </w:r>
          </w:p>
        </w:tc>
      </w:tr>
      <w:tr>
        <w:trPr>
          <w:trHeight w:val="270"/>
        </w:trPr>
        <w:tc>
          <w:tcPr>
            <w:tcW w:w="4380" w:type="dxa"/>
            <w:vAlign w:val="bottom"/>
            <w:gridSpan w:val="2"/>
          </w:tcPr>
          <w:p>
            <w:pPr>
              <w:jc w:val="center"/>
              <w:ind w:right="1500"/>
              <w:spacing w:after="0"/>
              <w:rPr>
                <w:sz w:val="20"/>
                <w:szCs w:val="20"/>
                <w:color w:val="auto"/>
              </w:rPr>
            </w:pPr>
            <w:r>
              <w:rPr>
                <w:rFonts w:ascii="Arial" w:cs="Arial" w:eastAsia="Arial" w:hAnsi="Arial"/>
                <w:sz w:val="18"/>
                <w:szCs w:val="18"/>
                <w:color w:val="auto"/>
                <w:w w:val="87"/>
              </w:rPr>
              <w:t>50 and above</w:t>
            </w:r>
          </w:p>
        </w:tc>
        <w:tc>
          <w:tcPr>
            <w:tcW w:w="3240" w:type="dxa"/>
            <w:vAlign w:val="bottom"/>
            <w:gridSpan w:val="2"/>
          </w:tcPr>
          <w:p>
            <w:pPr>
              <w:jc w:val="center"/>
              <w:ind w:left="1410"/>
              <w:spacing w:after="0"/>
              <w:rPr>
                <w:sz w:val="20"/>
                <w:szCs w:val="20"/>
                <w:color w:val="auto"/>
              </w:rPr>
            </w:pPr>
            <w:r>
              <w:rPr>
                <w:rFonts w:ascii="Arial" w:cs="Arial" w:eastAsia="Arial" w:hAnsi="Arial"/>
                <w:sz w:val="18"/>
                <w:szCs w:val="18"/>
                <w:color w:val="auto"/>
                <w:w w:val="87"/>
              </w:rPr>
              <w:t>2.5</w:t>
            </w:r>
          </w:p>
        </w:tc>
      </w:tr>
    </w:tbl>
    <w:p>
      <w:pPr>
        <w:spacing w:after="0" w:line="200" w:lineRule="exact"/>
        <w:rPr>
          <w:sz w:val="20"/>
          <w:szCs w:val="20"/>
          <w:color w:val="auto"/>
        </w:rPr>
      </w:pPr>
    </w:p>
    <w:p>
      <w:pPr>
        <w:spacing w:after="0" w:line="251" w:lineRule="exact"/>
        <w:rPr>
          <w:sz w:val="20"/>
          <w:szCs w:val="20"/>
          <w:color w:val="auto"/>
        </w:rPr>
      </w:pPr>
    </w:p>
    <w:p>
      <w:pPr>
        <w:ind w:left="-140" w:right="120" w:firstLine="656"/>
        <w:spacing w:after="0" w:line="263" w:lineRule="auto"/>
        <w:tabs>
          <w:tab w:leader="none" w:pos="814"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Benefits Continuation Period provided for in Section 3.1 (b) (iii) shall be determined using the number of months set forth below next to the Executive’s salary grade level at the Termination Date.</w:t>
      </w:r>
    </w:p>
    <w:p>
      <w:pPr>
        <w:spacing w:after="0" w:line="200" w:lineRule="exact"/>
        <w:rPr>
          <w:sz w:val="20"/>
          <w:szCs w:val="20"/>
          <w:color w:val="auto"/>
        </w:rPr>
      </w:pPr>
    </w:p>
    <w:p>
      <w:pPr>
        <w:spacing w:after="0" w:line="330"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5700" w:type="dxa"/>
            <w:vAlign w:val="bottom"/>
            <w:gridSpan w:val="2"/>
          </w:tcPr>
          <w:p>
            <w:pPr>
              <w:jc w:val="center"/>
              <w:ind w:right="2820"/>
              <w:spacing w:after="0"/>
              <w:rPr>
                <w:sz w:val="20"/>
                <w:szCs w:val="20"/>
                <w:color w:val="auto"/>
              </w:rPr>
            </w:pPr>
            <w:r>
              <w:rPr>
                <w:rFonts w:ascii="Arial" w:cs="Arial" w:eastAsia="Arial" w:hAnsi="Arial"/>
                <w:sz w:val="18"/>
                <w:szCs w:val="18"/>
                <w:color w:val="auto"/>
                <w:w w:val="90"/>
              </w:rPr>
              <w:t>Salary Grade Level at Termination Date</w:t>
            </w:r>
          </w:p>
        </w:tc>
        <w:tc>
          <w:tcPr>
            <w:tcW w:w="2100" w:type="dxa"/>
            <w:vAlign w:val="bottom"/>
          </w:tcPr>
          <w:p>
            <w:pPr>
              <w:jc w:val="center"/>
              <w:spacing w:after="0"/>
              <w:rPr>
                <w:sz w:val="20"/>
                <w:szCs w:val="20"/>
                <w:color w:val="auto"/>
              </w:rPr>
            </w:pPr>
            <w:r>
              <w:rPr>
                <w:rFonts w:ascii="Arial" w:cs="Arial" w:eastAsia="Arial" w:hAnsi="Arial"/>
                <w:sz w:val="18"/>
                <w:szCs w:val="18"/>
                <w:color w:val="auto"/>
                <w:w w:val="92"/>
              </w:rPr>
              <w:t>Benefits Continuation Period</w:t>
            </w:r>
          </w:p>
        </w:tc>
      </w:tr>
      <w:tr>
        <w:trPr>
          <w:trHeight w:val="291"/>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42 - 44</w:t>
            </w:r>
          </w:p>
        </w:tc>
        <w:tc>
          <w:tcPr>
            <w:tcW w:w="2820" w:type="dxa"/>
            <w:vAlign w:val="bottom"/>
          </w:tcPr>
          <w:p>
            <w:pPr>
              <w:spacing w:after="0"/>
              <w:rPr>
                <w:sz w:val="24"/>
                <w:szCs w:val="24"/>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 months</w:t>
            </w:r>
          </w:p>
        </w:tc>
      </w:tr>
      <w:tr>
        <w:trPr>
          <w:trHeight w:val="27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46 - 48</w:t>
            </w:r>
          </w:p>
        </w:tc>
        <w:tc>
          <w:tcPr>
            <w:tcW w:w="2820" w:type="dxa"/>
            <w:vAlign w:val="bottom"/>
          </w:tcPr>
          <w:p>
            <w:pPr>
              <w:spacing w:after="0"/>
              <w:rPr>
                <w:sz w:val="23"/>
                <w:szCs w:val="23"/>
                <w:color w:val="auto"/>
              </w:rPr>
            </w:pP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24 months</w:t>
            </w:r>
          </w:p>
        </w:tc>
      </w:tr>
      <w:tr>
        <w:trPr>
          <w:trHeight w:val="270"/>
        </w:trPr>
        <w:tc>
          <w:tcPr>
            <w:tcW w:w="5700" w:type="dxa"/>
            <w:vAlign w:val="bottom"/>
            <w:gridSpan w:val="2"/>
          </w:tcPr>
          <w:p>
            <w:pPr>
              <w:jc w:val="center"/>
              <w:ind w:right="2820"/>
              <w:spacing w:after="0"/>
              <w:rPr>
                <w:sz w:val="20"/>
                <w:szCs w:val="20"/>
                <w:color w:val="auto"/>
              </w:rPr>
            </w:pPr>
            <w:r>
              <w:rPr>
                <w:rFonts w:ascii="Arial" w:cs="Arial" w:eastAsia="Arial" w:hAnsi="Arial"/>
                <w:sz w:val="18"/>
                <w:szCs w:val="18"/>
                <w:color w:val="auto"/>
                <w:w w:val="87"/>
              </w:rPr>
              <w:t>50 and above</w:t>
            </w:r>
          </w:p>
        </w:tc>
        <w:tc>
          <w:tcPr>
            <w:tcW w:w="2100" w:type="dxa"/>
            <w:vAlign w:val="bottom"/>
          </w:tcPr>
          <w:p>
            <w:pPr>
              <w:jc w:val="center"/>
              <w:spacing w:after="0"/>
              <w:rPr>
                <w:sz w:val="20"/>
                <w:szCs w:val="20"/>
                <w:color w:val="auto"/>
              </w:rPr>
            </w:pPr>
            <w:r>
              <w:rPr>
                <w:rFonts w:ascii="Arial" w:cs="Arial" w:eastAsia="Arial" w:hAnsi="Arial"/>
                <w:sz w:val="18"/>
                <w:szCs w:val="18"/>
                <w:color w:val="auto"/>
                <w:w w:val="90"/>
              </w:rPr>
              <w:t>30 months</w:t>
            </w:r>
          </w:p>
        </w:tc>
      </w:tr>
    </w:tbl>
    <w:p>
      <w:pPr>
        <w:spacing w:after="0" w:line="235" w:lineRule="exact"/>
        <w:rPr>
          <w:sz w:val="20"/>
          <w:szCs w:val="20"/>
          <w:color w:val="auto"/>
        </w:rPr>
      </w:pPr>
    </w:p>
    <w:p>
      <w:pPr>
        <w:ind w:left="-140" w:right="280" w:firstLine="656"/>
        <w:spacing w:after="0" w:line="263" w:lineRule="auto"/>
        <w:tabs>
          <w:tab w:leader="none" w:pos="802" w:val="left"/>
        </w:tabs>
        <w:numPr>
          <w:ilvl w:val="0"/>
          <w:numId w:val="88"/>
        </w:numPr>
        <w:rPr>
          <w:rFonts w:ascii="Arial" w:cs="Arial" w:eastAsia="Arial" w:hAnsi="Arial"/>
          <w:sz w:val="22"/>
          <w:szCs w:val="22"/>
          <w:color w:val="auto"/>
        </w:rPr>
      </w:pPr>
      <w:r>
        <w:rPr>
          <w:rFonts w:ascii="Arial" w:cs="Arial" w:eastAsia="Arial" w:hAnsi="Arial"/>
          <w:sz w:val="22"/>
          <w:szCs w:val="22"/>
          <w:color w:val="auto"/>
        </w:rPr>
        <w:t>The additional service credit provided for in Section 3.1 (b) (iv) (w) shall be equal to the number of months set forth below next to the Executive’s salary grade level at the Termination Date.</w:t>
      </w:r>
    </w:p>
    <w:p>
      <w:pPr>
        <w:spacing w:after="0" w:line="200" w:lineRule="exact"/>
        <w:rPr>
          <w:sz w:val="20"/>
          <w:szCs w:val="20"/>
          <w:color w:val="auto"/>
        </w:rPr>
      </w:pPr>
    </w:p>
    <w:p>
      <w:pPr>
        <w:spacing w:after="0" w:line="330" w:lineRule="exact"/>
        <w:rPr>
          <w:sz w:val="20"/>
          <w:szCs w:val="20"/>
          <w:color w:val="auto"/>
        </w:rPr>
      </w:pPr>
    </w:p>
    <w:tbl>
      <w:tblPr>
        <w:tblLayout w:type="fixed"/>
        <w:tblInd w:w="1480" w:type="dxa"/>
        <w:tblCellMar>
          <w:top w:w="0" w:type="dxa"/>
          <w:left w:w="0" w:type="dxa"/>
          <w:bottom w:w="0" w:type="dxa"/>
          <w:right w:w="0" w:type="dxa"/>
        </w:tblCellMar>
      </w:tblPr>
      <w:tr>
        <w:trPr>
          <w:trHeight w:val="207"/>
        </w:trPr>
        <w:tc>
          <w:tcPr>
            <w:tcW w:w="4360" w:type="dxa"/>
            <w:vAlign w:val="bottom"/>
            <w:gridSpan w:val="2"/>
          </w:tcPr>
          <w:p>
            <w:pPr>
              <w:jc w:val="center"/>
              <w:ind w:right="1480"/>
              <w:spacing w:after="0"/>
              <w:rPr>
                <w:sz w:val="20"/>
                <w:szCs w:val="20"/>
                <w:color w:val="auto"/>
              </w:rPr>
            </w:pPr>
            <w:r>
              <w:rPr>
                <w:rFonts w:ascii="Arial" w:cs="Arial" w:eastAsia="Arial" w:hAnsi="Arial"/>
                <w:sz w:val="18"/>
                <w:szCs w:val="18"/>
                <w:color w:val="auto"/>
                <w:w w:val="90"/>
              </w:rPr>
              <w:t>Salary Grade Level at Termination Date</w:t>
            </w:r>
          </w:p>
        </w:tc>
        <w:tc>
          <w:tcPr>
            <w:tcW w:w="3320" w:type="dxa"/>
            <w:vAlign w:val="bottom"/>
            <w:gridSpan w:val="2"/>
          </w:tcPr>
          <w:p>
            <w:pPr>
              <w:jc w:val="center"/>
              <w:ind w:left="1370"/>
              <w:spacing w:after="0"/>
              <w:rPr>
                <w:sz w:val="20"/>
                <w:szCs w:val="20"/>
                <w:color w:val="auto"/>
              </w:rPr>
            </w:pPr>
            <w:r>
              <w:rPr>
                <w:rFonts w:ascii="Arial" w:cs="Arial" w:eastAsia="Arial" w:hAnsi="Arial"/>
                <w:sz w:val="18"/>
                <w:szCs w:val="18"/>
                <w:color w:val="auto"/>
                <w:w w:val="94"/>
              </w:rPr>
              <w:t>Additional Service Credit</w:t>
            </w:r>
          </w:p>
        </w:tc>
      </w:tr>
      <w:tr>
        <w:trPr>
          <w:trHeight w:val="291"/>
        </w:trPr>
        <w:tc>
          <w:tcPr>
            <w:tcW w:w="2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42 - 44</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18 months</w:t>
            </w:r>
          </w:p>
        </w:tc>
      </w:tr>
      <w:tr>
        <w:trPr>
          <w:trHeight w:val="270"/>
        </w:trPr>
        <w:tc>
          <w:tcPr>
            <w:tcW w:w="2880" w:type="dxa"/>
            <w:vAlign w:val="bottom"/>
          </w:tcPr>
          <w:p>
            <w:pPr>
              <w:jc w:val="center"/>
              <w:spacing w:after="0"/>
              <w:rPr>
                <w:sz w:val="20"/>
                <w:szCs w:val="20"/>
                <w:color w:val="auto"/>
              </w:rPr>
            </w:pPr>
            <w:r>
              <w:rPr>
                <w:rFonts w:ascii="Arial" w:cs="Arial" w:eastAsia="Arial" w:hAnsi="Arial"/>
                <w:sz w:val="18"/>
                <w:szCs w:val="18"/>
                <w:color w:val="auto"/>
                <w:w w:val="89"/>
              </w:rPr>
              <w:t>46 - 48</w:t>
            </w:r>
          </w:p>
        </w:tc>
        <w:tc>
          <w:tcPr>
            <w:tcW w:w="14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24 months</w:t>
            </w:r>
          </w:p>
        </w:tc>
      </w:tr>
      <w:tr>
        <w:trPr>
          <w:trHeight w:val="270"/>
        </w:trPr>
        <w:tc>
          <w:tcPr>
            <w:tcW w:w="4360" w:type="dxa"/>
            <w:vAlign w:val="bottom"/>
            <w:gridSpan w:val="2"/>
          </w:tcPr>
          <w:p>
            <w:pPr>
              <w:jc w:val="center"/>
              <w:ind w:right="1480"/>
              <w:spacing w:after="0"/>
              <w:rPr>
                <w:sz w:val="20"/>
                <w:szCs w:val="20"/>
                <w:color w:val="auto"/>
              </w:rPr>
            </w:pPr>
            <w:r>
              <w:rPr>
                <w:rFonts w:ascii="Arial" w:cs="Arial" w:eastAsia="Arial" w:hAnsi="Arial"/>
                <w:sz w:val="18"/>
                <w:szCs w:val="18"/>
                <w:color w:val="auto"/>
                <w:w w:val="87"/>
              </w:rPr>
              <w:t>50 and above</w:t>
            </w:r>
          </w:p>
        </w:tc>
        <w:tc>
          <w:tcPr>
            <w:tcW w:w="1460" w:type="dxa"/>
            <w:vAlign w:val="bottom"/>
          </w:tcPr>
          <w:p>
            <w:pPr>
              <w:spacing w:after="0"/>
              <w:rPr>
                <w:sz w:val="23"/>
                <w:szCs w:val="23"/>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30 months</w:t>
            </w:r>
          </w:p>
        </w:tc>
      </w:tr>
    </w:tbl>
    <w:p>
      <w:pPr>
        <w:sectPr>
          <w:pgSz w:w="11900" w:h="16838" w:orient="portrait"/>
          <w:cols w:equalWidth="0" w:num="1">
            <w:col w:w="11140"/>
          </w:cols>
          <w:pgMar w:left="380" w:top="591" w:right="37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10(j)</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AMENDMENT TO SEVERANCE PROTECTION AGREEMENT</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is an amendment to the Severance Protection Agreement made as of _______________ by and between Campbell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Soup Company (the “</w:t>
      </w:r>
      <w:r>
        <w:rPr>
          <w:rFonts w:ascii="Arial" w:cs="Arial" w:eastAsia="Arial" w:hAnsi="Arial"/>
          <w:sz w:val="22"/>
          <w:szCs w:val="22"/>
          <w:i w:val="1"/>
          <w:iCs w:val="1"/>
          <w:color w:val="auto"/>
        </w:rPr>
        <w:t>Company</w:t>
      </w:r>
      <w:r>
        <w:rPr>
          <w:rFonts w:ascii="Arial" w:cs="Arial" w:eastAsia="Arial" w:hAnsi="Arial"/>
          <w:sz w:val="22"/>
          <w:szCs w:val="22"/>
          <w:color w:val="auto"/>
        </w:rPr>
        <w:t>”) and _______________ (the “</w:t>
      </w:r>
      <w:r>
        <w:rPr>
          <w:rFonts w:ascii="Arial" w:cs="Arial" w:eastAsia="Arial" w:hAnsi="Arial"/>
          <w:sz w:val="22"/>
          <w:szCs w:val="22"/>
          <w:i w:val="1"/>
          <w:iCs w:val="1"/>
          <w:color w:val="auto"/>
        </w:rPr>
        <w:t>Executive</w:t>
      </w:r>
      <w:r>
        <w:rPr>
          <w:rFonts w:ascii="Arial" w:cs="Arial" w:eastAsia="Arial" w:hAnsi="Arial"/>
          <w:sz w:val="22"/>
          <w:szCs w:val="22"/>
          <w:color w:val="auto"/>
        </w:rPr>
        <w:t>”) (the "Agreement").</w:t>
      </w:r>
    </w:p>
    <w:p>
      <w:pPr>
        <w:spacing w:after="0" w:line="242"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WHEREAS, the Company and the Executive desire that any potential severance payments made pursuant to the Agreement are not subject to the provisions of section 409A of the Internal Revenue Code; and</w:t>
      </w:r>
    </w:p>
    <w:p>
      <w:pPr>
        <w:spacing w:after="0" w:line="215"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WHEREAS, the changes to the Agreement made by this amendment are intended to result in the severance payments not being subject to section 409A of the Internal Revenue Code.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in consideration of the respective agreements of the parties, it is agreed as follows:</w:t>
      </w:r>
    </w:p>
    <w:p>
      <w:pPr>
        <w:spacing w:after="0" w:line="260" w:lineRule="exact"/>
        <w:rPr>
          <w:sz w:val="20"/>
          <w:szCs w:val="20"/>
          <w:color w:val="auto"/>
        </w:rPr>
      </w:pPr>
    </w:p>
    <w:p>
      <w:pPr>
        <w:ind w:left="980" w:right="460" w:hanging="648"/>
        <w:spacing w:after="0" w:line="263" w:lineRule="auto"/>
        <w:tabs>
          <w:tab w:leader="none" w:pos="9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Section 2.4(a)(2) of the Agreement shall be amended by deleting this section in its entirety and replacing it with the following:</w:t>
      </w:r>
    </w:p>
    <w:p>
      <w:pPr>
        <w:spacing w:after="0" w:line="215" w:lineRule="exact"/>
        <w:rPr>
          <w:rFonts w:ascii="Arial" w:cs="Arial" w:eastAsia="Arial" w:hAnsi="Arial"/>
          <w:sz w:val="22"/>
          <w:szCs w:val="22"/>
          <w:color w:val="auto"/>
        </w:rPr>
      </w:pPr>
    </w:p>
    <w:p>
      <w:pPr>
        <w:ind w:left="980" w:right="1200"/>
        <w:spacing w:after="0" w:line="343" w:lineRule="auto"/>
        <w:rPr>
          <w:rFonts w:ascii="Arial" w:cs="Arial" w:eastAsia="Arial" w:hAnsi="Arial"/>
          <w:sz w:val="22"/>
          <w:szCs w:val="22"/>
          <w:color w:val="auto"/>
        </w:rPr>
      </w:pPr>
      <w:r>
        <w:rPr>
          <w:rFonts w:ascii="Arial" w:cs="Arial" w:eastAsia="Arial" w:hAnsi="Arial"/>
          <w:sz w:val="19"/>
          <w:szCs w:val="19"/>
          <w:color w:val="auto"/>
        </w:rPr>
        <w:t>"(2) a reduction in the Executive's base salary by a material amount or any failure to pay the Executive any compensation or benefits to which he is entitled within thirty (30) days of the date due;"</w:t>
      </w:r>
    </w:p>
    <w:p>
      <w:pPr>
        <w:spacing w:after="0" w:line="145" w:lineRule="exact"/>
        <w:rPr>
          <w:rFonts w:ascii="Arial" w:cs="Arial" w:eastAsia="Arial" w:hAnsi="Arial"/>
          <w:sz w:val="22"/>
          <w:szCs w:val="22"/>
          <w:color w:val="auto"/>
        </w:rPr>
      </w:pPr>
    </w:p>
    <w:p>
      <w:pPr>
        <w:ind w:left="980" w:right="100" w:hanging="648"/>
        <w:spacing w:after="0" w:line="263" w:lineRule="auto"/>
        <w:tabs>
          <w:tab w:leader="none" w:pos="980" w:val="left"/>
        </w:tabs>
        <w:numPr>
          <w:ilvl w:val="0"/>
          <w:numId w:val="89"/>
        </w:numPr>
        <w:rPr>
          <w:rFonts w:ascii="Arial" w:cs="Arial" w:eastAsia="Arial" w:hAnsi="Arial"/>
          <w:sz w:val="22"/>
          <w:szCs w:val="22"/>
          <w:color w:val="auto"/>
        </w:rPr>
      </w:pPr>
      <w:r>
        <w:rPr>
          <w:rFonts w:ascii="Arial" w:cs="Arial" w:eastAsia="Arial" w:hAnsi="Arial"/>
          <w:sz w:val="22"/>
          <w:szCs w:val="22"/>
          <w:color w:val="auto"/>
        </w:rPr>
        <w:t>Section 2.4(b) of the Agreement shall be renumbered as Section 2.4(b)(2) and a new Section 2.4(b)(1) shall be added to the Agreement to read as follows:</w:t>
      </w:r>
    </w:p>
    <w:p>
      <w:pPr>
        <w:spacing w:after="0" w:line="215" w:lineRule="exact"/>
        <w:rPr>
          <w:rFonts w:ascii="Arial" w:cs="Arial" w:eastAsia="Arial" w:hAnsi="Arial"/>
          <w:sz w:val="22"/>
          <w:szCs w:val="22"/>
          <w:color w:val="auto"/>
        </w:rPr>
      </w:pPr>
    </w:p>
    <w:p>
      <w:pPr>
        <w:ind w:left="980" w:right="260"/>
        <w:spacing w:after="0" w:line="302" w:lineRule="auto"/>
        <w:rPr>
          <w:rFonts w:ascii="Arial" w:cs="Arial" w:eastAsia="Arial" w:hAnsi="Arial"/>
          <w:sz w:val="22"/>
          <w:szCs w:val="22"/>
          <w:color w:val="auto"/>
        </w:rPr>
      </w:pPr>
      <w:r>
        <w:rPr>
          <w:rFonts w:ascii="Arial" w:cs="Arial" w:eastAsia="Arial" w:hAnsi="Arial"/>
          <w:sz w:val="19"/>
          <w:szCs w:val="19"/>
          <w:color w:val="auto"/>
        </w:rPr>
        <w:t>"(1) A Good Reason termination shall not occur unless the Executive gives notice to the Company that an event or condition described in Sections 2.4(a)(1) through (7) has occurred within a time period not to exceed ninety (90) days from the date of first occurrence of one of these events or conditions, and the Company shall have at least thirty (30) days from the time of that notice in which to remedy the event or condition described in Sections 2.4(1) through (7)."</w:t>
      </w:r>
    </w:p>
    <w:p>
      <w:pPr>
        <w:sectPr>
          <w:pgSz w:w="11900" w:h="16838" w:orient="portrait"/>
          <w:cols w:equalWidth="0" w:num="1">
            <w:col w:w="11420"/>
          </w:cols>
          <w:pgMar w:left="240" w:top="580" w:right="239" w:bottom="1440" w:gutter="0" w:footer="0" w:header="0"/>
        </w:sectPr>
      </w:pPr>
    </w:p>
    <w:bookmarkStart w:id="99" w:name="page100"/>
    <w:bookmarkEnd w:id="99"/>
    <w:p>
      <w:pPr>
        <w:spacing w:after="0" w:line="263" w:lineRule="auto"/>
        <w:rPr>
          <w:sz w:val="20"/>
          <w:szCs w:val="20"/>
          <w:color w:val="auto"/>
        </w:rPr>
      </w:pPr>
      <w:r>
        <w:rPr>
          <w:rFonts w:ascii="Arial" w:cs="Arial" w:eastAsia="Arial" w:hAnsi="Arial"/>
          <w:sz w:val="22"/>
          <w:szCs w:val="22"/>
          <w:color w:val="auto"/>
        </w:rPr>
        <w:t>IN WITNESS WHEREOF, the Company has caused this Amendment to be executed by its duly authorized officer and the Executive has executed this Amendment as of _______________.</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color w:val="auto"/>
        </w:rPr>
        <w:t>Campbell Soup Company</w:t>
      </w:r>
    </w:p>
    <w:p>
      <w:pPr>
        <w:sectPr>
          <w:pgSz w:w="11900" w:h="16838" w:orient="portrait"/>
          <w:cols w:equalWidth="0" w:num="1">
            <w:col w:w="10600"/>
          </w:cols>
          <w:pgMar w:left="240" w:top="591" w:right="105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9"/>
          <w:szCs w:val="19"/>
          <w:color w:val="auto"/>
        </w:rPr>
        <w:t>By: 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9"/>
          <w:szCs w:val="19"/>
          <w:color w:val="auto"/>
        </w:rPr>
        <w:t>By:______________________________</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22"/>
          <w:szCs w:val="22"/>
          <w:color w:val="auto"/>
        </w:rPr>
        <w:t>Executive</w:t>
      </w:r>
    </w:p>
    <w:p>
      <w:pPr>
        <w:sectPr>
          <w:pgSz w:w="11900" w:h="16838" w:orient="portrait"/>
          <w:cols w:equalWidth="0" w:num="2">
            <w:col w:w="3180" w:space="660"/>
            <w:col w:w="6760"/>
          </w:cols>
          <w:pgMar w:left="240" w:top="591" w:right="1059" w:bottom="1440" w:gutter="0" w:footer="0" w:header="0"/>
          <w:type w:val="continuous"/>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20" w:type="dxa"/>
            <w:vAlign w:val="bottom"/>
            <w:gridSpan w:val="6"/>
          </w:tcPr>
          <w:p>
            <w:pPr>
              <w:jc w:val="center"/>
              <w:spacing w:after="0"/>
              <w:rPr>
                <w:sz w:val="20"/>
                <w:szCs w:val="20"/>
                <w:color w:val="auto"/>
              </w:rPr>
            </w:pPr>
            <w:r>
              <w:rPr>
                <w:rFonts w:ascii="Arial" w:cs="Arial" w:eastAsia="Arial" w:hAnsi="Arial"/>
                <w:sz w:val="18"/>
                <w:szCs w:val="18"/>
                <w:b w:val="1"/>
                <w:bCs w:val="1"/>
                <w:color w:val="auto"/>
                <w:w w:val="90"/>
              </w:rPr>
              <w:t>Fiscal Year Ended</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18"/>
        </w:trPr>
        <w:tc>
          <w:tcPr>
            <w:tcW w:w="5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90"/>
              </w:rPr>
              <w:t>August 2,</w:t>
            </w:r>
          </w:p>
        </w:tc>
        <w:tc>
          <w:tcPr>
            <w:tcW w:w="140" w:type="dxa"/>
            <w:vAlign w:val="bottom"/>
          </w:tcPr>
          <w:p>
            <w:pPr>
              <w:spacing w:after="0"/>
              <w:rPr>
                <w:sz w:val="18"/>
                <w:szCs w:val="18"/>
                <w:color w:val="auto"/>
              </w:rPr>
            </w:pPr>
          </w:p>
        </w:tc>
        <w:tc>
          <w:tcPr>
            <w:tcW w:w="1080" w:type="dxa"/>
            <w:vAlign w:val="bottom"/>
            <w:gridSpan w:val="2"/>
          </w:tcPr>
          <w:p>
            <w:pPr>
              <w:ind w:left="40"/>
              <w:spacing w:after="0"/>
              <w:rPr>
                <w:sz w:val="20"/>
                <w:szCs w:val="20"/>
                <w:color w:val="auto"/>
              </w:rPr>
            </w:pPr>
            <w:r>
              <w:rPr>
                <w:rFonts w:ascii="Arial" w:cs="Arial" w:eastAsia="Arial" w:hAnsi="Arial"/>
                <w:sz w:val="18"/>
                <w:szCs w:val="18"/>
                <w:b w:val="1"/>
                <w:bCs w:val="1"/>
                <w:color w:val="auto"/>
              </w:rPr>
              <w:t>August 3,</w:t>
            </w: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1300" w:type="dxa"/>
            <w:vAlign w:val="bottom"/>
            <w:gridSpan w:val="3"/>
          </w:tcPr>
          <w:p>
            <w:pPr>
              <w:ind w:left="80"/>
              <w:spacing w:after="0"/>
              <w:rPr>
                <w:sz w:val="20"/>
                <w:szCs w:val="20"/>
                <w:color w:val="auto"/>
              </w:rPr>
            </w:pPr>
            <w:r>
              <w:rPr>
                <w:rFonts w:ascii="Arial" w:cs="Arial" w:eastAsia="Arial" w:hAnsi="Arial"/>
                <w:sz w:val="18"/>
                <w:szCs w:val="18"/>
                <w:b w:val="1"/>
                <w:bCs w:val="1"/>
                <w:color w:val="auto"/>
              </w:rPr>
              <w:t>July 30, 2017</w:t>
            </w: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July 31, 2016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5"/>
              </w:rPr>
              <w:t>July 28, 2013</w:t>
            </w:r>
          </w:p>
        </w:tc>
      </w:tr>
      <w:tr>
        <w:trPr>
          <w:trHeight w:val="27"/>
        </w:trPr>
        <w:tc>
          <w:tcPr>
            <w:tcW w:w="5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Earnings from continuing operations before taxes</w:t>
            </w: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1,293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1,349</w:t>
            </w:r>
          </w:p>
        </w:tc>
      </w:tr>
      <w:tr>
        <w:trPr>
          <w:trHeight w:val="27"/>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capitalized interest</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Fixed charges</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159</w:t>
            </w:r>
          </w:p>
        </w:tc>
      </w:tr>
      <w:tr>
        <w:trPr>
          <w:trHeight w:val="27"/>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capitalized</w:t>
            </w:r>
          </w:p>
        </w:tc>
        <w:tc>
          <w:tcPr>
            <w:tcW w:w="38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Earnings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1,426</w:t>
            </w:r>
          </w:p>
        </w:tc>
        <w:tc>
          <w:tcPr>
            <w:tcW w:w="1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1,509</w:t>
            </w:r>
          </w:p>
        </w:tc>
      </w:tr>
      <w:tr>
        <w:trPr>
          <w:trHeight w:val="20"/>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311"/>
        </w:trPr>
        <w:tc>
          <w:tcPr>
            <w:tcW w:w="5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Gross Interest:</w:t>
            </w: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5260" w:type="dxa"/>
            <w:vAlign w:val="bottom"/>
          </w:tcPr>
          <w:p>
            <w:pPr>
              <w:ind w:left="360"/>
              <w:spacing w:after="0"/>
              <w:rPr>
                <w:sz w:val="20"/>
                <w:szCs w:val="20"/>
                <w:color w:val="auto"/>
              </w:rPr>
            </w:pPr>
            <w:r>
              <w:rPr>
                <w:rFonts w:ascii="Arial" w:cs="Arial" w:eastAsia="Arial" w:hAnsi="Arial"/>
                <w:sz w:val="18"/>
                <w:szCs w:val="18"/>
                <w:color w:val="auto"/>
              </w:rPr>
              <w:t>Capitalized interest</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color w:val="auto"/>
              </w:rPr>
              <w:t>Interest portion of rent</w:t>
            </w:r>
          </w:p>
        </w:tc>
        <w:tc>
          <w:tcPr>
            <w:tcW w:w="3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7"/>
        </w:trPr>
        <w:tc>
          <w:tcPr>
            <w:tcW w:w="52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Fixed Charges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132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159</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26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Ratio of Earnings to Fixed Charges</w:t>
            </w:r>
          </w:p>
        </w:tc>
        <w:tc>
          <w:tcPr>
            <w:tcW w:w="38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9.5</w:t>
            </w:r>
          </w:p>
        </w:tc>
      </w:tr>
      <w:tr>
        <w:trPr>
          <w:trHeight w:val="20"/>
        </w:trPr>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ratios of earnings to fixed charges were computed by dividing our earnings by fixed charges. For this purpose, earnings include the sum of earnings from continuing operations before taxes, amortization of capitalized interest, and fixed charges, less capitalized interest. Fixed charges include interest expense, capitalized interest, amortization of debt expenses and one-third of rent expense, which represents a reasonable approximation of the interest factor. Beginning in fiscal 2016, amortization of debt issuance costs is included in interest expense. All amounts are on an as reported basis.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the fiscal years ended 2017, 2016, 2015, 2014, and 2013, we incurred pre-tax losses/(gains) of $(178), $313, $138, $31, and ($285), respectively, associated with mark-to-market adjustments for defined benefit pension and postretirement plans. In the fiscal years ended 2017, 2016, 2015, 2014, and 2013, we recorded pre-tax restructuring charges, administrative expenses and related costs of $58, $78, $124, $58, and $138, respectively. In fiscal year 2017, we recorded a non-cash impairment charge of $212 related to the intangible assets of the Bolthouse Farms carrot and carrot ingredients reporting unit and the Garden Fresh Gourmet reporting unit and a reduction to interest expense of $6 associated with the sale of intercompany notes receivable to a financial institution. In fiscal year 2016, we recorded a non-cash impairment charge of $141 related to the intangible assets of the Bolthouse Farms carrot and carrot ingredients reporting unit and a pre-tax gain of $25 from a settlement of a claim related to the Kelsen acquisition. In fiscal year 2014, we recorded a pre-tax loss of $9 on foreign exchange forward contracts used to hedge the proceeds from the sale of the European simple meals business. In fiscal year 2013, we recorded pre-tax transaction costs of $10 associated with the acquisition of Bolthouse Farms.</w:t>
      </w:r>
    </w:p>
    <w:p>
      <w:pPr>
        <w:sectPr>
          <w:pgSz w:w="11900" w:h="16838" w:orient="portrait"/>
          <w:cols w:equalWidth="0" w:num="1">
            <w:col w:w="11420"/>
          </w:cols>
          <w:pgMar w:left="240" w:top="580"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6900" w:type="dxa"/>
            <w:vAlign w:val="bottom"/>
            <w:gridSpan w:val="2"/>
          </w:tcPr>
          <w:p>
            <w:pPr>
              <w:ind w:left="440"/>
              <w:spacing w:after="0"/>
              <w:rPr>
                <w:sz w:val="20"/>
                <w:szCs w:val="20"/>
                <w:color w:val="auto"/>
              </w:rPr>
            </w:pPr>
            <w:r>
              <w:rPr>
                <w:rFonts w:ascii="Arial" w:cs="Arial" w:eastAsia="Arial" w:hAnsi="Arial"/>
                <w:sz w:val="18"/>
                <w:szCs w:val="18"/>
                <w:b w:val="1"/>
                <w:bCs w:val="1"/>
                <w:color w:val="auto"/>
              </w:rPr>
              <w:t>SUBSIDIARY LIST</w:t>
            </w:r>
          </w:p>
        </w:tc>
      </w:tr>
      <w:tr>
        <w:trPr>
          <w:trHeight w:val="351"/>
        </w:trPr>
        <w:tc>
          <w:tcPr>
            <w:tcW w:w="4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60" w:type="dxa"/>
            <w:vAlign w:val="bottom"/>
          </w:tcPr>
          <w:p>
            <w:pPr>
              <w:spacing w:after="0"/>
              <w:rPr>
                <w:sz w:val="24"/>
                <w:szCs w:val="24"/>
                <w:color w:val="auto"/>
              </w:rPr>
            </w:pPr>
          </w:p>
        </w:tc>
      </w:tr>
      <w:tr>
        <w:trPr>
          <w:trHeight w:val="441"/>
        </w:trPr>
        <w:tc>
          <w:tcPr>
            <w:tcW w:w="4460" w:type="dxa"/>
            <w:vAlign w:val="bottom"/>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1240" w:type="dxa"/>
            <w:vAlign w:val="bottom"/>
            <w:tcBorders>
              <w:right w:val="single" w:sz="8" w:color="00000A"/>
            </w:tcBorders>
            <w:shd w:val="clear" w:color="auto" w:fill="E6E6E6"/>
          </w:tcPr>
          <w:p>
            <w:pPr>
              <w:spacing w:after="0"/>
              <w:rPr>
                <w:sz w:val="24"/>
                <w:szCs w:val="24"/>
                <w:color w:val="auto"/>
              </w:rPr>
            </w:pPr>
          </w:p>
        </w:tc>
        <w:tc>
          <w:tcPr>
            <w:tcW w:w="5660" w:type="dxa"/>
            <w:vAlign w:val="bottom"/>
            <w:shd w:val="clear" w:color="auto" w:fill="E6E6E6"/>
          </w:tcPr>
          <w:p>
            <w:pPr>
              <w:spacing w:after="0"/>
              <w:rPr>
                <w:sz w:val="24"/>
                <w:szCs w:val="24"/>
                <w:color w:val="auto"/>
              </w:rPr>
            </w:pPr>
          </w:p>
        </w:tc>
      </w:tr>
      <w:tr>
        <w:trPr>
          <w:trHeight w:val="266"/>
        </w:trPr>
        <w:tc>
          <w:tcPr>
            <w:tcW w:w="4460" w:type="dxa"/>
            <w:vAlign w:val="bottom"/>
            <w:tcBorders>
              <w:bottom w:val="single" w:sz="8" w:color="E6E6E6"/>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1240" w:type="dxa"/>
            <w:vAlign w:val="bottom"/>
            <w:tcBorders>
              <w:bottom w:val="single" w:sz="8" w:color="E6E6E6"/>
              <w:right w:val="single" w:sz="8" w:color="00000A"/>
            </w:tcBorders>
            <w:shd w:val="clear" w:color="auto" w:fill="E6E6E6"/>
          </w:tcPr>
          <w:p>
            <w:pPr>
              <w:spacing w:after="0"/>
              <w:rPr>
                <w:sz w:val="22"/>
                <w:szCs w:val="22"/>
                <w:color w:val="auto"/>
              </w:rPr>
            </w:pP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44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1035 Line Company</w:t>
            </w:r>
          </w:p>
        </w:tc>
        <w:tc>
          <w:tcPr>
            <w:tcW w:w="1240" w:type="dxa"/>
            <w:vAlign w:val="bottom"/>
            <w:tcBorders>
              <w:top w:val="single" w:sz="8" w:color="00000A"/>
              <w:bottom w:val="single" w:sz="8" w:color="CCEEFF"/>
              <w:right w:val="single" w:sz="8" w:color="00000A"/>
            </w:tcBorders>
            <w:shd w:val="clear" w:color="auto" w:fill="CCEEFF"/>
          </w:tcPr>
          <w:p>
            <w:pPr>
              <w:spacing w:after="0"/>
              <w:rPr>
                <w:sz w:val="22"/>
                <w:szCs w:val="22"/>
                <w:color w:val="auto"/>
              </w:rPr>
            </w:pP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AB Australasia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Biscuit Company Singapore Pte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Singapore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Biscuits Holdings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Biscuits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New Zealand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Zealand</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Arnott’s Sales Pty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Arnott’s Foundation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BF Bolthouse Holdco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Bolthouse Farms Canada Co.</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Bolthouse Farms Japan YK</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Japan</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Bolthouse Juice Holdings, LLC</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Bolthouse Juice Products,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CAH Corporation</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Argentina S.A.</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Argentina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Arnott’s Holdings Pty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Arnott’s Investments Pty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Arnott’s Investments No. 2 Pty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Australasia Pty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Cheong Chan Malaysia Sdn. Bhd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Company of Canada</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Canada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EU Investment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Finance 2 Corp.</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Foods (NZ) Ltd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Zealand</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Foodservice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Pennsylvania</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Hong Kong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International Holdings Inc.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Investment (Australia) Pty. Limited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Investment Company</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Japan Incorporated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Japan</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Jin Bao Tang, Inc.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MFG 1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Luxembourg Holdings S.a.r.l.</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Luxembourg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Sales Company</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Soup Asia Limited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Soup Dominicana, S.A.</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Dominican Republic</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Soup Supply Company L.L.C.</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4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Campbell Southeast Asia Sdn Bhd</w:t>
            </w:r>
          </w:p>
        </w:tc>
        <w:tc>
          <w:tcPr>
            <w:tcW w:w="1240" w:type="dxa"/>
            <w:vAlign w:val="bottom"/>
            <w:tcBorders>
              <w:bottom w:val="single" w:sz="8" w:color="CCEEFF"/>
              <w:right w:val="single" w:sz="8" w:color="00000A"/>
            </w:tcBorders>
            <w:shd w:val="clear" w:color="auto" w:fill="CCEEFF"/>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Malaysia</w:t>
            </w:r>
          </w:p>
        </w:tc>
      </w:tr>
      <w:tr>
        <w:trPr>
          <w:trHeight w:val="237"/>
        </w:trPr>
        <w:tc>
          <w:tcPr>
            <w:tcW w:w="44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Campbell Swire (HK) Ltd</w:t>
            </w:r>
          </w:p>
        </w:tc>
        <w:tc>
          <w:tcPr>
            <w:tcW w:w="1240" w:type="dxa"/>
            <w:vAlign w:val="bottom"/>
            <w:tcBorders>
              <w:top w:val="single" w:sz="8" w:color="00000A"/>
              <w:right w:val="single" w:sz="8" w:color="00000A"/>
            </w:tcBorders>
          </w:tcPr>
          <w:p>
            <w:pPr>
              <w:spacing w:after="0"/>
              <w:rPr>
                <w:sz w:val="20"/>
                <w:szCs w:val="20"/>
                <w:color w:val="auto"/>
              </w:rPr>
            </w:pP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4460" w:type="dxa"/>
            <w:vAlign w:val="bottom"/>
            <w:tcBorders>
              <w:bottom w:val="single" w:sz="8" w:color="00000A"/>
            </w:tcBorders>
          </w:tcPr>
          <w:p>
            <w:pPr>
              <w:spacing w:after="0"/>
              <w:rPr>
                <w:sz w:val="2"/>
                <w:szCs w:val="2"/>
                <w:color w:val="auto"/>
              </w:rPr>
            </w:pPr>
          </w:p>
        </w:tc>
        <w:tc>
          <w:tcPr>
            <w:tcW w:w="124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bl>
    <w:p>
      <w:pPr>
        <w:sectPr>
          <w:pgSz w:w="11900" w:h="16838" w:orient="portrait"/>
          <w:cols w:equalWidth="0" w:num="1">
            <w:col w:w="11380"/>
          </w:cols>
          <w:pgMar w:left="280" w:top="580" w:right="239" w:bottom="1440" w:gutter="0" w:footer="0" w:header="0"/>
        </w:sectPr>
      </w:pPr>
    </w:p>
    <w:bookmarkStart w:id="102" w:name="page103"/>
    <w:bookmarkEnd w:id="10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441"/>
        </w:trPr>
        <w:tc>
          <w:tcPr>
            <w:tcW w:w="5700" w:type="dxa"/>
            <w:vAlign w:val="bottom"/>
            <w:tcBorders>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Name of Subsidiary and Name</w:t>
            </w:r>
          </w:p>
        </w:tc>
        <w:tc>
          <w:tcPr>
            <w:tcW w:w="5660" w:type="dxa"/>
            <w:vAlign w:val="bottom"/>
            <w:shd w:val="clear" w:color="auto" w:fill="E6E6E6"/>
          </w:tcPr>
          <w:p>
            <w:pPr>
              <w:spacing w:after="0"/>
              <w:rPr>
                <w:sz w:val="24"/>
                <w:szCs w:val="24"/>
                <w:color w:val="auto"/>
              </w:rPr>
            </w:pPr>
          </w:p>
        </w:tc>
      </w:tr>
      <w:tr>
        <w:trPr>
          <w:trHeight w:val="266"/>
        </w:trPr>
        <w:tc>
          <w:tcPr>
            <w:tcW w:w="5700" w:type="dxa"/>
            <w:vAlign w:val="bottom"/>
            <w:tcBorders>
              <w:bottom w:val="single" w:sz="8" w:color="E6E6E6"/>
              <w:right w:val="single" w:sz="8" w:color="00000A"/>
            </w:tcBorders>
            <w:shd w:val="clear" w:color="auto" w:fill="E6E6E6"/>
          </w:tcPr>
          <w:p>
            <w:pPr>
              <w:ind w:left="1660"/>
              <w:spacing w:after="0"/>
              <w:rPr>
                <w:sz w:val="20"/>
                <w:szCs w:val="20"/>
                <w:color w:val="auto"/>
              </w:rPr>
            </w:pPr>
            <w:r>
              <w:rPr>
                <w:rFonts w:ascii="Arial" w:cs="Arial" w:eastAsia="Arial" w:hAnsi="Arial"/>
                <w:sz w:val="18"/>
                <w:szCs w:val="18"/>
                <w:b w:val="1"/>
                <w:bCs w:val="1"/>
                <w:color w:val="auto"/>
              </w:rPr>
              <w:t>Under Which It Does Business</w:t>
            </w:r>
          </w:p>
        </w:tc>
        <w:tc>
          <w:tcPr>
            <w:tcW w:w="5660" w:type="dxa"/>
            <w:vAlign w:val="bottom"/>
            <w:tcBorders>
              <w:bottom w:val="single" w:sz="8" w:color="E6E6E6"/>
            </w:tcBorders>
            <w:shd w:val="clear" w:color="auto" w:fill="E6E6E6"/>
          </w:tcPr>
          <w:p>
            <w:pPr>
              <w:ind w:left="1700"/>
              <w:spacing w:after="0"/>
              <w:rPr>
                <w:sz w:val="20"/>
                <w:szCs w:val="20"/>
                <w:color w:val="auto"/>
              </w:rPr>
            </w:pPr>
            <w:r>
              <w:rPr>
                <w:rFonts w:ascii="Arial" w:cs="Arial" w:eastAsia="Arial" w:hAnsi="Arial"/>
                <w:sz w:val="18"/>
                <w:szCs w:val="18"/>
                <w:b w:val="1"/>
                <w:bCs w:val="1"/>
                <w:color w:val="auto"/>
              </w:rPr>
              <w:t>Jurisdiction of Incorporation</w:t>
            </w:r>
          </w:p>
        </w:tc>
      </w:tr>
      <w:tr>
        <w:trPr>
          <w:trHeight w:val="269"/>
        </w:trPr>
        <w:tc>
          <w:tcPr>
            <w:tcW w:w="5700" w:type="dxa"/>
            <w:vAlign w:val="bottom"/>
            <w:tcBorders>
              <w:top w:val="single" w:sz="8" w:color="00000A"/>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Swire Equipment Leasing Ltd</w:t>
            </w:r>
          </w:p>
        </w:tc>
        <w:tc>
          <w:tcPr>
            <w:tcW w:w="5660" w:type="dxa"/>
            <w:vAlign w:val="bottom"/>
            <w:tcBorders>
              <w:top w:val="single" w:sz="8" w:color="00000A"/>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Hong Kong</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 Swire (Xiamen) Co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China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 Urban Renewal Corporation</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Campbell’s de Mexico S.A. de C. V.</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Mexico</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Campbell's de Panama S.A.</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Panama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Campbell’s U.K.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United Kingdom</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CANEB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CanFin Holdings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CASP Pty.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CCHC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CIRT Urban Renewal Corp.</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Comercializadora Campbell de Guatemala, Limitada</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Guatemala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CRHC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CSC Brands LP</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CSC Insights,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CSC Standards,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New Jersey</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EDS Investments,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EPL Properties Pty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Fresh Logistics, LLC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Garden Fresh Gourmet,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Garden Fresh Gourmet Foods, Inc.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Washington</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Habit, LLC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Joseph Campbell Company</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New Jersey</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Kelsen Group A/S</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Denmark</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Kelsen South Africa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South Africa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Kelsen,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Kjeldsens Campbell (Shanghai) Management Co.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China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Kjeldsens Limited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Hong Kong</w:t>
            </w:r>
          </w:p>
        </w:tc>
      </w:tr>
      <w:tr>
        <w:trPr>
          <w:trHeight w:val="27"/>
        </w:trPr>
        <w:tc>
          <w:tcPr>
            <w:tcW w:w="5700" w:type="dxa"/>
            <w:vAlign w:val="bottom"/>
            <w:tcBorders>
              <w:right w:val="single" w:sz="8" w:color="00000A"/>
            </w:tcBorders>
          </w:tcPr>
          <w:p>
            <w:pPr>
              <w:spacing w:after="0"/>
              <w:rPr>
                <w:sz w:val="2"/>
                <w:szCs w:val="2"/>
                <w:color w:val="auto"/>
              </w:rPr>
            </w:pPr>
          </w:p>
        </w:tc>
        <w:tc>
          <w:tcPr>
            <w:tcW w:w="5660" w:type="dxa"/>
            <w:vAlign w:val="bottom"/>
          </w:tcPr>
          <w:p>
            <w:pPr>
              <w:spacing w:after="0"/>
              <w:rPr>
                <w:sz w:val="2"/>
                <w:szCs w:val="2"/>
                <w:color w:val="auto"/>
              </w:rPr>
            </w:pPr>
          </w:p>
        </w:tc>
      </w:tr>
      <w:tr>
        <w:trPr>
          <w:trHeight w:val="275"/>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Pepperidge Farm, Incorporated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Connecticut</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Players Biscuits Pty. Ltd.</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Australia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Players Group Limited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Plum, PBC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Plyfix Pty. Ltd.</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Australia</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PT Arnott’s Indonesia</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Indonesia</w:t>
            </w:r>
          </w:p>
        </w:tc>
      </w:tr>
      <w:tr>
        <w:trPr>
          <w:trHeight w:val="27"/>
        </w:trPr>
        <w:tc>
          <w:tcPr>
            <w:tcW w:w="5700" w:type="dxa"/>
            <w:vAlign w:val="bottom"/>
            <w:tcBorders>
              <w:bottom w:val="single" w:sz="8" w:color="00000A"/>
              <w:right w:val="single" w:sz="8" w:color="00000A"/>
            </w:tcBorders>
          </w:tcPr>
          <w:p>
            <w:pPr>
              <w:spacing w:after="0"/>
              <w:rPr>
                <w:sz w:val="2"/>
                <w:szCs w:val="2"/>
                <w:color w:val="auto"/>
              </w:rPr>
            </w:pPr>
          </w:p>
        </w:tc>
        <w:tc>
          <w:tcPr>
            <w:tcW w:w="5660" w:type="dxa"/>
            <w:vAlign w:val="bottom"/>
            <w:tcBorders>
              <w:bottom w:val="single" w:sz="8" w:color="00000A"/>
            </w:tcBorders>
          </w:tcPr>
          <w:p>
            <w:pPr>
              <w:spacing w:after="0"/>
              <w:rPr>
                <w:sz w:val="2"/>
                <w:szCs w:val="2"/>
                <w:color w:val="auto"/>
              </w:rPr>
            </w:pPr>
          </w:p>
        </w:tc>
      </w:tr>
      <w:tr>
        <w:trPr>
          <w:trHeight w:val="269"/>
        </w:trPr>
        <w:tc>
          <w:tcPr>
            <w:tcW w:w="5700" w:type="dxa"/>
            <w:vAlign w:val="bottom"/>
            <w:tcBorders>
              <w:bottom w:val="single" w:sz="8" w:color="CCEEFF"/>
              <w:right w:val="single" w:sz="8" w:color="00000A"/>
            </w:tcBorders>
            <w:shd w:val="clear" w:color="auto" w:fill="CCEEFF"/>
          </w:tcPr>
          <w:p>
            <w:pPr>
              <w:ind w:left="20"/>
              <w:spacing w:after="0"/>
              <w:rPr>
                <w:sz w:val="20"/>
                <w:szCs w:val="20"/>
                <w:color w:val="auto"/>
              </w:rPr>
            </w:pPr>
            <w:r>
              <w:rPr>
                <w:rFonts w:ascii="Arial" w:cs="Arial" w:eastAsia="Arial" w:hAnsi="Arial"/>
                <w:sz w:val="18"/>
                <w:szCs w:val="18"/>
                <w:color w:val="auto"/>
              </w:rPr>
              <w:t>The Soulfull Project, PBC</w:t>
            </w:r>
          </w:p>
        </w:tc>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37"/>
        </w:trPr>
        <w:tc>
          <w:tcPr>
            <w:tcW w:w="5700" w:type="dxa"/>
            <w:vAlign w:val="bottom"/>
            <w:tcBorders>
              <w:top w:val="single" w:sz="8" w:color="00000A"/>
              <w:right w:val="single" w:sz="8" w:color="00000A"/>
            </w:tcBorders>
          </w:tcPr>
          <w:p>
            <w:pPr>
              <w:ind w:left="20"/>
              <w:spacing w:after="0"/>
              <w:rPr>
                <w:sz w:val="20"/>
                <w:szCs w:val="20"/>
                <w:color w:val="auto"/>
              </w:rPr>
            </w:pPr>
            <w:r>
              <w:rPr>
                <w:rFonts w:ascii="Arial" w:cs="Arial" w:eastAsia="Arial" w:hAnsi="Arial"/>
                <w:sz w:val="18"/>
                <w:szCs w:val="18"/>
                <w:color w:val="auto"/>
              </w:rPr>
              <w:t>Wm. Bolthouse Farms, Inc.</w:t>
            </w:r>
          </w:p>
        </w:tc>
        <w:tc>
          <w:tcPr>
            <w:tcW w:w="5660" w:type="dxa"/>
            <w:vAlign w:val="bottom"/>
            <w:tcBorders>
              <w:top w:val="single" w:sz="8" w:color="00000A"/>
            </w:tcBorders>
          </w:tcPr>
          <w:p>
            <w:pPr>
              <w:ind w:left="20"/>
              <w:spacing w:after="0"/>
              <w:rPr>
                <w:sz w:val="20"/>
                <w:szCs w:val="20"/>
                <w:color w:val="auto"/>
              </w:rPr>
            </w:pPr>
            <w:r>
              <w:rPr>
                <w:rFonts w:ascii="Arial" w:cs="Arial" w:eastAsia="Arial" w:hAnsi="Arial"/>
                <w:sz w:val="18"/>
                <w:szCs w:val="18"/>
                <w:color w:val="auto"/>
              </w:rPr>
              <w:t>Michigan</w:t>
            </w:r>
          </w:p>
        </w:tc>
      </w:tr>
      <w:tr>
        <w:trPr>
          <w:trHeight w:val="27"/>
        </w:trPr>
        <w:tc>
          <w:tcPr>
            <w:tcW w:w="5700" w:type="dxa"/>
            <w:vAlign w:val="bottom"/>
            <w:tcBorders>
              <w:right w:val="single" w:sz="8" w:color="00000A"/>
            </w:tcBorders>
          </w:tcPr>
          <w:p>
            <w:pPr>
              <w:spacing w:after="0"/>
              <w:rPr>
                <w:sz w:val="2"/>
                <w:szCs w:val="2"/>
                <w:color w:val="auto"/>
              </w:rPr>
            </w:pPr>
          </w:p>
        </w:tc>
        <w:tc>
          <w:tcPr>
            <w:tcW w:w="566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does not constitute a complete list of all subsidiaries of the registrant. The subsidiaries that have been omitted do not, if considered in the aggregate as a single subsidiary, constitute a “Significant Subsidiary” as defined by the SEC.</w:t>
      </w:r>
    </w:p>
    <w:p>
      <w:pPr>
        <w:sectPr>
          <w:pgSz w:w="11900" w:h="16838" w:orient="portrait"/>
          <w:cols w:equalWidth="0" w:num="1">
            <w:col w:w="11420"/>
          </w:cols>
          <w:pgMar w:left="240" w:top="73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333-219217) and Forms S-8 (Nos. 333-216582, 333-208441, 333-173583, 333-173582, 333-160381, 333-157850, 333-134675, 333-112319, 333-22803, 333-00729 and 33-59797) of Campbell Soup Company of our report dated September 27, 2017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616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8">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PricewaterhouseCoopers LLP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200" w:lineRule="exact"/>
        <w:rPr>
          <w:sz w:val="20"/>
          <w:szCs w:val="20"/>
          <w:color w:val="auto"/>
        </w:rPr>
      </w:pPr>
    </w:p>
    <w:p>
      <w:pPr>
        <w:spacing w:after="0" w:line="3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September 27, 2017</w:t>
      </w:r>
    </w:p>
    <w:p>
      <w:pPr>
        <w:sectPr>
          <w:pgSz w:w="11900" w:h="16838" w:orient="portrait"/>
          <w:cols w:equalWidth="0" w:num="1">
            <w:col w:w="11420"/>
          </w:cols>
          <w:pgMar w:left="240" w:top="553"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2017</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9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27, 2017</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90">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30, 2017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27,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91">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pacing w:after="0" w:line="211"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spacing w:after="0" w:line="2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Annual Report of Campbell Soup Company (the “Company”) on Form 10-K for the fiscal year ended July 30, 2017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September 27, 2017</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9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DE91B18"/>
    <w:multiLevelType w:val="hybridMultilevel"/>
    <w:lvl w:ilvl="0">
      <w:lvlJc w:val="left"/>
      <w:lvlText w:val="•"/>
      <w:numFmt w:val="bullet"/>
      <w:start w:val="1"/>
    </w:lvl>
  </w:abstractNum>
  <w:abstractNum w:abstractNumId="1">
    <w:nsid w:val="38437FDB"/>
    <w:multiLevelType w:val="hybridMultilevel"/>
    <w:lvl w:ilvl="0">
      <w:lvlJc w:val="left"/>
      <w:lvlText w:val="•"/>
      <w:numFmt w:val="bullet"/>
      <w:start w:val="1"/>
    </w:lvl>
  </w:abstractNum>
  <w:abstractNum w:abstractNumId="2">
    <w:nsid w:val="7644A45C"/>
    <w:multiLevelType w:val="hybridMultilevel"/>
    <w:lvl w:ilvl="0">
      <w:lvlJc w:val="left"/>
      <w:lvlText w:val="•"/>
      <w:numFmt w:val="bullet"/>
      <w:start w:val="1"/>
    </w:lvl>
  </w:abstractNum>
  <w:abstractNum w:abstractNumId="3">
    <w:nsid w:val="32FFF902"/>
    <w:multiLevelType w:val="hybridMultilevel"/>
    <w:lvl w:ilvl="0">
      <w:lvlJc w:val="left"/>
      <w:lvlText w:val="•"/>
      <w:numFmt w:val="bullet"/>
      <w:start w:val="1"/>
    </w:lvl>
  </w:abstractNum>
  <w:abstractNum w:abstractNumId="4">
    <w:nsid w:val="684A481A"/>
    <w:multiLevelType w:val="hybridMultilevel"/>
    <w:lvl w:ilvl="0">
      <w:lvlJc w:val="left"/>
      <w:lvlText w:val="•"/>
      <w:numFmt w:val="bullet"/>
      <w:start w:val="1"/>
    </w:lvl>
  </w:abstractNum>
  <w:abstractNum w:abstractNumId="5">
    <w:nsid w:val="579478FE"/>
    <w:multiLevelType w:val="hybridMultilevel"/>
    <w:lvl w:ilvl="0">
      <w:lvlJc w:val="left"/>
      <w:lvlText w:val="*"/>
      <w:numFmt w:val="bullet"/>
      <w:start w:val="1"/>
    </w:lvl>
  </w:abstractNum>
  <w:abstractNum w:abstractNumId="6">
    <w:nsid w:val="749ABB43"/>
    <w:multiLevelType w:val="hybridMultilevel"/>
    <w:lvl w:ilvl="0">
      <w:lvlJc w:val="left"/>
      <w:lvlText w:val="(%1)"/>
      <w:numFmt w:val="decimal"/>
      <w:start w:val="1"/>
    </w:lvl>
  </w:abstractNum>
  <w:abstractNum w:abstractNumId="7">
    <w:nsid w:val="3DC240FB"/>
    <w:multiLevelType w:val="hybridMultilevel"/>
    <w:lvl w:ilvl="0">
      <w:lvlJc w:val="left"/>
      <w:lvlText w:val="(%1)"/>
      <w:numFmt w:val="decimal"/>
      <w:start w:val="1"/>
    </w:lvl>
  </w:abstractNum>
  <w:abstractNum w:abstractNumId="8">
    <w:nsid w:val="1BA026FA"/>
    <w:multiLevelType w:val="hybridMultilevel"/>
    <w:lvl w:ilvl="0">
      <w:lvlJc w:val="left"/>
      <w:lvlText w:val="•"/>
      <w:numFmt w:val="bullet"/>
      <w:start w:val="1"/>
    </w:lvl>
  </w:abstractNum>
  <w:abstractNum w:abstractNumId="9">
    <w:nsid w:val="79A1DEAA"/>
    <w:multiLevelType w:val="hybridMultilevel"/>
    <w:lvl w:ilvl="0">
      <w:lvlJc w:val="left"/>
      <w:lvlText w:val="•"/>
      <w:numFmt w:val="bullet"/>
      <w:start w:val="1"/>
    </w:lvl>
  </w:abstractNum>
  <w:abstractNum w:abstractNumId="10">
    <w:nsid w:val="75C6C33A"/>
    <w:multiLevelType w:val="hybridMultilevel"/>
    <w:lvl w:ilvl="0">
      <w:lvlJc w:val="left"/>
      <w:lvlText w:val="•"/>
      <w:numFmt w:val="bullet"/>
      <w:start w:val="1"/>
    </w:lvl>
  </w:abstractNum>
  <w:abstractNum w:abstractNumId="11">
    <w:nsid w:val="12E685FB"/>
    <w:multiLevelType w:val="hybridMultilevel"/>
    <w:lvl w:ilvl="0">
      <w:lvlJc w:val="left"/>
      <w:lvlText w:val="•"/>
      <w:numFmt w:val="bullet"/>
      <w:start w:val="1"/>
    </w:lvl>
  </w:abstractNum>
  <w:abstractNum w:abstractNumId="12">
    <w:nsid w:val="70C6A529"/>
    <w:multiLevelType w:val="hybridMultilevel"/>
    <w:lvl w:ilvl="0">
      <w:lvlJc w:val="left"/>
      <w:lvlText w:val="(%1)"/>
      <w:numFmt w:val="decimal"/>
      <w:start w:val="1"/>
    </w:lvl>
  </w:abstractNum>
  <w:abstractNum w:abstractNumId="13">
    <w:nsid w:val="520EEDD1"/>
    <w:multiLevelType w:val="hybridMultilevel"/>
    <w:lvl w:ilvl="0">
      <w:lvlJc w:val="left"/>
      <w:lvlText w:val="•"/>
      <w:numFmt w:val="bullet"/>
      <w:start w:val="1"/>
    </w:lvl>
  </w:abstractNum>
  <w:abstractNum w:abstractNumId="14">
    <w:nsid w:val="374A3FE6"/>
    <w:multiLevelType w:val="hybridMultilevel"/>
    <w:lvl w:ilvl="0">
      <w:lvlJc w:val="left"/>
      <w:lvlText w:val="(%1)"/>
      <w:numFmt w:val="decimal"/>
      <w:start w:val="1"/>
    </w:lvl>
  </w:abstractNum>
  <w:abstractNum w:abstractNumId="15">
    <w:nsid w:val="4F4EF005"/>
    <w:multiLevelType w:val="hybridMultilevel"/>
    <w:lvl w:ilvl="0">
      <w:lvlJc w:val="left"/>
      <w:lvlText w:val="(%1)"/>
      <w:numFmt w:val="decimal"/>
      <w:start w:val="1"/>
    </w:lvl>
  </w:abstractNum>
  <w:abstractNum w:abstractNumId="16">
    <w:nsid w:val="23F9C13C"/>
    <w:multiLevelType w:val="hybridMultilevel"/>
    <w:lvl w:ilvl="0">
      <w:lvlJc w:val="left"/>
      <w:lvlText w:val="•"/>
      <w:numFmt w:val="bullet"/>
      <w:start w:val="1"/>
    </w:lvl>
  </w:abstractNum>
  <w:abstractNum w:abstractNumId="17">
    <w:nsid w:val="649BB77C"/>
    <w:multiLevelType w:val="hybridMultilevel"/>
    <w:lvl w:ilvl="0">
      <w:lvlJc w:val="left"/>
      <w:lvlText w:val="(%1)"/>
      <w:numFmt w:val="decimal"/>
      <w:start w:val="1"/>
    </w:lvl>
  </w:abstractNum>
  <w:abstractNum w:abstractNumId="18">
    <w:nsid w:val="275AC794"/>
    <w:multiLevelType w:val="hybridMultilevel"/>
    <w:lvl w:ilvl="0">
      <w:lvlJc w:val="left"/>
      <w:lvlText w:val="(%1)"/>
      <w:numFmt w:val="decimal"/>
      <w:start w:val="1"/>
    </w:lvl>
  </w:abstractNum>
  <w:abstractNum w:abstractNumId="19">
    <w:nsid w:val="39386575"/>
    <w:multiLevelType w:val="hybridMultilevel"/>
    <w:lvl w:ilvl="0">
      <w:lvlJc w:val="left"/>
      <w:lvlText w:val="(%1)"/>
      <w:numFmt w:val="decimal"/>
      <w:start w:val="1"/>
    </w:lvl>
  </w:abstractNum>
  <w:abstractNum w:abstractNumId="20">
    <w:nsid w:val="1CF10FD8"/>
    <w:multiLevelType w:val="hybridMultilevel"/>
    <w:lvl w:ilvl="0">
      <w:lvlJc w:val="left"/>
      <w:lvlText w:val="*"/>
      <w:numFmt w:val="bullet"/>
      <w:start w:val="1"/>
    </w:lvl>
  </w:abstractNum>
  <w:abstractNum w:abstractNumId="21">
    <w:nsid w:val="180115BE"/>
    <w:multiLevelType w:val="hybridMultilevel"/>
    <w:lvl w:ilvl="0">
      <w:lvlJc w:val="left"/>
      <w:lvlText w:val="•"/>
      <w:numFmt w:val="bullet"/>
      <w:start w:val="1"/>
    </w:lvl>
  </w:abstractNum>
  <w:abstractNum w:abstractNumId="22">
    <w:nsid w:val="235BA861"/>
    <w:multiLevelType w:val="hybridMultilevel"/>
    <w:lvl w:ilvl="0">
      <w:lvlJc w:val="left"/>
      <w:lvlText w:val="%1."/>
      <w:numFmt w:val="decimal"/>
      <w:start w:val="1"/>
    </w:lvl>
  </w:abstractNum>
  <w:abstractNum w:abstractNumId="23">
    <w:nsid w:val="47398C89"/>
    <w:multiLevelType w:val="hybridMultilevel"/>
    <w:lvl w:ilvl="0">
      <w:lvlJc w:val="left"/>
      <w:lvlText w:val="%1."/>
      <w:numFmt w:val="decimal"/>
      <w:start w:val="2"/>
    </w:lvl>
  </w:abstractNum>
  <w:abstractNum w:abstractNumId="24">
    <w:nsid w:val="354FE9F9"/>
    <w:multiLevelType w:val="hybridMultilevel"/>
    <w:lvl w:ilvl="0">
      <w:lvlJc w:val="left"/>
      <w:lvlText w:val="%1."/>
      <w:numFmt w:val="decimal"/>
      <w:start w:val="3"/>
    </w:lvl>
  </w:abstractNum>
  <w:abstractNum w:abstractNumId="25">
    <w:nsid w:val="15B5AF5C"/>
    <w:multiLevelType w:val="hybridMultilevel"/>
    <w:lvl w:ilvl="0">
      <w:lvlJc w:val="left"/>
      <w:lvlText w:val="%1."/>
      <w:numFmt w:val="decimal"/>
      <w:start w:val="4"/>
    </w:lvl>
  </w:abstractNum>
  <w:abstractNum w:abstractNumId="26">
    <w:nsid w:val="741226BB"/>
    <w:multiLevelType w:val="hybridMultilevel"/>
    <w:lvl w:ilvl="0">
      <w:lvlJc w:val="left"/>
      <w:lvlText w:val="(%1)"/>
      <w:numFmt w:val="decimal"/>
      <w:start w:val="1"/>
    </w:lvl>
  </w:abstractNum>
  <w:abstractNum w:abstractNumId="27">
    <w:nsid w:val="D34B6A8"/>
    <w:multiLevelType w:val="hybridMultilevel"/>
    <w:lvl w:ilvl="0">
      <w:lvlJc w:val="left"/>
      <w:lvlText w:val="(%1)"/>
      <w:numFmt w:val="decimal"/>
      <w:start w:val="1"/>
    </w:lvl>
  </w:abstractNum>
  <w:abstractNum w:abstractNumId="28">
    <w:nsid w:val="10233C99"/>
    <w:multiLevelType w:val="hybridMultilevel"/>
    <w:lvl w:ilvl="0">
      <w:lvlJc w:val="left"/>
      <w:lvlText w:val="%1."/>
      <w:numFmt w:val="decimal"/>
      <w:start w:val="5"/>
    </w:lvl>
  </w:abstractNum>
  <w:abstractNum w:abstractNumId="29">
    <w:nsid w:val="3F6AB60F"/>
    <w:multiLevelType w:val="hybridMultilevel"/>
    <w:lvl w:ilvl="0">
      <w:lvlJc w:val="left"/>
      <w:lvlText w:val="(%1)"/>
      <w:numFmt w:val="decimal"/>
      <w:start w:val="1"/>
    </w:lvl>
  </w:abstractNum>
  <w:abstractNum w:abstractNumId="30">
    <w:nsid w:val="61574095"/>
    <w:multiLevelType w:val="hybridMultilevel"/>
    <w:lvl w:ilvl="0">
      <w:lvlJc w:val="left"/>
      <w:lvlText w:val="%1."/>
      <w:numFmt w:val="decimal"/>
      <w:start w:val="6"/>
    </w:lvl>
    <w:lvl w:ilvl="1">
      <w:lvlJc w:val="left"/>
      <w:lvlText w:val="•"/>
      <w:numFmt w:val="bullet"/>
      <w:start w:val="1"/>
    </w:lvl>
  </w:abstractNum>
  <w:abstractNum w:abstractNumId="31">
    <w:nsid w:val="7E0C57B1"/>
    <w:multiLevelType w:val="hybridMultilevel"/>
    <w:lvl w:ilvl="0">
      <w:lvlJc w:val="left"/>
      <w:lvlText w:val="(%1)"/>
      <w:numFmt w:val="decimal"/>
      <w:start w:val="1"/>
    </w:lvl>
  </w:abstractNum>
  <w:abstractNum w:abstractNumId="32">
    <w:nsid w:val="77AE35EB"/>
    <w:multiLevelType w:val="hybridMultilevel"/>
    <w:lvl w:ilvl="0">
      <w:lvlJc w:val="left"/>
      <w:lvlText w:val="(%1)"/>
      <w:numFmt w:val="decimal"/>
      <w:start w:val="2"/>
    </w:lvl>
  </w:abstractNum>
  <w:abstractNum w:abstractNumId="33">
    <w:nsid w:val="579BE4F1"/>
    <w:multiLevelType w:val="hybridMultilevel"/>
    <w:lvl w:ilvl="0">
      <w:lvlJc w:val="left"/>
      <w:lvlText w:val="(%1)"/>
      <w:numFmt w:val="decimal"/>
      <w:start w:val="1"/>
    </w:lvl>
  </w:abstractNum>
  <w:abstractNum w:abstractNumId="34">
    <w:nsid w:val="310C50B3"/>
    <w:multiLevelType w:val="hybridMultilevel"/>
    <w:lvl w:ilvl="0">
      <w:lvlJc w:val="left"/>
      <w:lvlText w:val="%1."/>
      <w:numFmt w:val="decimal"/>
      <w:start w:val="8"/>
    </w:lvl>
  </w:abstractNum>
  <w:abstractNum w:abstractNumId="35">
    <w:nsid w:val="5FF87E05"/>
    <w:multiLevelType w:val="hybridMultilevel"/>
    <w:lvl w:ilvl="0">
      <w:lvlJc w:val="left"/>
      <w:lvlText w:val="%1."/>
      <w:numFmt w:val="decimal"/>
      <w:start w:val="9"/>
    </w:lvl>
  </w:abstractNum>
  <w:abstractNum w:abstractNumId="36">
    <w:nsid w:val="2F305DEF"/>
    <w:multiLevelType w:val="hybridMultilevel"/>
    <w:lvl w:ilvl="0">
      <w:lvlJc w:val="left"/>
      <w:lvlText w:val="•"/>
      <w:numFmt w:val="bullet"/>
      <w:start w:val="1"/>
    </w:lvl>
  </w:abstractNum>
  <w:abstractNum w:abstractNumId="37">
    <w:nsid w:val="25A70BF7"/>
    <w:multiLevelType w:val="hybridMultilevel"/>
    <w:lvl w:ilvl="0">
      <w:lvlJc w:val="left"/>
      <w:lvlText w:val="(%1)"/>
      <w:numFmt w:val="decimal"/>
      <w:start w:val="1"/>
    </w:lvl>
  </w:abstractNum>
  <w:abstractNum w:abstractNumId="38">
    <w:nsid w:val="1DBABF00"/>
    <w:multiLevelType w:val="hybridMultilevel"/>
    <w:lvl w:ilvl="0">
      <w:lvlJc w:val="left"/>
      <w:lvlText w:val="%1."/>
      <w:numFmt w:val="decimal"/>
      <w:start w:val="11"/>
    </w:lvl>
  </w:abstractNum>
  <w:abstractNum w:abstractNumId="39">
    <w:nsid w:val="4AD084E9"/>
    <w:multiLevelType w:val="hybridMultilevel"/>
    <w:lvl w:ilvl="0">
      <w:lvlJc w:val="left"/>
      <w:lvlText w:val="(%1)"/>
      <w:numFmt w:val="decimal"/>
      <w:start w:val="1"/>
    </w:lvl>
  </w:abstractNum>
  <w:abstractNum w:abstractNumId="40">
    <w:nsid w:val="1F48EAA1"/>
    <w:multiLevelType w:val="hybridMultilevel"/>
    <w:lvl w:ilvl="0">
      <w:lvlJc w:val="left"/>
      <w:lvlText w:val="%1."/>
      <w:numFmt w:val="decimal"/>
      <w:start w:val="12"/>
    </w:lvl>
  </w:abstractNum>
  <w:abstractNum w:abstractNumId="41">
    <w:nsid w:val="1381823A"/>
    <w:multiLevelType w:val="hybridMultilevel"/>
    <w:lvl w:ilvl="0">
      <w:lvlJc w:val="left"/>
      <w:lvlText w:val="(%1)"/>
      <w:numFmt w:val="decimal"/>
      <w:start w:val="1"/>
    </w:lvl>
  </w:abstractNum>
  <w:abstractNum w:abstractNumId="42">
    <w:nsid w:val="5DB70AE5"/>
    <w:multiLevelType w:val="hybridMultilevel"/>
    <w:lvl w:ilvl="0">
      <w:lvlJc w:val="left"/>
      <w:lvlText w:val="(%1)"/>
      <w:numFmt w:val="decimal"/>
      <w:start w:val="1"/>
    </w:lvl>
  </w:abstractNum>
  <w:abstractNum w:abstractNumId="43">
    <w:nsid w:val="100F8FCA"/>
    <w:multiLevelType w:val="hybridMultilevel"/>
    <w:lvl w:ilvl="0">
      <w:lvlJc w:val="left"/>
      <w:lvlText w:val="%1."/>
      <w:numFmt w:val="decimal"/>
      <w:start w:val="15"/>
    </w:lvl>
    <w:lvl w:ilvl="1">
      <w:lvlJc w:val="left"/>
      <w:lvlText w:val="•"/>
      <w:numFmt w:val="bullet"/>
      <w:start w:val="1"/>
    </w:lvl>
  </w:abstractNum>
  <w:abstractNum w:abstractNumId="44">
    <w:nsid w:val="6590700B"/>
    <w:multiLevelType w:val="hybridMultilevel"/>
    <w:lvl w:ilvl="0">
      <w:lvlJc w:val="left"/>
      <w:lvlText w:val="(%1)"/>
      <w:numFmt w:val="decimal"/>
      <w:start w:val="1"/>
    </w:lvl>
  </w:abstractNum>
  <w:abstractNum w:abstractNumId="45">
    <w:nsid w:val="15014ACB"/>
    <w:multiLevelType w:val="hybridMultilevel"/>
    <w:lvl w:ilvl="0">
      <w:lvlJc w:val="left"/>
      <w:lvlText w:val="(%1)"/>
      <w:numFmt w:val="decimal"/>
      <w:start w:val="5"/>
    </w:lvl>
  </w:abstractNum>
  <w:abstractNum w:abstractNumId="46">
    <w:nsid w:val="5F5E7FD0"/>
    <w:multiLevelType w:val="hybridMultilevel"/>
    <w:lvl w:ilvl="0">
      <w:lvlJc w:val="left"/>
      <w:lvlText w:val="(%1)"/>
      <w:numFmt w:val="decimal"/>
      <w:start w:val="1"/>
    </w:lvl>
  </w:abstractNum>
  <w:abstractNum w:abstractNumId="47">
    <w:nsid w:val="98A3148"/>
    <w:multiLevelType w:val="hybridMultilevel"/>
    <w:lvl w:ilvl="0">
      <w:lvlJc w:val="left"/>
      <w:lvlText w:val="(%1)"/>
      <w:numFmt w:val="decimal"/>
      <w:start w:val="1"/>
    </w:lvl>
  </w:abstractNum>
  <w:abstractNum w:abstractNumId="48">
    <w:nsid w:val="799D0247"/>
    <w:multiLevelType w:val="hybridMultilevel"/>
    <w:lvl w:ilvl="0">
      <w:lvlJc w:val="left"/>
      <w:lvlText w:val="•"/>
      <w:numFmt w:val="bullet"/>
      <w:start w:val="1"/>
    </w:lvl>
  </w:abstractNum>
  <w:abstractNum w:abstractNumId="49">
    <w:nsid w:val="6B94764"/>
    <w:multiLevelType w:val="hybridMultilevel"/>
    <w:lvl w:ilvl="0">
      <w:lvlJc w:val="left"/>
      <w:lvlText w:val="•"/>
      <w:numFmt w:val="bullet"/>
      <w:start w:val="1"/>
    </w:lvl>
  </w:abstractNum>
  <w:abstractNum w:abstractNumId="50">
    <w:nsid w:val="42C296BD"/>
    <w:multiLevelType w:val="hybridMultilevel"/>
    <w:lvl w:ilvl="0">
      <w:lvlJc w:val="left"/>
      <w:lvlText w:val="(%1)"/>
      <w:numFmt w:val="decimal"/>
      <w:start w:val="1"/>
    </w:lvl>
  </w:abstractNum>
  <w:abstractNum w:abstractNumId="51">
    <w:nsid w:val="168E121F"/>
    <w:multiLevelType w:val="hybridMultilevel"/>
    <w:lvl w:ilvl="0">
      <w:lvlJc w:val="left"/>
      <w:lvlText w:val="%1."/>
      <w:numFmt w:val="decimal"/>
      <w:start w:val="2"/>
    </w:lvl>
    <w:lvl w:ilvl="1">
      <w:lvlJc w:val="left"/>
      <w:lvlText w:val="%2"/>
      <w:numFmt w:val="upperLetter"/>
      <w:start w:val="1"/>
    </w:lvl>
  </w:abstractNum>
  <w:abstractNum w:abstractNumId="52">
    <w:nsid w:val="1EBA5D23"/>
    <w:multiLevelType w:val="hybridMultilevel"/>
    <w:lvl w:ilvl="0">
      <w:lvlJc w:val="left"/>
      <w:lvlText w:val="(%1)"/>
      <w:numFmt w:val="lowerLetter"/>
      <w:start w:val="2"/>
    </w:lvl>
  </w:abstractNum>
  <w:abstractNum w:abstractNumId="53">
    <w:nsid w:val="661E3F1E"/>
    <w:multiLevelType w:val="hybridMultilevel"/>
    <w:lvl w:ilvl="0">
      <w:lvlJc w:val="left"/>
      <w:lvlText w:val="9"/>
      <w:numFmt w:val="bullet"/>
      <w:start w:val="1"/>
    </w:lvl>
  </w:abstractNum>
  <w:abstractNum w:abstractNumId="54">
    <w:nsid w:val="5DC79EA8"/>
    <w:multiLevelType w:val="hybridMultilevel"/>
    <w:lvl w:ilvl="0">
      <w:lvlJc w:val="left"/>
      <w:lvlText w:val="%1"/>
      <w:numFmt w:val="decimal"/>
      <w:start w:val="12"/>
    </w:lvl>
  </w:abstractNum>
  <w:abstractNum w:abstractNumId="55">
    <w:nsid w:val="540A471C"/>
    <w:multiLevelType w:val="hybridMultilevel"/>
    <w:lvl w:ilvl="0">
      <w:lvlJc w:val="left"/>
      <w:lvlText w:val="%1"/>
      <w:numFmt w:val="decimal"/>
      <w:start w:val="21"/>
    </w:lvl>
  </w:abstractNum>
  <w:abstractNum w:abstractNumId="56">
    <w:nsid w:val="7BD3EE7B"/>
    <w:multiLevelType w:val="hybridMultilevel"/>
    <w:lvl w:ilvl="0">
      <w:lvlJc w:val="left"/>
      <w:lvlText w:val="%1"/>
      <w:numFmt w:val="decimal"/>
      <w:start w:val="23"/>
    </w:lvl>
  </w:abstractNum>
  <w:abstractNum w:abstractNumId="57">
    <w:nsid w:val="51D9C564"/>
    <w:multiLevelType w:val="hybridMultilevel"/>
    <w:lvl w:ilvl="0">
      <w:lvlJc w:val="left"/>
      <w:lvlText w:val="(%1)"/>
      <w:numFmt w:val="decimal"/>
      <w:start w:val="1"/>
    </w:lvl>
  </w:abstractNum>
  <w:abstractNum w:abstractNumId="58">
    <w:nsid w:val="613EFDC5"/>
    <w:multiLevelType w:val="hybridMultilevel"/>
    <w:lvl w:ilvl="0">
      <w:lvlJc w:val="left"/>
      <w:lvlText w:val="%1."/>
      <w:numFmt w:val="decimal"/>
      <w:start w:val="1"/>
    </w:lvl>
  </w:abstractNum>
  <w:abstractNum w:abstractNumId="59">
    <w:nsid w:val="BF72B14"/>
    <w:multiLevelType w:val="hybridMultilevel"/>
    <w:lvl w:ilvl="0">
      <w:lvlJc w:val="left"/>
      <w:lvlText w:val="(%1)"/>
      <w:numFmt w:val="lowerLetter"/>
      <w:start w:val="1"/>
    </w:lvl>
  </w:abstractNum>
  <w:abstractNum w:abstractNumId="60">
    <w:nsid w:val="11447B73"/>
    <w:multiLevelType w:val="hybridMultilevel"/>
    <w:lvl w:ilvl="0">
      <w:lvlJc w:val="left"/>
      <w:lvlText w:val="(%1)"/>
      <w:numFmt w:val="lowerRoman"/>
      <w:start w:val="10"/>
    </w:lvl>
  </w:abstractNum>
  <w:abstractNum w:abstractNumId="61">
    <w:nsid w:val="42963E5A"/>
    <w:multiLevelType w:val="hybridMultilevel"/>
    <w:lvl w:ilvl="0">
      <w:lvlJc w:val="left"/>
      <w:lvlText w:val="(%1)"/>
      <w:numFmt w:val="lowerLetter"/>
      <w:start w:val="5"/>
    </w:lvl>
  </w:abstractNum>
  <w:abstractNum w:abstractNumId="62">
    <w:nsid w:val="A0382C5"/>
    <w:multiLevelType w:val="hybridMultilevel"/>
    <w:lvl w:ilvl="0">
      <w:lvlJc w:val="left"/>
      <w:lvlText w:val="(%1)"/>
      <w:numFmt w:val="lowerLetter"/>
      <w:start w:val="1"/>
    </w:lvl>
    <w:lvl w:ilvl="1">
      <w:lvlJc w:val="left"/>
      <w:lvlText w:val="(%2)"/>
      <w:numFmt w:val="decimal"/>
      <w:start w:val="1"/>
    </w:lvl>
  </w:abstractNum>
  <w:abstractNum w:abstractNumId="63">
    <w:nsid w:val="8F2B15E"/>
    <w:multiLevelType w:val="hybridMultilevel"/>
    <w:lvl w:ilvl="0">
      <w:lvlJc w:val="left"/>
      <w:lvlText w:val="(%1)"/>
      <w:numFmt w:val="lowerLetter"/>
      <w:start w:val="2"/>
    </w:lvl>
  </w:abstractNum>
  <w:abstractNum w:abstractNumId="64">
    <w:nsid w:val="1A32234B"/>
    <w:multiLevelType w:val="hybridMultilevel"/>
    <w:lvl w:ilvl="0">
      <w:lvlJc w:val="left"/>
      <w:lvlText w:val="%1."/>
      <w:numFmt w:val="decimal"/>
      <w:start w:val="3"/>
    </w:lvl>
  </w:abstractNum>
  <w:abstractNum w:abstractNumId="65">
    <w:nsid w:val="3B0FD379"/>
    <w:multiLevelType w:val="hybridMultilevel"/>
    <w:lvl w:ilvl="0">
      <w:lvlJc w:val="left"/>
      <w:lvlText w:val="(%1)"/>
      <w:numFmt w:val="lowerLetter"/>
      <w:start w:val="1"/>
    </w:lvl>
    <w:lvl w:ilvl="1">
      <w:lvlJc w:val="left"/>
      <w:lvlText w:val="(%2)"/>
      <w:numFmt w:val="lowerRoman"/>
      <w:start w:val="1"/>
    </w:lvl>
  </w:abstractNum>
  <w:abstractNum w:abstractNumId="66">
    <w:nsid w:val="68EB2F63"/>
    <w:multiLevelType w:val="hybridMultilevel"/>
    <w:lvl w:ilvl="0">
      <w:lvlJc w:val="left"/>
      <w:lvlText w:val="(%1)"/>
      <w:numFmt w:val="lowerLetter"/>
      <w:start w:val="2"/>
    </w:lvl>
    <w:lvl w:ilvl="1">
      <w:lvlJc w:val="left"/>
      <w:lvlText w:val="%2"/>
      <w:numFmt w:val="lowerRoman"/>
      <w:start w:val="1"/>
    </w:lvl>
  </w:abstractNum>
  <w:abstractNum w:abstractNumId="67">
    <w:nsid w:val="4962813B"/>
    <w:multiLevelType w:val="hybridMultilevel"/>
    <w:lvl w:ilvl="0">
      <w:lvlJc w:val="left"/>
      <w:lvlText w:val="%1"/>
      <w:numFmt w:val="upperLetter"/>
      <w:start w:val="1"/>
    </w:lvl>
    <w:lvl w:ilvl="1">
      <w:lvlJc w:val="left"/>
      <w:lvlText w:val="(%2)"/>
      <w:numFmt w:val="lowerRoman"/>
      <w:start w:val="4"/>
    </w:lvl>
  </w:abstractNum>
  <w:abstractNum w:abstractNumId="68">
    <w:nsid w:val="60B6DF70"/>
    <w:multiLevelType w:val="hybridMultilevel"/>
    <w:lvl w:ilvl="0">
      <w:lvlJc w:val="left"/>
      <w:lvlText w:val="(%1)"/>
      <w:numFmt w:val="upperLetter"/>
      <w:start w:val="2"/>
    </w:lvl>
    <w:lvl w:ilvl="1">
      <w:lvlJc w:val="left"/>
      <w:lvlText w:val="%2"/>
      <w:numFmt w:val="lowerRoman"/>
      <w:start w:val="1"/>
    </w:lvl>
  </w:abstractNum>
  <w:abstractNum w:abstractNumId="69">
    <w:nsid w:val="6A5EE64"/>
    <w:multiLevelType w:val="hybridMultilevel"/>
    <w:lvl w:ilvl="0">
      <w:lvlJc w:val="left"/>
      <w:lvlText w:val="%1"/>
      <w:numFmt w:val="lowerLetter"/>
      <w:start w:val="1"/>
    </w:lvl>
    <w:lvl w:ilvl="1">
      <w:lvlJc w:val="left"/>
      <w:lvlText w:val="(%2)"/>
      <w:numFmt w:val="lowerLetter"/>
      <w:start w:val="22"/>
    </w:lvl>
  </w:abstractNum>
  <w:abstractNum w:abstractNumId="70">
    <w:nsid w:val="14330624"/>
    <w:multiLevelType w:val="hybridMultilevel"/>
    <w:lvl w:ilvl="0">
      <w:lvlJc w:val="left"/>
      <w:lvlText w:val="(%1)"/>
      <w:numFmt w:val="lowerLetter"/>
      <w:start w:val="9"/>
    </w:lvl>
    <w:lvl w:ilvl="1">
      <w:lvlJc w:val="left"/>
      <w:lvlText w:val="(%2)"/>
      <w:numFmt w:val="lowerLetter"/>
      <w:start w:val="3"/>
    </w:lvl>
  </w:abstractNum>
  <w:abstractNum w:abstractNumId="71">
    <w:nsid w:val="7FFFCA11"/>
    <w:multiLevelType w:val="hybridMultilevel"/>
    <w:lvl w:ilvl="0">
      <w:lvlJc w:val="left"/>
      <w:lvlText w:val="%1."/>
      <w:numFmt w:val="decimal"/>
      <w:start w:val="4"/>
    </w:lvl>
    <w:lvl w:ilvl="1">
      <w:lvlJc w:val="left"/>
      <w:lvlText w:val="(%2)"/>
      <w:numFmt w:val="lowerLetter"/>
      <w:start w:val="1"/>
    </w:lvl>
  </w:abstractNum>
  <w:abstractNum w:abstractNumId="72">
    <w:nsid w:val="1A27709E"/>
    <w:multiLevelType w:val="hybridMultilevel"/>
    <w:lvl w:ilvl="0">
      <w:lvlJc w:val="left"/>
      <w:lvlText w:val="(%1)"/>
      <w:numFmt w:val="lowerLetter"/>
      <w:start w:val="2"/>
    </w:lvl>
  </w:abstractNum>
  <w:abstractNum w:abstractNumId="73">
    <w:nsid w:val="71EA1109"/>
    <w:multiLevelType w:val="hybridMultilevel"/>
    <w:lvl w:ilvl="0">
      <w:lvlJc w:val="left"/>
      <w:lvlText w:val="%1."/>
      <w:numFmt w:val="decimal"/>
      <w:start w:val="6"/>
    </w:lvl>
  </w:abstractNum>
  <w:abstractNum w:abstractNumId="74">
    <w:nsid w:val="100F59DC"/>
    <w:multiLevelType w:val="hybridMultilevel"/>
    <w:lvl w:ilvl="0">
      <w:lvlJc w:val="left"/>
      <w:lvlText w:val="(%1)"/>
      <w:numFmt w:val="lowerLetter"/>
      <w:start w:val="2"/>
    </w:lvl>
  </w:abstractNum>
  <w:abstractNum w:abstractNumId="75">
    <w:nsid w:val="7FB7E0AA"/>
    <w:multiLevelType w:val="hybridMultilevel"/>
    <w:lvl w:ilvl="0">
      <w:lvlJc w:val="left"/>
      <w:lvlText w:val="(%1)"/>
      <w:numFmt w:val="lowerLetter"/>
      <w:start w:val="4"/>
    </w:lvl>
  </w:abstractNum>
  <w:abstractNum w:abstractNumId="76">
    <w:nsid w:val="6EB5BD4"/>
    <w:multiLevelType w:val="hybridMultilevel"/>
    <w:lvl w:ilvl="0">
      <w:lvlJc w:val="left"/>
      <w:lvlText w:val="(%1)"/>
      <w:numFmt w:val="lowerRoman"/>
      <w:start w:val="1"/>
    </w:lvl>
  </w:abstractNum>
  <w:abstractNum w:abstractNumId="77">
    <w:nsid w:val="6F6DD9AC"/>
    <w:multiLevelType w:val="hybridMultilevel"/>
    <w:lvl w:ilvl="0">
      <w:lvlJc w:val="left"/>
      <w:lvlText w:val="(%1)"/>
      <w:numFmt w:val="lowerLetter"/>
      <w:start w:val="6"/>
    </w:lvl>
  </w:abstractNum>
  <w:abstractNum w:abstractNumId="78">
    <w:nsid w:val="94211F2"/>
    <w:multiLevelType w:val="hybridMultilevel"/>
    <w:lvl w:ilvl="0">
      <w:lvlJc w:val="left"/>
      <w:lvlText w:val="(%1)"/>
      <w:numFmt w:val="upperLetter"/>
      <w:start w:val="1"/>
    </w:lvl>
  </w:abstractNum>
  <w:abstractNum w:abstractNumId="79">
    <w:nsid w:val="885E1B"/>
    <w:multiLevelType w:val="hybridMultilevel"/>
    <w:lvl w:ilvl="0">
      <w:lvlJc w:val="left"/>
      <w:lvlText w:val="(%1)"/>
      <w:numFmt w:val="upperLetter"/>
      <w:start w:val="3"/>
    </w:lvl>
  </w:abstractNum>
  <w:abstractNum w:abstractNumId="80">
    <w:nsid w:val="76272110"/>
    <w:multiLevelType w:val="hybridMultilevel"/>
    <w:lvl w:ilvl="0">
      <w:lvlJc w:val="left"/>
      <w:lvlText w:val="%1."/>
      <w:numFmt w:val="decimal"/>
      <w:start w:val="7"/>
    </w:lvl>
  </w:abstractNum>
  <w:abstractNum w:abstractNumId="81">
    <w:nsid w:val="4C04A8AF"/>
    <w:multiLevelType w:val="hybridMultilevel"/>
    <w:lvl w:ilvl="0">
      <w:lvlJc w:val="left"/>
      <w:lvlText w:val="(%1)"/>
      <w:numFmt w:val="lowerLetter"/>
      <w:start w:val="1"/>
    </w:lvl>
  </w:abstractNum>
  <w:abstractNum w:abstractNumId="82">
    <w:nsid w:val="1716703B"/>
    <w:multiLevelType w:val="hybridMultilevel"/>
    <w:lvl w:ilvl="0">
      <w:lvlJc w:val="left"/>
      <w:lvlText w:val="%1"/>
      <w:numFmt w:val="lowerLetter"/>
      <w:start w:val="1"/>
    </w:lvl>
    <w:lvl w:ilvl="1">
      <w:lvlJc w:val="left"/>
      <w:lvlText w:val="%2."/>
      <w:numFmt w:val="decimal"/>
      <w:start w:val="9"/>
    </w:lvl>
  </w:abstractNum>
  <w:abstractNum w:abstractNumId="83">
    <w:nsid w:val="14E17E33"/>
    <w:multiLevelType w:val="hybridMultilevel"/>
    <w:lvl w:ilvl="0">
      <w:lvlJc w:val="left"/>
      <w:lvlText w:val="(%1)"/>
      <w:numFmt w:val="lowerLetter"/>
      <w:start w:val="1"/>
    </w:lvl>
    <w:lvl w:ilvl="1">
      <w:lvlJc w:val="left"/>
      <w:lvlText w:val="%2."/>
      <w:numFmt w:val="decimal"/>
      <w:start w:val="10"/>
    </w:lvl>
  </w:abstractNum>
  <w:abstractNum w:abstractNumId="84">
    <w:nsid w:val="3222E7CD"/>
    <w:multiLevelType w:val="hybridMultilevel"/>
    <w:lvl w:ilvl="0">
      <w:lvlJc w:val="left"/>
      <w:lvlText w:val="%1."/>
      <w:numFmt w:val="decimal"/>
      <w:start w:val="14"/>
    </w:lvl>
  </w:abstractNum>
  <w:abstractNum w:abstractNumId="85">
    <w:nsid w:val="74DE0EE3"/>
    <w:multiLevelType w:val="hybridMultilevel"/>
    <w:lvl w:ilvl="0">
      <w:lvlJc w:val="left"/>
      <w:lvlText w:val="(%1)"/>
      <w:numFmt w:val="lowerLetter"/>
      <w:start w:val="1"/>
    </w:lvl>
  </w:abstractNum>
  <w:abstractNum w:abstractNumId="86">
    <w:nsid w:val="68EBC550"/>
    <w:multiLevelType w:val="hybridMultilevel"/>
    <w:lvl w:ilvl="0">
      <w:lvlJc w:val="left"/>
      <w:lvlText w:val="(%1)"/>
      <w:numFmt w:val="lowerLetter"/>
      <w:start w:val="2"/>
    </w:lvl>
  </w:abstractNum>
  <w:abstractNum w:abstractNumId="87">
    <w:nsid w:val="2DF6D648"/>
    <w:multiLevelType w:val="hybridMultilevel"/>
    <w:lvl w:ilvl="0">
      <w:lvlJc w:val="left"/>
      <w:lvlText w:val="(%1)"/>
      <w:numFmt w:val="lowerLetter"/>
      <w:start w:val="3"/>
    </w:lvl>
  </w:abstractNum>
  <w:abstractNum w:abstractNumId="88">
    <w:nsid w:val="46B7D447"/>
    <w:multiLevelType w:val="hybridMultilevel"/>
    <w:lvl w:ilvl="0">
      <w:lvlJc w:val="left"/>
      <w:lvlText w:val="%1."/>
      <w:numFmt w:val="decimal"/>
      <w:start w:val="1"/>
    </w:lvl>
  </w:abstractNum>
  <w:abstractNum w:abstractNumId="89">
    <w:nsid w:val="4A2AC315"/>
    <w:multiLevelType w:val="hybridMultilevel"/>
    <w:lvl w:ilvl="0">
      <w:lvlJc w:val="left"/>
      <w:lvlText w:val="%1."/>
      <w:numFmt w:val="decimal"/>
      <w:start w:val="1"/>
    </w:lvl>
    <w:lvl w:ilvl="1">
      <w:lvlJc w:val="left"/>
      <w:lvlText w:val="%2)"/>
      <w:numFmt w:val="lowerLetter"/>
      <w:start w:val="1"/>
    </w:lvl>
  </w:abstractNum>
  <w:abstractNum w:abstractNumId="90">
    <w:nsid w:val="39EE015C"/>
    <w:multiLevelType w:val="hybridMultilevel"/>
    <w:lvl w:ilvl="0">
      <w:lvlJc w:val="left"/>
      <w:lvlText w:val="%1."/>
      <w:numFmt w:val="decimal"/>
      <w:start w:val="1"/>
    </w:lvl>
    <w:lvl w:ilvl="1">
      <w:lvlJc w:val="left"/>
      <w:lvlText w:val="%2)"/>
      <w:numFmt w:val="lowerLetter"/>
      <w:start w:val="1"/>
    </w:lvl>
  </w:abstractNum>
  <w:abstractNum w:abstractNumId="91">
    <w:nsid w:val="57FC4FBB"/>
    <w:multiLevelType w:val="hybridMultilevel"/>
    <w:lvl w:ilvl="0">
      <w:lvlJc w:val="left"/>
      <w:lvlText w:val="(%1)"/>
      <w:numFmt w:val="decimal"/>
      <w:start w:val="1"/>
    </w:lvl>
  </w:abstractNum>
  <w:abstractNum w:abstractNumId="92">
    <w:nsid w:val="CC1016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72" Type="http://schemas.openxmlformats.org/officeDocument/2006/relationships/image" Target="media/image21.png"/><Relationship Id="rId73" Type="http://schemas.openxmlformats.org/officeDocument/2006/relationships/image" Target="media/image22.png"/><Relationship Id="rId74" Type="http://schemas.openxmlformats.org/officeDocument/2006/relationships/image" Target="media/image23.png"/><Relationship Id="rId75" Type="http://schemas.openxmlformats.org/officeDocument/2006/relationships/image" Target="media/image24.png"/><Relationship Id="rId76" Type="http://schemas.openxmlformats.org/officeDocument/2006/relationships/image" Target="media/image25.png"/><Relationship Id="rId77" Type="http://schemas.openxmlformats.org/officeDocument/2006/relationships/image" Target="media/image26.png"/><Relationship Id="rId78" Type="http://schemas.openxmlformats.org/officeDocument/2006/relationships/image" Target="media/image27.png"/><Relationship Id="rId79" Type="http://schemas.openxmlformats.org/officeDocument/2006/relationships/image" Target="media/image28.png"/><Relationship Id="rId80" Type="http://schemas.openxmlformats.org/officeDocument/2006/relationships/image" Target="media/image29.png"/><Relationship Id="rId81" Type="http://schemas.openxmlformats.org/officeDocument/2006/relationships/image" Target="media/image30.png"/><Relationship Id="rId82" Type="http://schemas.openxmlformats.org/officeDocument/2006/relationships/image" Target="media/image31.png"/><Relationship Id="rId83" Type="http://schemas.openxmlformats.org/officeDocument/2006/relationships/image" Target="media/image32.png"/><Relationship Id="rId84" Type="http://schemas.openxmlformats.org/officeDocument/2006/relationships/image" Target="media/image33.png"/><Relationship Id="rId85" Type="http://schemas.openxmlformats.org/officeDocument/2006/relationships/image" Target="media/image34.png"/><Relationship Id="rId86" Type="http://schemas.openxmlformats.org/officeDocument/2006/relationships/image" Target="media/image35.png"/><Relationship Id="rId87" Type="http://schemas.openxmlformats.org/officeDocument/2006/relationships/image" Target="media/image36.png"/><Relationship Id="rId88" Type="http://schemas.openxmlformats.org/officeDocument/2006/relationships/image" Target="media/image37.png"/><Relationship Id="rId89" Type="http://schemas.openxmlformats.org/officeDocument/2006/relationships/image" Target="media/image38.png"/><Relationship Id="rId90" Type="http://schemas.openxmlformats.org/officeDocument/2006/relationships/image" Target="media/image39.png"/><Relationship Id="rId91" Type="http://schemas.openxmlformats.org/officeDocument/2006/relationships/image" Target="media/image40.png"/><Relationship Id="rId92" Type="http://schemas.openxmlformats.org/officeDocument/2006/relationships/image" Target="media/image41.png"/><Relationship Id="rId28" Type="http://schemas.openxmlformats.org/officeDocument/2006/relationships/hyperlink" Target="http://www.sec.gov/Archives/edgar/data/16732/000120677417001965/campbell3280141-ex21.htm" TargetMode="External"/><Relationship Id="rId29" Type="http://schemas.openxmlformats.org/officeDocument/2006/relationships/hyperlink" Target="http://www.sec.gov/Archives/edgar/data/16732/000089322002001206/w64292exv3wxiy.txt" TargetMode="External"/><Relationship Id="rId30" Type="http://schemas.openxmlformats.org/officeDocument/2006/relationships/hyperlink" Target="http://www.sec.gov/Archives/edgar/data/16732/000001673217000027/exhibit3-byxlawsofcampbell.htm" TargetMode="External"/><Relationship Id="rId31" Type="http://schemas.openxmlformats.org/officeDocument/2006/relationships/hyperlink" Target="http://www.sec.gov/Archives/edgar/data/16732/000095010308002875/dp11895_ex4a.htm" TargetMode="External"/><Relationship Id="rId32" Type="http://schemas.openxmlformats.org/officeDocument/2006/relationships/hyperlink" Target="http://www.sec.gov/Archives/edgar/data/16732/000119312512330540/d385353dex41.htm" TargetMode="External"/><Relationship Id="rId33" Type="http://schemas.openxmlformats.org/officeDocument/2006/relationships/hyperlink" Target="http://www.sec.gov/Archives/edgar/data/16732/000120677417001975/campbell3278281-ex42.htm" TargetMode="External"/><Relationship Id="rId34" Type="http://schemas.openxmlformats.org/officeDocument/2006/relationships/hyperlink" Target="http://www.sec.gov/Archives/edgar/data/16732/000095010309000103/dp12308_ex0401.htm" TargetMode="External"/><Relationship Id="rId35" Type="http://schemas.openxmlformats.org/officeDocument/2006/relationships/hyperlink" Target="http://www.sec.gov/Archives/edgar/data/16732/000119312511086670/dex41.htm" TargetMode="External"/><Relationship Id="rId36" Type="http://schemas.openxmlformats.org/officeDocument/2006/relationships/hyperlink" Target="http://www.sec.gov/Archives/edgar/data/16732/0000950130-96-003547.txt" TargetMode="External"/><Relationship Id="rId37" Type="http://schemas.openxmlformats.org/officeDocument/2006/relationships/hyperlink" Target="http://www.sec.gov/Archives/edgar/data/16732/000095012300001912/0000950123-00-001912.txt" TargetMode="External"/><Relationship Id="rId38" Type="http://schemas.openxmlformats.org/officeDocument/2006/relationships/hyperlink" Target="http://www.sec.gov/Archives/edgar/data/16732/000095012301000627/y44707aex99-m.txt" TargetMode="External"/><Relationship Id="rId39" Type="http://schemas.openxmlformats.org/officeDocument/2006/relationships/hyperlink" Target="http://www.sec.gov/Archives/edgar/data/16732/000095012302009287/y64024a9exv99wp.txt" TargetMode="External"/><Relationship Id="rId40" Type="http://schemas.openxmlformats.org/officeDocument/2006/relationships/hyperlink" Target="http://www.sec.gov/Archives/edgar/data/16732/000001673214000023/cpb-832014xexb9b.htm" TargetMode="External"/><Relationship Id="rId41" Type="http://schemas.openxmlformats.org/officeDocument/2006/relationships/hyperlink" Target="http://www.sec.gov/Archives/edgar/data/16732/000001673214000023/cpb-833014xexb9c.htm" TargetMode="External"/><Relationship Id="rId42" Type="http://schemas.openxmlformats.org/officeDocument/2006/relationships/hyperlink" Target="http://www.sec.gov/Archives/edgar/data/16732/000001673214000023/cpb-832014xexb9d.htm" TargetMode="External"/><Relationship Id="rId43" Type="http://schemas.openxmlformats.org/officeDocument/2006/relationships/hyperlink" Target="http://www.sec.gov/Archives/edgar/data/16732/000001673214000023/cpb-832014xexb9e.htm" TargetMode="External"/><Relationship Id="rId44" Type="http://schemas.openxmlformats.org/officeDocument/2006/relationships/hyperlink" Target="http://www.sec.gov/Archives/edgar/data/16732/000089322008002633/w64216exv10wxby.htm" TargetMode="External"/><Relationship Id="rId45" Type="http://schemas.openxmlformats.org/officeDocument/2006/relationships/hyperlink" Target="http://www.sec.gov/Archives/edgar/data/16732/000095012310092073/w79419def14a.htm" TargetMode="External"/><Relationship Id="rId46" Type="http://schemas.openxmlformats.org/officeDocument/2006/relationships/hyperlink" Target="http://www.sec.gov/Archives/edgar/data/16732/000119312515341359/d35422ddef14a.htm" TargetMode="External"/><Relationship Id="rId47" Type="http://schemas.openxmlformats.org/officeDocument/2006/relationships/hyperlink" Target="http://www.sec.gov/Archives/edgar/data/16732/000119312514360923/d773216ddef14a.htm" TargetMode="External"/><Relationship Id="rId48" Type="http://schemas.openxmlformats.org/officeDocument/2006/relationships/hyperlink" Target="http://www.sec.gov/Archives/edgar/data/16732/000089322009000515/w73131exv10wxay.htm" TargetMode="External"/><Relationship Id="rId49" Type="http://schemas.openxmlformats.org/officeDocument/2006/relationships/hyperlink" Target="http://www.sec.gov/Archives/edgar/data/16732/000095012311023447/w81833exv10wxay.htm" TargetMode="External"/><Relationship Id="rId50" Type="http://schemas.openxmlformats.org/officeDocument/2006/relationships/hyperlink" Target="http://www.sec.gov/Archives/edgar/data/16732/000089322000001180/w41784ex10-e.txt" TargetMode="External"/><Relationship Id="rId51" Type="http://schemas.openxmlformats.org/officeDocument/2006/relationships/hyperlink" Target="http://www.sec.gov/Archives/edgar/data/16732/000001673217000025/exhibit4c-campbellsoupcomp.htm" TargetMode="External"/><Relationship Id="rId52" Type="http://schemas.openxmlformats.org/officeDocument/2006/relationships/hyperlink" Target="http://www.sec.gov/Archives/edgar/data/16732/000089322008003178/w71888exv10wxcy.htm" TargetMode="External"/><Relationship Id="rId53" Type="http://schemas.openxmlformats.org/officeDocument/2006/relationships/hyperlink" Target="http://www.sec.gov/Archives/edgar/data/16732/000089322008003178/w71888exv10wxdy.htm" TargetMode="External"/><Relationship Id="rId54" Type="http://schemas.openxmlformats.org/officeDocument/2006/relationships/hyperlink" Target="http://www.sec.gov/Archives/edgar/data/16732/000095012311087197/w83891exv10wm.htm" TargetMode="External"/><Relationship Id="rId55" Type="http://schemas.openxmlformats.org/officeDocument/2006/relationships/hyperlink" Target="http://www.sec.gov/Archives/edgar/data/16732/000095012311087197/w83891exv10wn.htm" TargetMode="External"/><Relationship Id="rId56" Type="http://schemas.openxmlformats.org/officeDocument/2006/relationships/hyperlink" Target="http://www.sec.gov/Archives/edgar/data/16732/000001673216000146/cpb-7312016x10xkxexb10o.htm" TargetMode="External"/><Relationship Id="rId57" Type="http://schemas.openxmlformats.org/officeDocument/2006/relationships/hyperlink" Target="http://www.sec.gov/Archives/edgar/data/16732/000095012311057712/w83073exv10wa.htm" TargetMode="External"/><Relationship Id="rId58" Type="http://schemas.openxmlformats.org/officeDocument/2006/relationships/hyperlink" Target="http://www.sec.gov/Archives/edgar/data/16732/000001673215000019/cpb-0532015xexb10b.htm" TargetMode="External"/><Relationship Id="rId59" Type="http://schemas.openxmlformats.org/officeDocument/2006/relationships/hyperlink" Target="http://www.sec.gov/Archives/edgar/data/16732/000001673216000114/cpb-1312016xexb10a.htm" TargetMode="External"/><Relationship Id="rId60" Type="http://schemas.openxmlformats.org/officeDocument/2006/relationships/hyperlink" Target="http://www.sec.gov/Archives/edgar/data/16732/000001673217000040/exhibit10-amendmenttosever.htm" TargetMode="External"/><Relationship Id="rId61" Type="http://schemas.openxmlformats.org/officeDocument/2006/relationships/hyperlink" Target="http://www.sec.gov/Archives/edgar/data/16732/000089322009000515/w73131exv10wxcy.htm" TargetMode="External"/><Relationship Id="rId62" Type="http://schemas.openxmlformats.org/officeDocument/2006/relationships/hyperlink" Target="http://www.sec.gov/Archives/edgar/data/16732/000095012311023447/w81833exv10wxcy.htm" TargetMode="External"/><Relationship Id="rId63" Type="http://schemas.openxmlformats.org/officeDocument/2006/relationships/hyperlink" Target="http://www.sec.gov/Archives/edgar/data/16732/000001673215000007/cpb-0212015xexb10f.htm" TargetMode="External"/><Relationship Id="rId64" Type="http://schemas.openxmlformats.org/officeDocument/2006/relationships/hyperlink" Target="http://www.sec.gov/Archives/edgar/data/16732/000119312515029727/d862654dex101.htm" TargetMode="External"/><Relationship Id="rId65" Type="http://schemas.openxmlformats.org/officeDocument/2006/relationships/hyperlink" Target="http://www.sec.gov/Archives/edgar/data/16732/000001673215000059/cpb-1112015xexb10.htm" TargetMode="External"/><Relationship Id="rId66" Type="http://schemas.openxmlformats.org/officeDocument/2006/relationships/hyperlink" Target="http://www.sec.gov/Archives/edgar/data/16732/000001673216000146/cpb-7312046xexb10dd.htm" TargetMode="External"/><Relationship Id="rId67" Type="http://schemas.openxmlformats.org/officeDocument/2006/relationships/hyperlink" Target="http://www.sec.gov/Archives/edgar/data/16732/000001673216000173/cpb-10302016xexbx10b.htm" TargetMode="External"/><Relationship Id="rId68" Type="http://schemas.openxmlformats.org/officeDocument/2006/relationships/hyperlink" Target="http://www.sec.gov/Archives/edgar/data/16732/000001673216000146/cpb-7312016xexb10ff.htm" TargetMode="External"/><Relationship Id="rId69" Type="http://schemas.openxmlformats.org/officeDocument/2006/relationships/hyperlink" Target="http://www.sec.gov/Archives/edgar/data/16732/000001673216000173/cpb-10302016xexbx10c.htm" TargetMode="External"/><Relationship Id="rId70" Type="http://schemas.openxmlformats.org/officeDocument/2006/relationships/hyperlink" Target="http://www.sec.gov/Archives/edgar/data/16732/000001673216000173/cpb-10302016xexbx10a.htm" TargetMode="External"/><Relationship Id="rId71" Type="http://schemas.openxmlformats.org/officeDocument/2006/relationships/hyperlink" Target="http://www.sec.gov/Archives/edgar/data/16732/000001673216000176/fiveyearcreditagre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2019-12-29T04:34:04Z</dcterms:created>
  <dcterms:modified xsi:type="dcterms:W3CDTF">2019-12-29T04:34:04Z</dcterms:modified>
</cp:coreProperties>
</file>