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 w:lineRule="exact"/>
        <w:rPr>
          <w:sz w:val="24"/>
          <w:szCs w:val="24"/>
          <w:color w:val="auto"/>
        </w:rPr>
      </w:pPr>
    </w:p>
    <w:p>
      <w:pPr>
        <w:ind w:left="420"/>
        <w:spacing w:after="0"/>
        <w:tabs>
          <w:tab w:leader="none" w:pos="862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5"/>
          <w:szCs w:val="15"/>
          <w:b w:val="1"/>
          <w:bCs w:val="1"/>
          <w:color w:val="auto"/>
        </w:rPr>
        <w:t>Commission File Number</w:t>
      </w:r>
    </w:p>
    <w:p>
      <w:pPr>
        <w:spacing w:after="0" w:line="22" w:lineRule="exact"/>
        <w:rPr>
          <w:sz w:val="24"/>
          <w:szCs w:val="24"/>
          <w:color w:val="auto"/>
        </w:rPr>
      </w:pPr>
    </w:p>
    <w:p>
      <w:pPr>
        <w:ind w:left="1140"/>
        <w:spacing w:after="0"/>
        <w:tabs>
          <w:tab w:leader="none" w:pos="9320" w:val="left"/>
        </w:tabs>
        <w:rPr>
          <w:sz w:val="20"/>
          <w:szCs w:val="20"/>
          <w:color w:val="auto"/>
        </w:rPr>
      </w:pPr>
      <w:r>
        <w:rPr>
          <w:rFonts w:ascii="Arial" w:cs="Arial" w:eastAsia="Arial" w:hAnsi="Arial"/>
          <w:sz w:val="18"/>
          <w:szCs w:val="18"/>
          <w:b w:val="1"/>
          <w:bCs w:val="1"/>
          <w:color w:val="auto"/>
        </w:rPr>
        <w:t>April 30, 2023</w:t>
      </w:r>
      <w:r>
        <w:rPr>
          <w:sz w:val="20"/>
          <w:szCs w:val="20"/>
          <w:color w:val="auto"/>
        </w:rPr>
        <w:tab/>
      </w:r>
      <w:r>
        <w:rPr>
          <w:rFonts w:ascii="Arial" w:cs="Arial" w:eastAsia="Arial" w:hAnsi="Arial"/>
          <w:sz w:val="15"/>
          <w:szCs w:val="15"/>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71120</wp:posOffset>
            </wp:positionV>
            <wp:extent cx="1447165" cy="521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521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CAMPBELL SOUP COMPANY</w:t>
      </w:r>
    </w:p>
    <w:p>
      <w:pPr>
        <w:spacing w:after="0" w:line="66"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5"/>
          <w:szCs w:val="15"/>
          <w:b w:val="1"/>
          <w:bCs w:val="1"/>
          <w:color w:val="auto"/>
        </w:rPr>
        <w:t>21-0419870</w:t>
      </w:r>
    </w:p>
    <w:p>
      <w:pPr>
        <w:spacing w:after="0" w:line="24" w:lineRule="exact"/>
        <w:rPr>
          <w:sz w:val="24"/>
          <w:szCs w:val="24"/>
          <w:color w:val="auto"/>
        </w:rPr>
      </w:pPr>
    </w:p>
    <w:p>
      <w:pPr>
        <w:ind w:left="2080"/>
        <w:spacing w:after="0"/>
        <w:tabs>
          <w:tab w:leader="none" w:pos="716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5"/>
          <w:szCs w:val="15"/>
          <w:i w:val="1"/>
          <w:iCs w:val="1"/>
          <w:color w:val="auto"/>
        </w:rPr>
        <w:t>I.R.S. Employer Identification No.</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5000" w:val="left"/>
          <w:tab w:leader="none" w:pos="72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38" w:lineRule="exact"/>
        <w:rPr>
          <w:sz w:val="24"/>
          <w:szCs w:val="24"/>
          <w:color w:val="auto"/>
        </w:rPr>
      </w:pPr>
    </w:p>
    <w:p>
      <w:pPr>
        <w:ind w:left="1140"/>
        <w:spacing w:after="0"/>
        <w:tabs>
          <w:tab w:leader="none" w:pos="5440" w:val="left"/>
          <w:tab w:leader="none" w:pos="802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5"/>
          <w:szCs w:val="15"/>
          <w:color w:val="auto"/>
        </w:rPr>
        <w:t>New York Stock Exchange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0" w:lineRule="exact"/>
        <w:rPr>
          <w:sz w:val="24"/>
          <w:szCs w:val="24"/>
          <w:color w:val="auto"/>
        </w:rPr>
      </w:pPr>
    </w:p>
    <w:p>
      <w:pPr>
        <w:jc w:val="both"/>
        <w:ind w:firstLine="318"/>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 w:lineRule="exact"/>
        <w:rPr>
          <w:sz w:val="24"/>
          <w:szCs w:val="24"/>
          <w:color w:val="auto"/>
        </w:rPr>
      </w:pPr>
    </w:p>
    <w:p>
      <w:pPr>
        <w:jc w:val="both"/>
        <w:ind w:firstLine="318"/>
        <w:spacing w:after="0" w:line="23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4"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6" w:right="339" w:bottom="1440" w:gutter="0" w:footer="0" w:header="0"/>
        </w:sectPr>
      </w:pPr>
    </w:p>
    <w:p>
      <w:pPr>
        <w:spacing w:after="0" w:line="162"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Large accelerated filer</w:t>
      </w:r>
    </w:p>
    <w:p>
      <w:pPr>
        <w:spacing w:after="0" w:line="18"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Non-accelerated filer</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241" w:lineRule="exact"/>
        <w:tabs>
          <w:tab w:leader="none" w:pos="1720" w:val="left"/>
          <w:tab w:leader="none" w:pos="4220" w:val="left"/>
        </w:tabs>
        <w:rPr>
          <w:sz w:val="20"/>
          <w:szCs w:val="20"/>
          <w:color w:val="auto"/>
        </w:rPr>
      </w:pPr>
      <w:r>
        <w:rPr>
          <w:rFonts w:ascii="MS PGothic" w:cs="MS PGothic" w:eastAsia="MS PGothic" w:hAnsi="MS PGothic"/>
          <w:sz w:val="34"/>
          <w:szCs w:val="34"/>
          <w:color w:val="auto"/>
          <w:vertAlign w:val="superscript"/>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5"/>
          <w:szCs w:val="15"/>
          <w:color w:val="auto"/>
        </w:rPr>
        <w:t>☐</w:t>
      </w:r>
    </w:p>
    <w:p>
      <w:pPr>
        <w:spacing w:after="0" w:line="134"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3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3740" w:space="720"/>
            <w:col w:w="6780"/>
          </w:cols>
          <w:pgMar w:left="320" w:top="1256" w:right="339" w:bottom="1440" w:gutter="0" w:footer="0" w:header="0"/>
          <w:type w:val="continuous"/>
        </w:sectPr>
      </w:pPr>
    </w:p>
    <w:p>
      <w:pPr>
        <w:spacing w:after="0" w:line="209" w:lineRule="exact"/>
        <w:rPr>
          <w:sz w:val="24"/>
          <w:szCs w:val="24"/>
          <w:color w:val="auto"/>
        </w:rPr>
      </w:pPr>
    </w:p>
    <w:p>
      <w:pPr>
        <w:ind w:firstLine="318"/>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2"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There were 298,091,895 shares of capital stock outstanding as of June 1, 2023.</w:t>
      </w:r>
    </w:p>
    <w:p>
      <w:pPr>
        <w:sectPr>
          <w:pgSz w:w="11900" w:h="16838" w:orient="portrait"/>
          <w:cols w:equalWidth="0" w:num="1">
            <w:col w:w="11240"/>
          </w:cols>
          <w:pgMar w:left="320" w:top="1256" w:right="33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60" w:type="dxa"/>
            <w:vAlign w:val="bottom"/>
            <w:gridSpan w:val="6"/>
          </w:tcPr>
          <w:p>
            <w:pPr>
              <w:jc w:val="center"/>
              <w:ind w:right="338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4660" w:type="dxa"/>
            <w:vAlign w:val="bottom"/>
            <w:gridSpan w:val="15"/>
          </w:tcPr>
          <w:p>
            <w:pPr>
              <w:spacing w:after="0"/>
              <w:rPr>
                <w:sz w:val="20"/>
                <w:szCs w:val="20"/>
                <w:color w:val="auto"/>
              </w:rPr>
            </w:pPr>
            <w:r>
              <w:rPr>
                <w:rFonts w:ascii="Arial" w:cs="Arial" w:eastAsia="Arial" w:hAnsi="Arial"/>
                <w:sz w:val="18"/>
                <w:szCs w:val="18"/>
                <w:color w:val="0000FF"/>
              </w:rPr>
              <w:t>PART I - FINANCIAL INFORMATION</w:t>
            </w:r>
          </w:p>
        </w:tc>
        <w:tc>
          <w:tcPr>
            <w:tcW w:w="1880" w:type="dxa"/>
            <w:vAlign w:val="bottom"/>
            <w:tcBorders>
              <w:top w:val="single" w:sz="8" w:color="auto"/>
            </w:tcBorders>
            <w:gridSpan w:val="4"/>
          </w:tcPr>
          <w:p>
            <w:pPr>
              <w:spacing w:after="0"/>
              <w:rPr>
                <w:sz w:val="24"/>
                <w:szCs w:val="24"/>
                <w:color w:val="auto"/>
              </w:rPr>
            </w:pPr>
          </w:p>
        </w:tc>
        <w:tc>
          <w:tcPr>
            <w:tcW w:w="338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0000FF"/>
                <w:w w:val="79"/>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91"/>
              </w:rPr>
              <w:t>Item 1. Financial Statements</w:t>
            </w:r>
          </w:p>
        </w:tc>
        <w:tc>
          <w:tcPr>
            <w:tcW w:w="7040" w:type="dxa"/>
            <w:vAlign w:val="bottom"/>
            <w:gridSpan w:val="13"/>
          </w:tcPr>
          <w:p>
            <w:pPr>
              <w:spacing w:after="0"/>
              <w:rPr>
                <w:sz w:val="17"/>
                <w:szCs w:val="17"/>
                <w:color w:val="auto"/>
              </w:rPr>
            </w:pPr>
          </w:p>
        </w:tc>
        <w:tc>
          <w:tcPr>
            <w:tcW w:w="1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79"/>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Consolidated Statements of Earnings</w:t>
            </w:r>
          </w:p>
        </w:tc>
        <w:tc>
          <w:tcPr>
            <w:tcW w:w="6300" w:type="dxa"/>
            <w:vAlign w:val="bottom"/>
            <w:gridSpan w:val="9"/>
          </w:tcPr>
          <w:p>
            <w:pPr>
              <w:spacing w:after="0"/>
              <w:rPr>
                <w:sz w:val="19"/>
                <w:szCs w:val="19"/>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Arial" w:cs="Arial" w:eastAsia="Arial" w:hAnsi="Arial"/>
                <w:sz w:val="18"/>
                <w:szCs w:val="18"/>
                <w:color w:val="0000FF"/>
                <w:w w:val="87"/>
              </w:rPr>
              <w:t>Consolidated Statements of Comprehensive Income</w:t>
            </w:r>
          </w:p>
        </w:tc>
        <w:tc>
          <w:tcPr>
            <w:tcW w:w="5240" w:type="dxa"/>
            <w:vAlign w:val="bottom"/>
            <w:gridSpan w:val="5"/>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79"/>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gridSpan w:val="19"/>
          </w:tcPr>
          <w:p>
            <w:pPr>
              <w:spacing w:after="0" w:line="205" w:lineRule="exact"/>
              <w:rPr>
                <w:sz w:val="20"/>
                <w:szCs w:val="20"/>
                <w:color w:val="auto"/>
              </w:rPr>
            </w:pPr>
            <w:r>
              <w:rPr>
                <w:rFonts w:ascii="Arial" w:cs="Arial" w:eastAsia="Arial" w:hAnsi="Arial"/>
                <w:sz w:val="18"/>
                <w:szCs w:val="18"/>
                <w:color w:val="0000FF"/>
              </w:rPr>
              <w:t>Consolidated Balance Sheets</w:t>
            </w:r>
          </w:p>
        </w:tc>
        <w:tc>
          <w:tcPr>
            <w:tcW w:w="100" w:type="dxa"/>
            <w:vAlign w:val="bottom"/>
          </w:tcPr>
          <w:p>
            <w:pPr>
              <w:spacing w:after="0" w:line="205" w:lineRule="exact"/>
              <w:rPr>
                <w:sz w:val="20"/>
                <w:szCs w:val="20"/>
                <w:color w:val="auto"/>
              </w:rPr>
            </w:pPr>
            <w:r>
              <w:rPr>
                <w:rFonts w:ascii="Arial" w:cs="Arial" w:eastAsia="Arial" w:hAnsi="Arial"/>
                <w:sz w:val="18"/>
                <w:szCs w:val="18"/>
                <w:color w:val="0000FF"/>
                <w:w w:val="79"/>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7"/>
              </w:rPr>
              <w:t>Consolidated Statements of Cash Flows</w:t>
            </w:r>
          </w:p>
        </w:tc>
        <w:tc>
          <w:tcPr>
            <w:tcW w:w="6100" w:type="dxa"/>
            <w:vAlign w:val="bottom"/>
            <w:gridSpan w:val="8"/>
          </w:tcPr>
          <w:p>
            <w:pPr>
              <w:spacing w:after="0"/>
              <w:rPr>
                <w:sz w:val="19"/>
                <w:szCs w:val="19"/>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88"/>
              </w:rPr>
              <w:t>Consolidated Statements of Equity</w:t>
            </w:r>
          </w:p>
        </w:tc>
        <w:tc>
          <w:tcPr>
            <w:tcW w:w="6460" w:type="dxa"/>
            <w:vAlign w:val="bottom"/>
            <w:gridSpan w:val="10"/>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79"/>
              </w:rPr>
              <w:t>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gridSpan w:val="19"/>
          </w:tcPr>
          <w:p>
            <w:pPr>
              <w:spacing w:after="0" w:line="205" w:lineRule="exact"/>
              <w:rPr>
                <w:sz w:val="20"/>
                <w:szCs w:val="20"/>
                <w:color w:val="auto"/>
              </w:rPr>
            </w:pPr>
            <w:r>
              <w:rPr>
                <w:rFonts w:ascii="Arial" w:cs="Arial" w:eastAsia="Arial" w:hAnsi="Arial"/>
                <w:sz w:val="18"/>
                <w:szCs w:val="18"/>
                <w:color w:val="0000FF"/>
              </w:rPr>
              <w:t>Notes to Consolidated Financial Statements</w:t>
            </w:r>
          </w:p>
        </w:tc>
        <w:tc>
          <w:tcPr>
            <w:tcW w:w="100" w:type="dxa"/>
            <w:vAlign w:val="bottom"/>
          </w:tcPr>
          <w:p>
            <w:pPr>
              <w:spacing w:after="0" w:line="205" w:lineRule="exact"/>
              <w:rPr>
                <w:sz w:val="20"/>
                <w:szCs w:val="20"/>
                <w:color w:val="auto"/>
              </w:rPr>
            </w:pPr>
            <w:r>
              <w:rPr>
                <w:rFonts w:ascii="Arial" w:cs="Arial" w:eastAsia="Arial" w:hAnsi="Arial"/>
                <w:sz w:val="18"/>
                <w:szCs w:val="18"/>
                <w:color w:val="0000FF"/>
                <w:w w:val="79"/>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14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300" w:type="dxa"/>
            <w:vAlign w:val="bottom"/>
            <w:gridSpan w:val="3"/>
          </w:tcPr>
          <w:p>
            <w:pPr>
              <w:spacing w:after="0"/>
              <w:rPr>
                <w:sz w:val="20"/>
                <w:szCs w:val="20"/>
                <w:color w:val="auto"/>
              </w:rPr>
            </w:pPr>
            <w:r>
              <w:rPr>
                <w:rFonts w:ascii="Arial" w:cs="Arial" w:eastAsia="Arial" w:hAnsi="Arial"/>
                <w:sz w:val="18"/>
                <w:szCs w:val="18"/>
                <w:color w:val="0000FF"/>
              </w:rPr>
              <w:t>24</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Arial" w:cs="Arial" w:eastAsia="Arial" w:hAnsi="Arial"/>
                <w:sz w:val="18"/>
                <w:szCs w:val="18"/>
                <w:color w:val="0000FF"/>
              </w:rPr>
              <w:t>Item 3. Quantitative and Qualitative Disclosure About Market Risk</w:t>
            </w:r>
          </w:p>
        </w:tc>
        <w:tc>
          <w:tcPr>
            <w:tcW w:w="2280" w:type="dxa"/>
            <w:vAlign w:val="bottom"/>
          </w:tcPr>
          <w:p>
            <w:pPr>
              <w:spacing w:after="0"/>
              <w:rPr>
                <w:sz w:val="17"/>
                <w:szCs w:val="17"/>
                <w:color w:val="auto"/>
              </w:rPr>
            </w:pPr>
          </w:p>
        </w:tc>
        <w:tc>
          <w:tcPr>
            <w:tcW w:w="1300" w:type="dxa"/>
            <w:vAlign w:val="bottom"/>
            <w:gridSpan w:val="3"/>
          </w:tcPr>
          <w:p>
            <w:pPr>
              <w:spacing w:after="0" w:line="205" w:lineRule="exact"/>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740" w:type="dxa"/>
            <w:vAlign w:val="bottom"/>
            <w:gridSpan w:val="16"/>
          </w:tcPr>
          <w:p>
            <w:pPr>
              <w:spacing w:after="0" w:line="205" w:lineRule="exact"/>
              <w:rPr>
                <w:sz w:val="20"/>
                <w:szCs w:val="20"/>
                <w:color w:val="auto"/>
              </w:rPr>
            </w:pPr>
            <w:r>
              <w:rPr>
                <w:rFonts w:ascii="Arial" w:cs="Arial" w:eastAsia="Arial" w:hAnsi="Arial"/>
                <w:sz w:val="18"/>
                <w:szCs w:val="18"/>
                <w:color w:val="0000FF"/>
              </w:rPr>
              <w:t>Item 4. Controls and Procedures</w:t>
            </w:r>
          </w:p>
        </w:tc>
        <w:tc>
          <w:tcPr>
            <w:tcW w:w="4400" w:type="dxa"/>
            <w:vAlign w:val="bottom"/>
            <w:gridSpan w:val="4"/>
          </w:tcPr>
          <w:p>
            <w:pPr>
              <w:spacing w:after="0"/>
              <w:rPr>
                <w:sz w:val="17"/>
                <w:szCs w:val="17"/>
                <w:color w:val="auto"/>
              </w:rPr>
            </w:pPr>
          </w:p>
        </w:tc>
        <w:tc>
          <w:tcPr>
            <w:tcW w:w="1300" w:type="dxa"/>
            <w:vAlign w:val="bottom"/>
            <w:gridSpan w:val="3"/>
          </w:tcPr>
          <w:p>
            <w:pPr>
              <w:spacing w:after="0" w:line="205" w:lineRule="exact"/>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0000FF"/>
              </w:rPr>
              <w:t>PART II - OTHER INFORMATION</w:t>
            </w:r>
          </w:p>
        </w:tc>
        <w:tc>
          <w:tcPr>
            <w:tcW w:w="1300" w:type="dxa"/>
            <w:vAlign w:val="bottom"/>
            <w:gridSpan w:val="3"/>
          </w:tcPr>
          <w:p>
            <w:pPr>
              <w:spacing w:after="0"/>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140" w:type="dxa"/>
            <w:vAlign w:val="bottom"/>
            <w:gridSpan w:val="20"/>
          </w:tcPr>
          <w:p>
            <w:pPr>
              <w:spacing w:after="0" w:line="205" w:lineRule="exact"/>
              <w:rPr>
                <w:sz w:val="20"/>
                <w:szCs w:val="20"/>
                <w:color w:val="auto"/>
              </w:rPr>
            </w:pPr>
            <w:r>
              <w:rPr>
                <w:rFonts w:ascii="Arial" w:cs="Arial" w:eastAsia="Arial" w:hAnsi="Arial"/>
                <w:sz w:val="18"/>
                <w:szCs w:val="18"/>
                <w:color w:val="0000FF"/>
              </w:rPr>
              <w:t>Item 1. Legal Proceedings</w:t>
            </w:r>
          </w:p>
        </w:tc>
        <w:tc>
          <w:tcPr>
            <w:tcW w:w="1300" w:type="dxa"/>
            <w:vAlign w:val="bottom"/>
            <w:gridSpan w:val="3"/>
          </w:tcPr>
          <w:p>
            <w:pPr>
              <w:spacing w:after="0" w:line="205" w:lineRule="exact"/>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20" w:type="dxa"/>
            <w:vAlign w:val="bottom"/>
            <w:gridSpan w:val="17"/>
          </w:tcPr>
          <w:p>
            <w:pPr>
              <w:spacing w:after="0" w:line="205" w:lineRule="exact"/>
              <w:rPr>
                <w:sz w:val="20"/>
                <w:szCs w:val="20"/>
                <w:color w:val="auto"/>
              </w:rPr>
            </w:pPr>
            <w:r>
              <w:rPr>
                <w:rFonts w:ascii="Arial" w:cs="Arial" w:eastAsia="Arial" w:hAnsi="Arial"/>
                <w:sz w:val="18"/>
                <w:szCs w:val="18"/>
                <w:color w:val="0000FF"/>
                <w:w w:val="88"/>
              </w:rPr>
              <w:t>Item 2. Unregistered Sales of Equity Securities and Use of Proceeds</w:t>
            </w:r>
          </w:p>
        </w:tc>
        <w:tc>
          <w:tcPr>
            <w:tcW w:w="4320" w:type="dxa"/>
            <w:vAlign w:val="bottom"/>
            <w:gridSpan w:val="3"/>
          </w:tcPr>
          <w:p>
            <w:pPr>
              <w:spacing w:after="0"/>
              <w:rPr>
                <w:sz w:val="17"/>
                <w:szCs w:val="17"/>
                <w:color w:val="auto"/>
              </w:rPr>
            </w:pPr>
          </w:p>
        </w:tc>
        <w:tc>
          <w:tcPr>
            <w:tcW w:w="1300" w:type="dxa"/>
            <w:vAlign w:val="bottom"/>
            <w:gridSpan w:val="3"/>
          </w:tcPr>
          <w:p>
            <w:pPr>
              <w:spacing w:after="0" w:line="205" w:lineRule="exact"/>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FF"/>
                <w:w w:val="90"/>
              </w:rPr>
              <w:t>Item 6. Exhibits</w:t>
            </w:r>
          </w:p>
        </w:tc>
        <w:tc>
          <w:tcPr>
            <w:tcW w:w="3680" w:type="dxa"/>
            <w:vAlign w:val="bottom"/>
            <w:gridSpan w:val="13"/>
          </w:tcPr>
          <w:p>
            <w:pPr>
              <w:spacing w:after="0"/>
              <w:rPr>
                <w:sz w:val="19"/>
                <w:szCs w:val="19"/>
                <w:color w:val="auto"/>
              </w:rPr>
            </w:pPr>
          </w:p>
        </w:tc>
        <w:tc>
          <w:tcPr>
            <w:tcW w:w="4320" w:type="dxa"/>
            <w:vAlign w:val="bottom"/>
            <w:gridSpan w:val="3"/>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gridSpan w:val="4"/>
          </w:tcPr>
          <w:p>
            <w:pPr>
              <w:spacing w:after="0" w:line="205" w:lineRule="exact"/>
              <w:rPr>
                <w:sz w:val="20"/>
                <w:szCs w:val="20"/>
                <w:color w:val="auto"/>
              </w:rPr>
            </w:pPr>
            <w:r>
              <w:rPr>
                <w:rFonts w:ascii="Arial" w:cs="Arial" w:eastAsia="Arial" w:hAnsi="Arial"/>
                <w:sz w:val="18"/>
                <w:szCs w:val="18"/>
                <w:color w:val="0000FF"/>
                <w:w w:val="96"/>
              </w:rPr>
              <w:t>INDEX TO EXHIBITS</w:t>
            </w:r>
          </w:p>
        </w:tc>
        <w:tc>
          <w:tcPr>
            <w:tcW w:w="8240" w:type="dxa"/>
            <w:vAlign w:val="bottom"/>
            <w:gridSpan w:val="17"/>
          </w:tcPr>
          <w:p>
            <w:pPr>
              <w:spacing w:after="0"/>
              <w:rPr>
                <w:sz w:val="17"/>
                <w:szCs w:val="17"/>
                <w:color w:val="auto"/>
              </w:rPr>
            </w:pPr>
          </w:p>
        </w:tc>
        <w:tc>
          <w:tcPr>
            <w:tcW w:w="1300" w:type="dxa"/>
            <w:vAlign w:val="bottom"/>
            <w:gridSpan w:val="3"/>
          </w:tcPr>
          <w:p>
            <w:pPr>
              <w:spacing w:after="0" w:line="205" w:lineRule="exact"/>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gridSpan w:val="4"/>
          </w:tcPr>
          <w:p>
            <w:pPr>
              <w:spacing w:after="0" w:line="205" w:lineRule="exact"/>
              <w:rPr>
                <w:sz w:val="20"/>
                <w:szCs w:val="20"/>
                <w:color w:val="auto"/>
              </w:rPr>
            </w:pPr>
            <w:r>
              <w:rPr>
                <w:rFonts w:ascii="Arial" w:cs="Arial" w:eastAsia="Arial" w:hAnsi="Arial"/>
                <w:sz w:val="18"/>
                <w:szCs w:val="18"/>
                <w:color w:val="0000FF"/>
              </w:rPr>
              <w:t>SIGNATURES</w:t>
            </w:r>
          </w:p>
        </w:tc>
        <w:tc>
          <w:tcPr>
            <w:tcW w:w="8240" w:type="dxa"/>
            <w:vAlign w:val="bottom"/>
            <w:gridSpan w:val="17"/>
          </w:tcPr>
          <w:p>
            <w:pPr>
              <w:spacing w:after="0"/>
              <w:rPr>
                <w:sz w:val="17"/>
                <w:szCs w:val="17"/>
                <w:color w:val="auto"/>
              </w:rPr>
            </w:pPr>
          </w:p>
        </w:tc>
        <w:tc>
          <w:tcPr>
            <w:tcW w:w="1300" w:type="dxa"/>
            <w:vAlign w:val="bottom"/>
            <w:gridSpan w:val="3"/>
          </w:tcPr>
          <w:p>
            <w:pPr>
              <w:spacing w:after="0" w:line="205" w:lineRule="exact"/>
              <w:rPr>
                <w:sz w:val="20"/>
                <w:szCs w:val="20"/>
                <w:color w:val="auto"/>
              </w:rPr>
            </w:pPr>
            <w:r>
              <w:rPr>
                <w:rFonts w:ascii="Arial" w:cs="Arial" w:eastAsia="Arial" w:hAnsi="Arial"/>
                <w:sz w:val="18"/>
                <w:szCs w:val="18"/>
                <w:color w:val="0000FF"/>
              </w:rPr>
              <w:t>36</w:t>
            </w:r>
          </w:p>
        </w:tc>
      </w:tr>
      <w:tr>
        <w:trPr>
          <w:trHeight w:val="867"/>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4"/>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6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April 30,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May 1, 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April 30, 2023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May 1, 2022</w:t>
            </w:r>
          </w:p>
        </w:tc>
      </w:tr>
      <w:tr>
        <w:trPr>
          <w:trHeight w:val="228"/>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7,289</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34"/>
        </w:trPr>
        <w:tc>
          <w:tcPr>
            <w:tcW w:w="6160" w:type="dxa"/>
            <w:vAlign w:val="bottom"/>
          </w:tcPr>
          <w:p>
            <w:pPr>
              <w:ind w:left="140"/>
              <w:spacing w:after="0"/>
              <w:rPr>
                <w:sz w:val="20"/>
                <w:szCs w:val="20"/>
                <w:color w:val="auto"/>
              </w:rPr>
            </w:pPr>
            <w:r>
              <w:rPr>
                <w:rFonts w:ascii="Arial" w:cs="Arial" w:eastAsia="Arial" w:hAnsi="Arial"/>
                <w:sz w:val="18"/>
                <w:szCs w:val="18"/>
                <w:color w:val="auto"/>
              </w:rPr>
              <w:t>Marketing and selling expenses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5"/>
        </w:trPr>
        <w:tc>
          <w:tcPr>
            <w:tcW w:w="616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8"/>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 (income)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r>
      <w:tr>
        <w:trPr>
          <w:trHeight w:val="227"/>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2"/>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12"/>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earnings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32"/>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5"/>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Net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Per Share — Basic</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16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Weighted average shares outstanding — basic</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299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299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302</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2"/>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83"/>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8"/>
        </w:trPr>
        <w:tc>
          <w:tcPr>
            <w:tcW w:w="5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April 30, 2023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May 1, 2022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30"/>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3"/>
              <w:spacing w:after="0" w:line="131"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3"/>
              <w:spacing w:after="0" w:line="131" w:lineRule="exact"/>
              <w:rPr>
                <w:sz w:val="20"/>
                <w:szCs w:val="20"/>
                <w:color w:val="auto"/>
              </w:rPr>
            </w:pPr>
            <w:r>
              <w:rPr>
                <w:rFonts w:ascii="Arial" w:cs="Arial" w:eastAsia="Arial" w:hAnsi="Arial"/>
                <w:sz w:val="14"/>
                <w:szCs w:val="14"/>
                <w:b w:val="1"/>
                <w:bCs w:val="1"/>
                <w:color w:val="auto"/>
                <w:w w:val="93"/>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
              <w:spacing w:after="0" w:line="131"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2"/>
              <w:spacing w:after="0" w:line="131" w:lineRule="exact"/>
              <w:rPr>
                <w:sz w:val="20"/>
                <w:szCs w:val="20"/>
                <w:color w:val="auto"/>
              </w:rPr>
            </w:pPr>
            <w:r>
              <w:rPr>
                <w:rFonts w:ascii="Arial" w:cs="Arial" w:eastAsia="Arial" w:hAnsi="Arial"/>
                <w:sz w:val="14"/>
                <w:szCs w:val="14"/>
                <w:b w:val="1"/>
                <w:bCs w:val="1"/>
                <w:color w:val="auto"/>
                <w:w w:val="97"/>
              </w:rPr>
              <w:t>After-tax</w:t>
            </w:r>
          </w:p>
        </w:tc>
      </w:tr>
      <w:tr>
        <w:trPr>
          <w:trHeight w:val="184"/>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63"/>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amount</w:t>
            </w:r>
          </w:p>
        </w:tc>
      </w:tr>
      <w:tr>
        <w:trPr>
          <w:trHeight w:val="24"/>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62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62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5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620" w:type="dxa"/>
            <w:vAlign w:val="bottom"/>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1"/>
        </w:trPr>
        <w:tc>
          <w:tcPr>
            <w:tcW w:w="56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158</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158</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74"/>
        </w:trPr>
        <w:tc>
          <w:tcPr>
            <w:tcW w:w="56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191"/>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April 30, 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May 1,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6"/>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40"/>
              <w:spacing w:after="0" w:line="137"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3"/>
              <w:spacing w:after="0" w:line="137"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3"/>
              <w:spacing w:after="0" w:line="137" w:lineRule="exact"/>
              <w:rPr>
                <w:sz w:val="20"/>
                <w:szCs w:val="20"/>
                <w:color w:val="auto"/>
              </w:rPr>
            </w:pPr>
            <w:r>
              <w:rPr>
                <w:rFonts w:ascii="Arial" w:cs="Arial" w:eastAsia="Arial" w:hAnsi="Arial"/>
                <w:sz w:val="14"/>
                <w:szCs w:val="14"/>
                <w:b w:val="1"/>
                <w:bCs w:val="1"/>
                <w:color w:val="auto"/>
                <w:w w:val="93"/>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7" w:lineRule="exact"/>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
              <w:spacing w:after="0" w:line="137"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2"/>
              <w:spacing w:after="0" w:line="137" w:lineRule="exact"/>
              <w:rPr>
                <w:sz w:val="20"/>
                <w:szCs w:val="20"/>
                <w:color w:val="auto"/>
              </w:rPr>
            </w:pPr>
            <w:r>
              <w:rPr>
                <w:rFonts w:ascii="Arial" w:cs="Arial" w:eastAsia="Arial" w:hAnsi="Arial"/>
                <w:sz w:val="14"/>
                <w:szCs w:val="14"/>
                <w:b w:val="1"/>
                <w:bCs w:val="1"/>
                <w:color w:val="auto"/>
                <w:w w:val="97"/>
              </w:rPr>
              <w:t>After-tax</w:t>
            </w:r>
          </w:p>
        </w:tc>
      </w:tr>
      <w:tr>
        <w:trPr>
          <w:trHeight w:val="189"/>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amount</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62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562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period</w:t>
            </w:r>
          </w:p>
        </w:tc>
        <w:tc>
          <w:tcPr>
            <w:tcW w:w="14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5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620" w:type="dxa"/>
            <w:vAlign w:val="bottom"/>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6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681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681</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April 30, 2023</w:t>
            </w:r>
          </w:p>
        </w:tc>
        <w:tc>
          <w:tcPr>
            <w:tcW w:w="26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rPr>
              <w:t>July 31, 2022</w:t>
            </w:r>
          </w:p>
        </w:tc>
      </w:tr>
      <w:tr>
        <w:trPr>
          <w:trHeight w:val="2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223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8"/>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7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528</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1,280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8"/>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2,104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r>
      <w:tr>
        <w:trPr>
          <w:trHeight w:val="21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assets, net of depreciation</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2,364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34"/>
        </w:trPr>
        <w:tc>
          <w:tcPr>
            <w:tcW w:w="6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3,973</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3,979</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amortization</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3,167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r>
      <w:tr>
        <w:trPr>
          <w:trHeight w:val="225"/>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12,073</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Payable to suppliers and others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1,353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38"/>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7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537</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Dividends payable</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2,288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r>
      <w:tr>
        <w:trPr>
          <w:trHeight w:val="21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4,496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r>
      <w:tr>
        <w:trPr>
          <w:trHeight w:val="234"/>
        </w:trPr>
        <w:tc>
          <w:tcPr>
            <w:tcW w:w="68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70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1,072</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8,485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8,559</w:t>
            </w:r>
          </w:p>
        </w:tc>
      </w:tr>
      <w:tr>
        <w:trPr>
          <w:trHeight w:val="21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Campbell Soup Company shareholders' equity</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authorized 40 shares; none issued</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8"/>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7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407</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Earnings retained in the business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4,392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4,040</w:t>
            </w:r>
          </w:p>
        </w:tc>
      </w:tr>
      <w:tr>
        <w:trPr>
          <w:trHeight w:val="225"/>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stock in treasury, at cost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4"/>
        </w:trPr>
        <w:tc>
          <w:tcPr>
            <w:tcW w:w="6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3,586</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r>
      <w:tr>
        <w:trPr>
          <w:trHeight w:val="21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3,588</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12,073</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w:t>
            </w:r>
          </w:p>
        </w:tc>
      </w:tr>
      <w:tr>
        <w:trPr>
          <w:trHeight w:val="2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24"/>
        </w:trPr>
        <w:tc>
          <w:tcPr>
            <w:tcW w:w="8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8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April 30,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May 1, 2022</w:t>
            </w:r>
          </w:p>
        </w:tc>
      </w:tr>
      <w:tr>
        <w:trPr>
          <w:trHeight w:val="21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7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874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4"/>
        </w:trPr>
        <w:tc>
          <w:tcPr>
            <w:tcW w:w="8740" w:type="dxa"/>
            <w:vAlign w:val="bottom"/>
          </w:tcPr>
          <w:p>
            <w:pPr>
              <w:ind w:left="340"/>
              <w:spacing w:after="0"/>
              <w:rPr>
                <w:sz w:val="20"/>
                <w:szCs w:val="20"/>
                <w:color w:val="auto"/>
              </w:rPr>
            </w:pPr>
            <w:r>
              <w:rPr>
                <w:rFonts w:ascii="Arial" w:cs="Arial" w:eastAsia="Arial" w:hAnsi="Arial"/>
                <w:sz w:val="18"/>
                <w:szCs w:val="18"/>
                <w:color w:val="auto"/>
              </w:rPr>
              <w:t>Pension and postretirement benefit expense (income)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5"/>
        </w:trPr>
        <w:tc>
          <w:tcPr>
            <w:tcW w:w="8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8"/>
        </w:trPr>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5"/>
        </w:trPr>
        <w:tc>
          <w:tcPr>
            <w:tcW w:w="8740" w:type="dxa"/>
            <w:vAlign w:val="bottom"/>
          </w:tcPr>
          <w:p>
            <w:pPr>
              <w:ind w:left="140"/>
              <w:spacing w:after="0"/>
              <w:rPr>
                <w:sz w:val="20"/>
                <w:szCs w:val="20"/>
                <w:color w:val="auto"/>
              </w:rPr>
            </w:pPr>
            <w:r>
              <w:rPr>
                <w:rFonts w:ascii="Arial" w:cs="Arial" w:eastAsia="Arial" w:hAnsi="Arial"/>
                <w:sz w:val="18"/>
                <w:szCs w:val="18"/>
                <w:color w:val="auto"/>
              </w:rPr>
              <w:t>Changes in working capital</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4"/>
        </w:trPr>
        <w:tc>
          <w:tcPr>
            <w:tcW w:w="8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4"/>
        </w:trPr>
        <w:tc>
          <w:tcPr>
            <w:tcW w:w="8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7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r>
      <w:tr>
        <w:trPr>
          <w:trHeight w:val="218"/>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8740" w:type="dxa"/>
            <w:vAlign w:val="bottom"/>
          </w:tcPr>
          <w:p>
            <w:pPr>
              <w:ind w:left="140"/>
              <w:spacing w:after="0"/>
              <w:rPr>
                <w:sz w:val="20"/>
                <w:szCs w:val="20"/>
                <w:color w:val="auto"/>
              </w:rPr>
            </w:pPr>
            <w:r>
              <w:rPr>
                <w:rFonts w:ascii="Arial" w:cs="Arial" w:eastAsia="Arial" w:hAnsi="Arial"/>
                <w:sz w:val="18"/>
                <w:szCs w:val="18"/>
                <w:color w:val="auto"/>
              </w:rPr>
              <w:t>Purchases of plant assets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route businesses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740" w:type="dxa"/>
            <w:vAlign w:val="bottom"/>
          </w:tcPr>
          <w:p>
            <w:pPr>
              <w:ind w:left="140"/>
              <w:spacing w:after="0"/>
              <w:rPr>
                <w:sz w:val="20"/>
                <w:szCs w:val="20"/>
                <w:color w:val="auto"/>
              </w:rPr>
            </w:pPr>
            <w:r>
              <w:rPr>
                <w:rFonts w:ascii="Arial" w:cs="Arial" w:eastAsia="Arial" w:hAnsi="Arial"/>
                <w:sz w:val="18"/>
                <w:szCs w:val="18"/>
                <w:color w:val="auto"/>
              </w:rPr>
              <w:t>Sales of route businesses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4"/>
        </w:trPr>
        <w:tc>
          <w:tcPr>
            <w:tcW w:w="8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7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18"/>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8740" w:type="dxa"/>
            <w:vAlign w:val="bottom"/>
          </w:tcPr>
          <w:p>
            <w:pPr>
              <w:ind w:left="140"/>
              <w:spacing w:after="0"/>
              <w:rPr>
                <w:sz w:val="20"/>
                <w:szCs w:val="20"/>
                <w:color w:val="auto"/>
              </w:rPr>
            </w:pPr>
            <w:r>
              <w:rPr>
                <w:rFonts w:ascii="Arial" w:cs="Arial" w:eastAsia="Arial" w:hAnsi="Arial"/>
                <w:sz w:val="18"/>
                <w:szCs w:val="18"/>
                <w:color w:val="auto"/>
              </w:rPr>
              <w:t>Short-term borrowings, including commercial paper</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repayments, including commercial paper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5"/>
        </w:trPr>
        <w:tc>
          <w:tcPr>
            <w:tcW w:w="8740" w:type="dxa"/>
            <w:vAlign w:val="bottom"/>
          </w:tcPr>
          <w:p>
            <w:pPr>
              <w:ind w:left="14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repayments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5"/>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purchases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4"/>
        </w:trPr>
        <w:tc>
          <w:tcPr>
            <w:tcW w:w="8740" w:type="dxa"/>
            <w:vAlign w:val="bottom"/>
          </w:tcPr>
          <w:p>
            <w:pPr>
              <w:ind w:left="140"/>
              <w:spacing w:after="0"/>
              <w:rPr>
                <w:sz w:val="20"/>
                <w:szCs w:val="20"/>
                <w:color w:val="auto"/>
              </w:rPr>
            </w:pPr>
            <w:r>
              <w:rPr>
                <w:rFonts w:ascii="Arial" w:cs="Arial" w:eastAsia="Arial" w:hAnsi="Arial"/>
                <w:sz w:val="18"/>
                <w:szCs w:val="18"/>
                <w:color w:val="auto"/>
              </w:rPr>
              <w:t>Treasury stock issuances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related to tax withholding for stock-based compensation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8740" w:type="dxa"/>
            <w:vAlign w:val="bottom"/>
          </w:tcPr>
          <w:p>
            <w:pPr>
              <w:ind w:left="140"/>
              <w:spacing w:after="0"/>
              <w:rPr>
                <w:sz w:val="20"/>
                <w:szCs w:val="20"/>
                <w:color w:val="auto"/>
              </w:rPr>
            </w:pPr>
            <w:r>
              <w:rPr>
                <w:rFonts w:ascii="Arial" w:cs="Arial" w:eastAsia="Arial" w:hAnsi="Arial"/>
                <w:sz w:val="18"/>
                <w:szCs w:val="18"/>
                <w:color w:val="auto"/>
              </w:rPr>
              <w:t>Payments related to extinguishment of debt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4"/>
        </w:trPr>
        <w:tc>
          <w:tcPr>
            <w:tcW w:w="8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19"/>
        </w:trPr>
        <w:tc>
          <w:tcPr>
            <w:tcW w:w="8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7"/>
        </w:trPr>
        <w:tc>
          <w:tcPr>
            <w:tcW w:w="8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4"/>
        </w:trPr>
        <w:tc>
          <w:tcPr>
            <w:tcW w:w="8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7"/>
          </w:tcPr>
          <w:p>
            <w:pPr>
              <w:jc w:val="right"/>
              <w:ind w:right="469"/>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60" w:type="dxa"/>
            <w:vAlign w:val="bottom"/>
          </w:tcPr>
          <w:p>
            <w:pPr>
              <w:spacing w:after="0"/>
              <w:rPr>
                <w:sz w:val="7"/>
                <w:szCs w:val="7"/>
                <w:color w:val="auto"/>
              </w:rPr>
            </w:pPr>
          </w:p>
        </w:tc>
        <w:tc>
          <w:tcPr>
            <w:tcW w:w="1560" w:type="dxa"/>
            <w:vAlign w:val="bottom"/>
            <w:gridSpan w:val="3"/>
            <w:vMerge w:val="restart"/>
          </w:tcPr>
          <w:p>
            <w:pPr>
              <w:jc w:val="right"/>
              <w:ind w:right="509"/>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7"/>
                <w:szCs w:val="7"/>
                <w:color w:val="auto"/>
              </w:rPr>
            </w:pPr>
          </w:p>
        </w:tc>
        <w:tc>
          <w:tcPr>
            <w:tcW w:w="1560" w:type="dxa"/>
            <w:vAlign w:val="bottom"/>
            <w:gridSpan w:val="3"/>
            <w:vMerge w:val="restart"/>
          </w:tcPr>
          <w:p>
            <w:pPr>
              <w:jc w:val="right"/>
              <w:ind w:right="349"/>
              <w:spacing w:after="0"/>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60" w:type="dxa"/>
            <w:vAlign w:val="bottom"/>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129"/>
              <w:spacing w:after="0" w:line="122"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860" w:type="dxa"/>
            <w:vAlign w:val="bottom"/>
          </w:tcPr>
          <w:p>
            <w:pPr>
              <w:jc w:val="center"/>
              <w:ind w:right="89"/>
              <w:spacing w:after="0" w:line="122" w:lineRule="exact"/>
              <w:rPr>
                <w:sz w:val="20"/>
                <w:szCs w:val="20"/>
                <w:color w:val="auto"/>
              </w:rPr>
            </w:pPr>
            <w:r>
              <w:rPr>
                <w:rFonts w:ascii="Arial" w:cs="Arial" w:eastAsia="Arial" w:hAnsi="Arial"/>
                <w:sz w:val="14"/>
                <w:szCs w:val="14"/>
                <w:b w:val="1"/>
                <w:bCs w:val="1"/>
                <w:color w:val="auto"/>
                <w:w w:val="92"/>
              </w:rPr>
              <w:t>Retained in</w:t>
            </w:r>
          </w:p>
        </w:tc>
        <w:tc>
          <w:tcPr>
            <w:tcW w:w="136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92"/>
              </w:rPr>
              <w:t>Accumulated Other</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1"/>
                <w:szCs w:val="11"/>
                <w:color w:val="auto"/>
              </w:rPr>
            </w:pPr>
          </w:p>
        </w:tc>
        <w:tc>
          <w:tcPr>
            <w:tcW w:w="7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860" w:type="dxa"/>
            <w:vAlign w:val="bottom"/>
          </w:tcPr>
          <w:p>
            <w:pPr>
              <w:jc w:val="right"/>
              <w:ind w:right="229"/>
              <w:spacing w:after="0" w:line="137"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860" w:type="dxa"/>
            <w:vAlign w:val="bottom"/>
          </w:tcPr>
          <w:p>
            <w:pPr>
              <w:jc w:val="center"/>
              <w:ind w:right="89"/>
              <w:spacing w:after="0" w:line="137"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11"/>
                <w:szCs w:val="11"/>
                <w:color w:val="auto"/>
              </w:rPr>
            </w:pPr>
          </w:p>
        </w:tc>
        <w:tc>
          <w:tcPr>
            <w:tcW w:w="1180" w:type="dxa"/>
            <w:vAlign w:val="bottom"/>
          </w:tcPr>
          <w:p>
            <w:pPr>
              <w:jc w:val="center"/>
              <w:ind w:right="49"/>
              <w:spacing w:after="0" w:line="137"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1140" w:type="dxa"/>
            <w:vAlign w:val="bottom"/>
          </w:tcPr>
          <w:p>
            <w:pPr>
              <w:jc w:val="right"/>
              <w:ind w:right="129"/>
              <w:spacing w:after="0" w:line="137" w:lineRule="exact"/>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1"/>
                <w:szCs w:val="11"/>
                <w:color w:val="auto"/>
              </w:rPr>
            </w:pPr>
          </w:p>
        </w:tc>
        <w:tc>
          <w:tcPr>
            <w:tcW w:w="800" w:type="dxa"/>
            <w:vAlign w:val="bottom"/>
          </w:tcPr>
          <w:p>
            <w:pPr>
              <w:jc w:val="right"/>
              <w:ind w:right="269"/>
              <w:spacing w:after="0" w:line="13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860" w:type="dxa"/>
            <w:vAlign w:val="bottom"/>
          </w:tcPr>
          <w:p>
            <w:pPr>
              <w:jc w:val="center"/>
              <w:ind w:right="89"/>
              <w:spacing w:after="0"/>
              <w:rPr>
                <w:sz w:val="20"/>
                <w:szCs w:val="20"/>
                <w:color w:val="auto"/>
              </w:rPr>
            </w:pPr>
            <w:r>
              <w:rPr>
                <w:rFonts w:ascii="Arial" w:cs="Arial" w:eastAsia="Arial" w:hAnsi="Arial"/>
                <w:sz w:val="14"/>
                <w:szCs w:val="14"/>
                <w:b w:val="1"/>
                <w:bCs w:val="1"/>
                <w:color w:val="auto"/>
                <w:w w:val="80"/>
              </w:rPr>
              <w:t>Business</w:t>
            </w:r>
          </w:p>
        </w:tc>
        <w:tc>
          <w:tcPr>
            <w:tcW w:w="180" w:type="dxa"/>
            <w:vAlign w:val="bottom"/>
          </w:tcPr>
          <w:p>
            <w:pPr>
              <w:spacing w:after="0"/>
              <w:rPr>
                <w:sz w:val="15"/>
                <w:szCs w:val="15"/>
                <w:color w:val="auto"/>
              </w:rPr>
            </w:pPr>
          </w:p>
        </w:tc>
        <w:tc>
          <w:tcPr>
            <w:tcW w:w="118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Pr>
          <w:p>
            <w:pPr>
              <w:spacing w:after="0"/>
              <w:rPr>
                <w:sz w:val="15"/>
                <w:szCs w:val="15"/>
                <w:color w:val="auto"/>
              </w:rPr>
            </w:pPr>
          </w:p>
        </w:tc>
        <w:tc>
          <w:tcPr>
            <w:tcW w:w="1140" w:type="dxa"/>
            <w:vAlign w:val="bottom"/>
          </w:tcPr>
          <w:p>
            <w:pPr>
              <w:jc w:val="right"/>
              <w:ind w:right="309"/>
              <w:spacing w:after="0"/>
              <w:rPr>
                <w:sz w:val="20"/>
                <w:szCs w:val="20"/>
                <w:color w:val="auto"/>
              </w:rPr>
            </w:pPr>
            <w:r>
              <w:rPr>
                <w:rFonts w:ascii="Arial" w:cs="Arial" w:eastAsia="Arial" w:hAnsi="Arial"/>
                <w:sz w:val="14"/>
                <w:szCs w:val="14"/>
                <w:b w:val="1"/>
                <w:bCs w:val="1"/>
                <w:color w:val="auto"/>
              </w:rPr>
              <w:t>Interests</w:t>
            </w:r>
          </w:p>
        </w:tc>
        <w:tc>
          <w:tcPr>
            <w:tcW w:w="280" w:type="dxa"/>
            <w:vAlign w:val="bottom"/>
          </w:tcPr>
          <w:p>
            <w:pPr>
              <w:spacing w:after="0"/>
              <w:rPr>
                <w:sz w:val="15"/>
                <w:szCs w:val="15"/>
                <w:color w:val="auto"/>
              </w:rPr>
            </w:pPr>
          </w:p>
        </w:tc>
        <w:tc>
          <w:tcPr>
            <w:tcW w:w="800" w:type="dxa"/>
            <w:vAlign w:val="bottom"/>
          </w:tcPr>
          <w:p>
            <w:pPr>
              <w:jc w:val="right"/>
              <w:ind w:right="20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
        </w:trPr>
        <w:tc>
          <w:tcPr>
            <w:tcW w:w="2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909"/>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188</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8"/>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Other comprehensive income (loss)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909"/>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color w:val="auto"/>
              </w:rPr>
              <w:t>Dividends ($.37 per share)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0"/>
        </w:trPr>
        <w:tc>
          <w:tcPr>
            <w:tcW w:w="2060" w:type="dxa"/>
            <w:vAlign w:val="bottom"/>
          </w:tcPr>
          <w:p>
            <w:pPr>
              <w:ind w:left="20"/>
              <w:spacing w:after="0" w:line="141" w:lineRule="exact"/>
              <w:rPr>
                <w:sz w:val="20"/>
                <w:szCs w:val="20"/>
                <w:color w:val="auto"/>
              </w:rPr>
            </w:pPr>
            <w:r>
              <w:rPr>
                <w:rFonts w:ascii="Arial" w:cs="Arial" w:eastAsia="Arial" w:hAnsi="Arial"/>
                <w:sz w:val="14"/>
                <w:szCs w:val="14"/>
                <w:color w:val="auto"/>
              </w:rPr>
              <w:t>Treasury stock issued under</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60" w:type="dxa"/>
            <w:vAlign w:val="bottom"/>
          </w:tcPr>
          <w:p>
            <w:pPr>
              <w:ind w:left="20"/>
              <w:spacing w:after="0" w:line="138" w:lineRule="exact"/>
              <w:rPr>
                <w:sz w:val="20"/>
                <w:szCs w:val="20"/>
                <w:color w:val="auto"/>
              </w:rPr>
            </w:pPr>
            <w:r>
              <w:rPr>
                <w:rFonts w:ascii="Arial" w:cs="Arial" w:eastAsia="Arial" w:hAnsi="Arial"/>
                <w:sz w:val="14"/>
                <w:szCs w:val="14"/>
                <w:color w:val="auto"/>
                <w:w w:val="98"/>
              </w:rPr>
              <w:t>management incentive and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1"/>
                <w:szCs w:val="11"/>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1"/>
                <w:szCs w:val="11"/>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May 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909"/>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909"/>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6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661</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909"/>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Dividends ($1.11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(336)</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0"/>
        </w:trPr>
        <w:tc>
          <w:tcPr>
            <w:tcW w:w="2060" w:type="dxa"/>
            <w:vAlign w:val="bottom"/>
          </w:tcPr>
          <w:p>
            <w:pPr>
              <w:ind w:left="20"/>
              <w:spacing w:after="0" w:line="141" w:lineRule="exact"/>
              <w:rPr>
                <w:sz w:val="20"/>
                <w:szCs w:val="20"/>
                <w:color w:val="auto"/>
              </w:rPr>
            </w:pPr>
            <w:r>
              <w:rPr>
                <w:rFonts w:ascii="Arial" w:cs="Arial" w:eastAsia="Arial" w:hAnsi="Arial"/>
                <w:sz w:val="14"/>
                <w:szCs w:val="14"/>
                <w:color w:val="auto"/>
              </w:rPr>
              <w:t>Treasury stock issued under</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4"/>
                <w:szCs w:val="14"/>
                <w:color w:val="auto"/>
                <w:w w:val="98"/>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May 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909"/>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869"/>
              <w:spacing w:after="0"/>
              <w:rPr>
                <w:sz w:val="20"/>
                <w:szCs w:val="20"/>
                <w:color w:val="auto"/>
              </w:rPr>
            </w:pPr>
            <w:r>
              <w:rPr>
                <w:rFonts w:ascii="Arial" w:cs="Arial" w:eastAsia="Arial" w:hAnsi="Arial"/>
                <w:sz w:val="14"/>
                <w:szCs w:val="14"/>
                <w:color w:val="auto"/>
                <w:w w:val="93"/>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3,601</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160</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left="869"/>
              <w:spacing w:after="0"/>
              <w:rPr>
                <w:sz w:val="20"/>
                <w:szCs w:val="20"/>
                <w:color w:val="auto"/>
              </w:rPr>
            </w:pPr>
            <w:r>
              <w:rPr>
                <w:rFonts w:ascii="Arial" w:cs="Arial" w:eastAsia="Arial" w:hAnsi="Arial"/>
                <w:sz w:val="14"/>
                <w:szCs w:val="14"/>
                <w:b w:val="1"/>
                <w:bCs w:val="1"/>
                <w:color w:val="auto"/>
                <w:w w:val="93"/>
              </w:rPr>
              <w:t>(2)</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auto"/>
              </w:rPr>
              <w:t>(112)</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36"/>
        </w:trPr>
        <w:tc>
          <w:tcPr>
            <w:tcW w:w="20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4"/>
                <w:szCs w:val="14"/>
                <w:b w:val="1"/>
                <w:bCs w:val="1"/>
                <w:color w:val="auto"/>
                <w:w w:val="91"/>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2"/>
                <w:szCs w:val="12"/>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April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4,392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center"/>
              <w:ind w:left="869"/>
              <w:spacing w:after="0"/>
              <w:rPr>
                <w:sz w:val="20"/>
                <w:szCs w:val="20"/>
                <w:color w:val="auto"/>
              </w:rPr>
            </w:pPr>
            <w:r>
              <w:rPr>
                <w:rFonts w:ascii="Arial" w:cs="Arial" w:eastAsia="Arial" w:hAnsi="Arial"/>
                <w:sz w:val="14"/>
                <w:szCs w:val="14"/>
                <w:b w:val="1"/>
                <w:bCs w:val="1"/>
                <w:color w:val="auto"/>
                <w:w w:val="93"/>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3,588</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909"/>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689</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689</w:t>
            </w: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left="869"/>
              <w:spacing w:after="0"/>
              <w:rPr>
                <w:sz w:val="20"/>
                <w:szCs w:val="20"/>
                <w:color w:val="auto"/>
              </w:rPr>
            </w:pPr>
            <w:r>
              <w:rPr>
                <w:rFonts w:ascii="Arial" w:cs="Arial" w:eastAsia="Arial" w:hAnsi="Arial"/>
                <w:sz w:val="14"/>
                <w:szCs w:val="14"/>
                <w:b w:val="1"/>
                <w:bCs w:val="1"/>
                <w:color w:val="auto"/>
                <w:w w:val="93"/>
              </w:rPr>
              <w:t>(8)</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Dividends ($1.11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auto"/>
              </w:rPr>
              <w:t>(337)</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(337)</w:t>
            </w: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36"/>
        </w:trPr>
        <w:tc>
          <w:tcPr>
            <w:tcW w:w="20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4"/>
                <w:szCs w:val="14"/>
                <w:b w:val="1"/>
                <w:bCs w:val="1"/>
                <w:color w:val="auto"/>
                <w:w w:val="91"/>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60</w:t>
            </w:r>
          </w:p>
        </w:tc>
        <w:tc>
          <w:tcPr>
            <w:tcW w:w="2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2"/>
                <w:szCs w:val="12"/>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April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4,392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center"/>
              <w:ind w:left="869"/>
              <w:spacing w:after="0"/>
              <w:rPr>
                <w:sz w:val="20"/>
                <w:szCs w:val="20"/>
                <w:color w:val="auto"/>
              </w:rPr>
            </w:pPr>
            <w:r>
              <w:rPr>
                <w:rFonts w:ascii="Arial" w:cs="Arial" w:eastAsia="Arial" w:hAnsi="Arial"/>
                <w:sz w:val="14"/>
                <w:szCs w:val="14"/>
                <w:b w:val="1"/>
                <w:bCs w:val="1"/>
                <w:color w:val="auto"/>
                <w:w w:val="93"/>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3,588</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31, 2022.</w:t>
      </w:r>
    </w:p>
    <w:p>
      <w:pPr>
        <w:spacing w:after="0" w:line="5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July 30, 2023.</w:t>
      </w:r>
    </w:p>
    <w:p>
      <w:pPr>
        <w:spacing w:after="0" w:line="148" w:lineRule="exact"/>
        <w:rPr>
          <w:sz w:val="20"/>
          <w:szCs w:val="20"/>
          <w:color w:val="auto"/>
        </w:rPr>
      </w:pPr>
    </w:p>
    <w:p>
      <w:pPr>
        <w:ind w:left="320" w:right="7700" w:hanging="314"/>
        <w:spacing w:after="0" w:line="418" w:lineRule="auto"/>
        <w:tabs>
          <w:tab w:leader="none" w:pos="17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u w:val="single" w:color="auto"/>
          <w:color w:val="auto"/>
        </w:rPr>
        <w:t>Accounting Pronouncements Not Yet Adopted</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are currently evaluating the impact that the new guidance will have on our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 (Loss)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Foreign Currency</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86"/>
              </w:rPr>
              <w:t>Pension 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Total Accumulated</w:t>
            </w:r>
          </w:p>
        </w:tc>
        <w:tc>
          <w:tcPr>
            <w:tcW w:w="0" w:type="dxa"/>
            <w:vAlign w:val="bottom"/>
          </w:tcPr>
          <w:p>
            <w:pPr>
              <w:spacing w:after="0"/>
              <w:rPr>
                <w:sz w:val="1"/>
                <w:szCs w:val="1"/>
                <w:color w:val="auto"/>
              </w:rPr>
            </w:pPr>
          </w:p>
        </w:tc>
      </w:tr>
      <w:tr>
        <w:trPr>
          <w:trHeight w:val="133"/>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1"/>
                <w:szCs w:val="11"/>
                <w:color w:val="auto"/>
              </w:rPr>
            </w:pPr>
          </w:p>
        </w:tc>
        <w:tc>
          <w:tcPr>
            <w:tcW w:w="132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Cash-Flow Hedges</w:t>
            </w:r>
            <w:r>
              <w:rPr>
                <w:rFonts w:ascii="Arial" w:cs="Arial" w:eastAsia="Arial" w:hAnsi="Arial"/>
                <w:sz w:val="18"/>
                <w:szCs w:val="18"/>
                <w:b w:val="1"/>
                <w:bCs w:val="1"/>
                <w:color w:val="auto"/>
                <w:w w:val="92"/>
                <w:vertAlign w:val="superscript"/>
              </w:rPr>
              <w:t>(2)</w:t>
            </w:r>
          </w:p>
        </w:tc>
        <w:tc>
          <w:tcPr>
            <w:tcW w:w="120" w:type="dxa"/>
            <w:vAlign w:val="bottom"/>
          </w:tcPr>
          <w:p>
            <w:pPr>
              <w:spacing w:after="0"/>
              <w:rPr>
                <w:sz w:val="11"/>
                <w:szCs w:val="11"/>
                <w:color w:val="auto"/>
              </w:rPr>
            </w:pPr>
          </w:p>
        </w:tc>
        <w:tc>
          <w:tcPr>
            <w:tcW w:w="14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Postretirement Benefit</w:t>
            </w:r>
          </w:p>
        </w:tc>
        <w:tc>
          <w:tcPr>
            <w:tcW w:w="12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89"/>
              </w:rPr>
              <w:t>Comprehensive Income</w:t>
            </w:r>
          </w:p>
        </w:tc>
        <w:tc>
          <w:tcPr>
            <w:tcW w:w="0" w:type="dxa"/>
            <w:vAlign w:val="bottom"/>
          </w:tcPr>
          <w:p>
            <w:pPr>
              <w:spacing w:after="0"/>
              <w:rPr>
                <w:sz w:val="1"/>
                <w:szCs w:val="1"/>
                <w:color w:val="auto"/>
              </w:rPr>
            </w:pPr>
          </w:p>
        </w:tc>
      </w:tr>
      <w:tr>
        <w:trPr>
          <w:trHeight w:val="211"/>
        </w:trPr>
        <w:tc>
          <w:tcPr>
            <w:tcW w:w="50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8"/>
              </w:rPr>
              <w:t>Adjustments</w:t>
            </w:r>
            <w:r>
              <w:rPr>
                <w:rFonts w:ascii="Arial" w:cs="Arial" w:eastAsia="Arial" w:hAnsi="Arial"/>
                <w:sz w:val="18"/>
                <w:szCs w:val="18"/>
                <w:b w:val="1"/>
                <w:bCs w:val="1"/>
                <w:color w:val="auto"/>
                <w:w w:val="88"/>
                <w:vertAlign w:val="superscript"/>
              </w:rPr>
              <w:t>(1)</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Plan Adjustments</w:t>
            </w:r>
            <w:r>
              <w:rPr>
                <w:rFonts w:ascii="Arial" w:cs="Arial" w:eastAsia="Arial" w:hAnsi="Arial"/>
                <w:sz w:val="18"/>
                <w:szCs w:val="18"/>
                <w:b w:val="1"/>
                <w:bCs w:val="1"/>
                <w:color w:val="auto"/>
                <w:w w:val="88"/>
                <w:vertAlign w:val="superscript"/>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8"/>
        </w:trPr>
        <w:tc>
          <w:tcPr>
            <w:tcW w:w="5000" w:type="dxa"/>
            <w:vAlign w:val="bottom"/>
          </w:tcPr>
          <w:p>
            <w:pPr>
              <w:ind w:left="220"/>
              <w:spacing w:after="0" w:line="204" w:lineRule="exact"/>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left="1015"/>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7"/>
        </w:trPr>
        <w:tc>
          <w:tcPr>
            <w:tcW w:w="5000" w:type="dxa"/>
            <w:vAlign w:val="bottom"/>
            <w:shd w:val="clear" w:color="auto" w:fill="CCEEFF"/>
          </w:tcPr>
          <w:p>
            <w:pPr>
              <w:ind w:left="220"/>
              <w:spacing w:after="0" w:line="187" w:lineRule="exact"/>
              <w:rPr>
                <w:sz w:val="20"/>
                <w:szCs w:val="20"/>
                <w:color w:val="auto"/>
              </w:rPr>
            </w:pPr>
            <w:r>
              <w:rPr>
                <w:rFonts w:ascii="Arial" w:cs="Arial" w:eastAsia="Arial" w:hAnsi="Arial"/>
                <w:sz w:val="18"/>
                <w:szCs w:val="18"/>
                <w:color w:val="auto"/>
              </w:rPr>
              <w:t>Losses (gains) reclassified from accumulated other</w:t>
            </w:r>
          </w:p>
        </w:tc>
        <w:tc>
          <w:tcPr>
            <w:tcW w:w="1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center"/>
              <w:ind w:left="995"/>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1"/>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1015"/>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9"/>
        </w:trPr>
        <w:tc>
          <w:tcPr>
            <w:tcW w:w="5000" w:type="dxa"/>
            <w:vAlign w:val="bottom"/>
          </w:tcPr>
          <w:p>
            <w:pPr>
              <w:ind w:left="220"/>
              <w:spacing w:after="0"/>
              <w:rPr>
                <w:sz w:val="20"/>
                <w:szCs w:val="20"/>
                <w:color w:val="auto"/>
              </w:rPr>
            </w:pPr>
            <w:r>
              <w:rPr>
                <w:rFonts w:ascii="Arial" w:cs="Arial" w:eastAsia="Arial" w:hAnsi="Arial"/>
                <w:sz w:val="18"/>
                <w:szCs w:val="18"/>
                <w:b w:val="1"/>
                <w:bCs w:val="1"/>
                <w:color w:val="auto"/>
                <w:w w:val="92"/>
              </w:rPr>
              <w:t>Other comprehensive income (loss) before reclassifications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left="995"/>
              <w:spacing w:after="0"/>
              <w:rPr>
                <w:sz w:val="20"/>
                <w:szCs w:val="20"/>
                <w:color w:val="auto"/>
              </w:rPr>
            </w:pPr>
            <w:r>
              <w:rPr>
                <w:rFonts w:ascii="Arial" w:cs="Arial" w:eastAsia="Arial" w:hAnsi="Arial"/>
                <w:sz w:val="18"/>
                <w:szCs w:val="18"/>
                <w:b w:val="1"/>
                <w:bCs w:val="1"/>
                <w:color w:val="auto"/>
                <w:w w:val="90"/>
              </w:rPr>
              <w:t>(2)</w:t>
            </w: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Losses (gains) reclassified from accumulated other</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995"/>
              <w:spacing w:after="0"/>
              <w:rPr>
                <w:sz w:val="20"/>
                <w:szCs w:val="20"/>
                <w:color w:val="auto"/>
              </w:rPr>
            </w:pPr>
            <w:r>
              <w:rPr>
                <w:rFonts w:ascii="Arial" w:cs="Arial" w:eastAsia="Arial" w:hAnsi="Arial"/>
                <w:sz w:val="18"/>
                <w:szCs w:val="18"/>
                <w:b w:val="1"/>
                <w:bCs w:val="1"/>
                <w:color w:val="auto"/>
                <w:w w:val="90"/>
              </w:rPr>
              <w:t>(6)</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995"/>
              <w:spacing w:after="0"/>
              <w:rPr>
                <w:sz w:val="20"/>
                <w:szCs w:val="20"/>
                <w:color w:val="auto"/>
              </w:rPr>
            </w:pPr>
            <w:r>
              <w:rPr>
                <w:rFonts w:ascii="Arial" w:cs="Arial" w:eastAsia="Arial" w:hAnsi="Arial"/>
                <w:sz w:val="18"/>
                <w:szCs w:val="18"/>
                <w:b w:val="1"/>
                <w:bCs w:val="1"/>
                <w:color w:val="auto"/>
                <w:w w:val="90"/>
              </w:rPr>
              <w:t>(8)</w:t>
            </w: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center"/>
              <w:ind w:left="995"/>
              <w:spacing w:after="0"/>
              <w:rPr>
                <w:sz w:val="20"/>
                <w:szCs w:val="20"/>
                <w:color w:val="auto"/>
              </w:rPr>
            </w:pPr>
            <w:r>
              <w:rPr>
                <w:rFonts w:ascii="Arial" w:cs="Arial" w:eastAsia="Arial" w:hAnsi="Arial"/>
                <w:sz w:val="18"/>
                <w:szCs w:val="18"/>
                <w:b w:val="1"/>
                <w:bCs w:val="1"/>
                <w:color w:val="auto"/>
                <w:w w:val="90"/>
              </w:rPr>
              <w:t>(6)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8" w:lineRule="exact"/>
        <w:rPr>
          <w:sz w:val="20"/>
          <w:szCs w:val="20"/>
          <w:color w:val="auto"/>
        </w:rPr>
      </w:pPr>
    </w:p>
    <w:p>
      <w:pPr>
        <w:ind w:left="320" w:hanging="314"/>
        <w:spacing w:after="0"/>
        <w:tabs>
          <w:tab w:leader="none" w:pos="3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no tax as of April 30, 2023, July 31, 2022, May 1, 2022 and August 1, 2021.</w:t>
      </w:r>
    </w:p>
    <w:p>
      <w:pPr>
        <w:ind w:left="320" w:hanging="314"/>
        <w:spacing w:after="0" w:line="219" w:lineRule="auto"/>
        <w:tabs>
          <w:tab w:leader="none" w:pos="32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Included no tax as of April 30, 2023 and July 31, 2022, tax expense of $2 million as of May 1, 2022, and a tax benefit of $1 million as of August 1, 2021.</w:t>
      </w:r>
    </w:p>
    <w:p>
      <w:pPr>
        <w:spacing w:after="0" w:line="2" w:lineRule="exact"/>
        <w:rPr>
          <w:rFonts w:ascii="Arial" w:cs="Arial" w:eastAsia="Arial" w:hAnsi="Arial"/>
          <w:sz w:val="21"/>
          <w:szCs w:val="21"/>
          <w:color w:val="auto"/>
          <w:vertAlign w:val="superscript"/>
        </w:rPr>
      </w:pPr>
    </w:p>
    <w:p>
      <w:pPr>
        <w:ind w:left="320" w:right="3480" w:hanging="314"/>
        <w:spacing w:after="0" w:line="258" w:lineRule="auto"/>
        <w:tabs>
          <w:tab w:leader="none" w:pos="3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tax expense of $1 million as of April 30, 2023, July 31, 2022, May 1, 2022, and August 1, 2021. Amounts related to noncontrolling interests were not material.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jc w:val="right"/>
              <w:ind w:right="20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4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2"/>
              </w:rPr>
              <w:t>Location of Loss (Gain) Recognized in</w:t>
            </w:r>
          </w:p>
        </w:tc>
        <w:tc>
          <w:tcPr>
            <w:tcW w:w="0" w:type="dxa"/>
            <w:vAlign w:val="bottom"/>
          </w:tcPr>
          <w:p>
            <w:pPr>
              <w:spacing w:after="0"/>
              <w:rPr>
                <w:sz w:val="1"/>
                <w:szCs w:val="1"/>
                <w:color w:val="auto"/>
              </w:rPr>
            </w:pPr>
          </w:p>
        </w:tc>
      </w:tr>
      <w:tr>
        <w:trPr>
          <w:trHeight w:val="116"/>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0"/>
                <w:szCs w:val="10"/>
                <w:color w:val="auto"/>
              </w:rPr>
            </w:pPr>
          </w:p>
        </w:tc>
        <w:tc>
          <w:tcPr>
            <w:tcW w:w="10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5"/>
              </w:rPr>
              <w:t>April 30, 2023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May 1,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w w:val="95"/>
              </w:rPr>
              <w:t>April 30, 2023</w:t>
            </w:r>
          </w:p>
        </w:tc>
        <w:tc>
          <w:tcPr>
            <w:tcW w:w="120" w:type="dxa"/>
            <w:vAlign w:val="bottom"/>
          </w:tcPr>
          <w:p>
            <w:pPr>
              <w:spacing w:after="0"/>
              <w:rPr>
                <w:sz w:val="10"/>
                <w:szCs w:val="10"/>
                <w:color w:val="auto"/>
              </w:rPr>
            </w:pPr>
          </w:p>
        </w:tc>
        <w:tc>
          <w:tcPr>
            <w:tcW w:w="1160" w:type="dxa"/>
            <w:vAlign w:val="bottom"/>
            <w:gridSpan w:val="3"/>
            <w:vMerge w:val="restart"/>
          </w:tcPr>
          <w:p>
            <w:pPr>
              <w:jc w:val="right"/>
              <w:ind w:right="132"/>
              <w:spacing w:after="0"/>
              <w:rPr>
                <w:sz w:val="20"/>
                <w:szCs w:val="20"/>
                <w:color w:val="auto"/>
              </w:rPr>
            </w:pPr>
            <w:r>
              <w:rPr>
                <w:rFonts w:ascii="Arial" w:cs="Arial" w:eastAsia="Arial" w:hAnsi="Arial"/>
                <w:sz w:val="14"/>
                <w:szCs w:val="14"/>
                <w:b w:val="1"/>
                <w:bCs w:val="1"/>
                <w:color w:val="auto"/>
              </w:rPr>
              <w:t>May 1, 2022</w:t>
            </w:r>
          </w:p>
        </w:tc>
        <w:tc>
          <w:tcPr>
            <w:tcW w:w="100" w:type="dxa"/>
            <w:vAlign w:val="bottom"/>
            <w:vMerge w:val="continue"/>
          </w:tcPr>
          <w:p>
            <w:pPr>
              <w:spacing w:after="0"/>
              <w:rPr>
                <w:sz w:val="10"/>
                <w:szCs w:val="10"/>
                <w:color w:val="auto"/>
              </w:rPr>
            </w:pPr>
          </w:p>
        </w:tc>
        <w:tc>
          <w:tcPr>
            <w:tcW w:w="24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6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w w:val="93"/>
              </w:rPr>
              <w:t>Earnings</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on cash-flow hedges: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60" w:type="dxa"/>
            <w:vAlign w:val="bottom"/>
            <w:gridSpan w:val="6"/>
          </w:tcPr>
          <w:p>
            <w:pPr>
              <w:ind w:left="20"/>
              <w:spacing w:after="0"/>
              <w:rPr>
                <w:sz w:val="20"/>
                <w:szCs w:val="20"/>
                <w:color w:val="auto"/>
              </w:rPr>
            </w:pPr>
            <w:r>
              <w:rPr>
                <w:rFonts w:ascii="Arial" w:cs="Arial" w:eastAsia="Arial" w:hAnsi="Arial"/>
                <w:sz w:val="18"/>
                <w:szCs w:val="18"/>
                <w:color w:val="auto"/>
              </w:rPr>
              <w:t>(6)  Cost of products sold</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gridSpan w:val="6"/>
            <w:shd w:val="clear" w:color="auto" w:fill="CCEEFF"/>
          </w:tcPr>
          <w:p>
            <w:pPr>
              <w:jc w:val="right"/>
              <w:ind w:right="329"/>
              <w:spacing w:after="0"/>
              <w:rPr>
                <w:sz w:val="20"/>
                <w:szCs w:val="20"/>
                <w:color w:val="auto"/>
              </w:rPr>
            </w:pPr>
            <w:r>
              <w:rPr>
                <w:rFonts w:ascii="Arial" w:cs="Arial" w:eastAsia="Arial" w:hAnsi="Arial"/>
                <w:sz w:val="18"/>
                <w:szCs w:val="18"/>
                <w:color w:val="auto"/>
                <w:w w:val="97"/>
              </w:rPr>
              <w:t>1  Cost of products sold</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Arial" w:cs="Arial" w:eastAsia="Arial" w:hAnsi="Arial"/>
                <w:sz w:val="18"/>
                <w:szCs w:val="18"/>
                <w:color w:val="auto"/>
              </w:rPr>
              <w:t>Forward starting interest rate swaps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920" w:type="dxa"/>
            <w:vAlign w:val="bottom"/>
            <w:gridSpan w:val="4"/>
          </w:tcPr>
          <w:p>
            <w:pPr>
              <w:jc w:val="right"/>
              <w:ind w:right="689"/>
              <w:spacing w:after="0"/>
              <w:rPr>
                <w:sz w:val="20"/>
                <w:szCs w:val="20"/>
                <w:color w:val="auto"/>
              </w:rPr>
            </w:pPr>
            <w:r>
              <w:rPr>
                <w:rFonts w:ascii="Arial" w:cs="Arial" w:eastAsia="Arial" w:hAnsi="Arial"/>
                <w:sz w:val="18"/>
                <w:szCs w:val="18"/>
                <w:color w:val="auto"/>
                <w:w w:val="85"/>
              </w:rPr>
              <w:t>Interest expense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Total before tax</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Tax expense (benefit)</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Loss (gain),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2"/>
            <w:shd w:val="clear" w:color="auto" w:fill="CCEEFF"/>
          </w:tcPr>
          <w:p>
            <w:pPr>
              <w:jc w:val="right"/>
              <w:ind w:right="64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Pension and postretirement benefit adjustments: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60" w:type="dxa"/>
            <w:vAlign w:val="bottom"/>
            <w:gridSpan w:val="6"/>
          </w:tcPr>
          <w:p>
            <w:pPr>
              <w:ind w:left="20"/>
              <w:spacing w:after="0"/>
              <w:rPr>
                <w:sz w:val="20"/>
                <w:szCs w:val="20"/>
                <w:color w:val="auto"/>
              </w:rPr>
            </w:pPr>
            <w:r>
              <w:rPr>
                <w:rFonts w:ascii="Arial" w:cs="Arial" w:eastAsia="Arial" w:hAnsi="Arial"/>
                <w:sz w:val="18"/>
                <w:szCs w:val="18"/>
                <w:color w:val="auto"/>
                <w:w w:val="90"/>
              </w:rPr>
              <w:t>(1)  Other expenses / (income)</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jc w:val="right"/>
              <w:ind w:right="34"/>
              <w:spacing w:after="0"/>
              <w:rPr>
                <w:sz w:val="20"/>
                <w:szCs w:val="20"/>
                <w:color w:val="auto"/>
              </w:rPr>
            </w:pPr>
            <w:r>
              <w:rPr>
                <w:rFonts w:ascii="Arial" w:cs="Arial" w:eastAsia="Arial" w:hAnsi="Arial"/>
                <w:sz w:val="18"/>
                <w:szCs w:val="18"/>
                <w:color w:val="auto"/>
              </w:rPr>
              <w:t>Loss (gain), net of 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140" w:type="dxa"/>
            <w:vAlign w:val="bottom"/>
            <w:gridSpan w:val="6"/>
          </w:tcPr>
          <w:p>
            <w:pPr>
              <w:ind w:left="320"/>
              <w:spacing w:after="0"/>
              <w:rPr>
                <w:sz w:val="20"/>
                <w:szCs w:val="20"/>
                <w:color w:val="auto"/>
              </w:rPr>
            </w:pPr>
            <w:r>
              <w:rPr>
                <w:rFonts w:ascii="Arial" w:cs="Arial" w:eastAsia="Arial" w:hAnsi="Arial"/>
                <w:sz w:val="18"/>
                <w:szCs w:val="18"/>
                <w:color w:val="auto"/>
                <w:w w:val="98"/>
              </w:rPr>
              <w:t>The following table shows the changes in the carrying amount of goodwill: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w w:val="95"/>
              </w:rPr>
              <w:t>Meals &amp; Beverages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01"/>
              <w:spacing w:after="0"/>
              <w:rPr>
                <w:sz w:val="20"/>
                <w:szCs w:val="20"/>
                <w:color w:val="auto"/>
              </w:rPr>
            </w:pPr>
            <w:r>
              <w:rPr>
                <w:rFonts w:ascii="Arial" w:cs="Arial" w:eastAsia="Arial" w:hAnsi="Arial"/>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balance at July 31, 2022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993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0" w:type="dxa"/>
            <w:vAlign w:val="bottom"/>
            <w:gridSpan w:val="3"/>
            <w:shd w:val="clear" w:color="auto" w:fill="CCEEFF"/>
          </w:tcPr>
          <w:p>
            <w:pPr>
              <w:jc w:val="right"/>
              <w:ind w:right="64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balance at April 30, 2023</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987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2,986</w:t>
            </w:r>
          </w:p>
        </w:tc>
        <w:tc>
          <w:tcPr>
            <w:tcW w:w="1000" w:type="dxa"/>
            <w:vAlign w:val="bottom"/>
            <w:gridSpan w:val="3"/>
            <w:shd w:val="clear" w:color="auto" w:fill="CCEEFF"/>
          </w:tcPr>
          <w:p>
            <w:pPr>
              <w:jc w:val="right"/>
              <w:ind w:right="649"/>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3,973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balance sheet information for intangible assets, excluding goodwill: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Arial" w:cs="Arial" w:eastAsia="Arial" w:hAnsi="Arial"/>
                <w:sz w:val="14"/>
                <w:szCs w:val="14"/>
                <w:b w:val="1"/>
                <w:bCs w:val="1"/>
                <w:color w:val="auto"/>
                <w:w w:val="92"/>
              </w:rPr>
              <w:t>July 31, 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05"/>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3"/>
        </w:trPr>
        <w:tc>
          <w:tcPr>
            <w:tcW w:w="39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740" w:type="dxa"/>
            <w:vAlign w:val="bottom"/>
          </w:tcPr>
          <w:p>
            <w:pPr>
              <w:jc w:val="right"/>
              <w:ind w:right="561"/>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3"/>
              </w:rPr>
              <w:t>830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830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580"/>
              <w:spacing w:after="0"/>
              <w:rPr>
                <w:sz w:val="20"/>
                <w:szCs w:val="20"/>
                <w:color w:val="auto"/>
              </w:rPr>
            </w:pPr>
            <w:r>
              <w:rPr>
                <w:rFonts w:ascii="Arial" w:cs="Arial" w:eastAsia="Arial" w:hAnsi="Arial"/>
                <w:sz w:val="18"/>
                <w:szCs w:val="18"/>
                <w:i w:val="1"/>
                <w:iCs w:val="1"/>
                <w:color w:val="auto"/>
              </w:rPr>
              <w:t>Snyder's of Hanover</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580"/>
              <w:spacing w:after="0"/>
              <w:rPr>
                <w:sz w:val="20"/>
                <w:szCs w:val="20"/>
                <w:color w:val="auto"/>
              </w:rPr>
            </w:pPr>
            <w:r>
              <w:rPr>
                <w:rFonts w:ascii="Arial" w:cs="Arial" w:eastAsia="Arial" w:hAnsi="Arial"/>
                <w:sz w:val="18"/>
                <w:szCs w:val="18"/>
                <w:i w:val="1"/>
                <w:iCs w:val="1"/>
                <w:color w:val="auto"/>
              </w:rPr>
              <w:t>Lance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4"/>
        </w:trPr>
        <w:tc>
          <w:tcPr>
            <w:tcW w:w="3980" w:type="dxa"/>
            <w:vAlign w:val="bottom"/>
          </w:tcPr>
          <w:p>
            <w:pPr>
              <w:ind w:left="580"/>
              <w:spacing w:after="0"/>
              <w:rPr>
                <w:sz w:val="20"/>
                <w:szCs w:val="20"/>
                <w:color w:val="auto"/>
              </w:rPr>
            </w:pPr>
            <w:r>
              <w:rPr>
                <w:rFonts w:ascii="Arial" w:cs="Arial" w:eastAsia="Arial" w:hAnsi="Arial"/>
                <w:sz w:val="18"/>
                <w:szCs w:val="18"/>
                <w:i w:val="1"/>
                <w:iCs w:val="1"/>
                <w:color w:val="auto"/>
              </w:rPr>
              <w:t>Kettle Brand</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580"/>
              <w:spacing w:after="0"/>
              <w:rPr>
                <w:sz w:val="20"/>
                <w:szCs w:val="20"/>
                <w:color w:val="auto"/>
              </w:rPr>
            </w:pPr>
            <w:r>
              <w:rPr>
                <w:rFonts w:ascii="Arial" w:cs="Arial" w:eastAsia="Arial" w:hAnsi="Arial"/>
                <w:sz w:val="18"/>
                <w:szCs w:val="18"/>
                <w:i w:val="1"/>
                <w:iCs w:val="1"/>
                <w:color w:val="auto"/>
              </w:rPr>
              <w:t>Pace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3980" w:type="dxa"/>
            <w:vAlign w:val="bottom"/>
          </w:tcPr>
          <w:p>
            <w:pPr>
              <w:ind w:left="580"/>
              <w:spacing w:after="0"/>
              <w:rPr>
                <w:sz w:val="20"/>
                <w:szCs w:val="20"/>
                <w:color w:val="auto"/>
              </w:rPr>
            </w:pPr>
            <w:r>
              <w:rPr>
                <w:rFonts w:ascii="Arial" w:cs="Arial" w:eastAsia="Arial" w:hAnsi="Arial"/>
                <w:sz w:val="18"/>
                <w:szCs w:val="18"/>
                <w:i w:val="1"/>
                <w:iCs w:val="1"/>
                <w:color w:val="auto"/>
              </w:rPr>
              <w:t>Pacific Foods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9"/>
        </w:trPr>
        <w:tc>
          <w:tcPr>
            <w:tcW w:w="3980" w:type="dxa"/>
            <w:vAlign w:val="bottom"/>
            <w:shd w:val="clear" w:color="auto" w:fill="CCEEFF"/>
          </w:tcPr>
          <w:p>
            <w:pPr>
              <w:ind w:left="580"/>
              <w:spacing w:after="0" w:line="239" w:lineRule="exact"/>
              <w:rPr>
                <w:sz w:val="20"/>
                <w:szCs w:val="20"/>
                <w:color w:val="auto"/>
              </w:rPr>
            </w:pPr>
            <w:r>
              <w:rPr>
                <w:rFonts w:ascii="Arial" w:cs="Arial" w:eastAsia="Arial" w:hAnsi="Arial"/>
                <w:sz w:val="18"/>
                <w:szCs w:val="18"/>
                <w:color w:val="auto"/>
              </w:rPr>
              <w:t>Various other Snacks</w:t>
            </w:r>
            <w:r>
              <w:rPr>
                <w:rFonts w:ascii="Arial" w:cs="Arial" w:eastAsia="Arial" w:hAnsi="Arial"/>
                <w:sz w:val="22"/>
                <w:szCs w:val="22"/>
                <w:color w:val="auto"/>
                <w:vertAlign w:val="superscript"/>
              </w:rPr>
              <w:t>(1)</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trademarks</w:t>
            </w:r>
          </w:p>
        </w:tc>
        <w:tc>
          <w:tcPr>
            <w:tcW w:w="7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38"/>
        </w:trPr>
        <w:tc>
          <w:tcPr>
            <w:tcW w:w="39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Total net intangible assets</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43" w:lineRule="exact"/>
        <w:rPr>
          <w:sz w:val="20"/>
          <w:szCs w:val="20"/>
          <w:color w:val="auto"/>
        </w:rPr>
      </w:pPr>
    </w:p>
    <w:p>
      <w:pPr>
        <w:ind w:left="320" w:hanging="314"/>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Associated with the acquisition of Snyder's-Lance, Inc. (Snyder's-Lance).</w:t>
      </w:r>
    </w:p>
    <w:p>
      <w:pPr>
        <w:spacing w:after="0" w:line="8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Amortization of intangible assets was $31 million for both the nine-month periods ended April 30, 2023 and May 1, 2022. As of April 30, 2023, amortizable intangible assets had a weighted-average remaining useful life of 16 years. Amortization expense for the next 5 years is estimated to be approximately $41 million per year.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 w:name="page10"/>
    <w:bookmarkEnd w:id="9"/>
    <w:p>
      <w:pPr>
        <w:jc w:val="both"/>
        <w:ind w:firstLine="318"/>
        <w:spacing w:after="0" w:line="264" w:lineRule="auto"/>
        <w:rPr>
          <w:sz w:val="20"/>
          <w:szCs w:val="20"/>
          <w:color w:val="auto"/>
        </w:rPr>
      </w:pPr>
      <w:r>
        <w:rPr>
          <w:rFonts w:ascii="Arial" w:cs="Arial" w:eastAsia="Arial" w:hAnsi="Arial"/>
          <w:sz w:val="18"/>
          <w:szCs w:val="18"/>
          <w:color w:val="auto"/>
        </w:rPr>
        <w:t xml:space="preserve">As of our 2022 annual impairment testing, indefinite-lived trademarks with 10% or less of excess coverage of fair value over carrying value had an aggregate carrying value of $434 million and included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and certain other Snacks trademarks.</w:t>
      </w:r>
    </w:p>
    <w:p>
      <w:pPr>
        <w:spacing w:after="0" w:line="4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reportable segments are as follows:</w:t>
      </w:r>
    </w:p>
    <w:p>
      <w:pPr>
        <w:spacing w:after="0" w:line="98" w:lineRule="exact"/>
        <w:rPr>
          <w:sz w:val="20"/>
          <w:szCs w:val="20"/>
          <w:color w:val="auto"/>
        </w:rPr>
      </w:pPr>
    </w:p>
    <w:p>
      <w:pPr>
        <w:jc w:val="both"/>
        <w:ind w:left="640" w:hanging="316"/>
        <w:spacing w:after="0" w:line="318"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Meals &amp; Beverages, which consists of our soup, simple meals and beverages products in retail and foodservice in the U.S. and Canada. The segment includes the following products: </w:t>
      </w:r>
      <w:r>
        <w:rPr>
          <w:rFonts w:ascii="Arial" w:cs="Arial" w:eastAsia="Arial" w:hAnsi="Arial"/>
          <w:sz w:val="15"/>
          <w:szCs w:val="15"/>
          <w:i w:val="1"/>
          <w:iCs w:val="1"/>
          <w:color w:val="auto"/>
        </w:rPr>
        <w:t>Campbell’s</w:t>
      </w:r>
      <w:r>
        <w:rPr>
          <w:rFonts w:ascii="Arial" w:cs="Arial" w:eastAsia="Arial" w:hAnsi="Arial"/>
          <w:sz w:val="15"/>
          <w:szCs w:val="15"/>
          <w:color w:val="auto"/>
        </w:rPr>
        <w:t xml:space="preserve"> condensed and ready-to-serve soups; </w:t>
      </w:r>
      <w:r>
        <w:rPr>
          <w:rFonts w:ascii="Arial" w:cs="Arial" w:eastAsia="Arial" w:hAnsi="Arial"/>
          <w:sz w:val="15"/>
          <w:szCs w:val="15"/>
          <w:i w:val="1"/>
          <w:iCs w:val="1"/>
          <w:color w:val="auto"/>
        </w:rPr>
        <w:t>Swanson</w:t>
      </w:r>
      <w:r>
        <w:rPr>
          <w:rFonts w:ascii="Arial" w:cs="Arial" w:eastAsia="Arial" w:hAnsi="Arial"/>
          <w:sz w:val="15"/>
          <w:szCs w:val="15"/>
          <w:color w:val="auto"/>
        </w:rPr>
        <w:t xml:space="preserve"> broth and stocks; </w:t>
      </w:r>
      <w:r>
        <w:rPr>
          <w:rFonts w:ascii="Arial" w:cs="Arial" w:eastAsia="Arial" w:hAnsi="Arial"/>
          <w:sz w:val="15"/>
          <w:szCs w:val="15"/>
          <w:i w:val="1"/>
          <w:iCs w:val="1"/>
          <w:color w:val="auto"/>
        </w:rPr>
        <w:t>Pacific Foods</w:t>
      </w:r>
      <w:r>
        <w:rPr>
          <w:rFonts w:ascii="Arial" w:cs="Arial" w:eastAsia="Arial" w:hAnsi="Arial"/>
          <w:sz w:val="15"/>
          <w:szCs w:val="15"/>
          <w:color w:val="auto"/>
        </w:rPr>
        <w:t xml:space="preserve"> broth, soups and non-dairy beverages; </w:t>
      </w:r>
      <w:r>
        <w:rPr>
          <w:rFonts w:ascii="Arial" w:cs="Arial" w:eastAsia="Arial" w:hAnsi="Arial"/>
          <w:sz w:val="15"/>
          <w:szCs w:val="15"/>
          <w:i w:val="1"/>
          <w:iCs w:val="1"/>
          <w:color w:val="auto"/>
        </w:rPr>
        <w:t>Prego</w:t>
      </w:r>
      <w:r>
        <w:rPr>
          <w:rFonts w:ascii="Arial" w:cs="Arial" w:eastAsia="Arial" w:hAnsi="Arial"/>
          <w:sz w:val="15"/>
          <w:szCs w:val="15"/>
          <w:color w:val="auto"/>
        </w:rPr>
        <w:t xml:space="preserve"> pasta sauces; </w:t>
      </w:r>
      <w:r>
        <w:rPr>
          <w:rFonts w:ascii="Arial" w:cs="Arial" w:eastAsia="Arial" w:hAnsi="Arial"/>
          <w:sz w:val="15"/>
          <w:szCs w:val="15"/>
          <w:i w:val="1"/>
          <w:iCs w:val="1"/>
          <w:color w:val="auto"/>
        </w:rPr>
        <w:t>Pace</w:t>
      </w:r>
      <w:r>
        <w:rPr>
          <w:rFonts w:ascii="Arial" w:cs="Arial" w:eastAsia="Arial" w:hAnsi="Arial"/>
          <w:sz w:val="15"/>
          <w:szCs w:val="15"/>
          <w:color w:val="auto"/>
        </w:rPr>
        <w:t xml:space="preserve"> Mexican sauces; </w:t>
      </w:r>
      <w:r>
        <w:rPr>
          <w:rFonts w:ascii="Arial" w:cs="Arial" w:eastAsia="Arial" w:hAnsi="Arial"/>
          <w:sz w:val="15"/>
          <w:szCs w:val="15"/>
          <w:i w:val="1"/>
          <w:iCs w:val="1"/>
          <w:color w:val="auto"/>
        </w:rPr>
        <w:t>Campbell’s</w:t>
      </w:r>
      <w:r>
        <w:rPr>
          <w:rFonts w:ascii="Arial" w:cs="Arial" w:eastAsia="Arial" w:hAnsi="Arial"/>
          <w:sz w:val="15"/>
          <w:szCs w:val="15"/>
          <w:color w:val="auto"/>
        </w:rPr>
        <w:t xml:space="preserve"> gravies, pasta, beans and dinner sauces; </w:t>
      </w:r>
      <w:r>
        <w:rPr>
          <w:rFonts w:ascii="Arial" w:cs="Arial" w:eastAsia="Arial" w:hAnsi="Arial"/>
          <w:sz w:val="15"/>
          <w:szCs w:val="15"/>
          <w:i w:val="1"/>
          <w:iCs w:val="1"/>
          <w:color w:val="auto"/>
        </w:rPr>
        <w:t>Swanson</w:t>
      </w:r>
      <w:r>
        <w:rPr>
          <w:rFonts w:ascii="Arial" w:cs="Arial" w:eastAsia="Arial" w:hAnsi="Arial"/>
          <w:sz w:val="15"/>
          <w:szCs w:val="15"/>
          <w:color w:val="auto"/>
        </w:rPr>
        <w:t xml:space="preserve"> canned poultry; </w:t>
      </w:r>
      <w:r>
        <w:rPr>
          <w:rFonts w:ascii="Arial" w:cs="Arial" w:eastAsia="Arial" w:hAnsi="Arial"/>
          <w:sz w:val="15"/>
          <w:szCs w:val="15"/>
          <w:i w:val="1"/>
          <w:iCs w:val="1"/>
          <w:color w:val="auto"/>
        </w:rPr>
        <w:t>V8</w:t>
      </w:r>
      <w:r>
        <w:rPr>
          <w:rFonts w:ascii="Arial" w:cs="Arial" w:eastAsia="Arial" w:hAnsi="Arial"/>
          <w:sz w:val="15"/>
          <w:szCs w:val="15"/>
          <w:color w:val="auto"/>
        </w:rPr>
        <w:t xml:space="preserve"> juices and beverages; and </w:t>
      </w:r>
      <w:r>
        <w:rPr>
          <w:rFonts w:ascii="Arial" w:cs="Arial" w:eastAsia="Arial" w:hAnsi="Arial"/>
          <w:sz w:val="15"/>
          <w:szCs w:val="15"/>
          <w:i w:val="1"/>
          <w:iCs w:val="1"/>
          <w:color w:val="auto"/>
        </w:rPr>
        <w:t>Campbell’s</w:t>
      </w:r>
      <w:r>
        <w:rPr>
          <w:rFonts w:ascii="Arial" w:cs="Arial" w:eastAsia="Arial" w:hAnsi="Arial"/>
          <w:sz w:val="15"/>
          <w:szCs w:val="15"/>
          <w:color w:val="auto"/>
        </w:rPr>
        <w:t xml:space="preserve"> tomato juice. The segment also includes snacking products in foodservice and Canada; and</w:t>
      </w:r>
    </w:p>
    <w:p>
      <w:pPr>
        <w:spacing w:after="0" w:line="26" w:lineRule="exact"/>
        <w:rPr>
          <w:rFonts w:ascii="Arial" w:cs="Arial" w:eastAsia="Arial" w:hAnsi="Arial"/>
          <w:sz w:val="15"/>
          <w:szCs w:val="15"/>
          <w:color w:val="auto"/>
        </w:rPr>
      </w:pPr>
    </w:p>
    <w:p>
      <w:pPr>
        <w:jc w:val="both"/>
        <w:ind w:left="640" w:hanging="316"/>
        <w:spacing w:after="0" w:line="318"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Snacks, which consists of Pepperidge Farm cookies*, crackers, fresh bakery and frozen products, including </w:t>
      </w:r>
      <w:r>
        <w:rPr>
          <w:rFonts w:ascii="Arial" w:cs="Arial" w:eastAsia="Arial" w:hAnsi="Arial"/>
          <w:sz w:val="15"/>
          <w:szCs w:val="15"/>
          <w:i w:val="1"/>
          <w:iCs w:val="1"/>
          <w:color w:val="auto"/>
        </w:rPr>
        <w:t>Goldfish</w:t>
      </w:r>
      <w:r>
        <w:rPr>
          <w:rFonts w:ascii="Arial" w:cs="Arial" w:eastAsia="Arial" w:hAnsi="Arial"/>
          <w:sz w:val="15"/>
          <w:szCs w:val="15"/>
          <w:color w:val="auto"/>
        </w:rPr>
        <w:t xml:space="preserve"> crackers*, </w:t>
      </w:r>
      <w:r>
        <w:rPr>
          <w:rFonts w:ascii="Arial" w:cs="Arial" w:eastAsia="Arial" w:hAnsi="Arial"/>
          <w:sz w:val="15"/>
          <w:szCs w:val="15"/>
          <w:i w:val="1"/>
          <w:iCs w:val="1"/>
          <w:color w:val="auto"/>
        </w:rPr>
        <w:t>Snyder’s of Hanover</w:t>
      </w:r>
      <w:r>
        <w:rPr>
          <w:rFonts w:ascii="Arial" w:cs="Arial" w:eastAsia="Arial" w:hAnsi="Arial"/>
          <w:sz w:val="15"/>
          <w:szCs w:val="15"/>
          <w:color w:val="auto"/>
        </w:rPr>
        <w:t xml:space="preserve"> pretzels*, </w:t>
      </w:r>
      <w:r>
        <w:rPr>
          <w:rFonts w:ascii="Arial" w:cs="Arial" w:eastAsia="Arial" w:hAnsi="Arial"/>
          <w:sz w:val="15"/>
          <w:szCs w:val="15"/>
          <w:i w:val="1"/>
          <w:iCs w:val="1"/>
          <w:color w:val="auto"/>
        </w:rPr>
        <w:t>Lance</w:t>
      </w:r>
      <w:r>
        <w:rPr>
          <w:rFonts w:ascii="Arial" w:cs="Arial" w:eastAsia="Arial" w:hAnsi="Arial"/>
          <w:sz w:val="15"/>
          <w:szCs w:val="15"/>
          <w:color w:val="auto"/>
        </w:rPr>
        <w:t xml:space="preserve"> sandwich crackers*, </w:t>
      </w:r>
      <w:r>
        <w:rPr>
          <w:rFonts w:ascii="Arial" w:cs="Arial" w:eastAsia="Arial" w:hAnsi="Arial"/>
          <w:sz w:val="15"/>
          <w:szCs w:val="15"/>
          <w:i w:val="1"/>
          <w:iCs w:val="1"/>
          <w:color w:val="auto"/>
        </w:rPr>
        <w:t>Cape Cod</w:t>
      </w:r>
      <w:r>
        <w:rPr>
          <w:rFonts w:ascii="Arial" w:cs="Arial" w:eastAsia="Arial" w:hAnsi="Arial"/>
          <w:sz w:val="15"/>
          <w:szCs w:val="15"/>
          <w:color w:val="auto"/>
        </w:rPr>
        <w:t xml:space="preserve"> potato chips*, </w:t>
      </w:r>
      <w:r>
        <w:rPr>
          <w:rFonts w:ascii="Arial" w:cs="Arial" w:eastAsia="Arial" w:hAnsi="Arial"/>
          <w:sz w:val="15"/>
          <w:szCs w:val="15"/>
          <w:i w:val="1"/>
          <w:iCs w:val="1"/>
          <w:color w:val="auto"/>
        </w:rPr>
        <w:t>Kettle Brand</w:t>
      </w:r>
      <w:r>
        <w:rPr>
          <w:rFonts w:ascii="Arial" w:cs="Arial" w:eastAsia="Arial" w:hAnsi="Arial"/>
          <w:sz w:val="15"/>
          <w:szCs w:val="15"/>
          <w:color w:val="auto"/>
        </w:rPr>
        <w:t xml:space="preserve"> potato chips*, </w:t>
      </w:r>
      <w:r>
        <w:rPr>
          <w:rFonts w:ascii="Arial" w:cs="Arial" w:eastAsia="Arial" w:hAnsi="Arial"/>
          <w:sz w:val="15"/>
          <w:szCs w:val="15"/>
          <w:i w:val="1"/>
          <w:iCs w:val="1"/>
          <w:color w:val="auto"/>
        </w:rPr>
        <w:t>Late July</w:t>
      </w:r>
      <w:r>
        <w:rPr>
          <w:rFonts w:ascii="Arial" w:cs="Arial" w:eastAsia="Arial" w:hAnsi="Arial"/>
          <w:sz w:val="15"/>
          <w:szCs w:val="15"/>
          <w:color w:val="auto"/>
        </w:rPr>
        <w:t xml:space="preserve"> snacks*, </w:t>
      </w:r>
      <w:r>
        <w:rPr>
          <w:rFonts w:ascii="Arial" w:cs="Arial" w:eastAsia="Arial" w:hAnsi="Arial"/>
          <w:sz w:val="15"/>
          <w:szCs w:val="15"/>
          <w:i w:val="1"/>
          <w:iCs w:val="1"/>
          <w:color w:val="auto"/>
        </w:rPr>
        <w:t>Snack Factory</w:t>
      </w:r>
      <w:r>
        <w:rPr>
          <w:rFonts w:ascii="Arial" w:cs="Arial" w:eastAsia="Arial" w:hAnsi="Arial"/>
          <w:sz w:val="15"/>
          <w:szCs w:val="15"/>
          <w:color w:val="auto"/>
        </w:rPr>
        <w:t xml:space="preserve"> pretzel crisps*, </w:t>
      </w:r>
      <w:r>
        <w:rPr>
          <w:rFonts w:ascii="Arial" w:cs="Arial" w:eastAsia="Arial" w:hAnsi="Arial"/>
          <w:sz w:val="15"/>
          <w:szCs w:val="15"/>
          <w:i w:val="1"/>
          <w:iCs w:val="1"/>
          <w:color w:val="auto"/>
        </w:rPr>
        <w:t>Pop</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Secret </w:t>
      </w:r>
      <w:r>
        <w:rPr>
          <w:rFonts w:ascii="Arial" w:cs="Arial" w:eastAsia="Arial" w:hAnsi="Arial"/>
          <w:sz w:val="15"/>
          <w:szCs w:val="15"/>
          <w:color w:val="auto"/>
        </w:rPr>
        <w:t>popcorn, and other snacking products in retail in the U.S. We refer to the * brands as our "power brands." The segment also includes the retail</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in Latin America. The segment included the results of our Emerald nuts business, which was sold on May 30, 2023.</w:t>
      </w:r>
    </w:p>
    <w:p>
      <w:pPr>
        <w:spacing w:after="0" w:line="1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6"/>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right"/>
              <w:ind w:right="6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30, 2023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May 1,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w w:val="97"/>
              </w:rPr>
              <w:t>April 30, 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95"/>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1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3,971</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8"/>
        </w:trPr>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20" w:type="dxa"/>
            <w:vAlign w:val="bottom"/>
            <w:gridSpan w:val="2"/>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7,289</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6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 2023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75"/>
              <w:spacing w:after="0"/>
              <w:rPr>
                <w:sz w:val="20"/>
                <w:szCs w:val="20"/>
                <w:color w:val="auto"/>
              </w:rPr>
            </w:pPr>
            <w:r>
              <w:rPr>
                <w:rFonts w:ascii="Arial" w:cs="Arial" w:eastAsia="Arial" w:hAnsi="Arial"/>
                <w:sz w:val="14"/>
                <w:szCs w:val="14"/>
                <w:b w:val="1"/>
                <w:bCs w:val="1"/>
                <w:color w:val="auto"/>
              </w:rPr>
              <w:t>May 1,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8"/>
              <w:spacing w:after="0"/>
              <w:rPr>
                <w:sz w:val="20"/>
                <w:szCs w:val="20"/>
                <w:color w:val="auto"/>
              </w:rPr>
            </w:pPr>
            <w:r>
              <w:rPr>
                <w:rFonts w:ascii="Arial" w:cs="Arial" w:eastAsia="Arial" w:hAnsi="Arial"/>
                <w:sz w:val="14"/>
                <w:szCs w:val="14"/>
                <w:b w:val="1"/>
                <w:bCs w:val="1"/>
                <w:color w:val="auto"/>
                <w:w w:val="99"/>
              </w:rPr>
              <w:t>April 30, 2023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95"/>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5"/>
        </w:trPr>
        <w:tc>
          <w:tcPr>
            <w:tcW w:w="5660" w:type="dxa"/>
            <w:vAlign w:val="bottom"/>
          </w:tcPr>
          <w:p>
            <w:pPr>
              <w:ind w:left="140"/>
              <w:spacing w:after="0" w:line="225" w:lineRule="exact"/>
              <w:rPr>
                <w:sz w:val="20"/>
                <w:szCs w:val="20"/>
                <w:color w:val="auto"/>
              </w:rPr>
            </w:pPr>
            <w:r>
              <w:rPr>
                <w:rFonts w:ascii="Arial" w:cs="Arial" w:eastAsia="Arial" w:hAnsi="Arial"/>
                <w:sz w:val="18"/>
                <w:szCs w:val="18"/>
                <w:color w:val="auto"/>
              </w:rPr>
              <w:t>Corporate income (expense)</w:t>
            </w:r>
            <w:r>
              <w:rPr>
                <w:rFonts w:ascii="Arial" w:cs="Arial" w:eastAsia="Arial" w:hAnsi="Arial"/>
                <w:sz w:val="22"/>
                <w:szCs w:val="22"/>
                <w:color w:val="auto"/>
                <w:vertAlign w:val="superscript"/>
              </w:rPr>
              <w:t>(1)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140"/>
              <w:spacing w:after="0" w:line="239"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(2)</w:t>
            </w: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66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58" w:lineRule="exact"/>
        <w:rPr>
          <w:sz w:val="20"/>
          <w:szCs w:val="20"/>
          <w:color w:val="auto"/>
        </w:rPr>
      </w:pPr>
    </w:p>
    <w:p>
      <w:pPr>
        <w:jc w:val="both"/>
        <w:ind w:left="320" w:hanging="314"/>
        <w:spacing w:after="0" w:line="250" w:lineRule="auto"/>
        <w:tabs>
          <w:tab w:leader="none" w:pos="32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Represents unallocated items. There were pension actuarial losses of $17 million and $26 million in the three- and nine-month periods ended April 30, 2023, and pension actuarial losses of $16 million and $12 million in the three- and nine-month periods ended May 1, 2022, respectively. Costs related to the cost savings initiatives were $27 million and $35 million in the three- and nine-month periods ended April 30, 2023, and $6 million and $15 million in the three- and nine-month periods ended May 1, 2022, respectively. Unrealized mark-to-market adjustments on outstanding undesignated commodity hedges were losses of $9 million in the three- and nine-month periods ended April 30, 2023, and losses of $5 million and $8 million in the three- and nine-month periods ended May 1, 2022, respectively.</w:t>
      </w:r>
    </w:p>
    <w:p>
      <w:pPr>
        <w:spacing w:after="0" w:line="1" w:lineRule="exact"/>
        <w:rPr>
          <w:rFonts w:ascii="Arial" w:cs="Arial" w:eastAsia="Arial" w:hAnsi="Arial"/>
          <w:sz w:val="22"/>
          <w:szCs w:val="22"/>
          <w:color w:val="auto"/>
          <w:vertAlign w:val="superscript"/>
        </w:rPr>
      </w:pPr>
    </w:p>
    <w:p>
      <w:pPr>
        <w:ind w:left="320" w:hanging="314"/>
        <w:spacing w:after="0" w:line="192"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See Note 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 w:name="page11"/>
    <w:bookmarkEnd w:id="10"/>
    <w:p>
      <w:pPr>
        <w:ind w:left="320"/>
        <w:spacing w:after="0"/>
        <w:rPr>
          <w:sz w:val="20"/>
          <w:szCs w:val="20"/>
          <w:color w:val="auto"/>
        </w:rPr>
      </w:pPr>
      <w:r>
        <w:rPr>
          <w:rFonts w:ascii="Arial" w:cs="Arial" w:eastAsia="Arial" w:hAnsi="Arial"/>
          <w:sz w:val="18"/>
          <w:szCs w:val="18"/>
          <w:color w:val="auto"/>
        </w:rPr>
        <w:t>Our net sales based on product categories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6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9"/>
              </w:rPr>
              <w:t>April 30,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1, 2022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7"/>
              </w:rPr>
              <w:t>April 30,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Soup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8"/>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Other simple meals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Beverages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7"/>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2,229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7,289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Soup includes various soup, broths and stock products. Snacks include cookies, pretzels, crackers, popcorn, nuts, potato chips, tortilla chips and other salty snacks and baked products. Other simple meals include sauces, gravies, pasta, beans and canned poultry. Beverages include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tomato juice and</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non-dairy beverages.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 and Cost Savings Initiatives</w:t>
      </w:r>
    </w:p>
    <w:p>
      <w:pPr>
        <w:spacing w:after="0" w:line="104" w:lineRule="exact"/>
        <w:rPr>
          <w:sz w:val="20"/>
          <w:szCs w:val="20"/>
          <w:color w:val="auto"/>
        </w:rPr>
      </w:pPr>
    </w:p>
    <w:p>
      <w:pPr>
        <w:ind w:left="320" w:right="4000" w:hanging="317"/>
        <w:spacing w:after="0" w:line="345" w:lineRule="auto"/>
        <w:rPr>
          <w:sz w:val="20"/>
          <w:szCs w:val="20"/>
          <w:color w:val="auto"/>
        </w:rPr>
      </w:pPr>
      <w:r>
        <w:rPr>
          <w:rFonts w:ascii="Arial" w:cs="Arial" w:eastAsia="Arial" w:hAnsi="Arial"/>
          <w:sz w:val="18"/>
          <w:szCs w:val="18"/>
          <w:i w:val="1"/>
          <w:iCs w:val="1"/>
          <w:color w:val="auto"/>
        </w:rPr>
        <w:t xml:space="preserve">Multi-year Cost Savings Initiatives and Snyder's-Lance Cost Transformation Program and Integration </w:t>
      </w:r>
      <w:r>
        <w:rPr>
          <w:rFonts w:ascii="Arial" w:cs="Arial" w:eastAsia="Arial" w:hAnsi="Arial"/>
          <w:sz w:val="18"/>
          <w:szCs w:val="18"/>
          <w:i w:val="1"/>
          <w:iCs w:val="1"/>
          <w:u w:val="single" w:color="auto"/>
          <w:color w:val="auto"/>
        </w:rPr>
        <w:t>Continuing Operations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years, we expanded these initiatives by continuing to optimize our supply chain and manufacturing networks, as well as our information technology infrastructure.</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pre-tax charges recognized in the Consolidated Statements of Earnings related to these initiatives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1"/>
                <w:szCs w:val="11"/>
                <w:color w:val="auto"/>
              </w:rPr>
            </w:pPr>
          </w:p>
        </w:tc>
        <w:tc>
          <w:tcPr>
            <w:tcW w:w="11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9"/>
              </w:rPr>
              <w:t>April 30, 2023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May 1, 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9"/>
              </w:rPr>
              <w:t>April 30, 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May 1, 2022</w:t>
            </w:r>
          </w:p>
        </w:tc>
        <w:tc>
          <w:tcPr>
            <w:tcW w:w="120" w:type="dxa"/>
            <w:vAlign w:val="bottom"/>
          </w:tcPr>
          <w:p>
            <w:pPr>
              <w:spacing w:after="0"/>
              <w:rPr>
                <w:sz w:val="11"/>
                <w:szCs w:val="11"/>
                <w:color w:val="auto"/>
              </w:rPr>
            </w:pPr>
          </w:p>
        </w:tc>
        <w:tc>
          <w:tcPr>
            <w:tcW w:w="16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89"/>
              </w:rPr>
              <w:t>Recognized as of April 30,</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line="204" w:lineRule="exact"/>
              <w:rPr>
                <w:sz w:val="20"/>
                <w:szCs w:val="20"/>
                <w:color w:val="auto"/>
              </w:rPr>
            </w:pPr>
            <w:r>
              <w:rPr>
                <w:rFonts w:ascii="Arial" w:cs="Arial" w:eastAsia="Arial" w:hAnsi="Arial"/>
                <w:sz w:val="18"/>
                <w:szCs w:val="18"/>
                <w:color w:val="auto"/>
              </w:rPr>
              <w:t>Total pre-tax charges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660" w:type="dxa"/>
            <w:vAlign w:val="bottom"/>
            <w:gridSpan w:val="6"/>
          </w:tcPr>
          <w:p>
            <w:pPr>
              <w:ind w:left="320"/>
              <w:spacing w:after="0"/>
              <w:rPr>
                <w:sz w:val="20"/>
                <w:szCs w:val="20"/>
                <w:color w:val="auto"/>
              </w:rPr>
            </w:pPr>
            <w:r>
              <w:rPr>
                <w:rFonts w:ascii="Arial" w:cs="Arial" w:eastAsia="Arial" w:hAnsi="Arial"/>
                <w:sz w:val="18"/>
                <w:szCs w:val="18"/>
                <w:color w:val="auto"/>
              </w:rPr>
              <w:t>A summary of the pre-tax costs associated with the initiatives is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Recognized as of April</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30, 2023</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total estimated pre-tax costs for actions that have been identified are approximately $880 million to $900 million and we expect to incur the costs through 2025. These estimates will be updated as the expanded initiatives are developed.</w:t>
      </w:r>
    </w:p>
    <w:p>
      <w:pPr>
        <w:spacing w:after="0" w:line="6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the costs for actions that have been identified to date to consist of the following: approximately $245 million to $250 million in severance pay and benefits; approximately $140 million in asset impairment and accelerated depreciation;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approximately $495 million to $510 million in implementation costs and other related costs. We expect these pre-tax costs to be associated with our segments as follows: Meals &amp; Beverages - approximately 32%; Snacks - approximately 43%; and Corporate - approximately 25%.</w:t>
      </w:r>
    </w:p>
    <w:p>
      <w:pPr>
        <w:spacing w:after="0" w:line="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Of the aggregate $880 million to $900 million of pre-tax costs identified to date, we expect approximately $700 million to $720 million will be cash expenditures. In addition, we expect to invest approximately $620 million in capital expenditures through 2025, of which we invested $455 million as of April 30, 2023.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restructuring activity and related reserves at April 30, 2023,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Implementation</w:t>
            </w:r>
          </w:p>
        </w:tc>
        <w:tc>
          <w:tcPr>
            <w:tcW w:w="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Other Non-</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6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5"/>
              </w:rPr>
              <w:t>Severance Pay</w:t>
            </w:r>
          </w:p>
        </w:tc>
        <w:tc>
          <w:tcPr>
            <w:tcW w:w="1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Costs and Other</w:t>
            </w: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Related</w:t>
            </w:r>
          </w:p>
        </w:tc>
        <w:tc>
          <w:tcPr>
            <w:tcW w:w="10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Impairment/Accelerated</w:t>
            </w:r>
          </w:p>
        </w:tc>
        <w:tc>
          <w:tcPr>
            <w:tcW w:w="12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Cash Exit</w:t>
            </w:r>
          </w:p>
        </w:tc>
        <w:tc>
          <w:tcPr>
            <w:tcW w:w="10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Charges</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and Benefits</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balance at July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8"/>
                <w:szCs w:val="18"/>
                <w:b w:val="1"/>
                <w:bCs w:val="1"/>
                <w:color w:val="auto"/>
              </w:rPr>
              <w:t>2023 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20" w:type="dxa"/>
            <w:vAlign w:val="bottom"/>
            <w:gridSpan w:val="2"/>
          </w:tcPr>
          <w:p>
            <w:pPr>
              <w:jc w:val="right"/>
              <w:ind w:right="9"/>
              <w:spacing w:after="0"/>
              <w:rPr>
                <w:sz w:val="20"/>
                <w:szCs w:val="20"/>
                <w:color w:val="auto"/>
              </w:rPr>
            </w:pPr>
            <w:r>
              <w:rPr>
                <w:rFonts w:ascii="Arial" w:cs="Arial" w:eastAsia="Arial" w:hAnsi="Arial"/>
                <w:sz w:val="18"/>
                <w:szCs w:val="18"/>
                <w:b w:val="1"/>
                <w:bCs w:val="1"/>
                <w:color w:val="auto"/>
              </w:rPr>
              <w:t>18</w:t>
            </w:r>
          </w:p>
        </w:tc>
        <w:tc>
          <w:tcPr>
            <w:tcW w:w="1620" w:type="dxa"/>
            <w:vAlign w:val="bottom"/>
            <w:gridSpan w:val="2"/>
          </w:tcPr>
          <w:p>
            <w:pPr>
              <w:jc w:val="right"/>
              <w:ind w:right="9"/>
              <w:spacing w:after="0"/>
              <w:rPr>
                <w:sz w:val="20"/>
                <w:szCs w:val="20"/>
                <w:color w:val="auto"/>
              </w:rPr>
            </w:pPr>
            <w:r>
              <w:rPr>
                <w:rFonts w:ascii="Arial" w:cs="Arial" w:eastAsia="Arial" w:hAnsi="Arial"/>
                <w:sz w:val="18"/>
                <w:szCs w:val="18"/>
                <w:b w:val="1"/>
                <w:bCs w:val="1"/>
                <w:color w:val="auto"/>
              </w:rPr>
              <w:t>17</w:t>
            </w:r>
          </w:p>
        </w:tc>
        <w:tc>
          <w:tcPr>
            <w:tcW w:w="1000" w:type="dxa"/>
            <w:vAlign w:val="bottom"/>
            <w:gridSpan w:val="2"/>
          </w:tcPr>
          <w:p>
            <w:pPr>
              <w:jc w:val="right"/>
              <w:ind w:right="9"/>
              <w:spacing w:after="0"/>
              <w:rPr>
                <w:sz w:val="20"/>
                <w:szCs w:val="20"/>
                <w:color w:val="auto"/>
              </w:rPr>
            </w:pPr>
            <w:r>
              <w:rPr>
                <w:rFonts w:ascii="Arial" w:cs="Arial" w:eastAsia="Arial" w:hAnsi="Arial"/>
                <w:sz w:val="18"/>
                <w:szCs w:val="18"/>
                <w:b w:val="1"/>
                <w:bCs w:val="1"/>
                <w:color w:val="auto"/>
              </w:rPr>
              <w:t>3</w:t>
            </w:r>
          </w:p>
        </w:tc>
        <w:tc>
          <w:tcPr>
            <w:tcW w:w="520" w:type="dxa"/>
            <w:vAlign w:val="bottom"/>
            <w:gridSpan w:val="2"/>
          </w:tcPr>
          <w:p>
            <w:pPr>
              <w:jc w:val="right"/>
              <w:ind w:right="22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2023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tcPr>
          <w:p>
            <w:pPr>
              <w:ind w:left="20"/>
              <w:spacing w:after="0" w:line="219" w:lineRule="exact"/>
              <w:rPr>
                <w:sz w:val="20"/>
                <w:szCs w:val="20"/>
                <w:color w:val="auto"/>
              </w:rPr>
            </w:pPr>
            <w:r>
              <w:rPr>
                <w:rFonts w:ascii="Arial" w:cs="Arial" w:eastAsia="Arial" w:hAnsi="Arial"/>
                <w:sz w:val="18"/>
                <w:szCs w:val="18"/>
                <w:b w:val="1"/>
                <w:bCs w:val="1"/>
                <w:color w:val="auto"/>
              </w:rPr>
              <w:t>Accrued balance at April 30, 2023</w:t>
            </w:r>
            <w:r>
              <w:rPr>
                <w:rFonts w:ascii="Arial" w:cs="Arial" w:eastAsia="Arial" w:hAnsi="Arial"/>
                <w:sz w:val="22"/>
                <w:szCs w:val="22"/>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4" w:lineRule="exact"/>
        <w:rPr>
          <w:sz w:val="20"/>
          <w:szCs w:val="20"/>
          <w:color w:val="auto"/>
        </w:rPr>
      </w:pPr>
    </w:p>
    <w:p>
      <w:pPr>
        <w:ind w:left="320" w:hanging="314"/>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$7 million of severance pay and benefits recorded in Other liabilities in the Consolidated Balance Sheet.</w:t>
      </w:r>
    </w:p>
    <w:p>
      <w:pPr>
        <w:spacing w:after="0" w:line="2" w:lineRule="exact"/>
        <w:rPr>
          <w:rFonts w:ascii="Arial" w:cs="Arial" w:eastAsia="Arial" w:hAnsi="Arial"/>
          <w:sz w:val="23"/>
          <w:szCs w:val="23"/>
          <w:color w:val="auto"/>
          <w:vertAlign w:val="superscript"/>
        </w:rPr>
      </w:pPr>
    </w:p>
    <w:p>
      <w:pPr>
        <w:ind w:left="320" w:hanging="314"/>
        <w:spacing w:after="0" w:line="237" w:lineRule="auto"/>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other costs recognized as incurred that are not reflected in the restructuring reserve in the Consolidated Balance Sheet. The costs are included in Administrative expenses, Cost of products sold and Research and development expenses in the Consolidated Statements of Earnings.</w:t>
      </w:r>
    </w:p>
    <w:p>
      <w:pPr>
        <w:spacing w:after="0" w:line="1" w:lineRule="exact"/>
        <w:rPr>
          <w:rFonts w:ascii="Arial" w:cs="Arial" w:eastAsia="Arial" w:hAnsi="Arial"/>
          <w:sz w:val="21"/>
          <w:szCs w:val="21"/>
          <w:color w:val="auto"/>
          <w:vertAlign w:val="superscript"/>
        </w:rPr>
      </w:pPr>
    </w:p>
    <w:p>
      <w:pPr>
        <w:ind w:left="320" w:hanging="314"/>
        <w:spacing w:after="0" w:line="192"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8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5"/>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98"/>
              <w:spacing w:after="0" w:line="135" w:lineRule="exact"/>
              <w:rPr>
                <w:sz w:val="20"/>
                <w:szCs w:val="20"/>
                <w:color w:val="auto"/>
              </w:rPr>
            </w:pPr>
            <w:r>
              <w:rPr>
                <w:rFonts w:ascii="Arial" w:cs="Arial" w:eastAsia="Arial" w:hAnsi="Arial"/>
                <w:sz w:val="14"/>
                <w:szCs w:val="14"/>
                <w:b w:val="1"/>
                <w:bCs w:val="1"/>
                <w:color w:val="auto"/>
                <w:w w:val="91"/>
              </w:rPr>
              <w:t>Costs Incurred to</w:t>
            </w:r>
          </w:p>
        </w:tc>
      </w:tr>
      <w:tr>
        <w:trPr>
          <w:trHeight w:val="20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1"/>
              </w:rPr>
              <w:t>Nine Months Ended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Date</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9"/>
        </w:trPr>
        <w:tc>
          <w:tcPr>
            <w:tcW w:w="66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April 30, 2023, excludes less than 1 million stock options that would have been antidilutive. The earnings per share calculation for the three- and nine-month periods ended May 1, 2022, excludes approximately 1 million stock options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Pension and Postretirement Benefits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Components of net periodic benefit expense (income)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4"/>
              </w:rPr>
              <w:t>Pension</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88"/>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April 30, 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May 1, 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April 30, 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May 1, 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May 1, 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April 30, 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May 1, 2022</w:t>
            </w:r>
          </w:p>
        </w:tc>
        <w:tc>
          <w:tcPr>
            <w:tcW w:w="0" w:type="dxa"/>
            <w:vAlign w:val="bottom"/>
          </w:tcPr>
          <w:p>
            <w:pPr>
              <w:spacing w:after="0"/>
              <w:rPr>
                <w:sz w:val="1"/>
                <w:szCs w:val="1"/>
                <w:color w:val="auto"/>
              </w:rPr>
            </w:pPr>
          </w:p>
        </w:tc>
      </w:tr>
      <w:tr>
        <w:trPr>
          <w:trHeight w:val="224"/>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476"/>
              <w:spacing w:after="0"/>
              <w:rPr>
                <w:sz w:val="20"/>
                <w:szCs w:val="20"/>
                <w:color w:val="auto"/>
              </w:rPr>
            </w:pPr>
            <w:r>
              <w:rPr>
                <w:rFonts w:ascii="Arial" w:cs="Arial" w:eastAsia="Arial" w:hAnsi="Arial"/>
                <w:sz w:val="18"/>
                <w:szCs w:val="18"/>
                <w:color w:val="auto"/>
                <w:w w:val="89"/>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left="476"/>
              <w:spacing w:after="0"/>
              <w:rPr>
                <w:sz w:val="20"/>
                <w:szCs w:val="20"/>
                <w:color w:val="auto"/>
              </w:rPr>
            </w:pPr>
            <w:r>
              <w:rPr>
                <w:rFonts w:ascii="Arial" w:cs="Arial" w:eastAsia="Arial" w:hAnsi="Arial"/>
                <w:sz w:val="18"/>
                <w:szCs w:val="18"/>
                <w:color w:val="auto"/>
                <w:w w:val="89"/>
              </w:rPr>
              <w:t>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8"/>
        </w:trPr>
        <w:tc>
          <w:tcPr>
            <w:tcW w:w="182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w w:val="93"/>
              </w:rPr>
              <w:t>Expected return on plan</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700"/>
              <w:spacing w:after="0"/>
              <w:rPr>
                <w:sz w:val="20"/>
                <w:szCs w:val="20"/>
                <w:color w:val="auto"/>
              </w:rPr>
            </w:pPr>
            <w:r>
              <w:rPr>
                <w:rFonts w:ascii="Arial" w:cs="Arial" w:eastAsia="Arial" w:hAnsi="Arial"/>
                <w:sz w:val="18"/>
                <w:szCs w:val="18"/>
                <w:b w:val="1"/>
                <w:bCs w:val="1"/>
                <w:color w:val="auto"/>
                <w:w w:val="99"/>
              </w:rPr>
              <w:t>(76)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ind w:left="456"/>
              <w:spacing w:after="0"/>
              <w:rPr>
                <w:sz w:val="20"/>
                <w:szCs w:val="20"/>
                <w:color w:val="auto"/>
              </w:rPr>
            </w:pPr>
            <w:r>
              <w:rPr>
                <w:rFonts w:ascii="Arial" w:cs="Arial" w:eastAsia="Arial" w:hAnsi="Arial"/>
                <w:sz w:val="18"/>
                <w:szCs w:val="18"/>
                <w:color w:val="auto"/>
                <w:w w:val="87"/>
              </w:rPr>
              <w:t>(91)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820" w:type="dxa"/>
            <w:vAlign w:val="bottom"/>
          </w:tcPr>
          <w:p>
            <w:pPr>
              <w:ind w:left="20"/>
              <w:spacing w:after="0" w:line="187" w:lineRule="exact"/>
              <w:rPr>
                <w:sz w:val="20"/>
                <w:szCs w:val="20"/>
                <w:color w:val="auto"/>
              </w:rPr>
            </w:pPr>
            <w:r>
              <w:rPr>
                <w:rFonts w:ascii="Arial" w:cs="Arial" w:eastAsia="Arial" w:hAnsi="Arial"/>
                <w:sz w:val="18"/>
                <w:szCs w:val="18"/>
                <w:color w:val="auto"/>
              </w:rPr>
              <w:t>Amortization of prior</w:t>
            </w: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20" w:type="dxa"/>
            <w:vAlign w:val="bottom"/>
          </w:tcPr>
          <w:p>
            <w:pPr>
              <w:ind w:left="20"/>
              <w:spacing w:after="0"/>
              <w:rPr>
                <w:sz w:val="20"/>
                <w:szCs w:val="20"/>
                <w:color w:val="auto"/>
              </w:rPr>
            </w:pPr>
            <w:r>
              <w:rPr>
                <w:rFonts w:ascii="Arial" w:cs="Arial" w:eastAsia="Arial" w:hAnsi="Arial"/>
                <w:sz w:val="18"/>
                <w:szCs w:val="18"/>
                <w:color w:val="auto"/>
              </w:rPr>
              <w:t>service credit</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476"/>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Actuarial losses (gains)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89"/>
              </w:rPr>
              <w:t>12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6"/>
        </w:trPr>
        <w:tc>
          <w:tcPr>
            <w:tcW w:w="1820" w:type="dxa"/>
            <w:vAlign w:val="bottom"/>
          </w:tcPr>
          <w:p>
            <w:pPr>
              <w:ind w:left="20"/>
              <w:spacing w:after="0" w:line="166" w:lineRule="exact"/>
              <w:rPr>
                <w:sz w:val="20"/>
                <w:szCs w:val="20"/>
                <w:color w:val="auto"/>
              </w:rPr>
            </w:pPr>
            <w:r>
              <w:rPr>
                <w:rFonts w:ascii="Arial" w:cs="Arial" w:eastAsia="Arial" w:hAnsi="Arial"/>
                <w:sz w:val="18"/>
                <w:szCs w:val="18"/>
                <w:color w:val="auto"/>
              </w:rPr>
              <w:t>Net periodic benefit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15</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center"/>
              <w:ind w:left="456"/>
              <w:spacing w:after="0"/>
              <w:rPr>
                <w:sz w:val="20"/>
                <w:szCs w:val="20"/>
                <w:color w:val="auto"/>
              </w:rPr>
            </w:pPr>
            <w:r>
              <w:rPr>
                <w:rFonts w:ascii="Arial" w:cs="Arial" w:eastAsia="Arial" w:hAnsi="Arial"/>
                <w:sz w:val="18"/>
                <w:szCs w:val="18"/>
                <w:color w:val="auto"/>
                <w:w w:val="87"/>
              </w:rPr>
              <w:t>(33)</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8"/>
        </w:trPr>
        <w:tc>
          <w:tcPr>
            <w:tcW w:w="1820" w:type="dxa"/>
            <w:vAlign w:val="bottom"/>
          </w:tcPr>
          <w:p>
            <w:pPr>
              <w:ind w:left="20"/>
              <w:spacing w:after="0" w:line="198" w:lineRule="exact"/>
              <w:rPr>
                <w:sz w:val="20"/>
                <w:szCs w:val="20"/>
                <w:color w:val="auto"/>
              </w:rPr>
            </w:pPr>
            <w:r>
              <w:rPr>
                <w:rFonts w:ascii="Arial" w:cs="Arial" w:eastAsia="Arial" w:hAnsi="Arial"/>
                <w:sz w:val="18"/>
                <w:szCs w:val="18"/>
                <w:color w:val="auto"/>
              </w:rPr>
              <w:t>expense (income)</w:t>
            </w: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actuarial losses resulted from the remeasurement of pension plans due to lump sum distributions that exceeded or are expected to exceed service and interest costs resulting in settlement accounting for the plans. The actuarial losses recognized for the three-month period ended April 30, 2023 were primarily due to decreases in discount rates used to determine the benefit obligation and plan experience, partially offset by gains on plan assets. The actuarial losses recognized for the nine-month period ended April 30, 2023 were primarily due to losses on plan assets and plan experience, partially offset by increases in discount rates used to determine the benefit obligation. The actuarial losses recognized for the three- and nine-month periods ended May 1, 2022 were primarily due to losses on plan assets, partially offset by increases in discount rates used to determine the benefit obligation.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costs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April 30, 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May 1,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9"/>
              </w:rPr>
              <w:t>April 30, 2023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May 1, 2022</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4"/>
        </w:trPr>
        <w:tc>
          <w:tcPr>
            <w:tcW w:w="5900" w:type="dxa"/>
            <w:vAlign w:val="bottom"/>
          </w:tcPr>
          <w:p>
            <w:pPr>
              <w:ind w:left="20"/>
              <w:spacing w:after="0"/>
              <w:rPr>
                <w:sz w:val="20"/>
                <w:szCs w:val="20"/>
                <w:color w:val="auto"/>
              </w:rPr>
            </w:pPr>
            <w:r>
              <w:rPr>
                <w:rFonts w:ascii="Arial" w:cs="Arial" w:eastAsia="Arial" w:hAnsi="Arial"/>
                <w:sz w:val="18"/>
                <w:szCs w:val="18"/>
                <w:color w:val="auto"/>
              </w:rPr>
              <w:t>Finance lease - amortization of right-of-use (ROU) assets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59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38"/>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 our service contracts with embedded leases.</w:t>
      </w:r>
    </w:p>
    <w:p>
      <w:pPr>
        <w:spacing w:after="0" w:line="82"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The following tables summarize the lease amounts recorded in the 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Operating Leases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380" w:type="dxa"/>
            <w:vAlign w:val="bottom"/>
            <w:vMerge w:val="continue"/>
          </w:tcPr>
          <w:p>
            <w:pPr>
              <w:spacing w:after="0"/>
              <w:rPr>
                <w:sz w:val="15"/>
                <w:szCs w:val="15"/>
                <w:color w:val="auto"/>
              </w:rPr>
            </w:pPr>
          </w:p>
        </w:tc>
        <w:tc>
          <w:tcPr>
            <w:tcW w:w="32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Balance Sheet Classification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7"/>
              </w:rPr>
              <w:t>April 30, 2023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July 31, 2022</w:t>
            </w:r>
          </w:p>
        </w:tc>
        <w:tc>
          <w:tcPr>
            <w:tcW w:w="0" w:type="dxa"/>
            <w:vAlign w:val="bottom"/>
          </w:tcPr>
          <w:p>
            <w:pPr>
              <w:spacing w:after="0"/>
              <w:rPr>
                <w:sz w:val="1"/>
                <w:szCs w:val="1"/>
                <w:color w:val="auto"/>
              </w:rPr>
            </w:pPr>
          </w:p>
        </w:tc>
      </w:tr>
      <w:tr>
        <w:trPr>
          <w:trHeight w:val="23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3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440"/>
        </w:trPr>
        <w:tc>
          <w:tcPr>
            <w:tcW w:w="5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Finance Leases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5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380" w:type="dxa"/>
            <w:vAlign w:val="bottom"/>
            <w:vMerge w:val="continue"/>
          </w:tcPr>
          <w:p>
            <w:pPr>
              <w:spacing w:after="0"/>
              <w:rPr>
                <w:sz w:val="15"/>
                <w:szCs w:val="15"/>
                <w:color w:val="auto"/>
              </w:rPr>
            </w:pPr>
          </w:p>
        </w:tc>
        <w:tc>
          <w:tcPr>
            <w:tcW w:w="32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Balance Sheet Classification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7"/>
              </w:rPr>
              <w:t>April 30, 2023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July 31, 2022</w:t>
            </w:r>
          </w:p>
        </w:tc>
        <w:tc>
          <w:tcPr>
            <w:tcW w:w="0" w:type="dxa"/>
            <w:vAlign w:val="bottom"/>
          </w:tcPr>
          <w:p>
            <w:pPr>
              <w:spacing w:after="0"/>
              <w:rPr>
                <w:sz w:val="1"/>
                <w:szCs w:val="1"/>
                <w:color w:val="auto"/>
              </w:rPr>
            </w:pPr>
          </w:p>
        </w:tc>
      </w:tr>
      <w:tr>
        <w:trPr>
          <w:trHeight w:val="23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Plant assets, net of depreciation</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32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47"/>
        </w:trPr>
        <w:tc>
          <w:tcPr>
            <w:tcW w:w="5380" w:type="dxa"/>
            <w:vAlign w:val="bottom"/>
          </w:tcPr>
          <w:p>
            <w:pPr>
              <w:spacing w:after="0"/>
              <w:rPr>
                <w:sz w:val="24"/>
                <w:szCs w:val="24"/>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color w:val="auto"/>
        </w:rPr>
        <w:t>The following table summarizes cash flow and other information related to leases: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5"/>
              </w:rPr>
              <w:t>April 30, 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May 1, 2022</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2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5"/>
        </w:trPr>
        <w:tc>
          <w:tcPr>
            <w:tcW w:w="8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8"/>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87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5"/>
        </w:trPr>
        <w:tc>
          <w:tcPr>
            <w:tcW w:w="8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Short-term Borrowings and Long-term Debt</w:t>
      </w:r>
    </w:p>
    <w:p>
      <w:pPr>
        <w:spacing w:after="0" w:line="1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November 15, 2022, we entered into a delayed draw term loan credit agreement (the DDTL Credit Agreement) totaling up to $500 million scheduled to mature on November 15, 2025. Loans under the DDTL Credit Agreement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borrowed $500 million under the DDTL Credit Agreement on March 13, 2023, and used the proceeds and cash on hand to repay the 3.65% $566 million Notes that matured on March 15, 2023.</w:t>
      </w:r>
    </w:p>
    <w:p>
      <w:pPr>
        <w:spacing w:after="0" w:line="8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April 4, 2023, we entered into an amendment to our existing revolving credit facility to replace remaining LIBOR-based benchmark rates applicable to borrowings under the revolving credit facility with SOFR-based benchmark rates, in advance of the cessation of LIBOR occurring on June 30, 2023.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April 30, 2023, or July 31, 2022.</w:t>
      </w:r>
    </w:p>
    <w:p>
      <w:pPr>
        <w:spacing w:after="0" w:line="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also exposed to credit risk from our customers. During 2022, our largest customer accounted for approximately 22% of consolidated net sales. Our five largest customers accounted for approximately 47% of our consolidated net sales in 2022.</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exposed to foreign currency exchange risk, primarily the Canadian dollar, related to intercompany transactions and third-party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$139 million as of April 30, 2023, and $140 million as of July 31, 2022.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4" w:name="page15"/>
    <w:bookmarkEnd w:id="14"/>
    <w:p>
      <w:pPr>
        <w:jc w:val="both"/>
        <w:spacing w:after="0" w:line="330" w:lineRule="auto"/>
        <w:rPr>
          <w:sz w:val="20"/>
          <w:szCs w:val="20"/>
          <w:color w:val="auto"/>
        </w:rPr>
      </w:pPr>
      <w:r>
        <w:rPr>
          <w:rFonts w:ascii="Arial" w:cs="Arial" w:eastAsia="Arial" w:hAnsi="Arial"/>
          <w:sz w:val="15"/>
          <w:szCs w:val="15"/>
          <w:color w:val="auto"/>
        </w:rPr>
        <w:t>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$18 million as of April 30, 2023, and $13 million as of July 31, 2022.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8"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outstanding as of April 30, 2023, or July 31,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8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 notional amount of commodity contracts designated as cash-flow hedges was $3 million as of July 31, 2022. There were no commodity contracts designated as cash-flow hedges as of April 30, 2023.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$250 million as of April 30, 2023, and $254 million as of July 31, 2022. The change in fair value on undesignated instruments is recorded in Cost of products sold.</w:t>
      </w:r>
    </w:p>
    <w:p>
      <w:pPr>
        <w:spacing w:after="0" w:line="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$77 million as of April 30, 2023, and $39 million as of July 31, 2022. The change in fair value on the embedded derivative is recorded in Cost of products sold.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Obligation Price Risk</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$42 million as of April 30, 2023, and $50 million as of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5" w:name="page16"/>
    <w:bookmarkEnd w:id="15"/>
    <w:p>
      <w:pPr>
        <w:ind w:left="320"/>
        <w:spacing w:after="0"/>
        <w:rPr>
          <w:sz w:val="20"/>
          <w:szCs w:val="20"/>
          <w:color w:val="auto"/>
        </w:rPr>
      </w:pPr>
      <w:r>
        <w:rPr>
          <w:rFonts w:ascii="Arial" w:cs="Arial" w:eastAsia="Arial" w:hAnsi="Arial"/>
          <w:sz w:val="17"/>
          <w:szCs w:val="17"/>
          <w:color w:val="auto"/>
        </w:rPr>
        <w:t>The following table summarizes the fair value of derivative instruments on a gross basis as recorded in the Consolidated Balance Sheets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April 30, 2023, and July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Balance Sheet Classification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April 30,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31, 2022</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Derivatives</w:t>
            </w:r>
          </w:p>
        </w:tc>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20" w:type="dxa"/>
            <w:vAlign w:val="bottom"/>
            <w:shd w:val="clear" w:color="auto" w:fill="CCEEFF"/>
          </w:tcPr>
          <w:p>
            <w:pPr>
              <w:spacing w:after="0"/>
              <w:rPr>
                <w:sz w:val="20"/>
                <w:szCs w:val="20"/>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r>
      <w:tr>
        <w:trPr>
          <w:trHeight w:val="218"/>
        </w:trPr>
        <w:tc>
          <w:tcPr>
            <w:tcW w:w="2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derivatives designated as hedges</w:t>
            </w:r>
          </w:p>
        </w:tc>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340" w:type="dxa"/>
            <w:vAlign w:val="bottom"/>
          </w:tcPr>
          <w:p>
            <w:pPr>
              <w:spacing w:after="0" w:line="204" w:lineRule="exact"/>
              <w:rPr>
                <w:sz w:val="20"/>
                <w:szCs w:val="20"/>
                <w:color w:val="auto"/>
              </w:rPr>
            </w:pPr>
            <w:r>
              <w:rPr>
                <w:rFonts w:ascii="Arial" w:cs="Arial" w:eastAsia="Arial" w:hAnsi="Arial"/>
                <w:sz w:val="18"/>
                <w:szCs w:val="18"/>
                <w:color w:val="auto"/>
              </w:rPr>
              <w:t>Derivatives not designated as hedges:</w:t>
            </w:r>
          </w:p>
        </w:tc>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compensation contracts</w:t>
            </w:r>
          </w:p>
        </w:tc>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derivatives not designated as hedges</w:t>
            </w:r>
          </w:p>
        </w:tc>
        <w:tc>
          <w:tcPr>
            <w:tcW w:w="2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asset derivatives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0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4"/>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r>
      <w:tr>
        <w:trPr>
          <w:trHeight w:val="367"/>
        </w:trPr>
        <w:tc>
          <w:tcPr>
            <w:tcW w:w="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24"/>
                <w:szCs w:val="24"/>
                <w:color w:val="auto"/>
              </w:rPr>
            </w:pPr>
          </w:p>
        </w:tc>
        <w:tc>
          <w:tcPr>
            <w:tcW w:w="3800" w:type="dxa"/>
            <w:vAlign w:val="bottom"/>
          </w:tcPr>
          <w:p>
            <w:pPr>
              <w:ind w:left="1060"/>
              <w:spacing w:after="0"/>
              <w:rPr>
                <w:sz w:val="20"/>
                <w:szCs w:val="20"/>
                <w:color w:val="auto"/>
              </w:rPr>
            </w:pPr>
            <w:r>
              <w:rPr>
                <w:rFonts w:ascii="Arial" w:cs="Arial" w:eastAsia="Arial" w:hAnsi="Arial"/>
                <w:sz w:val="14"/>
                <w:szCs w:val="14"/>
                <w:b w:val="1"/>
                <w:bCs w:val="1"/>
                <w:color w:val="auto"/>
              </w:rPr>
              <w:t>Balance Sheet Classification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74"/>
              <w:spacing w:after="0"/>
              <w:rPr>
                <w:sz w:val="20"/>
                <w:szCs w:val="20"/>
                <w:color w:val="auto"/>
              </w:rPr>
            </w:pPr>
            <w:r>
              <w:rPr>
                <w:rFonts w:ascii="Arial" w:cs="Arial" w:eastAsia="Arial" w:hAnsi="Arial"/>
                <w:sz w:val="14"/>
                <w:szCs w:val="14"/>
                <w:b w:val="1"/>
                <w:bCs w:val="1"/>
                <w:color w:val="auto"/>
              </w:rPr>
              <w:t>April 30,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2022</w:t>
            </w:r>
          </w:p>
        </w:tc>
      </w:tr>
      <w:tr>
        <w:trPr>
          <w:trHeight w:val="24"/>
        </w:trPr>
        <w:tc>
          <w:tcPr>
            <w:tcW w:w="2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Liability Derivatives</w:t>
            </w:r>
          </w:p>
        </w:tc>
        <w:tc>
          <w:tcPr>
            <w:tcW w:w="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compensation contracts</w:t>
            </w:r>
          </w:p>
        </w:tc>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derivatives not designated as hedges</w:t>
            </w:r>
          </w:p>
        </w:tc>
        <w:tc>
          <w:tcPr>
            <w:tcW w:w="2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Total liability derivatives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4"/>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60"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30, 2023, and July 31, 2022, would be adjusted as detailed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85"/>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205"/>
              <w:spacing w:after="0"/>
              <w:rPr>
                <w:sz w:val="20"/>
                <w:szCs w:val="20"/>
                <w:color w:val="auto"/>
              </w:rPr>
            </w:pPr>
            <w:r>
              <w:rPr>
                <w:rFonts w:ascii="Arial" w:cs="Arial" w:eastAsia="Arial" w:hAnsi="Arial"/>
                <w:sz w:val="14"/>
                <w:szCs w:val="14"/>
                <w:b w:val="1"/>
                <w:bCs w:val="1"/>
                <w:color w:val="auto"/>
              </w:rPr>
              <w:t>July 31, 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Gross Amounts Not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Gross Amounts Not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25"/>
              <w:spacing w:after="0" w:line="137" w:lineRule="exact"/>
              <w:rPr>
                <w:sz w:val="20"/>
                <w:szCs w:val="20"/>
                <w:color w:val="auto"/>
              </w:rPr>
            </w:pPr>
            <w:r>
              <w:rPr>
                <w:rFonts w:ascii="Arial" w:cs="Arial" w:eastAsia="Arial" w:hAnsi="Arial"/>
                <w:sz w:val="14"/>
                <w:szCs w:val="14"/>
                <w:b w:val="1"/>
                <w:bCs w:val="1"/>
                <w:color w:val="auto"/>
                <w:w w:val="90"/>
              </w:rPr>
              <w:t>Offset in the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25"/>
              <w:spacing w:after="0" w:line="137" w:lineRule="exact"/>
              <w:rPr>
                <w:sz w:val="20"/>
                <w:szCs w:val="20"/>
                <w:color w:val="auto"/>
              </w:rPr>
            </w:pPr>
            <w:r>
              <w:rPr>
                <w:rFonts w:ascii="Arial" w:cs="Arial" w:eastAsia="Arial" w:hAnsi="Arial"/>
                <w:sz w:val="14"/>
                <w:szCs w:val="14"/>
                <w:b w:val="1"/>
                <w:bCs w:val="1"/>
                <w:color w:val="auto"/>
                <w:w w:val="90"/>
              </w:rPr>
              <w:t>Offset in the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25"/>
              <w:spacing w:after="0" w:line="142" w:lineRule="exact"/>
              <w:rPr>
                <w:sz w:val="20"/>
                <w:szCs w:val="20"/>
                <w:color w:val="auto"/>
              </w:rPr>
            </w:pPr>
            <w:r>
              <w:rPr>
                <w:rFonts w:ascii="Arial" w:cs="Arial" w:eastAsia="Arial" w:hAnsi="Arial"/>
                <w:sz w:val="14"/>
                <w:szCs w:val="14"/>
                <w:b w:val="1"/>
                <w:bCs w:val="1"/>
                <w:color w:val="auto"/>
                <w:w w:val="87"/>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5"/>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63"/>
              <w:spacing w:after="0" w:line="137" w:lineRule="exact"/>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5"/>
              <w:spacing w:after="0" w:line="137" w:lineRule="exact"/>
              <w:rPr>
                <w:sz w:val="20"/>
                <w:szCs w:val="20"/>
                <w:color w:val="auto"/>
              </w:rPr>
            </w:pPr>
            <w:r>
              <w:rPr>
                <w:rFonts w:ascii="Arial" w:cs="Arial" w:eastAsia="Arial" w:hAnsi="Arial"/>
                <w:sz w:val="14"/>
                <w:szCs w:val="14"/>
                <w:b w:val="1"/>
                <w:bCs w:val="1"/>
                <w:color w:val="auto"/>
                <w:w w:val="87"/>
              </w:rPr>
              <w:t>Balance Sheet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63"/>
              <w:spacing w:after="0" w:line="137" w:lineRule="exact"/>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5"/>
              <w:spacing w:after="0" w:line="137" w:lineRule="exact"/>
              <w:rPr>
                <w:sz w:val="20"/>
                <w:szCs w:val="20"/>
                <w:color w:val="auto"/>
              </w:rPr>
            </w:pPr>
            <w:r>
              <w:rPr>
                <w:rFonts w:ascii="Arial" w:cs="Arial" w:eastAsia="Arial" w:hAnsi="Arial"/>
                <w:sz w:val="14"/>
                <w:szCs w:val="14"/>
                <w:b w:val="1"/>
                <w:bCs w:val="1"/>
                <w:color w:val="auto"/>
                <w:w w:val="87"/>
              </w:rPr>
              <w:t>Balance Sheet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2"/>
                <w:szCs w:val="12"/>
                <w:color w:val="auto"/>
              </w:rPr>
            </w:pPr>
          </w:p>
        </w:tc>
        <w:tc>
          <w:tcPr>
            <w:tcW w:w="1200" w:type="dxa"/>
            <w:vAlign w:val="bottom"/>
          </w:tcPr>
          <w:p>
            <w:pPr>
              <w:jc w:val="center"/>
              <w:ind w:right="63"/>
              <w:spacing w:after="0" w:line="146"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25"/>
              <w:spacing w:after="0" w:line="146" w:lineRule="exact"/>
              <w:rPr>
                <w:sz w:val="20"/>
                <w:szCs w:val="20"/>
                <w:color w:val="auto"/>
              </w:rPr>
            </w:pPr>
            <w:r>
              <w:rPr>
                <w:rFonts w:ascii="Arial" w:cs="Arial" w:eastAsia="Arial" w:hAnsi="Arial"/>
                <w:sz w:val="14"/>
                <w:szCs w:val="14"/>
                <w:b w:val="1"/>
                <w:bCs w:val="1"/>
                <w:color w:val="auto"/>
                <w:w w:val="91"/>
              </w:rPr>
              <w:t>Subject to Netting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3"/>
              <w:spacing w:after="0" w:line="146"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5"/>
              <w:spacing w:after="0" w:line="146" w:lineRule="exact"/>
              <w:rPr>
                <w:sz w:val="20"/>
                <w:szCs w:val="20"/>
                <w:color w:val="auto"/>
              </w:rPr>
            </w:pPr>
            <w:r>
              <w:rPr>
                <w:rFonts w:ascii="Arial" w:cs="Arial" w:eastAsia="Arial" w:hAnsi="Arial"/>
                <w:sz w:val="14"/>
                <w:szCs w:val="14"/>
                <w:b w:val="1"/>
                <w:bCs w:val="1"/>
                <w:color w:val="auto"/>
                <w:w w:val="90"/>
              </w:rPr>
              <w:t>Subject to Netting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
              <w:spacing w:after="0"/>
              <w:rPr>
                <w:sz w:val="20"/>
                <w:szCs w:val="20"/>
                <w:color w:val="auto"/>
              </w:rPr>
            </w:pPr>
            <w:r>
              <w:rPr>
                <w:rFonts w:ascii="Arial" w:cs="Arial" w:eastAsia="Arial" w:hAnsi="Arial"/>
                <w:sz w:val="18"/>
                <w:szCs w:val="18"/>
                <w:b w:val="1"/>
                <w:bCs w:val="1"/>
                <w:color w:val="auto"/>
              </w:rPr>
              <w:t>23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Cash margin asset balances of $24 million at April 30, 2023, and $8 million at July 31, 2022, were included in Other 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6" w:name="page17"/>
    <w:bookmarkEnd w:id="16"/>
    <w:p>
      <w:pPr>
        <w:ind w:left="320"/>
        <w:spacing w:after="0"/>
        <w:rPr>
          <w:sz w:val="20"/>
          <w:szCs w:val="20"/>
          <w:color w:val="auto"/>
        </w:rPr>
      </w:pPr>
      <w:r>
        <w:rPr>
          <w:rFonts w:ascii="Arial" w:cs="Arial" w:eastAsia="Arial" w:hAnsi="Arial"/>
          <w:sz w:val="17"/>
          <w:szCs w:val="17"/>
          <w:color w:val="auto"/>
        </w:rPr>
        <w:t>The following tables show the effect of our derivative instruments designated as cash-flow hedges for the three- and nine-month periods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April 30, 2023, and May 1, 2022, in other comprehensive income (loss) (OCI) and the Consolidated Statements of Earnings: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Total Cash-Flow Hedge</w:t>
            </w:r>
          </w:p>
        </w:tc>
      </w:tr>
      <w:tr>
        <w:trPr>
          <w:trHeight w:val="192"/>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OCI Activity</w:t>
            </w:r>
          </w:p>
        </w:tc>
        <w:tc>
          <w:tcPr>
            <w:tcW w:w="1160" w:type="dxa"/>
            <w:vAlign w:val="bottom"/>
            <w:tcBorders>
              <w:bottom w:val="single" w:sz="8" w:color="auto"/>
            </w:tcBorders>
          </w:tcPr>
          <w:p>
            <w:pPr>
              <w:spacing w:after="0"/>
              <w:rPr>
                <w:sz w:val="16"/>
                <w:szCs w:val="16"/>
                <w:color w:val="auto"/>
              </w:rPr>
            </w:pPr>
          </w:p>
        </w:tc>
      </w:tr>
      <w:tr>
        <w:trPr>
          <w:trHeight w:val="192"/>
        </w:trPr>
        <w:tc>
          <w:tcPr>
            <w:tcW w:w="49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(Millions)</w:t>
            </w:r>
          </w:p>
        </w:tc>
        <w:tc>
          <w:tcPr>
            <w:tcW w:w="5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5"/>
              </w:rPr>
              <w:t>May 1, 2022</w:t>
            </w:r>
          </w:p>
        </w:tc>
      </w:tr>
      <w:tr>
        <w:trPr>
          <w:trHeight w:val="172"/>
        </w:trPr>
        <w:tc>
          <w:tcPr>
            <w:tcW w:w="4900" w:type="dxa"/>
            <w:vAlign w:val="bottom"/>
            <w:tcBorders>
              <w:left w:val="single" w:sz="8" w:color="CCEEFF"/>
            </w:tcBorders>
            <w:gridSpan w:val="3"/>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Three Months Ended</w:t>
            </w:r>
          </w:p>
        </w:tc>
        <w:tc>
          <w:tcPr>
            <w:tcW w:w="5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40"/>
        </w:trPr>
        <w:tc>
          <w:tcPr>
            <w:tcW w:w="154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r>
        <w:trPr>
          <w:trHeight w:val="234"/>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OCI derivative gain (loss) at beginning of quarter</w:t>
            </w:r>
          </w:p>
        </w:tc>
        <w:tc>
          <w:tcPr>
            <w:tcW w:w="3400" w:type="dxa"/>
            <w:vAlign w:val="bottom"/>
            <w:gridSpan w:val="4"/>
          </w:tcPr>
          <w:p>
            <w:pPr>
              <w:ind w:left="320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9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fair value recognized in OCI:</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900" w:type="dxa"/>
            <w:vAlign w:val="bottom"/>
            <w:gridSpan w:val="3"/>
          </w:tcPr>
          <w:p>
            <w:pPr>
              <w:ind w:left="140"/>
              <w:spacing w:after="0"/>
              <w:rPr>
                <w:sz w:val="20"/>
                <w:szCs w:val="20"/>
                <w:color w:val="auto"/>
              </w:rPr>
            </w:pPr>
            <w:r>
              <w:rPr>
                <w:rFonts w:ascii="Arial" w:cs="Arial" w:eastAsia="Arial" w:hAnsi="Arial"/>
                <w:sz w:val="18"/>
                <w:szCs w:val="18"/>
                <w:color w:val="auto"/>
              </w:rPr>
              <w:t>Commodity contracts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8"/>
        </w:trPr>
        <w:tc>
          <w:tcPr>
            <w:tcW w:w="49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86"/>
        </w:trPr>
        <w:tc>
          <w:tcPr>
            <w:tcW w:w="4900" w:type="dxa"/>
            <w:vAlign w:val="bottom"/>
            <w:gridSpan w:val="3"/>
          </w:tcPr>
          <w:p>
            <w:pPr>
              <w:ind w:left="20"/>
              <w:spacing w:after="0" w:line="186" w:lineRule="exact"/>
              <w:rPr>
                <w:sz w:val="20"/>
                <w:szCs w:val="20"/>
                <w:color w:val="auto"/>
              </w:rPr>
            </w:pPr>
            <w:r>
              <w:rPr>
                <w:rFonts w:ascii="Arial" w:cs="Arial" w:eastAsia="Arial" w:hAnsi="Arial"/>
                <w:sz w:val="18"/>
                <w:szCs w:val="18"/>
                <w:color w:val="auto"/>
              </w:rPr>
              <w:t>Amount of loss (gain) reclassified from OCI to earnings:</w:t>
            </w:r>
          </w:p>
        </w:tc>
        <w:tc>
          <w:tcPr>
            <w:tcW w:w="3400" w:type="dxa"/>
            <w:vAlign w:val="bottom"/>
            <w:gridSpan w:val="4"/>
          </w:tcPr>
          <w:p>
            <w:pPr>
              <w:ind w:left="580"/>
              <w:spacing w:after="0" w:line="186" w:lineRule="exact"/>
              <w:rPr>
                <w:sz w:val="20"/>
                <w:szCs w:val="20"/>
                <w:color w:val="auto"/>
              </w:rPr>
            </w:pPr>
            <w:r>
              <w:rPr>
                <w:rFonts w:ascii="Arial" w:cs="Arial" w:eastAsia="Arial" w:hAnsi="Arial"/>
                <w:sz w:val="18"/>
                <w:szCs w:val="18"/>
                <w:b w:val="1"/>
                <w:bCs w:val="1"/>
                <w:color w:val="auto"/>
              </w:rPr>
              <w:t>Location in Earnings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0"/>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5"/>
        </w:trPr>
        <w:tc>
          <w:tcPr>
            <w:tcW w:w="49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34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Cost of products sold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490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3180" w:type="dxa"/>
            <w:vAlign w:val="bottom"/>
            <w:gridSpan w:val="3"/>
          </w:tcPr>
          <w:p>
            <w:pPr>
              <w:ind w:left="580"/>
              <w:spacing w:after="0"/>
              <w:rPr>
                <w:sz w:val="20"/>
                <w:szCs w:val="20"/>
                <w:color w:val="auto"/>
              </w:rPr>
            </w:pPr>
            <w:r>
              <w:rPr>
                <w:rFonts w:ascii="Arial" w:cs="Arial" w:eastAsia="Arial" w:hAnsi="Arial"/>
                <w:sz w:val="18"/>
                <w:szCs w:val="18"/>
                <w:color w:val="auto"/>
              </w:rPr>
              <w:t>Cost of products sold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49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OCI derivative gain (loss) at end of quarter</w:t>
            </w:r>
          </w:p>
        </w:tc>
        <w:tc>
          <w:tcPr>
            <w:tcW w:w="3400" w:type="dxa"/>
            <w:vAlign w:val="bottom"/>
            <w:gridSpan w:val="4"/>
            <w:shd w:val="clear" w:color="auto" w:fill="CCEEFF"/>
          </w:tcPr>
          <w:p>
            <w:pPr>
              <w:ind w:left="32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1540" w:type="dxa"/>
            <w:vAlign w:val="bottom"/>
            <w:tcBorders>
              <w:left w:val="single" w:sz="8" w:color="CCEEFF"/>
              <w:bottom w:val="single" w:sz="8" w:color="auto"/>
            </w:tcBorders>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w w:val="89"/>
              </w:rPr>
              <w:t>Nine Months Ended</w:t>
            </w:r>
          </w:p>
        </w:tc>
        <w:tc>
          <w:tcPr>
            <w:tcW w:w="33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25"/>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OCI derivative gain (loss) at beginning of year</w:t>
            </w:r>
          </w:p>
        </w:tc>
        <w:tc>
          <w:tcPr>
            <w:tcW w:w="3400" w:type="dxa"/>
            <w:vAlign w:val="bottom"/>
            <w:gridSpan w:val="4"/>
          </w:tcPr>
          <w:p>
            <w:pPr>
              <w:ind w:left="320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8"/>
        </w:trPr>
        <w:tc>
          <w:tcPr>
            <w:tcW w:w="49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fair value recognized in OCI:</w:t>
            </w:r>
          </w:p>
        </w:tc>
        <w:tc>
          <w:tcPr>
            <w:tcW w:w="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4900" w:type="dxa"/>
            <w:vAlign w:val="bottom"/>
            <w:gridSpan w:val="3"/>
          </w:tcPr>
          <w:p>
            <w:pPr>
              <w:ind w:left="140"/>
              <w:spacing w:after="0"/>
              <w:rPr>
                <w:sz w:val="20"/>
                <w:szCs w:val="20"/>
                <w:color w:val="auto"/>
              </w:rPr>
            </w:pPr>
            <w:r>
              <w:rPr>
                <w:rFonts w:ascii="Arial" w:cs="Arial" w:eastAsia="Arial" w:hAnsi="Arial"/>
                <w:sz w:val="18"/>
                <w:szCs w:val="18"/>
                <w:color w:val="auto"/>
              </w:rPr>
              <w:t>Commodity contracts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49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86"/>
        </w:trPr>
        <w:tc>
          <w:tcPr>
            <w:tcW w:w="4900" w:type="dxa"/>
            <w:vAlign w:val="bottom"/>
            <w:gridSpan w:val="3"/>
          </w:tcPr>
          <w:p>
            <w:pPr>
              <w:ind w:left="20"/>
              <w:spacing w:after="0" w:line="186" w:lineRule="exact"/>
              <w:rPr>
                <w:sz w:val="20"/>
                <w:szCs w:val="20"/>
                <w:color w:val="auto"/>
              </w:rPr>
            </w:pPr>
            <w:r>
              <w:rPr>
                <w:rFonts w:ascii="Arial" w:cs="Arial" w:eastAsia="Arial" w:hAnsi="Arial"/>
                <w:sz w:val="18"/>
                <w:szCs w:val="18"/>
                <w:color w:val="auto"/>
              </w:rPr>
              <w:t>Amount of loss (gain) reclassified from OCI to earnings:</w:t>
            </w:r>
          </w:p>
        </w:tc>
        <w:tc>
          <w:tcPr>
            <w:tcW w:w="3400" w:type="dxa"/>
            <w:vAlign w:val="bottom"/>
            <w:gridSpan w:val="4"/>
          </w:tcPr>
          <w:p>
            <w:pPr>
              <w:ind w:left="580"/>
              <w:spacing w:after="0" w:line="186" w:lineRule="exact"/>
              <w:rPr>
                <w:sz w:val="20"/>
                <w:szCs w:val="20"/>
                <w:color w:val="auto"/>
              </w:rPr>
            </w:pPr>
            <w:r>
              <w:rPr>
                <w:rFonts w:ascii="Arial" w:cs="Arial" w:eastAsia="Arial" w:hAnsi="Arial"/>
                <w:sz w:val="18"/>
                <w:szCs w:val="18"/>
                <w:b w:val="1"/>
                <w:bCs w:val="1"/>
                <w:color w:val="auto"/>
              </w:rPr>
              <w:t>Location in Earnings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3"/>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49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34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Cost of products sold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490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3400" w:type="dxa"/>
            <w:vAlign w:val="bottom"/>
            <w:gridSpan w:val="4"/>
          </w:tcPr>
          <w:p>
            <w:pPr>
              <w:ind w:left="580"/>
              <w:spacing w:after="0"/>
              <w:rPr>
                <w:sz w:val="20"/>
                <w:szCs w:val="20"/>
                <w:color w:val="auto"/>
              </w:rPr>
            </w:pPr>
            <w:r>
              <w:rPr>
                <w:rFonts w:ascii="Arial" w:cs="Arial" w:eastAsia="Arial" w:hAnsi="Arial"/>
                <w:sz w:val="18"/>
                <w:szCs w:val="18"/>
                <w:color w:val="auto"/>
              </w:rPr>
              <w:t>Cost of products sold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8"/>
        </w:trPr>
        <w:tc>
          <w:tcPr>
            <w:tcW w:w="49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31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490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OCI derivative gain (loss) at end of quarter</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current valuations, the amount expected to be reclassified from OCI into earnings within the next 12 months is a gain of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7" w:name="page18"/>
    <w:bookmarkEnd w:id="17"/>
    <w:p>
      <w:pPr>
        <w:jc w:val="both"/>
        <w:ind w:firstLine="318"/>
        <w:spacing w:after="0" w:line="255" w:lineRule="auto"/>
        <w:rPr>
          <w:sz w:val="20"/>
          <w:szCs w:val="20"/>
          <w:color w:val="auto"/>
        </w:rPr>
      </w:pPr>
      <w:r>
        <w:rPr>
          <w:rFonts w:ascii="Arial" w:cs="Arial" w:eastAsia="Arial" w:hAnsi="Arial"/>
          <w:sz w:val="18"/>
          <w:szCs w:val="18"/>
          <w:color w:val="auto"/>
        </w:rPr>
        <w:t>The following tables show the total amounts of line items presented in the Consolidated Statements of Earnings for the three- and nine-month periods ended April 30, 2023, and May 1, 2022, in which the effects of derivative instruments designated as cash-flow hedges are recorded and the total effect of hedge activity on these line items are as follows:</w:t>
      </w:r>
    </w:p>
    <w:p>
      <w:pPr>
        <w:spacing w:after="0" w:line="8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w:t>
      </w:r>
    </w:p>
    <w:p>
      <w:pPr>
        <w:sectPr>
          <w:pgSz w:w="11900" w:h="16838" w:orient="portrait"/>
          <w:cols w:equalWidth="0" w:num="1">
            <w:col w:w="11240"/>
          </w:cols>
          <w:pgMar w:left="320" w:top="97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(gain) on cash-flow hedges: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6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April 30, 2023</w:t>
            </w: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4"/>
          </w:tcPr>
          <w:p>
            <w:pPr>
              <w:jc w:val="right"/>
              <w:ind w:right="701"/>
              <w:spacing w:after="0"/>
              <w:rPr>
                <w:sz w:val="20"/>
                <w:szCs w:val="20"/>
                <w:color w:val="auto"/>
              </w:rPr>
            </w:pPr>
            <w:r>
              <w:rPr>
                <w:rFonts w:ascii="Arial" w:cs="Arial" w:eastAsia="Arial" w:hAnsi="Arial"/>
                <w:sz w:val="14"/>
                <w:szCs w:val="14"/>
                <w:b w:val="1"/>
                <w:bCs w:val="1"/>
                <w:color w:val="auto"/>
              </w:rPr>
              <w:t>May 1, 2022</w:t>
            </w:r>
          </w:p>
        </w:tc>
      </w:tr>
      <w:tr>
        <w:trPr>
          <w:trHeight w:val="133"/>
        </w:trPr>
        <w:tc>
          <w:tcPr>
            <w:tcW w:w="11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Cost of products</w:t>
            </w:r>
          </w:p>
        </w:tc>
        <w:tc>
          <w:tcPr>
            <w:tcW w:w="8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7"/>
              </w:rPr>
              <w:t>Cost of products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41"/>
              <w:spacing w:after="0" w:line="133" w:lineRule="exact"/>
              <w:rPr>
                <w:sz w:val="20"/>
                <w:szCs w:val="20"/>
                <w:color w:val="auto"/>
              </w:rPr>
            </w:pPr>
            <w:r>
              <w:rPr>
                <w:rFonts w:ascii="Arial" w:cs="Arial" w:eastAsia="Arial" w:hAnsi="Arial"/>
                <w:sz w:val="14"/>
                <w:szCs w:val="14"/>
                <w:b w:val="1"/>
                <w:bCs w:val="1"/>
                <w:color w:val="auto"/>
              </w:rPr>
              <w:t>Interest</w:t>
            </w:r>
          </w:p>
        </w:tc>
      </w:tr>
      <w:tr>
        <w:trPr>
          <w:trHeight w:val="192"/>
        </w:trPr>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3"/>
              </w:rPr>
              <w:t>sold</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expense</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3"/>
              </w:rPr>
              <w:t>sold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9"/>
              </w:rPr>
              <w:t>expense</w:t>
            </w:r>
          </w:p>
        </w:tc>
      </w:tr>
      <w:tr>
        <w:trPr>
          <w:trHeight w:val="229"/>
        </w:trPr>
        <w:tc>
          <w:tcPr>
            <w:tcW w:w="260" w:type="dxa"/>
            <w:vAlign w:val="bottom"/>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
              <w:spacing w:after="0"/>
              <w:rPr>
                <w:sz w:val="20"/>
                <w:szCs w:val="20"/>
                <w:color w:val="auto"/>
              </w:rPr>
            </w:pPr>
            <w:r>
              <w:rPr>
                <w:rFonts w:ascii="Arial" w:cs="Arial" w:eastAsia="Arial" w:hAnsi="Arial"/>
                <w:sz w:val="18"/>
                <w:szCs w:val="18"/>
                <w:b w:val="1"/>
                <w:bCs w:val="1"/>
                <w:color w:val="auto"/>
              </w:rPr>
              <w:t>1,561</w:t>
            </w:r>
          </w:p>
        </w:tc>
        <w:tc>
          <w:tcPr>
            <w:tcW w:w="80" w:type="dxa"/>
            <w:vAlign w:val="bottom"/>
          </w:tcPr>
          <w:p>
            <w:pPr>
              <w:spacing w:after="0"/>
              <w:rPr>
                <w:sz w:val="19"/>
                <w:szCs w:val="19"/>
                <w:color w:val="auto"/>
              </w:rPr>
            </w:pPr>
          </w:p>
        </w:tc>
        <w:tc>
          <w:tcPr>
            <w:tcW w:w="820" w:type="dxa"/>
            <w:vAlign w:val="bottom"/>
          </w:tcPr>
          <w:p>
            <w:pPr>
              <w:jc w:val="right"/>
              <w:ind w:right="625"/>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47</w:t>
            </w:r>
          </w:p>
        </w:tc>
        <w:tc>
          <w:tcPr>
            <w:tcW w:w="36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51</w:t>
            </w:r>
          </w:p>
        </w:tc>
      </w:tr>
      <w:tr>
        <w:trPr>
          <w:trHeight w:val="724"/>
        </w:trPr>
        <w:tc>
          <w:tcPr>
            <w:tcW w:w="260" w:type="dxa"/>
            <w:vAlign w:val="bottom"/>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w:t>
            </w:r>
          </w:p>
        </w:tc>
      </w:tr>
      <w:tr>
        <w:trPr>
          <w:trHeight w:val="441"/>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-892810</wp:posOffset>
            </wp:positionV>
            <wp:extent cx="7134860"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-572770</wp:posOffset>
            </wp:positionV>
            <wp:extent cx="7134860"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5840" w:space="720"/>
            <w:col w:w="4680"/>
          </w:cols>
          <w:pgMar w:left="320" w:top="975"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65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4"/>
          </w:tcPr>
          <w:p>
            <w:pPr>
              <w:jc w:val="right"/>
              <w:ind w:right="701"/>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130"/>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1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9"/>
              </w:rPr>
              <w:t>Cost of products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1"/>
                <w:szCs w:val="11"/>
                <w:color w:val="auto"/>
              </w:rPr>
            </w:pPr>
          </w:p>
        </w:tc>
        <w:tc>
          <w:tcPr>
            <w:tcW w:w="11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7"/>
              </w:rPr>
              <w:t>Cost of products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4"/>
        </w:trPr>
        <w:tc>
          <w:tcPr>
            <w:tcW w:w="6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201"/>
              <w:spacing w:after="0"/>
              <w:rPr>
                <w:sz w:val="20"/>
                <w:szCs w:val="20"/>
                <w:color w:val="auto"/>
              </w:rPr>
            </w:pPr>
            <w:r>
              <w:rPr>
                <w:rFonts w:ascii="Arial" w:cs="Arial" w:eastAsia="Arial" w:hAnsi="Arial"/>
                <w:sz w:val="14"/>
                <w:szCs w:val="14"/>
                <w:b w:val="1"/>
                <w:bCs w:val="1"/>
                <w:color w:val="auto"/>
                <w:w w:val="83"/>
              </w:rPr>
              <w:t>sold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w w:val="99"/>
              </w:rPr>
              <w:t>expense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161"/>
              <w:spacing w:after="0"/>
              <w:rPr>
                <w:sz w:val="20"/>
                <w:szCs w:val="20"/>
                <w:color w:val="auto"/>
              </w:rPr>
            </w:pPr>
            <w:r>
              <w:rPr>
                <w:rFonts w:ascii="Arial" w:cs="Arial" w:eastAsia="Arial" w:hAnsi="Arial"/>
                <w:sz w:val="14"/>
                <w:szCs w:val="14"/>
                <w:b w:val="1"/>
                <w:bCs w:val="1"/>
                <w:color w:val="auto"/>
                <w:w w:val="83"/>
              </w:rPr>
              <w:t>sold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Arial" w:cs="Arial" w:eastAsia="Arial" w:hAnsi="Arial"/>
                <w:sz w:val="14"/>
                <w:szCs w:val="14"/>
                <w:b w:val="1"/>
                <w:bCs w:val="1"/>
                <w:color w:val="auto"/>
                <w:w w:val="99"/>
              </w:rPr>
              <w:t>expense</w:t>
            </w:r>
          </w:p>
        </w:tc>
        <w:tc>
          <w:tcPr>
            <w:tcW w:w="0" w:type="dxa"/>
            <w:vAlign w:val="bottom"/>
          </w:tcPr>
          <w:p>
            <w:pPr>
              <w:spacing w:after="0"/>
              <w:rPr>
                <w:sz w:val="1"/>
                <w:szCs w:val="1"/>
                <w:color w:val="auto"/>
              </w:rPr>
            </w:pPr>
          </w:p>
        </w:tc>
      </w:tr>
      <w:tr>
        <w:trPr>
          <w:trHeight w:val="24"/>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5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Consolidated Statements of Earnings:</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5,028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(gain) on cash-flow hedges: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Amount of loss (gain) reclassified from OCI to earnings</w:t>
            </w:r>
          </w:p>
        </w:tc>
        <w:tc>
          <w:tcPr>
            <w:tcW w:w="260" w:type="dxa"/>
            <w:vAlign w:val="bottom"/>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 excluded from effectiveness testing recognized in each line item of earnings using an amortization approach was not material in all periods presented.</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effects of our derivative instruments not designated as hedges in the Consolidated Statements of Earnings: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2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 of Loss (Gain) Recognized in</w:t>
            </w:r>
          </w:p>
        </w:tc>
        <w:tc>
          <w:tcPr>
            <w:tcW w:w="140" w:type="dxa"/>
            <w:vAlign w:val="bottom"/>
          </w:tcPr>
          <w:p>
            <w:pPr>
              <w:spacing w:after="0"/>
              <w:rPr>
                <w:sz w:val="15"/>
                <w:szCs w:val="15"/>
                <w:color w:val="auto"/>
              </w:rPr>
            </w:pPr>
          </w:p>
        </w:tc>
        <w:tc>
          <w:tcPr>
            <w:tcW w:w="232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6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00" w:type="dxa"/>
            <w:vAlign w:val="bottom"/>
            <w:vMerge w:val="continue"/>
          </w:tcPr>
          <w:p>
            <w:pPr>
              <w:spacing w:after="0"/>
              <w:rPr>
                <w:sz w:val="16"/>
                <w:szCs w:val="16"/>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May 1, 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May 1, 2022</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center"/>
              <w:ind w:left="678"/>
              <w:spacing w:after="0"/>
              <w:rPr>
                <w:sz w:val="20"/>
                <w:szCs w:val="20"/>
                <w:color w:val="auto"/>
              </w:rPr>
            </w:pPr>
            <w:r>
              <w:rPr>
                <w:rFonts w:ascii="Arial" w:cs="Arial" w:eastAsia="Arial" w:hAnsi="Arial"/>
                <w:sz w:val="18"/>
                <w:szCs w:val="18"/>
                <w:b w:val="1"/>
                <w:bCs w:val="1"/>
                <w:color w:val="auto"/>
                <w:w w:val="90"/>
              </w:rPr>
              <w:t>(1)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tcPr>
          <w:p>
            <w:pPr>
              <w:spacing w:after="0"/>
              <w:rPr>
                <w:sz w:val="20"/>
                <w:szCs w:val="20"/>
                <w:color w:val="auto"/>
              </w:rPr>
            </w:pP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718"/>
              <w:spacing w:after="0"/>
              <w:rPr>
                <w:sz w:val="20"/>
                <w:szCs w:val="20"/>
                <w:color w:val="auto"/>
              </w:rPr>
            </w:pPr>
            <w:r>
              <w:rPr>
                <w:rFonts w:ascii="Arial" w:cs="Arial" w:eastAsia="Arial" w:hAnsi="Arial"/>
                <w:sz w:val="18"/>
                <w:szCs w:val="18"/>
                <w:b w:val="1"/>
                <w:bCs w:val="1"/>
                <w:color w:val="auto"/>
                <w:w w:val="79"/>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678"/>
              <w:spacing w:after="0"/>
              <w:rPr>
                <w:sz w:val="20"/>
                <w:szCs w:val="20"/>
                <w:color w:val="auto"/>
              </w:rPr>
            </w:pPr>
            <w:r>
              <w:rPr>
                <w:rFonts w:ascii="Arial" w:cs="Arial" w:eastAsia="Arial" w:hAnsi="Arial"/>
                <w:sz w:val="18"/>
                <w:szCs w:val="18"/>
                <w:b w:val="1"/>
                <w:bCs w:val="1"/>
                <w:color w:val="auto"/>
                <w:w w:val="90"/>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3600" w:type="dxa"/>
            <w:vAlign w:val="bottom"/>
          </w:tcPr>
          <w:p>
            <w:pPr>
              <w:ind w:left="20"/>
              <w:spacing w:after="0"/>
              <w:rPr>
                <w:sz w:val="20"/>
                <w:szCs w:val="20"/>
                <w:color w:val="auto"/>
              </w:rPr>
            </w:pPr>
            <w:r>
              <w:rPr>
                <w:rFonts w:ascii="Arial" w:cs="Arial" w:eastAsia="Arial" w:hAnsi="Arial"/>
                <w:sz w:val="18"/>
                <w:szCs w:val="18"/>
                <w:color w:val="auto"/>
              </w:rPr>
              <w:t>Total loss (gain)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center"/>
              <w:ind w:left="718"/>
              <w:spacing w:after="0"/>
              <w:rPr>
                <w:sz w:val="20"/>
                <w:szCs w:val="20"/>
                <w:color w:val="auto"/>
              </w:rPr>
            </w:pPr>
            <w:r>
              <w:rPr>
                <w:rFonts w:ascii="Arial" w:cs="Arial" w:eastAsia="Arial" w:hAnsi="Arial"/>
                <w:sz w:val="18"/>
                <w:szCs w:val="18"/>
                <w:b w:val="1"/>
                <w:bCs w:val="1"/>
                <w:color w:val="auto"/>
                <w:w w:val="79"/>
              </w:rPr>
              <w:t>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9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4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6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85"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tables present our financial assets and liabilities that are measured at fair value on a recurring basis as of April 30, 2023, and July 31, 2022, consistent with the fair value hierarchy:</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11"/>
          </w:tcPr>
          <w:p>
            <w:pPr>
              <w:jc w:val="center"/>
              <w:ind w:left="577"/>
              <w:spacing w:after="0"/>
              <w:rPr>
                <w:sz w:val="20"/>
                <w:szCs w:val="20"/>
                <w:color w:val="auto"/>
              </w:rPr>
            </w:pPr>
            <w:r>
              <w:rPr>
                <w:rFonts w:ascii="Arial" w:cs="Arial" w:eastAsia="Arial" w:hAnsi="Arial"/>
                <w:sz w:val="14"/>
                <w:szCs w:val="14"/>
                <w:b w:val="1"/>
                <w:bCs w:val="1"/>
                <w:color w:val="auto"/>
                <w:w w:val="91"/>
              </w:rPr>
              <w:t>Fair Value Measurements at</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10"/>
          </w:tcPr>
          <w:p>
            <w:pPr>
              <w:jc w:val="center"/>
              <w:ind w:left="577"/>
              <w:spacing w:after="0"/>
              <w:rPr>
                <w:sz w:val="20"/>
                <w:szCs w:val="20"/>
                <w:color w:val="auto"/>
              </w:rPr>
            </w:pPr>
            <w:r>
              <w:rPr>
                <w:rFonts w:ascii="Arial" w:cs="Arial" w:eastAsia="Arial" w:hAnsi="Arial"/>
                <w:sz w:val="14"/>
                <w:szCs w:val="14"/>
                <w:b w:val="1"/>
                <w:bCs w:val="1"/>
                <w:color w:val="auto"/>
                <w:w w:val="91"/>
              </w:rPr>
              <w:t>Fair Value Measurements at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7"/>
          </w:tcPr>
          <w:p>
            <w:pPr>
              <w:jc w:val="center"/>
              <w:spacing w:after="0" w:line="137" w:lineRule="exact"/>
              <w:rPr>
                <w:sz w:val="20"/>
                <w:szCs w:val="20"/>
                <w:color w:val="auto"/>
              </w:rPr>
            </w:pPr>
            <w:r>
              <w:rPr>
                <w:rFonts w:ascii="Arial" w:cs="Arial" w:eastAsia="Arial" w:hAnsi="Arial"/>
                <w:sz w:val="14"/>
                <w:szCs w:val="14"/>
                <w:b w:val="1"/>
                <w:bCs w:val="1"/>
                <w:color w:val="auto"/>
                <w:w w:val="93"/>
              </w:rPr>
              <w:t>April 30, 2023 Using</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Fair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5"/>
          </w:tcPr>
          <w:p>
            <w:pPr>
              <w:jc w:val="center"/>
              <w:ind w:right="20"/>
              <w:spacing w:after="0" w:line="137" w:lineRule="exact"/>
              <w:rPr>
                <w:sz w:val="20"/>
                <w:szCs w:val="20"/>
                <w:color w:val="auto"/>
              </w:rPr>
            </w:pPr>
            <w:r>
              <w:rPr>
                <w:rFonts w:ascii="Arial" w:cs="Arial" w:eastAsia="Arial" w:hAnsi="Arial"/>
                <w:sz w:val="14"/>
                <w:szCs w:val="14"/>
                <w:b w:val="1"/>
                <w:bCs w:val="1"/>
                <w:color w:val="auto"/>
                <w:w w:val="89"/>
              </w:rPr>
              <w:t>July 31, 2022 Using</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gridSpan w:val="9"/>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Fair Value Hierarchy</w:t>
            </w: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Fair Value Hierarchy</w:t>
            </w: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2"/>
              </w:rPr>
              <w:t>as of</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9"/>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2"/>
              </w:rPr>
              <w:t>as of</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8"/>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April 30, 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July 31, 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720" w:type="dxa"/>
            <w:vAlign w:val="bottom"/>
            <w:tcBorders>
              <w:left w:val="single" w:sz="8" w:color="CCEEFF"/>
            </w:tcBorders>
            <w:gridSpan w:val="4"/>
            <w:shd w:val="clear" w:color="auto" w:fill="CCEEFF"/>
          </w:tcPr>
          <w:p>
            <w:pPr>
              <w:ind w:left="20"/>
              <w:spacing w:after="0" w:line="184" w:lineRule="exact"/>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0" w:type="dxa"/>
            <w:vAlign w:val="bottom"/>
            <w:tcBorders>
              <w:left w:val="single" w:sz="8" w:color="CCEEFF"/>
              <w:right w:val="single" w:sz="8" w:color="auto"/>
            </w:tcBorders>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Pr>
          <w:p>
            <w:pPr>
              <w:spacing w:after="0"/>
              <w:rPr>
                <w:sz w:val="15"/>
                <w:szCs w:val="15"/>
                <w:color w:val="auto"/>
              </w:rPr>
            </w:pPr>
          </w:p>
        </w:tc>
        <w:tc>
          <w:tcPr>
            <w:tcW w:w="1640" w:type="dxa"/>
            <w:vAlign w:val="bottom"/>
            <w:gridSpan w:val="3"/>
          </w:tcPr>
          <w:p>
            <w:pPr>
              <w:ind w:left="60"/>
              <w:spacing w:after="0" w:line="179" w:lineRule="exact"/>
              <w:rPr>
                <w:sz w:val="20"/>
                <w:szCs w:val="20"/>
                <w:color w:val="auto"/>
              </w:rPr>
            </w:pPr>
            <w:r>
              <w:rPr>
                <w:rFonts w:ascii="Arial" w:cs="Arial" w:eastAsia="Arial" w:hAnsi="Arial"/>
                <w:sz w:val="18"/>
                <w:szCs w:val="18"/>
                <w:color w:val="auto"/>
              </w:rPr>
              <w:t>Foreign exchange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1640" w:type="dxa"/>
            <w:vAlign w:val="bottom"/>
            <w:gridSpan w:val="3"/>
          </w:tcPr>
          <w:p>
            <w:pPr>
              <w:ind w:left="60"/>
              <w:spacing w:after="0" w:line="231" w:lineRule="exact"/>
              <w:rPr>
                <w:sz w:val="20"/>
                <w:szCs w:val="20"/>
                <w:color w:val="auto"/>
              </w:rPr>
            </w:pPr>
            <w:r>
              <w:rPr>
                <w:rFonts w:ascii="Arial" w:cs="Arial" w:eastAsia="Arial" w:hAnsi="Arial"/>
                <w:sz w:val="18"/>
                <w:szCs w:val="18"/>
                <w:color w:val="auto"/>
                <w:w w:val="99"/>
              </w:rPr>
              <w:t>forward contracts</w:t>
            </w:r>
            <w:r>
              <w:rPr>
                <w:rFonts w:ascii="Arial" w:cs="Arial" w:eastAsia="Arial" w:hAnsi="Arial"/>
                <w:sz w:val="22"/>
                <w:szCs w:val="22"/>
                <w:color w:val="auto"/>
                <w:w w:val="99"/>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640" w:type="dxa"/>
            <w:vAlign w:val="bottom"/>
            <w:gridSpan w:val="3"/>
            <w:shd w:val="clear" w:color="auto" w:fill="CCEEFF"/>
          </w:tcPr>
          <w:p>
            <w:pPr>
              <w:ind w:left="60"/>
              <w:spacing w:after="0" w:line="173" w:lineRule="exact"/>
              <w:rPr>
                <w:sz w:val="20"/>
                <w:szCs w:val="20"/>
                <w:color w:val="auto"/>
              </w:rPr>
            </w:pPr>
            <w:r>
              <w:rPr>
                <w:rFonts w:ascii="Arial" w:cs="Arial" w:eastAsia="Arial" w:hAnsi="Arial"/>
                <w:sz w:val="18"/>
                <w:szCs w:val="18"/>
                <w:color w:val="auto"/>
              </w:rPr>
              <w:t>Commodity</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 w:type="dxa"/>
            <w:vAlign w:val="bottom"/>
            <w:tcBorders>
              <w:left w:val="single" w:sz="8" w:color="CCEEFF"/>
              <w:right w:val="single" w:sz="8" w:color="CCEEFF"/>
            </w:tcBorders>
            <w:shd w:val="clear" w:color="auto" w:fill="CCEEFF"/>
          </w:tcPr>
          <w:p>
            <w:pPr>
              <w:spacing w:after="0"/>
              <w:rPr>
                <w:sz w:val="20"/>
                <w:szCs w:val="20"/>
                <w:color w:val="auto"/>
              </w:rPr>
            </w:pPr>
          </w:p>
        </w:tc>
        <w:tc>
          <w:tcPr>
            <w:tcW w:w="1640" w:type="dxa"/>
            <w:vAlign w:val="bottom"/>
            <w:gridSpan w:val="3"/>
            <w:shd w:val="clear" w:color="auto" w:fill="CCEEFF"/>
          </w:tcPr>
          <w:p>
            <w:pPr>
              <w:ind w:left="60"/>
              <w:spacing w:after="0" w:line="238" w:lineRule="exact"/>
              <w:rPr>
                <w:sz w:val="20"/>
                <w:szCs w:val="20"/>
                <w:color w:val="auto"/>
              </w:rPr>
            </w:pPr>
            <w:r>
              <w:rPr>
                <w:rFonts w:ascii="Arial" w:cs="Arial" w:eastAsia="Arial" w:hAnsi="Arial"/>
                <w:sz w:val="18"/>
                <w:szCs w:val="18"/>
                <w:color w:val="auto"/>
                <w:w w:val="90"/>
              </w:rPr>
              <w:t>derivative contracts</w:t>
            </w:r>
            <w:r>
              <w:rPr>
                <w:rFonts w:ascii="Arial" w:cs="Arial" w:eastAsia="Arial" w:hAnsi="Arial"/>
                <w:sz w:val="22"/>
                <w:szCs w:val="22"/>
                <w:color w:val="auto"/>
                <w:w w:val="90"/>
                <w:vertAlign w:val="superscript"/>
              </w:rPr>
              <w:t>(2)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640" w:type="dxa"/>
            <w:vAlign w:val="bottom"/>
            <w:gridSpan w:val="3"/>
          </w:tcPr>
          <w:p>
            <w:pPr>
              <w:ind w:left="60"/>
              <w:spacing w:after="0" w:line="173" w:lineRule="exact"/>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640" w:type="dxa"/>
            <w:vAlign w:val="bottom"/>
            <w:gridSpan w:val="3"/>
          </w:tcPr>
          <w:p>
            <w:pPr>
              <w:ind w:left="60"/>
              <w:spacing w:after="0" w:line="172" w:lineRule="exact"/>
              <w:rPr>
                <w:sz w:val="20"/>
                <w:szCs w:val="20"/>
                <w:color w:val="auto"/>
              </w:rPr>
            </w:pPr>
            <w:r>
              <w:rPr>
                <w:rFonts w:ascii="Arial" w:cs="Arial" w:eastAsia="Arial" w:hAnsi="Arial"/>
                <w:sz w:val="18"/>
                <w:szCs w:val="18"/>
                <w:color w:val="auto"/>
              </w:rPr>
              <w:t>compensation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640" w:type="dxa"/>
            <w:vAlign w:val="bottom"/>
            <w:gridSpan w:val="3"/>
          </w:tcPr>
          <w:p>
            <w:pPr>
              <w:ind w:left="60"/>
              <w:spacing w:after="0" w:line="238" w:lineRule="exact"/>
              <w:rPr>
                <w:sz w:val="20"/>
                <w:szCs w:val="20"/>
                <w:color w:val="auto"/>
              </w:rPr>
            </w:pPr>
            <w:r>
              <w:rPr>
                <w:rFonts w:ascii="Arial" w:cs="Arial" w:eastAsia="Arial" w:hAnsi="Arial"/>
                <w:sz w:val="18"/>
                <w:szCs w:val="18"/>
                <w:color w:val="auto"/>
                <w:w w:val="90"/>
              </w:rPr>
              <w:t>derivative contracts</w:t>
            </w:r>
            <w:r>
              <w:rPr>
                <w:rFonts w:ascii="Arial" w:cs="Arial" w:eastAsia="Arial" w:hAnsi="Arial"/>
                <w:sz w:val="22"/>
                <w:szCs w:val="22"/>
                <w:color w:val="auto"/>
                <w:w w:val="90"/>
                <w:vertAlign w:val="superscript"/>
              </w:rPr>
              <w:t>(3)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640" w:type="dxa"/>
            <w:vAlign w:val="bottom"/>
            <w:gridSpan w:val="3"/>
            <w:shd w:val="clear" w:color="auto" w:fill="CCEEFF"/>
          </w:tcPr>
          <w:p>
            <w:pPr>
              <w:ind w:left="60"/>
              <w:spacing w:after="0" w:line="173" w:lineRule="exact"/>
              <w:rPr>
                <w:sz w:val="20"/>
                <w:szCs w:val="20"/>
                <w:color w:val="auto"/>
              </w:rPr>
            </w:pPr>
            <w:r>
              <w:rPr>
                <w:rFonts w:ascii="Arial" w:cs="Arial" w:eastAsia="Arial" w:hAnsi="Arial"/>
                <w:sz w:val="18"/>
                <w:szCs w:val="18"/>
                <w:color w:val="auto"/>
              </w:rPr>
              <w:t>Deferred</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640" w:type="dxa"/>
            <w:vAlign w:val="bottom"/>
            <w:gridSpan w:val="3"/>
            <w:shd w:val="clear" w:color="auto" w:fill="CCEEFF"/>
          </w:tcPr>
          <w:p>
            <w:pPr>
              <w:ind w:left="60"/>
              <w:spacing w:after="0" w:line="172" w:lineRule="exact"/>
              <w:rPr>
                <w:sz w:val="20"/>
                <w:szCs w:val="20"/>
                <w:color w:val="auto"/>
              </w:rPr>
            </w:pPr>
            <w:r>
              <w:rPr>
                <w:rFonts w:ascii="Arial" w:cs="Arial" w:eastAsia="Arial" w:hAnsi="Arial"/>
                <w:sz w:val="18"/>
                <w:szCs w:val="18"/>
                <w:color w:val="auto"/>
              </w:rPr>
              <w:t>compensation</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gridSpan w:val="2"/>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3"/>
            <w:shd w:val="clear" w:color="auto" w:fill="CCEEFF"/>
          </w:tcPr>
          <w:p>
            <w:pPr>
              <w:ind w:left="60"/>
              <w:spacing w:after="0" w:line="224" w:lineRule="exact"/>
              <w:rPr>
                <w:sz w:val="20"/>
                <w:szCs w:val="20"/>
                <w:color w:val="auto"/>
              </w:rPr>
            </w:pPr>
            <w:r>
              <w:rPr>
                <w:rFonts w:ascii="Arial" w:cs="Arial" w:eastAsia="Arial" w:hAnsi="Arial"/>
                <w:sz w:val="18"/>
                <w:szCs w:val="18"/>
                <w:color w:val="auto"/>
              </w:rPr>
              <w:t>investments</w:t>
            </w:r>
            <w:r>
              <w:rPr>
                <w:rFonts w:ascii="Arial" w:cs="Arial" w:eastAsia="Arial" w:hAnsi="Arial"/>
                <w:sz w:val="22"/>
                <w:szCs w:val="22"/>
                <w:color w:val="auto"/>
                <w:vertAlign w:val="superscript"/>
              </w:rPr>
              <w:t>(4)</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tcBorders>
              <w:bottom w:val="single" w:sz="8" w:color="CCEEFF"/>
            </w:tcBorders>
            <w:gridSpan w:val="2"/>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80" w:type="dxa"/>
            <w:vAlign w:val="bottom"/>
            <w:gridSpan w:val="6"/>
          </w:tcPr>
          <w:p>
            <w:pPr>
              <w:ind w:left="20"/>
              <w:spacing w:after="0"/>
              <w:rPr>
                <w:sz w:val="20"/>
                <w:szCs w:val="20"/>
                <w:color w:val="auto"/>
              </w:rPr>
            </w:pPr>
            <w:r>
              <w:rPr>
                <w:rFonts w:ascii="Arial" w:cs="Arial" w:eastAsia="Arial" w:hAnsi="Arial"/>
                <w:sz w:val="18"/>
                <w:szCs w:val="18"/>
                <w:color w:val="auto"/>
                <w:w w:val="87"/>
              </w:rPr>
              <w:t xml:space="preserve">Total assets at fair value </w:t>
            </w:r>
            <w:r>
              <w:rPr>
                <w:rFonts w:ascii="Arial" w:cs="Arial" w:eastAsia="Arial" w:hAnsi="Arial"/>
                <w:sz w:val="18"/>
                <w:szCs w:val="18"/>
                <w:b w:val="1"/>
                <w:bCs w:val="1"/>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1"/>
          </w:tcPr>
          <w:p>
            <w:pPr>
              <w:jc w:val="center"/>
              <w:ind w:left="477"/>
              <w:spacing w:after="0"/>
              <w:rPr>
                <w:sz w:val="20"/>
                <w:szCs w:val="20"/>
                <w:color w:val="auto"/>
              </w:rPr>
            </w:pPr>
            <w:r>
              <w:rPr>
                <w:rFonts w:ascii="Arial" w:cs="Arial" w:eastAsia="Arial" w:hAnsi="Arial"/>
                <w:sz w:val="14"/>
                <w:szCs w:val="14"/>
                <w:b w:val="1"/>
                <w:bCs w:val="1"/>
                <w:color w:val="auto"/>
                <w:w w:val="92"/>
              </w:rPr>
              <w:t>Fair Value Measurements at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10"/>
          </w:tcPr>
          <w:p>
            <w:pPr>
              <w:jc w:val="center"/>
              <w:ind w:left="477"/>
              <w:spacing w:after="0"/>
              <w:rPr>
                <w:sz w:val="20"/>
                <w:szCs w:val="20"/>
                <w:color w:val="auto"/>
              </w:rPr>
            </w:pPr>
            <w:r>
              <w:rPr>
                <w:rFonts w:ascii="Arial" w:cs="Arial" w:eastAsia="Arial" w:hAnsi="Arial"/>
                <w:sz w:val="14"/>
                <w:szCs w:val="14"/>
                <w:b w:val="1"/>
                <w:bCs w:val="1"/>
                <w:color w:val="auto"/>
                <w:w w:val="92"/>
              </w:rPr>
              <w:t>Fair Value Measurements at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93"/>
              </w:rPr>
              <w:t>April 30, 2023 Using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6"/>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July 31, 2022 Using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8"/>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7"/>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April 30, 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July 31, 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80" w:type="dxa"/>
            <w:vAlign w:val="bottom"/>
            <w:tcBorders>
              <w:right w:val="single" w:sz="8" w:color="CCEEFF"/>
            </w:tcBorders>
          </w:tcPr>
          <w:p>
            <w:pPr>
              <w:spacing w:after="0"/>
              <w:rPr>
                <w:sz w:val="14"/>
                <w:szCs w:val="14"/>
                <w:color w:val="auto"/>
              </w:rPr>
            </w:pPr>
          </w:p>
        </w:tc>
        <w:tc>
          <w:tcPr>
            <w:tcW w:w="1640" w:type="dxa"/>
            <w:vAlign w:val="bottom"/>
            <w:tcBorders>
              <w:top w:val="single" w:sz="8" w:color="CCEEFF"/>
            </w:tcBorders>
            <w:gridSpan w:val="3"/>
            <w:shd w:val="clear" w:color="auto" w:fill="CCEEFF"/>
          </w:tcPr>
          <w:p>
            <w:pPr>
              <w:spacing w:after="0" w:line="171" w:lineRule="exact"/>
              <w:rPr>
                <w:sz w:val="20"/>
                <w:szCs w:val="20"/>
                <w:color w:val="auto"/>
              </w:rPr>
            </w:pPr>
            <w:r>
              <w:rPr>
                <w:rFonts w:ascii="Arial" w:cs="Arial" w:eastAsia="Arial" w:hAnsi="Arial"/>
                <w:sz w:val="18"/>
                <w:szCs w:val="18"/>
                <w:color w:val="auto"/>
              </w:rPr>
              <w:t>Liabilities</w:t>
            </w: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 w:type="dxa"/>
            <w:vAlign w:val="bottom"/>
            <w:tcBorders>
              <w:right w:val="single" w:sz="8" w:color="CCEEFF"/>
            </w:tcBorders>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Pr>
          <w:p>
            <w:pPr>
              <w:spacing w:after="0"/>
              <w:rPr>
                <w:sz w:val="15"/>
                <w:szCs w:val="15"/>
                <w:color w:val="auto"/>
              </w:rPr>
            </w:pPr>
          </w:p>
        </w:tc>
        <w:tc>
          <w:tcPr>
            <w:tcW w:w="1640" w:type="dxa"/>
            <w:vAlign w:val="bottom"/>
            <w:gridSpan w:val="3"/>
          </w:tcPr>
          <w:p>
            <w:pPr>
              <w:ind w:left="120"/>
              <w:spacing w:after="0" w:line="173" w:lineRule="exact"/>
              <w:rPr>
                <w:sz w:val="20"/>
                <w:szCs w:val="20"/>
                <w:color w:val="auto"/>
              </w:rPr>
            </w:pPr>
            <w:r>
              <w:rPr>
                <w:rFonts w:ascii="Arial" w:cs="Arial" w:eastAsia="Arial" w:hAnsi="Arial"/>
                <w:sz w:val="18"/>
                <w:szCs w:val="18"/>
                <w:color w:val="auto"/>
              </w:rPr>
              <w:t>Commodity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64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derivative</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14"/>
                <w:szCs w:val="14"/>
                <w:color w:val="auto"/>
              </w:rPr>
            </w:pPr>
          </w:p>
        </w:tc>
        <w:tc>
          <w:tcPr>
            <w:tcW w:w="3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360" w:type="dxa"/>
            <w:vAlign w:val="bottom"/>
            <w:gridSpan w:val="4"/>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4"/>
                <w:szCs w:val="14"/>
                <w:color w:val="auto"/>
              </w:rPr>
            </w:pPr>
          </w:p>
        </w:tc>
        <w:tc>
          <w:tcPr>
            <w:tcW w:w="3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640" w:type="dxa"/>
            <w:vAlign w:val="bottom"/>
            <w:gridSpan w:val="3"/>
          </w:tcPr>
          <w:p>
            <w:pPr>
              <w:ind w:left="120"/>
              <w:spacing w:after="0" w:line="238"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(2)</w:t>
            </w:r>
          </w:p>
        </w:tc>
        <w:tc>
          <w:tcPr>
            <w:tcW w:w="16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60" w:type="dxa"/>
            <w:vAlign w:val="bottom"/>
            <w:gridSpan w:val="4"/>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4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60" w:type="dxa"/>
            <w:vAlign w:val="bottom"/>
            <w:gridSpan w:val="4"/>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0" w:type="dxa"/>
            <w:vAlign w:val="bottom"/>
            <w:tcBorders>
              <w:right w:val="single" w:sz="8" w:color="CCEEFF"/>
            </w:tcBorders>
          </w:tcPr>
          <w:p>
            <w:pPr>
              <w:spacing w:after="0"/>
              <w:rPr>
                <w:sz w:val="15"/>
                <w:szCs w:val="15"/>
                <w:color w:val="auto"/>
              </w:rPr>
            </w:pPr>
          </w:p>
        </w:tc>
        <w:tc>
          <w:tcPr>
            <w:tcW w:w="1640" w:type="dxa"/>
            <w:vAlign w:val="bottom"/>
            <w:gridSpan w:val="3"/>
            <w:shd w:val="clear" w:color="auto" w:fill="CCEEFF"/>
          </w:tcPr>
          <w:p>
            <w:pPr>
              <w:ind w:left="120"/>
              <w:spacing w:after="0" w:line="173" w:lineRule="exact"/>
              <w:rPr>
                <w:sz w:val="20"/>
                <w:szCs w:val="20"/>
                <w:color w:val="auto"/>
              </w:rPr>
            </w:pPr>
            <w:r>
              <w:rPr>
                <w:rFonts w:ascii="Arial" w:cs="Arial" w:eastAsia="Arial" w:hAnsi="Arial"/>
                <w:sz w:val="18"/>
                <w:szCs w:val="18"/>
                <w:color w:val="auto"/>
              </w:rPr>
              <w:t>Deferred</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Borders>
              <w:right w:val="single" w:sz="8" w:color="CCEEFF"/>
            </w:tcBorders>
          </w:tcPr>
          <w:p>
            <w:pPr>
              <w:spacing w:after="0"/>
              <w:rPr>
                <w:sz w:val="14"/>
                <w:szCs w:val="14"/>
                <w:color w:val="auto"/>
              </w:rPr>
            </w:pPr>
          </w:p>
        </w:tc>
        <w:tc>
          <w:tcPr>
            <w:tcW w:w="16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compensation</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0" w:type="dxa"/>
            <w:vAlign w:val="bottom"/>
            <w:tcBorders>
              <w:right w:val="single" w:sz="8" w:color="CCEEFF"/>
            </w:tcBorders>
          </w:tcPr>
          <w:p>
            <w:pPr>
              <w:spacing w:after="0"/>
              <w:rPr>
                <w:sz w:val="15"/>
                <w:szCs w:val="15"/>
                <w:color w:val="auto"/>
              </w:rPr>
            </w:pPr>
          </w:p>
        </w:tc>
        <w:tc>
          <w:tcPr>
            <w:tcW w:w="1640" w:type="dxa"/>
            <w:vAlign w:val="bottom"/>
            <w:gridSpan w:val="3"/>
            <w:shd w:val="clear" w:color="auto" w:fill="CCEEFF"/>
          </w:tcPr>
          <w:p>
            <w:pPr>
              <w:ind w:left="120"/>
              <w:spacing w:after="0" w:line="178" w:lineRule="exact"/>
              <w:rPr>
                <w:sz w:val="20"/>
                <w:szCs w:val="20"/>
                <w:color w:val="auto"/>
              </w:rPr>
            </w:pPr>
            <w:r>
              <w:rPr>
                <w:rFonts w:ascii="Arial" w:cs="Arial" w:eastAsia="Arial" w:hAnsi="Arial"/>
                <w:sz w:val="18"/>
                <w:szCs w:val="18"/>
                <w:color w:val="auto"/>
              </w:rPr>
              <w:t>derivative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 w:type="dxa"/>
            <w:vAlign w:val="bottom"/>
            <w:tcBorders>
              <w:right w:val="single" w:sz="8" w:color="CCEEFF"/>
            </w:tcBorders>
          </w:tcPr>
          <w:p>
            <w:pPr>
              <w:spacing w:after="0"/>
              <w:rPr>
                <w:sz w:val="20"/>
                <w:szCs w:val="20"/>
                <w:color w:val="auto"/>
              </w:rPr>
            </w:pPr>
          </w:p>
        </w:tc>
        <w:tc>
          <w:tcPr>
            <w:tcW w:w="1640" w:type="dxa"/>
            <w:vAlign w:val="bottom"/>
            <w:gridSpan w:val="3"/>
            <w:shd w:val="clear" w:color="auto" w:fill="CCEEFF"/>
          </w:tcPr>
          <w:p>
            <w:pPr>
              <w:ind w:left="120"/>
              <w:spacing w:after="0" w:line="231"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640" w:type="dxa"/>
            <w:vAlign w:val="bottom"/>
            <w:gridSpan w:val="3"/>
          </w:tcPr>
          <w:p>
            <w:pPr>
              <w:ind w:left="120"/>
              <w:spacing w:after="0" w:line="173" w:lineRule="exact"/>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640" w:type="dxa"/>
            <w:vAlign w:val="bottom"/>
            <w:gridSpan w:val="3"/>
          </w:tcPr>
          <w:p>
            <w:pPr>
              <w:ind w:left="120"/>
              <w:spacing w:after="0" w:line="178" w:lineRule="exact"/>
              <w:rPr>
                <w:sz w:val="20"/>
                <w:szCs w:val="20"/>
                <w:color w:val="auto"/>
              </w:rPr>
            </w:pPr>
            <w:r>
              <w:rPr>
                <w:rFonts w:ascii="Arial" w:cs="Arial" w:eastAsia="Arial" w:hAnsi="Arial"/>
                <w:sz w:val="18"/>
                <w:szCs w:val="18"/>
                <w:color w:val="auto"/>
              </w:rPr>
              <w:t>compensation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4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640" w:type="dxa"/>
            <w:vAlign w:val="bottom"/>
            <w:gridSpan w:val="3"/>
          </w:tcPr>
          <w:p>
            <w:pPr>
              <w:ind w:left="120"/>
              <w:spacing w:after="0" w:line="219" w:lineRule="exact"/>
              <w:rPr>
                <w:sz w:val="20"/>
                <w:szCs w:val="20"/>
                <w:color w:val="auto"/>
              </w:rPr>
            </w:pPr>
            <w:r>
              <w:rPr>
                <w:rFonts w:ascii="Arial" w:cs="Arial" w:eastAsia="Arial" w:hAnsi="Arial"/>
                <w:sz w:val="18"/>
                <w:szCs w:val="18"/>
                <w:color w:val="auto"/>
              </w:rPr>
              <w:t>obligation</w:t>
            </w:r>
            <w:r>
              <w:rPr>
                <w:rFonts w:ascii="Arial" w:cs="Arial" w:eastAsia="Arial" w:hAnsi="Arial"/>
                <w:sz w:val="22"/>
                <w:szCs w:val="22"/>
                <w:color w:val="auto"/>
                <w:vertAlign w:val="superscript"/>
              </w:rPr>
              <w:t>(4)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0" w:type="dxa"/>
            <w:vAlign w:val="bottom"/>
            <w:tcBorders>
              <w:right w:val="single" w:sz="8" w:color="CCEEFF"/>
            </w:tcBorders>
          </w:tcPr>
          <w:p>
            <w:pPr>
              <w:spacing w:after="0"/>
              <w:rPr>
                <w:sz w:val="14"/>
                <w:szCs w:val="14"/>
                <w:color w:val="auto"/>
              </w:rPr>
            </w:pPr>
          </w:p>
        </w:tc>
        <w:tc>
          <w:tcPr>
            <w:tcW w:w="1640" w:type="dxa"/>
            <w:vAlign w:val="bottom"/>
            <w:gridSpan w:val="3"/>
            <w:shd w:val="clear" w:color="auto" w:fill="CCEEFF"/>
          </w:tcPr>
          <w:p>
            <w:pPr>
              <w:spacing w:after="0" w:line="166" w:lineRule="exact"/>
              <w:rPr>
                <w:sz w:val="20"/>
                <w:szCs w:val="20"/>
                <w:color w:val="auto"/>
              </w:rPr>
            </w:pPr>
            <w:r>
              <w:rPr>
                <w:rFonts w:ascii="Arial" w:cs="Arial" w:eastAsia="Arial" w:hAnsi="Arial"/>
                <w:sz w:val="18"/>
                <w:szCs w:val="18"/>
                <w:color w:val="auto"/>
                <w:w w:val="99"/>
              </w:rPr>
              <w:t>Total liabilities at fair</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4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6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0" w:type="dxa"/>
            <w:vAlign w:val="bottom"/>
            <w:tcBorders>
              <w:right w:val="single" w:sz="8" w:color="CCEEFF"/>
            </w:tcBorders>
          </w:tcPr>
          <w:p>
            <w:pPr>
              <w:spacing w:after="0"/>
              <w:rPr>
                <w:sz w:val="20"/>
                <w:szCs w:val="20"/>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w:t>
            </w:r>
          </w:p>
        </w:tc>
        <w:tc>
          <w:tcPr>
            <w:tcW w:w="160" w:type="dxa"/>
            <w:vAlign w:val="bottom"/>
            <w:gridSpan w:val="2"/>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3"/>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gridSpan w:val="4"/>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4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3"/>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gridSpan w:val="4"/>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4" w:lineRule="exact"/>
        <w:rPr>
          <w:sz w:val="20"/>
          <w:szCs w:val="20"/>
          <w:color w:val="auto"/>
        </w:rPr>
      </w:pPr>
    </w:p>
    <w:p>
      <w:pPr>
        <w:ind w:left="320" w:hanging="314"/>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2" w:lineRule="exact"/>
        <w:rPr>
          <w:rFonts w:ascii="Arial" w:cs="Arial" w:eastAsia="Arial" w:hAnsi="Arial"/>
          <w:sz w:val="23"/>
          <w:szCs w:val="23"/>
          <w:color w:val="auto"/>
          <w:vertAlign w:val="superscript"/>
        </w:rPr>
      </w:pPr>
    </w:p>
    <w:p>
      <w:pPr>
        <w:ind w:left="320" w:hanging="314"/>
        <w:spacing w:after="0" w:line="237" w:lineRule="auto"/>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4"/>
        <w:spacing w:after="0" w:line="192"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Based on index swap rates.</w:t>
      </w:r>
    </w:p>
    <w:p>
      <w:pPr>
        <w:spacing w:after="0" w:line="3"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9" w:name="page20"/>
    <w:bookmarkEnd w:id="19"/>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changes in fair value of Level 3 assets and liabilities for the nine-month periods ended April 30, 2023, and May 1,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6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center"/>
              <w:ind w:left="798"/>
              <w:spacing w:after="0"/>
              <w:rPr>
                <w:sz w:val="20"/>
                <w:szCs w:val="20"/>
                <w:color w:val="auto"/>
              </w:rPr>
            </w:pPr>
            <w:r>
              <w:rPr>
                <w:rFonts w:ascii="Arial" w:cs="Arial" w:eastAsia="Arial" w:hAnsi="Arial"/>
                <w:sz w:val="18"/>
                <w:szCs w:val="18"/>
                <w:b w:val="1"/>
                <w:bCs w:val="1"/>
                <w:color w:val="auto"/>
                <w:w w:val="79"/>
              </w:rPr>
              <w:t>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140" w:type="dxa"/>
            <w:vAlign w:val="bottom"/>
          </w:tcPr>
          <w:p>
            <w:pPr>
              <w:spacing w:after="0"/>
              <w:rPr>
                <w:sz w:val="19"/>
                <w:szCs w:val="19"/>
                <w:color w:val="auto"/>
              </w:rPr>
            </w:pPr>
          </w:p>
        </w:tc>
        <w:tc>
          <w:tcPr>
            <w:tcW w:w="1120" w:type="dxa"/>
            <w:vAlign w:val="bottom"/>
          </w:tcPr>
          <w:p>
            <w:pPr>
              <w:jc w:val="center"/>
              <w:ind w:left="798"/>
              <w:spacing w:after="0"/>
              <w:rPr>
                <w:sz w:val="20"/>
                <w:szCs w:val="20"/>
                <w:color w:val="auto"/>
              </w:rPr>
            </w:pPr>
            <w:r>
              <w:rPr>
                <w:rFonts w:ascii="Arial" w:cs="Arial" w:eastAsia="Arial" w:hAnsi="Arial"/>
                <w:sz w:val="18"/>
                <w:szCs w:val="18"/>
                <w:b w:val="1"/>
                <w:bCs w:val="1"/>
                <w:color w:val="auto"/>
                <w:w w:val="79"/>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778"/>
              <w:spacing w:after="0"/>
              <w:rPr>
                <w:sz w:val="20"/>
                <w:szCs w:val="20"/>
                <w:color w:val="auto"/>
              </w:rPr>
            </w:pPr>
            <w:r>
              <w:rPr>
                <w:rFonts w:ascii="Arial" w:cs="Arial" w:eastAsia="Arial" w:hAnsi="Arial"/>
                <w:sz w:val="18"/>
                <w:szCs w:val="18"/>
                <w:b w:val="1"/>
                <w:bCs w:val="1"/>
                <w:color w:val="auto"/>
                <w:w w:val="99"/>
              </w:rPr>
              <w:t>(4)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8600" w:type="dxa"/>
            <w:vAlign w:val="bottom"/>
          </w:tcPr>
          <w:p>
            <w:pPr>
              <w:ind w:left="20"/>
              <w:spacing w:after="0" w:line="204" w:lineRule="exact"/>
              <w:rPr>
                <w:sz w:val="20"/>
                <w:szCs w:val="20"/>
                <w:color w:val="auto"/>
              </w:rPr>
            </w:pPr>
            <w:r>
              <w:rPr>
                <w:rFonts w:ascii="Arial" w:cs="Arial" w:eastAsia="Arial" w:hAnsi="Arial"/>
                <w:sz w:val="18"/>
                <w:szCs w:val="18"/>
                <w:color w:val="auto"/>
              </w:rPr>
              <w:t>Fair value at end of quarter</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center"/>
              <w:ind w:left="798"/>
              <w:spacing w:after="0"/>
              <w:rPr>
                <w:sz w:val="20"/>
                <w:szCs w:val="20"/>
                <w:color w:val="auto"/>
              </w:rPr>
            </w:pPr>
            <w:r>
              <w:rPr>
                <w:rFonts w:ascii="Arial" w:cs="Arial" w:eastAsia="Arial" w:hAnsi="Arial"/>
                <w:sz w:val="18"/>
                <w:szCs w:val="18"/>
                <w:b w:val="1"/>
                <w:bCs w:val="1"/>
                <w:color w:val="auto"/>
                <w:w w:val="79"/>
              </w:rPr>
              <w:t>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$9 million of cash equivalents at April 30, 2023, and $27 million at July 31, 2022. Cash equivalents represent fair value as these highly liquid investments have an original maturity of three months or less. Fair value of cash equivalents is based on Level 2 inputs.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short- and long-term debt was $4.459 billion at April 30, 2023, and $4.637 billion at July 31, 2022. The carrying value was $4.759 billion at April 30, 2023, and $4.81 billion at July 31, 2022. The fair value of long-term debt is principally estimated using Level 2 inputs based on quoted market prices or pricing models using current market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Repurchases</w:t>
      </w:r>
    </w:p>
    <w:p>
      <w:pPr>
        <w:spacing w:after="0" w:line="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5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6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nine-month period ended April 30, 2023, we repurchased 2.692 million shares at a cost of $141 million. Of this amount, $67 million was used to repurchase shares pursuant to our June 2021 program and $74 million was used to repurchase shares pursuant to our September 2021 program. As of April 30, 2023, approximately $104 million remained available under the June 2021 program and approximately $301 million remained available under the September 2021 program. During the nine-month period ended May 1, 2022, we repurchased approximately 2.7 million shares at a cost of $116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2023, we issued time-lapse restricted stock units, unrestricted stock, TSR performance restricted stock units and EPS performance restricted stock units. We last issued stock options and FCF performance restricted stock units in 2019.</w:t>
      </w:r>
    </w:p>
    <w:p>
      <w:pPr>
        <w:spacing w:after="0" w:line="4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4"/>
          </w:tcPr>
          <w:p>
            <w:pPr>
              <w:jc w:val="right"/>
              <w:ind w:right="61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48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April 30, 2023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May 1, 2022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7"/>
              </w:rPr>
              <w:t>April 30,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
              <w:spacing w:after="0"/>
              <w:rPr>
                <w:sz w:val="20"/>
                <w:szCs w:val="20"/>
                <w:color w:val="auto"/>
              </w:rPr>
            </w:pPr>
            <w:r>
              <w:rPr>
                <w:rFonts w:ascii="Arial" w:cs="Arial" w:eastAsia="Arial" w:hAnsi="Arial"/>
                <w:sz w:val="18"/>
                <w:szCs w:val="18"/>
                <w:b w:val="1"/>
                <w:bCs w:val="1"/>
                <w:color w:val="auto"/>
              </w:rPr>
              <w:t>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843"/>
        </w:trPr>
        <w:tc>
          <w:tcPr>
            <w:tcW w:w="448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color w:val="auto"/>
        </w:rPr>
        <w:t>The following table summarizes stock option activity as of April 30,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406"/>
              <w:spacing w:after="0" w:line="146"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1040" w:type="dxa"/>
            <w:vAlign w:val="bottom"/>
          </w:tcPr>
          <w:p>
            <w:pPr>
              <w:jc w:val="center"/>
              <w:ind w:left="406"/>
              <w:spacing w:after="0" w:line="142"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223"/>
              <w:spacing w:after="0" w:line="142"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6"/>
        </w:trPr>
        <w:tc>
          <w:tcPr>
            <w:tcW w:w="472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9"/>
              </w:rPr>
              <w:t>(Options in</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3"/>
              <w:spacing w:after="0" w:line="137" w:lineRule="exact"/>
              <w:rPr>
                <w:sz w:val="20"/>
                <w:szCs w:val="20"/>
                <w:color w:val="auto"/>
              </w:rPr>
            </w:pPr>
            <w:r>
              <w:rPr>
                <w:rFonts w:ascii="Arial" w:cs="Arial" w:eastAsia="Arial" w:hAnsi="Arial"/>
                <w:sz w:val="14"/>
                <w:szCs w:val="14"/>
                <w:b w:val="1"/>
                <w:bCs w:val="1"/>
                <w:color w:val="auto"/>
                <w:w w:val="97"/>
              </w:rPr>
              <w:t>(Millions)</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July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160" w:type="dxa"/>
            <w:vAlign w:val="bottom"/>
            <w:gridSpan w:val="2"/>
            <w:shd w:val="clear" w:color="auto" w:fill="CCEEFF"/>
          </w:tcPr>
          <w:p>
            <w:pPr>
              <w:jc w:val="right"/>
              <w:ind w:right="86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46.04</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160" w:type="dxa"/>
            <w:vAlign w:val="bottom"/>
            <w:gridSpan w:val="2"/>
            <w:shd w:val="clear" w:color="auto" w:fill="CCEEFF"/>
          </w:tcPr>
          <w:p>
            <w:pPr>
              <w:jc w:val="right"/>
              <w:ind w:right="86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48.33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Terminated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86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April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44.77</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Exercisable at April 30, 2023</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1520" w:type="dxa"/>
            <w:vAlign w:val="bottom"/>
          </w:tcPr>
          <w:p>
            <w:pPr>
              <w:jc w:val="right"/>
              <w:spacing w:after="0" w:line="198" w:lineRule="exact"/>
              <w:rPr>
                <w:sz w:val="20"/>
                <w:szCs w:val="20"/>
                <w:color w:val="auto"/>
              </w:rPr>
            </w:pPr>
            <w:r>
              <w:rPr>
                <w:rFonts w:ascii="Arial" w:cs="Arial" w:eastAsia="Arial" w:hAnsi="Arial"/>
                <w:sz w:val="18"/>
                <w:szCs w:val="18"/>
                <w:color w:val="auto"/>
              </w:rPr>
              <w:t>833</w:t>
            </w:r>
          </w:p>
        </w:tc>
        <w:tc>
          <w:tcPr>
            <w:tcW w:w="1160" w:type="dxa"/>
            <w:vAlign w:val="bottom"/>
            <w:gridSpan w:val="2"/>
          </w:tcPr>
          <w:p>
            <w:pPr>
              <w:jc w:val="right"/>
              <w:ind w:right="866"/>
              <w:spacing w:after="0" w:line="198"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8" w:lineRule="exact"/>
              <w:rPr>
                <w:sz w:val="20"/>
                <w:szCs w:val="20"/>
                <w:color w:val="auto"/>
              </w:rPr>
            </w:pPr>
            <w:r>
              <w:rPr>
                <w:rFonts w:ascii="Arial" w:cs="Arial" w:eastAsia="Arial" w:hAnsi="Arial"/>
                <w:sz w:val="18"/>
                <w:szCs w:val="18"/>
                <w:color w:val="auto"/>
                <w:w w:val="88"/>
              </w:rPr>
              <w:t>44.77</w:t>
            </w:r>
          </w:p>
        </w:tc>
        <w:tc>
          <w:tcPr>
            <w:tcW w:w="164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4.5</w:t>
            </w:r>
          </w:p>
        </w:tc>
        <w:tc>
          <w:tcPr>
            <w:tcW w:w="400" w:type="dxa"/>
            <w:vAlign w:val="bottom"/>
            <w:gridSpan w:val="2"/>
          </w:tcPr>
          <w:p>
            <w:pPr>
              <w:jc w:val="right"/>
              <w:ind w:right="92"/>
              <w:spacing w:after="0" w:line="198"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
              <w:spacing w:after="0" w:line="198"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total intrinsic value of options exercised during the nine-month period ended April 30, 2023 was $3 million. The total intrinsic value of options exercised during the nine-month period ended May 1, 2022 was not material. We measured the fair value of stock options using the Black-Scholes option pricing model.</w:t>
      </w:r>
    </w:p>
    <w:p>
      <w:pPr>
        <w:spacing w:after="0" w:line="5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April 30,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4"/>
                <w:szCs w:val="14"/>
                <w:color w:val="auto"/>
              </w:rPr>
            </w:pPr>
          </w:p>
        </w:tc>
        <w:tc>
          <w:tcPr>
            <w:tcW w:w="17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89"/>
        </w:trPr>
        <w:tc>
          <w:tcPr>
            <w:tcW w:w="758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35"/>
        </w:trPr>
        <w:tc>
          <w:tcPr>
            <w:tcW w:w="758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(Restricted stock</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units 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July 31, 2022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3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1,198</w:t>
            </w:r>
          </w:p>
        </w:tc>
        <w:tc>
          <w:tcPr>
            <w:tcW w:w="3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4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April 30, 2023</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6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2023 and 2022, we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563 thousand EPS performance target grants outstanding at April 30, 2023, with a weighted-average grant-date fair value of $44.33.</w:t>
      </w:r>
    </w:p>
    <w:p>
      <w:pPr>
        <w:spacing w:after="0" w:line="3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2019, we issued approximately 388 thousand FCF performance restricted stock units for which vesting was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would vest at the end of the three years. The actual number of FCF performance restricted stock units issued at the vesting date could have ranged from 0% to 200% of the initial grant depending on actual performance achieved. The fair value of FCF performance restricted stock units was based upon the quoted price of our stock at the date of grant. We expensed FCF performance restricted stock units over the requisite service period of each objective. We estimated expense based on the number of awards expected to vest.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As of October 31, 2021, there were no FCF performance target grants outstanding.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1" w:name="page22"/>
    <w:bookmarkEnd w:id="21"/>
    <w:p>
      <w:pPr>
        <w:jc w:val="both"/>
        <w:ind w:firstLine="318"/>
        <w:spacing w:after="0" w:line="271" w:lineRule="auto"/>
        <w:rPr>
          <w:sz w:val="20"/>
          <w:szCs w:val="20"/>
          <w:color w:val="auto"/>
        </w:rPr>
      </w:pPr>
      <w:r>
        <w:rPr>
          <w:rFonts w:ascii="Arial" w:cs="Arial" w:eastAsia="Arial" w:hAnsi="Arial"/>
          <w:sz w:val="17"/>
          <w:szCs w:val="17"/>
          <w:color w:val="auto"/>
        </w:rPr>
        <w:t>As of April 30, 2023, total remaining unearned compensation related to nonvested time-lapse restricted stock units and EPS performance restricted stock units was $51 million, which will be amortized over the weighted-average remaining service period of 1.8 years. The fair value of restricted stock units vested during the nine-month periods ended April 30, 2023, and May 1, 2022, was $36 million and $50 million, respectively. The weighted-average grant-date fair value of the restricted stock units granted during the nine-month period ended May 1, 2022 was $41.94.</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TSR performance restricted stock units as of April 30,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Weighted-Average Grant-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8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w w:val="96"/>
              </w:rPr>
              <w:t>Date 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780" w:type="dxa"/>
            <w:vAlign w:val="bottom"/>
          </w:tcPr>
          <w:p>
            <w:pPr>
              <w:spacing w:after="0"/>
              <w:rPr>
                <w:sz w:val="10"/>
                <w:szCs w:val="10"/>
                <w:color w:val="auto"/>
              </w:rPr>
            </w:pPr>
          </w:p>
        </w:tc>
        <w:tc>
          <w:tcPr>
            <w:tcW w:w="168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88"/>
              </w:rPr>
              <w:t>(Restricted stock</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780" w:type="dxa"/>
            <w:vAlign w:val="bottom"/>
          </w:tcPr>
          <w:p>
            <w:pPr>
              <w:spacing w:after="0"/>
              <w:rPr>
                <w:sz w:val="16"/>
                <w:szCs w:val="16"/>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July 31, 2022</w:t>
            </w:r>
          </w:p>
        </w:tc>
        <w:tc>
          <w:tcPr>
            <w:tcW w:w="1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
              <w:spacing w:after="0"/>
              <w:rPr>
                <w:sz w:val="20"/>
                <w:szCs w:val="20"/>
                <w:color w:val="auto"/>
              </w:rPr>
            </w:pPr>
            <w:r>
              <w:rPr>
                <w:rFonts w:ascii="Arial" w:cs="Arial" w:eastAsia="Arial" w:hAnsi="Arial"/>
                <w:sz w:val="18"/>
                <w:szCs w:val="18"/>
                <w:color w:val="auto"/>
              </w:rPr>
              <w:t>53.74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51.69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April 30, 2023</w:t>
            </w:r>
          </w:p>
        </w:tc>
        <w:tc>
          <w:tcPr>
            <w:tcW w:w="168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560" w:type="dxa"/>
            <w:vAlign w:val="bottom"/>
            <w:gridSpan w:val="4"/>
          </w:tcPr>
          <w:p>
            <w:pPr>
              <w:ind w:left="320"/>
              <w:spacing w:after="0"/>
              <w:rPr>
                <w:sz w:val="20"/>
                <w:szCs w:val="20"/>
                <w:color w:val="auto"/>
              </w:rPr>
            </w:pPr>
            <w:r>
              <w:rPr>
                <w:rFonts w:ascii="Arial" w:cs="Arial" w:eastAsia="Arial" w:hAnsi="Arial"/>
                <w:sz w:val="18"/>
                <w:szCs w:val="18"/>
                <w:color w:val="auto"/>
                <w:w w:val="97"/>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780" w:type="dxa"/>
            <w:vAlign w:val="bottom"/>
          </w:tcPr>
          <w:p>
            <w:pPr>
              <w:ind w:left="320"/>
              <w:spacing w:after="0"/>
              <w:rPr>
                <w:sz w:val="20"/>
                <w:szCs w:val="20"/>
                <w:color w:val="auto"/>
              </w:rPr>
            </w:pPr>
            <w:r>
              <w:rPr>
                <w:rFonts w:ascii="Arial" w:cs="Arial" w:eastAsia="Arial" w:hAnsi="Arial"/>
                <w:sz w:val="18"/>
                <w:szCs w:val="18"/>
                <w:color w:val="auto"/>
              </w:rPr>
              <w:t>Weighted-average assumptions used in the Monte Carlo simulation were as follows:</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3"/>
            <w:shd w:val="clear" w:color="auto" w:fill="CCEEFF"/>
          </w:tcPr>
          <w:p>
            <w:pPr>
              <w:jc w:val="center"/>
              <w:ind w:left="997"/>
              <w:spacing w:after="0"/>
              <w:rPr>
                <w:sz w:val="20"/>
                <w:szCs w:val="20"/>
                <w:color w:val="auto"/>
              </w:rPr>
            </w:pPr>
            <w:r>
              <w:rPr>
                <w:rFonts w:ascii="Arial" w:cs="Arial" w:eastAsia="Arial" w:hAnsi="Arial"/>
                <w:sz w:val="18"/>
                <w:szCs w:val="18"/>
                <w:b w:val="1"/>
                <w:bCs w:val="1"/>
                <w:color w:val="auto"/>
                <w:w w:val="97"/>
              </w:rPr>
              <w:t>4.29%</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0"/>
              </w:rPr>
              <w:t>0.46%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3"/>
          </w:tcPr>
          <w:p>
            <w:pPr>
              <w:jc w:val="center"/>
              <w:ind w:left="997"/>
              <w:spacing w:after="0"/>
              <w:rPr>
                <w:sz w:val="20"/>
                <w:szCs w:val="20"/>
                <w:color w:val="auto"/>
              </w:rPr>
            </w:pPr>
            <w:r>
              <w:rPr>
                <w:rFonts w:ascii="Arial" w:cs="Arial" w:eastAsia="Arial" w:hAnsi="Arial"/>
                <w:sz w:val="18"/>
                <w:szCs w:val="18"/>
                <w:b w:val="1"/>
                <w:bCs w:val="1"/>
                <w:color w:val="auto"/>
                <w:w w:val="97"/>
              </w:rPr>
              <w:t>3.09%</w:t>
            </w:r>
          </w:p>
        </w:tc>
        <w:tc>
          <w:tcPr>
            <w:tcW w:w="300" w:type="dxa"/>
            <w:vAlign w:val="bottom"/>
          </w:tcPr>
          <w:p>
            <w:pPr>
              <w:spacing w:after="0"/>
              <w:rPr>
                <w:sz w:val="19"/>
                <w:szCs w:val="19"/>
                <w:color w:val="auto"/>
              </w:rPr>
            </w:pPr>
          </w:p>
        </w:tc>
        <w:tc>
          <w:tcPr>
            <w:tcW w:w="1360" w:type="dxa"/>
            <w:vAlign w:val="bottom"/>
            <w:gridSpan w:val="2"/>
          </w:tcPr>
          <w:p>
            <w:pPr>
              <w:jc w:val="center"/>
              <w:ind w:left="54"/>
              <w:spacing w:after="0"/>
              <w:rPr>
                <w:sz w:val="20"/>
                <w:szCs w:val="20"/>
                <w:color w:val="auto"/>
              </w:rPr>
            </w:pPr>
            <w:r>
              <w:rPr>
                <w:rFonts w:ascii="Arial" w:cs="Arial" w:eastAsia="Arial" w:hAnsi="Arial"/>
                <w:sz w:val="18"/>
                <w:szCs w:val="18"/>
                <w:color w:val="auto"/>
                <w:w w:val="90"/>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3"/>
            <w:shd w:val="clear" w:color="auto" w:fill="CCEEFF"/>
          </w:tcPr>
          <w:p>
            <w:pPr>
              <w:jc w:val="center"/>
              <w:ind w:left="997"/>
              <w:spacing w:after="0"/>
              <w:rPr>
                <w:sz w:val="20"/>
                <w:szCs w:val="20"/>
                <w:color w:val="auto"/>
              </w:rPr>
            </w:pPr>
            <w:r>
              <w:rPr>
                <w:rFonts w:ascii="Arial" w:cs="Arial" w:eastAsia="Arial" w:hAnsi="Arial"/>
                <w:sz w:val="18"/>
                <w:szCs w:val="18"/>
                <w:b w:val="1"/>
                <w:bCs w:val="1"/>
                <w:color w:val="auto"/>
                <w:w w:val="94"/>
              </w:rPr>
              <w:t>26.40%</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8"/>
              </w:rPr>
              <w:t>27.42%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800" w:type="dxa"/>
            <w:vAlign w:val="bottom"/>
          </w:tcPr>
          <w:p>
            <w:pPr>
              <w:spacing w:after="0"/>
              <w:rPr>
                <w:sz w:val="19"/>
                <w:szCs w:val="19"/>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b w:val="1"/>
                <w:bCs w:val="1"/>
                <w:color w:val="auto"/>
                <w:w w:val="96"/>
              </w:rPr>
              <w:t>3 years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281"/>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recognize compensation expense on a straight-line basis over the service period, except for awards issued to retirement eligible participants, which we expense on an accelerated basis. As of April 30, 2023, total remaining unearned compensation related to TSR performance restricted stock units was $16 million, which will be amortized over the weighted-average remaining service period of 1.7 years. In the first quarter of 2023, recipients of TSR performance restricted stock units earned 100% of the initial grants based upon our TSR ranking in a performance peer group during a three-year period ended July 29, 2022. In the first quarter of 2022, recipients of TSR performance restricted stock units earned 75% of the initial grants based upon our TSR ranking in a performance peer group during a three-year period ended July 30, 2021. The fair value of TSR performance restricted stock units vested during the nine-month periods ended April 30, 2023, and May 1, 2022, was $21 million and $8 million, respectively. The weighted-average grant-date fair value of the TSR performance restricted stock units granted during the nine-month period ended May 1, 2022, was $45.54.</w:t>
      </w:r>
    </w:p>
    <w:p>
      <w:pPr>
        <w:spacing w:after="0" w:line="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tax benefits on the exercise of stock options in the nine-month period ended April 30, 2023 were $1 million. The tax benefits on the exercise of stock options in the nine-month period ended May 1, 2022 were not material. Cash received from the exercise of stock options was $22 million and $1 million for the nine-month periods ended April 30, 2023, and May 1, 2022, respectively, and is reflected in cash flows from financing activities in the Consolidated Statements of Cash Flows.</w:t>
      </w:r>
    </w:p>
    <w:p>
      <w:pPr>
        <w:spacing w:after="0" w:line="158" w:lineRule="exact"/>
        <w:rPr>
          <w:sz w:val="20"/>
          <w:szCs w:val="20"/>
          <w:color w:val="auto"/>
        </w:rPr>
      </w:pPr>
    </w:p>
    <w:p>
      <w:pPr>
        <w:ind w:right="8460" w:firstLine="6"/>
        <w:spacing w:after="0" w:line="418" w:lineRule="auto"/>
        <w:tabs>
          <w:tab w:leader="none" w:pos="265"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Regulatory and Litigation Matters</w:t>
      </w:r>
    </w:p>
    <w:p>
      <w:pPr>
        <w:spacing w:after="0" w:line="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also subject to the uncertainty of how opposing parties and their counsel will themselves view the relevant evidence and applicable law.</w:t>
      </w:r>
    </w:p>
    <w:p>
      <w:pPr>
        <w:spacing w:after="0" w:line="8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30, 2023.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April 30,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Financial Statement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w w:val="94"/>
              </w:rPr>
              <w:t>July 31, 2022</w:t>
            </w:r>
          </w:p>
        </w:tc>
        <w:tc>
          <w:tcPr>
            <w:tcW w:w="0" w:type="dxa"/>
            <w:vAlign w:val="bottom"/>
          </w:tcPr>
          <w:p>
            <w:pPr>
              <w:spacing w:after="0"/>
              <w:rPr>
                <w:sz w:val="1"/>
                <w:szCs w:val="1"/>
                <w:color w:val="auto"/>
              </w:rPr>
            </w:pPr>
          </w:p>
        </w:tc>
      </w:tr>
      <w:tr>
        <w:trPr>
          <w:trHeight w:val="24"/>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i w:val="1"/>
                <w:iCs w:val="1"/>
                <w:color w:val="auto"/>
              </w:rPr>
              <w:t>Balance Sheets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7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 containers and supplies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Finished products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6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b w:val="1"/>
                <w:bCs w:val="1"/>
                <w:color w:val="auto"/>
              </w:rPr>
              <w:t>May 1, 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May 1, 2022</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Statements of Earnings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w:t>
            </w: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Net periodic benefit expense (income) other than the service cost</w:t>
            </w:r>
          </w:p>
        </w:tc>
        <w:tc>
          <w:tcPr>
            <w:tcW w:w="16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8"/>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w w:val="99"/>
              </w:rPr>
              <w:t>(1)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23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w:t>
            </w:r>
          </w:p>
        </w:tc>
        <w:tc>
          <w:tcPr>
            <w:tcW w:w="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May 30, 2023, we sold our Emerald nuts business for $40 million, subject to certain post-closing adjustments. We expect to recognize an after-tax loss on the sale of approximately $15 million as the carrying value of the disposal group will include allocated goodwill. In connection with the sale, we will provide certain transition services to support the business.</w:t>
      </w:r>
    </w:p>
    <w:p>
      <w:pPr>
        <w:spacing w:after="0" w:line="6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business had net sales of $16 million and $46 million for the three- and nine-month periods ended April 30, 2023, and $17 million and $49 million for the three- and nine-month periods ended May 1, 2022, respectively. The business had net sales of $66 million for the year ended July 31, 2022. Earnings were not material in the periods. The results of the business through the date of sale are reflected within the Snacks reportable segment.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3" w:name="page24"/>
    <w:bookmarkEnd w:id="23"/>
    <w:p>
      <w:pPr>
        <w:ind w:right="4120"/>
        <w:spacing w:after="0" w:line="349"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firstLine="318"/>
        <w:spacing w:after="0" w:line="252"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31, 2022, including but not limited to "Part I - Item 1A. Risk Factors" and "Part II - Item 7. 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0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61" w:lineRule="exact"/>
        <w:rPr>
          <w:sz w:val="20"/>
          <w:szCs w:val="20"/>
          <w:color w:val="auto"/>
        </w:rPr>
      </w:pPr>
    </w:p>
    <w:p>
      <w:pPr>
        <w:jc w:val="both"/>
        <w:ind w:firstLine="318"/>
        <w:spacing w:after="0" w:line="350" w:lineRule="auto"/>
        <w:rPr>
          <w:sz w:val="20"/>
          <w:szCs w:val="20"/>
          <w:color w:val="auto"/>
        </w:rPr>
      </w:pPr>
      <w:r>
        <w:rPr>
          <w:rFonts w:ascii="Arial" w:cs="Arial" w:eastAsia="Arial" w:hAnsi="Arial"/>
          <w:sz w:val="15"/>
          <w:szCs w:val="15"/>
          <w:color w:val="auto"/>
        </w:rPr>
        <w:t>On May 30, 2023, we sold our Emerald nuts business for $40 million, subject to certain post-closing adjustments. The results of the business through the date of sale are reflected within the Snacks reportable segment. See Note 17 to the Consolidated Financial Statements for additional information.</w:t>
      </w:r>
    </w:p>
    <w:p>
      <w:pPr>
        <w:spacing w:after="0"/>
        <w:rPr>
          <w:sz w:val="20"/>
          <w:szCs w:val="20"/>
          <w:color w:val="auto"/>
        </w:rPr>
      </w:pPr>
      <w:r>
        <w:rPr>
          <w:rFonts w:ascii="Arial" w:cs="Arial" w:eastAsia="Arial" w:hAnsi="Arial"/>
          <w:sz w:val="18"/>
          <w:szCs w:val="18"/>
          <w:i w:val="1"/>
          <w:iCs w:val="1"/>
          <w:color w:val="auto"/>
        </w:rPr>
        <w:t>Business Trends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been actively monitoring the impact of the dynamic macroeconomic environment, including input cost inflation, the conflict between Russia and Ukraine and the COVID-19 pandemic, on all aspects of our business.</w:t>
      </w:r>
    </w:p>
    <w:p>
      <w:pPr>
        <w:spacing w:after="0" w:line="48"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We anticipate that 2023 will continue to be a dynamic macroeconomic environment and we expect elevated levels of input cost inflation to persist throughout 2023. We will continue to take actions to mitigate a portion of this inflationary pressure, but we do not expect such benefits will fully offset the incremental costs in 2023.</w:t>
      </w:r>
    </w:p>
    <w:p>
      <w:pPr>
        <w:spacing w:after="0" w:line="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While we as a North American focused company have no direct exposure to Russia and Ukraine, we have experienced volatility in costs due, in part, to the negative impact of the Russia-Ukraine conflict on the global economy. To date, the conflict between Russia and Ukraine has not had any material impact on our business, financial condition or results of operations.</w:t>
      </w:r>
    </w:p>
    <w:p>
      <w:pPr>
        <w:spacing w:after="0" w:line="6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There still remains uncertainty around the COVID-19 pandemic. The ultimate impact depends on the severity and duration of the pandemic, including the emergence and spread of new COVID-19 variants and resurgences, the continued availability and effectiveness of vaccines and actions taken by government authorities and other third parties in response to the pandemic. We will continue to evaluate the extent to which the COVID-19 pandemic impacts our business, consolidated results of operations and financial condition.</w:t>
      </w:r>
    </w:p>
    <w:p>
      <w:pPr>
        <w:spacing w:after="0" w:line="58"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Net periodic pension and postretirement benefit income excluding any actuarial losses or gains is estimated to be approximately $45 million lower in 2023. The decrease in 2023 is due to increases in discount rates used to determine the benefit obligations and a decline in the market value of plan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85" w:lineRule="exact"/>
        <w:rPr>
          <w:sz w:val="20"/>
          <w:szCs w:val="20"/>
          <w:color w:val="auto"/>
        </w:rPr>
      </w:pPr>
    </w:p>
    <w:p>
      <w:pPr>
        <w:ind w:left="640" w:hanging="316"/>
        <w:spacing w:after="0" w:line="359" w:lineRule="auto"/>
        <w:tabs>
          <w:tab w:leader="none" w:pos="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Net sales increased 5% in the quarter to $2.229 billion. Favorable inflation-driven net price realization was partially offset by expected volume/mix declines, which were driven by lapping prior year retailer inventory rebuild as well as lower volume consumption due to elasticities.</w:t>
      </w:r>
    </w:p>
    <w:p>
      <w:pPr>
        <w:jc w:val="both"/>
        <w:ind w:left="640" w:hanging="316"/>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as a percent of sales, was 30.0% in 2023 compared to 31.2% in the prior-year quarter. The decrease was primarily due to unfavorable volume/mix, with favorable net price realization and supply chain productivity improvements more than offsetting higher cost inflation and other supply chain costs.</w:t>
      </w:r>
    </w:p>
    <w:p>
      <w:pPr>
        <w:spacing w:after="0" w:line="6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per share were $.53 in 2023, compared to $.62 a year ago. The current quarter included expenses of $.15 per share and the prior-year quarter included expenses of $.08 per share from items impacting comparability as discussed below.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302" w:lineRule="auto"/>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implemented several cost savings initiatives in recent years. In the third quarter of 2023, we recorded Restructuring charges of $6 million and implementation costs and other related costs of $13 million in Administrative expenses, $12 million in Cost of products sold and $2 million in Research and development expenses (aggregate impact of $24 million after tax, or $.08 per share) related to these initiatives. Year-to-date in 2023, we recorded Restructuring charges of $15 million and implementation costs and other related costs of $21 million in Administrative expenses, $12 million in Cost of products sold and $2 million in Research and development expenses (aggregate impact of $37 million after tax, or $.12 per share) related to these initiatives. In the third quarter of 2022, we recorded implementation costs and other related costs of $5 million in Administrative expenses and $1 million in Cost of products sold (aggregate impact of $5 million after tax, or $.02 per share) related to these initiatives. Year-to-date in 2022, we recorded implementation costs and other related costs of $10 million in Administrative expenses and $5 million in Cost of products sold (aggregate impact of $12 million after tax, or $.04 per share) related to these initiatives. See Note 6 to the Consolidated Financial Statements and "Restructuring Charges and Cost Savings Initiatives" for additional information;</w:t>
      </w:r>
    </w:p>
    <w:p>
      <w:pPr>
        <w:sectPr>
          <w:pgSz w:w="11900" w:h="16838" w:orient="portrait"/>
          <w:cols w:equalWidth="0" w:num="1">
            <w:col w:w="11240"/>
          </w:cols>
          <w:pgMar w:left="320" w:top="975" w:right="339" w:bottom="1440" w:gutter="0" w:footer="0" w:header="0"/>
        </w:sectPr>
      </w:pPr>
    </w:p>
    <w:p>
      <w:pPr>
        <w:spacing w:after="0" w:line="3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third quarter of 2023, we recognized actuarial losses in Other expenses / (income) of $17 million ($13 million after tax, or $.04 per share). Year-to-date in 2023, we recognized actuarial losses in Other expenses / (income) of $26 million ($20 million after tax, or $.07 per share). In the third quarter of 2022, we recognized actuarial losses in Other expenses / (income) of $16 million ($12 million after tax, or $.04 per share). Year-to-date in 2022, we recognized actuarial losses in Other expenses / (income) of $12 million ($9 million after tax, or $.03 per share). The actuarial losses related to interim remeasurements of certain pension plans due to lump sum distributions that exceeded or are expected to exceed service and interest costs resulting in settlement accounting for the plans;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third quarter of 2023, we recognized losses in Cost of products sold of $9 million ($7 million after tax, or $.02 per share) associated with unrealized mark-to-market adjustments on outstanding undesignated commodity hedges. Year-to-date in 2023, we recognized losses in Cost of products sold of $9 million ($7 million after tax, or $.02 per share) associated with unrealized mark-to-market adjustments on outstanding undesignated commodity hedges. In the third quarter of 2022, we recognized losses in Cost of products sold of $5 million ($4 million after tax, or $.01 per share) associated with unrealized mark-to-market adjustments on outstanding undesignated commodity hedges. Year-to-date in 2022, we recognized losses in Cost of products sold of $8 million ($6 million after tax, or $.02 per share) associated with unrealized mark-to-market adjustments on outstanding undesignated commodity hedges; and</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2022, we recorded a loss in Interest expense of $4 million ($3 million after tax, or $.01 per share) on the extinguishment of debt.</w:t>
      </w:r>
    </w:p>
    <w:p>
      <w:pPr>
        <w:spacing w:after="0" w:line="61" w:lineRule="exact"/>
        <w:rPr>
          <w:sz w:val="20"/>
          <w:szCs w:val="20"/>
          <w:color w:val="auto"/>
        </w:rPr>
      </w:pPr>
    </w:p>
    <w:p>
      <w:pPr>
        <w:sectPr>
          <w:pgSz w:w="11900" w:h="16838" w:orient="portrait"/>
          <w:cols w:equalWidth="0" w:num="2">
            <w:col w:w="360" w:space="280"/>
            <w:col w:w="10600"/>
          </w:cols>
          <w:pgMar w:left="320" w:top="975" w:right="33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The items impacting comparability are summarized below: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0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earnings attributable to Campbell Soup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63" w:lineRule="exact"/>
        <w:rPr>
          <w:sz w:val="20"/>
          <w:szCs w:val="20"/>
          <w:color w:val="auto"/>
        </w:rPr>
      </w:pPr>
    </w:p>
    <w:p>
      <w:pPr>
        <w:ind w:left="20" w:right="1420"/>
        <w:spacing w:after="0" w:line="268" w:lineRule="auto"/>
        <w:rPr>
          <w:sz w:val="20"/>
          <w:szCs w:val="20"/>
          <w:color w:val="auto"/>
        </w:rPr>
      </w:pPr>
      <w:r>
        <w:rPr>
          <w:rFonts w:ascii="Arial" w:cs="Arial" w:eastAsia="Arial" w:hAnsi="Arial"/>
          <w:sz w:val="18"/>
          <w:szCs w:val="18"/>
          <w:color w:val="auto"/>
        </w:rPr>
        <w:t>Restructuring charges, implementation costs and other related costs Pension actuarial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Commodity mark-to-market losses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on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16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items on Net earnings</w:t>
      </w:r>
      <w:r>
        <w:rPr>
          <w:rFonts w:ascii="Arial" w:cs="Arial" w:eastAsia="Arial" w:hAnsi="Arial"/>
          <w:sz w:val="22"/>
          <w:szCs w:val="22"/>
          <w:color w:val="auto"/>
          <w:vertAlign w:val="superscript"/>
        </w:rPr>
        <w:t>(1)</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47"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Sum of the individual amounts may not add due to rounding.</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May 1, 2022</w:t>
            </w:r>
          </w:p>
        </w:tc>
      </w:tr>
      <w:tr>
        <w:trPr>
          <w:trHeight w:val="176"/>
        </w:trPr>
        <w:tc>
          <w:tcPr>
            <w:tcW w:w="180" w:type="dxa"/>
            <w:vAlign w:val="bottom"/>
          </w:tcPr>
          <w:p>
            <w:pPr>
              <w:spacing w:after="0"/>
              <w:rPr>
                <w:sz w:val="15"/>
                <w:szCs w:val="15"/>
                <w:color w:val="auto"/>
              </w:rPr>
            </w:pPr>
          </w:p>
        </w:tc>
        <w:tc>
          <w:tcPr>
            <w:tcW w:w="82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EPS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3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EPS</w:t>
            </w:r>
          </w:p>
        </w:tc>
      </w:tr>
      <w:tr>
        <w:trPr>
          <w:trHeight w:val="184"/>
        </w:trPr>
        <w:tc>
          <w:tcPr>
            <w:tcW w:w="180" w:type="dxa"/>
            <w:vAlign w:val="bottom"/>
          </w:tcPr>
          <w:p>
            <w:pPr>
              <w:spacing w:after="0"/>
              <w:rPr>
                <w:sz w:val="15"/>
                <w:szCs w:val="15"/>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Impact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Impact</w:t>
            </w:r>
          </w:p>
        </w:tc>
      </w:tr>
      <w:tr>
        <w:trPr>
          <w:trHeight w:val="24"/>
        </w:trPr>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95"/>
              </w:rPr>
              <w:t>.62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6"/>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336"/>
              <w:spacing w:after="0"/>
              <w:rPr>
                <w:sz w:val="20"/>
                <w:szCs w:val="20"/>
                <w:color w:val="auto"/>
              </w:rPr>
            </w:pPr>
            <w:r>
              <w:rPr>
                <w:rFonts w:ascii="Arial" w:cs="Arial" w:eastAsia="Arial" w:hAnsi="Arial"/>
                <w:sz w:val="18"/>
                <w:szCs w:val="18"/>
                <w:color w:val="auto"/>
                <w:w w:val="91"/>
              </w:rPr>
              <w:t>(.02)</w:t>
            </w:r>
          </w:p>
        </w:tc>
      </w:tr>
      <w:tr>
        <w:trPr>
          <w:trHeight w:val="234"/>
        </w:trPr>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left="336"/>
              <w:spacing w:after="0"/>
              <w:rPr>
                <w:sz w:val="20"/>
                <w:szCs w:val="20"/>
                <w:color w:val="auto"/>
              </w:rPr>
            </w:pPr>
            <w:r>
              <w:rPr>
                <w:rFonts w:ascii="Arial" w:cs="Arial" w:eastAsia="Arial" w:hAnsi="Arial"/>
                <w:sz w:val="18"/>
                <w:szCs w:val="18"/>
                <w:color w:val="auto"/>
                <w:w w:val="91"/>
              </w:rPr>
              <w:t>(.04)</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center"/>
              <w:ind w:left="336"/>
              <w:spacing w:after="0"/>
              <w:rPr>
                <w:sz w:val="20"/>
                <w:szCs w:val="20"/>
                <w:color w:val="auto"/>
              </w:rPr>
            </w:pPr>
            <w:r>
              <w:rPr>
                <w:rFonts w:ascii="Arial" w:cs="Arial" w:eastAsia="Arial" w:hAnsi="Arial"/>
                <w:sz w:val="18"/>
                <w:szCs w:val="18"/>
                <w:color w:val="auto"/>
                <w:w w:val="91"/>
              </w:rPr>
              <w:t>(.01)</w:t>
            </w:r>
          </w:p>
        </w:tc>
      </w:tr>
      <w:tr>
        <w:trPr>
          <w:trHeight w:val="230"/>
        </w:trPr>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(.01)</w:t>
            </w:r>
          </w:p>
        </w:tc>
      </w:tr>
      <w:tr>
        <w:trPr>
          <w:trHeight w:val="219"/>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336"/>
              <w:spacing w:after="0"/>
              <w:rPr>
                <w:sz w:val="20"/>
                <w:szCs w:val="20"/>
                <w:color w:val="auto"/>
              </w:rPr>
            </w:pPr>
            <w:r>
              <w:rPr>
                <w:rFonts w:ascii="Arial" w:cs="Arial" w:eastAsia="Arial" w:hAnsi="Arial"/>
                <w:sz w:val="18"/>
                <w:szCs w:val="18"/>
                <w:color w:val="auto"/>
                <w:w w:val="91"/>
              </w:rPr>
              <w:t>(.08)</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728" w:lineRule="exact"/>
        <w:rPr>
          <w:sz w:val="20"/>
          <w:szCs w:val="20"/>
          <w:color w:val="auto"/>
        </w:rPr>
      </w:pPr>
    </w:p>
    <w:p>
      <w:pPr>
        <w:sectPr>
          <w:pgSz w:w="11900" w:h="16838" w:orient="portrait"/>
          <w:cols w:equalWidth="0" w:num="2">
            <w:col w:w="6200" w:space="720"/>
            <w:col w:w="4320"/>
          </w:cols>
          <w:pgMar w:left="320" w:top="975" w:right="339"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earnings attributable to Campbell Soup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Restructuring charges, implementation costs and other related costs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Pension actuarial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Commodity mark-to-market losses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on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items on Net earnings</w:t>
      </w:r>
    </w:p>
    <w:p>
      <w:pPr>
        <w:spacing w:after="0" w:line="20" w:lineRule="exact"/>
        <w:rPr>
          <w:sz w:val="20"/>
          <w:szCs w:val="20"/>
          <w:color w:val="auto"/>
        </w:rPr>
      </w:pPr>
      <w:r>
        <w:rPr>
          <w:sz w:val="20"/>
          <w:szCs w:val="20"/>
          <w:color w:val="auto"/>
        </w:rPr>
        <w:br w:type="column"/>
      </w:r>
    </w:p>
    <w:p>
      <w:pPr>
        <w:ind w:left="1560"/>
        <w:spacing w:after="0"/>
        <w:rPr>
          <w:sz w:val="20"/>
          <w:szCs w:val="20"/>
          <w:color w:val="auto"/>
        </w:rPr>
      </w:pPr>
      <w:r>
        <w:rPr>
          <w:rFonts w:ascii="Arial" w:cs="Arial" w:eastAsia="Arial" w:hAnsi="Arial"/>
          <w:sz w:val="14"/>
          <w:szCs w:val="14"/>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May 1, 2022</w:t>
            </w:r>
          </w:p>
        </w:tc>
      </w:tr>
      <w:tr>
        <w:trPr>
          <w:trHeight w:val="170"/>
        </w:trPr>
        <w:tc>
          <w:tcPr>
            <w:tcW w:w="180" w:type="dxa"/>
            <w:vAlign w:val="bottom"/>
          </w:tcPr>
          <w:p>
            <w:pPr>
              <w:spacing w:after="0"/>
              <w:rPr>
                <w:sz w:val="14"/>
                <w:szCs w:val="14"/>
                <w:color w:val="auto"/>
              </w:rPr>
            </w:pPr>
          </w:p>
        </w:tc>
        <w:tc>
          <w:tcPr>
            <w:tcW w:w="82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EPS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EPS</w:t>
            </w:r>
          </w:p>
        </w:tc>
      </w:tr>
      <w:tr>
        <w:trPr>
          <w:trHeight w:val="184"/>
        </w:trPr>
        <w:tc>
          <w:tcPr>
            <w:tcW w:w="180" w:type="dxa"/>
            <w:vAlign w:val="bottom"/>
          </w:tcPr>
          <w:p>
            <w:pPr>
              <w:spacing w:after="0"/>
              <w:rPr>
                <w:sz w:val="15"/>
                <w:szCs w:val="15"/>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Impact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Impact</w:t>
            </w:r>
          </w:p>
        </w:tc>
      </w:tr>
      <w:tr>
        <w:trPr>
          <w:trHeight w:val="24"/>
        </w:trPr>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2.18</w:t>
            </w:r>
          </w:p>
        </w:tc>
      </w:tr>
      <w:tr>
        <w:trPr>
          <w:trHeight w:val="24"/>
        </w:trPr>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52"/>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40"/>
              <w:spacing w:after="0"/>
              <w:rPr>
                <w:sz w:val="20"/>
                <w:szCs w:val="20"/>
                <w:color w:val="auto"/>
              </w:rPr>
            </w:pPr>
            <w:r>
              <w:rPr>
                <w:rFonts w:ascii="Arial" w:cs="Arial" w:eastAsia="Arial" w:hAnsi="Arial"/>
                <w:sz w:val="18"/>
                <w:szCs w:val="18"/>
                <w:color w:val="auto"/>
                <w:w w:val="91"/>
              </w:rPr>
              <w:t>(.04)</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w w:val="91"/>
              </w:rPr>
              <w:t>(.03)</w:t>
            </w:r>
          </w:p>
        </w:tc>
      </w:tr>
      <w:tr>
        <w:trPr>
          <w:trHeight w:val="229"/>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w w:val="91"/>
              </w:rPr>
              <w:t>(.02)</w:t>
            </w:r>
          </w:p>
        </w:tc>
      </w:tr>
      <w:tr>
        <w:trPr>
          <w:trHeight w:val="239"/>
        </w:trPr>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1"/>
              </w:rPr>
              <w:t>(.01)</w:t>
            </w:r>
          </w:p>
        </w:tc>
      </w:tr>
      <w:tr>
        <w:trPr>
          <w:trHeight w:val="219"/>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40"/>
              <w:spacing w:after="0"/>
              <w:rPr>
                <w:sz w:val="20"/>
                <w:szCs w:val="20"/>
                <w:color w:val="auto"/>
              </w:rPr>
            </w:pPr>
            <w:r>
              <w:rPr>
                <w:rFonts w:ascii="Arial" w:cs="Arial" w:eastAsia="Arial" w:hAnsi="Arial"/>
                <w:sz w:val="18"/>
                <w:szCs w:val="18"/>
                <w:color w:val="auto"/>
                <w:w w:val="91"/>
              </w:rPr>
              <w:t>(.10)</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4320"/>
          </w:cols>
          <w:pgMar w:left="320" w:top="912" w:right="339" w:bottom="1440" w:gutter="0" w:footer="0" w:header="0"/>
        </w:sectPr>
      </w:pPr>
    </w:p>
    <w:p>
      <w:pPr>
        <w:spacing w:after="0" w:line="17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Net earnings attributable to Campbell Soup Company were $160 million ($.53 per share) in the current quarter, compared to $188 million ($.62 per share) in the year-ago quarter. After adjusting for items impacting comparability, earnings decreased reflecting higher other expenses and a higher effective tax rate as higher gross profit more than offset higher administrative expenses and higher marketing and selling expenses. Other expenses increased as net periodic pension and postretirement benefit income excluding any actuarial losses was $12 million ($9 million after tax, or $.03 per share) lower in 2023.</w:t>
      </w:r>
    </w:p>
    <w:p>
      <w:pPr>
        <w:spacing w:after="0" w:line="2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Net earnings attributable to Campbell Soup Company were $689 million ($2.29 per share) in the nine-month period this year, compared to $661 million ($2.18 per share) in the year-ago period. After adjusting for items impacting comparability, earnings increased reflecting an improved gross profit, partially offset by higher marketing and selling expenses, higher other expenses, higher administrative expenses and a higher effective tax rate. Earnings per share benefited from a reduction in the weighted average diluted shares outstanding. Net periodic pension and postretirement benefit income excluding any actuarial losses was $37 million ($28 million after tax, or $.09 per share) lower in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net sales by reportable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86"/>
        </w:trPr>
        <w:tc>
          <w:tcPr>
            <w:tcW w:w="74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1, 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40" w:type="dxa"/>
            <w:vAlign w:val="bottom"/>
            <w:tcBorders>
              <w:bottom w:val="single" w:sz="8" w:color="CCEEFF"/>
            </w:tcBorders>
            <w:gridSpan w:val="3"/>
          </w:tcPr>
          <w:p>
            <w:pPr>
              <w:jc w:val="center"/>
              <w:ind w:left="1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9"/>
        </w:trPr>
        <w:tc>
          <w:tcPr>
            <w:tcW w:w="7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w:t>
            </w: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Meals &amp; Beverages</w:t>
            </w:r>
            <w:r>
              <w:rPr>
                <w:rFonts w:ascii="Arial" w:cs="Arial" w:eastAsia="Arial" w:hAnsi="Arial"/>
                <w:sz w:val="18"/>
                <w:szCs w:val="18"/>
                <w:b w:val="1"/>
                <w:bCs w:val="1"/>
                <w:color w:val="auto"/>
                <w:w w:val="89"/>
                <w:vertAlign w:val="superscript"/>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Snacks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1"/>
              </w:rPr>
              <w:t>(11)%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4"/>
              </w:rPr>
              <w:t>(3)%</w:t>
            </w:r>
          </w:p>
        </w:tc>
        <w:tc>
          <w:tcPr>
            <w:tcW w:w="10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5"/>
        </w:trPr>
        <w:tc>
          <w:tcPr>
            <w:tcW w:w="74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Net price realization</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140" w:type="dxa"/>
            <w:vAlign w:val="bottom"/>
          </w:tcPr>
          <w:p>
            <w:pPr>
              <w:jc w:val="center"/>
              <w:ind w:right="96"/>
              <w:spacing w:after="0"/>
              <w:rPr>
                <w:sz w:val="20"/>
                <w:szCs w:val="20"/>
                <w:color w:val="auto"/>
              </w:rPr>
            </w:pPr>
            <w:r>
              <w:rPr>
                <w:rFonts w:ascii="Arial" w:cs="Arial" w:eastAsia="Arial" w:hAnsi="Arial"/>
                <w:sz w:val="18"/>
                <w:szCs w:val="18"/>
                <w:color w:val="auto"/>
                <w:w w:val="79"/>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16"/>
              <w:spacing w:after="0"/>
              <w:rPr>
                <w:sz w:val="20"/>
                <w:szCs w:val="20"/>
                <w:color w:val="auto"/>
              </w:rPr>
            </w:pPr>
            <w:r>
              <w:rPr>
                <w:rFonts w:ascii="Arial" w:cs="Arial" w:eastAsia="Arial" w:hAnsi="Arial"/>
                <w:sz w:val="18"/>
                <w:szCs w:val="18"/>
                <w:color w:val="auto"/>
                <w:w w:val="89"/>
              </w:rPr>
              <w:t>15</w:t>
            </w:r>
          </w:p>
        </w:tc>
        <w:tc>
          <w:tcPr>
            <w:tcW w:w="104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90"/>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9"/>
        </w:trPr>
        <w:tc>
          <w:tcPr>
            <w:tcW w:w="7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6"/>
              <w:spacing w:after="0"/>
              <w:rPr>
                <w:sz w:val="20"/>
                <w:szCs w:val="20"/>
                <w:color w:val="auto"/>
              </w:rPr>
            </w:pPr>
            <w:r>
              <w:rPr>
                <w:rFonts w:ascii="Arial" w:cs="Arial" w:eastAsia="Arial" w:hAnsi="Arial"/>
                <w:sz w:val="18"/>
                <w:szCs w:val="18"/>
                <w:color w:val="auto"/>
                <w:w w:val="94"/>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96"/>
              <w:spacing w:after="0"/>
              <w:rPr>
                <w:sz w:val="20"/>
                <w:szCs w:val="20"/>
                <w:color w:val="auto"/>
              </w:rPr>
            </w:pPr>
            <w:r>
              <w:rPr>
                <w:rFonts w:ascii="Arial" w:cs="Arial" w:eastAsia="Arial" w:hAnsi="Arial"/>
                <w:sz w:val="18"/>
                <w:szCs w:val="18"/>
                <w:color w:val="auto"/>
                <w:w w:val="88"/>
              </w:rPr>
              <w:t>12%</w:t>
            </w:r>
          </w:p>
        </w:tc>
        <w:tc>
          <w:tcPr>
            <w:tcW w:w="104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revenue reductions from trade promotion and consumer coupon redemption programs.</w:t>
      </w:r>
    </w:p>
    <w:p>
      <w:pPr>
        <w:spacing w:after="0" w:line="55"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Meals &amp; Beverages, sales decreased 2% primarily due to declines in U.S. soup and the impact of currency, partially offset by gains in foodservice. The price driven in-market growth was more than offset by an expected decline in volume/mix driven by lapping prior year retailer inventory rebuild as well as lower volume consumption due to elasticities and increased competitive pressure. The retailer inventory impact was most pronounced in U.S. soup, which had a sales decline of 11% in comparison to relatively flat in-market performance.</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In Snacks, sales increased 12% driven by sales of our power brands, which increased 16%. Sales increased due to increases in cookies and crackers, primarily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and in salty snacks, primarily </w:t>
      </w:r>
      <w:r>
        <w:rPr>
          <w:rFonts w:ascii="Arial" w:cs="Arial" w:eastAsia="Arial" w:hAnsi="Arial"/>
          <w:sz w:val="18"/>
          <w:szCs w:val="18"/>
          <w:i w:val="1"/>
          <w:iCs w:val="1"/>
          <w:color w:val="auto"/>
        </w:rPr>
        <w:t>Kettle Brand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type w:val="continuous"/>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 xml:space="preserve">potato chips, </w:t>
      </w:r>
      <w:r>
        <w:rPr>
          <w:rFonts w:ascii="Arial" w:cs="Arial" w:eastAsia="Arial" w:hAnsi="Arial"/>
          <w:sz w:val="18"/>
          <w:szCs w:val="18"/>
          <w:i w:val="1"/>
          <w:iCs w:val="1"/>
          <w:color w:val="auto"/>
        </w:rPr>
        <w:t>Snack Factory</w:t>
      </w:r>
      <w:r>
        <w:rPr>
          <w:rFonts w:ascii="Arial" w:cs="Arial" w:eastAsia="Arial" w:hAnsi="Arial"/>
          <w:sz w:val="18"/>
          <w:szCs w:val="18"/>
          <w:color w:val="auto"/>
        </w:rPr>
        <w:t xml:space="preserve"> pretzel crisps,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 and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pretzels. Sales benefited from favorable net price realization, partially offset by modest volume/mix declines.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Gross profit, defined as Net sales less Cost of products sold, increased by $3 million in 2023 from 2022. As a percent of sales, gross profit was 30.0% in 2023 and 31.2% in 2022.</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120 basis-point decrease in gross profit margin was due to the following factors: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Margin Impact</w:t>
            </w:r>
          </w:p>
        </w:tc>
      </w:tr>
      <w:tr>
        <w:trPr>
          <w:trHeight w:val="224"/>
        </w:trPr>
        <w:tc>
          <w:tcPr>
            <w:tcW w:w="9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(1,090)</w:t>
            </w:r>
          </w:p>
        </w:tc>
      </w:tr>
      <w:tr>
        <w:trPr>
          <w:trHeight w:val="225"/>
        </w:trPr>
        <w:tc>
          <w:tcPr>
            <w:tcW w:w="9960" w:type="dxa"/>
            <w:vAlign w:val="bottom"/>
          </w:tcPr>
          <w:p>
            <w:pPr>
              <w:ind w:left="20"/>
              <w:spacing w:after="0" w:line="225" w:lineRule="exact"/>
              <w:rPr>
                <w:sz w:val="20"/>
                <w:szCs w:val="20"/>
                <w:color w:val="auto"/>
              </w:rPr>
            </w:pPr>
            <w:r>
              <w:rPr>
                <w:rFonts w:ascii="Arial" w:cs="Arial" w:eastAsia="Arial" w:hAnsi="Arial"/>
                <w:sz w:val="18"/>
                <w:szCs w:val="18"/>
                <w:color w:val="auto"/>
              </w:rPr>
              <w:t>Volume/mix</w:t>
            </w:r>
            <w:r>
              <w:rPr>
                <w:rFonts w:ascii="Arial" w:cs="Arial" w:eastAsia="Arial" w:hAnsi="Arial"/>
                <w:sz w:val="22"/>
                <w:szCs w:val="22"/>
                <w:color w:val="auto"/>
                <w:vertAlign w:val="superscript"/>
              </w:rPr>
              <w:t>(2)</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(180)</w:t>
            </w:r>
          </w:p>
        </w:tc>
      </w:tr>
      <w:tr>
        <w:trPr>
          <w:trHeight w:val="238"/>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Higher restructuring-related costs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(50)</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Net price realization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880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320</w:t>
            </w:r>
          </w:p>
        </w:tc>
      </w:tr>
      <w:tr>
        <w:trPr>
          <w:trHeight w:val="218"/>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(120)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2" w:lineRule="exact"/>
        <w:rPr>
          <w:sz w:val="20"/>
          <w:szCs w:val="20"/>
          <w:color w:val="auto"/>
        </w:rPr>
      </w:pPr>
    </w:p>
    <w:p>
      <w:pPr>
        <w:ind w:left="320" w:hanging="314"/>
        <w:spacing w:after="0" w:line="221"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a 10 basis-point impact from the change in unrealized mark-to-market adjustments on outstanding undesignated commodity hedges. Includes the impact of a 50 basis-point benefit in 2022 from the settlement of an insurance claim.</w:t>
      </w:r>
    </w:p>
    <w:p>
      <w:pPr>
        <w:spacing w:after="0" w:line="1"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operating leverage.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and selling expenses as a percent of sales were 8.7% in 2023 compared to 8.8% in 2022. Marketing and selling expenses increased 3% in 2023 from 2022. The increase was primarily due to higher selling expenses (approximately 5 points), partially offset by increased benefits from cost savings initiatives (approximately 3 points). Advertising and consumer promotion expense declined slightly.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Administrative expenses as a percent of sales were 7.5% in 2023 compared to 7.1% in 2022. Administrative expenses increased 11% in 2023 from 2022. The increase was primarily due to higher costs associated with cost savings initiatives (approximately 5 points), higher general administrative costs and inflation (approximately 5 points), higher incentive compensation (approximately 2 points) and higher benefit-related costs (approximately 2 points), partially offset by lower expenses related to the settlement of certain legal claims (approximately 3 points).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expenses were $23 million in 2023 compared to other expenses of $10 million in 2022. Other expenses / (income) in 2023 included pension actuarial losses of $17 million. Other expenses in 2022 included pension actuarial losses of $16 million. Excluding these amounts, the remaining change was primarily due to lower net periodic pension and postretirement benefit income in the current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operating earnings increased 4% in 2023 from 2022.</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operating earnings by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74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April 30, 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May 1, 2022</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220</w:t>
            </w:r>
          </w:p>
        </w:tc>
        <w:tc>
          <w:tcPr>
            <w:tcW w:w="1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127</w:t>
            </w:r>
          </w:p>
        </w:tc>
        <w:tc>
          <w:tcPr>
            <w:tcW w:w="10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361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347</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Corporate income (expense)</w:t>
            </w:r>
          </w:p>
        </w:tc>
        <w:tc>
          <w:tcPr>
            <w:tcW w:w="16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b w:val="1"/>
                <w:bCs w:val="1"/>
                <w:color w:val="auto"/>
              </w:rPr>
              <w:t>254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4"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69" w:lineRule="exact"/>
        <w:rPr>
          <w:sz w:val="20"/>
          <w:szCs w:val="20"/>
          <w:color w:val="auto"/>
        </w:rPr>
      </w:pPr>
    </w:p>
    <w:p>
      <w:pPr>
        <w:ind w:firstLine="318"/>
        <w:spacing w:after="0" w:line="263" w:lineRule="auto"/>
        <w:rPr>
          <w:sz w:val="20"/>
          <w:szCs w:val="20"/>
          <w:color w:val="auto"/>
        </w:rPr>
      </w:pPr>
      <w:r>
        <w:rPr>
          <w:rFonts w:ascii="Arial" w:cs="Arial" w:eastAsia="Arial" w:hAnsi="Arial"/>
          <w:sz w:val="18"/>
          <w:szCs w:val="18"/>
          <w:color w:val="auto"/>
        </w:rPr>
        <w:t>Operating earnings from Meals &amp; Beverages decreased 17%. The decrease was primarily due to lower gross profit with part of the decline due to lapping an insurance settlement in the prior year. Gross profit margin decreased due to unfavorable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volume/mix, with favorable net price realization and supply chain productivity improvements largely offsetting higher cost inflation and other supply chain costs.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Operating earnings from Snacks increased 41%. The increase was primarily due to higher gross profit, partially offset by slightly higher marketing and selling expenses. Gross profit margin increased due to favorable net price realization and supply chain productivity improvements more than offsetting higher cost inflation and other supply chain costs as well as unfavorable volume/mix.</w:t>
      </w:r>
    </w:p>
    <w:p>
      <w:pPr>
        <w:spacing w:after="0" w:line="6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Corporate expense in 2023 included costs of $27 million related to costs savings initiatives, pension actuarial losses of $17 million and unrealized mark-to-market losses on outstanding undesignated commodity hedges of $9 million. Corporate expense in 2022 included pension actuarial losses of $16 million, costs of $6 million related to cost savings initiatives and unrealized mark-to-market losses on outstanding undesignated commodity hedges of $5 million. Excluding these amounts, the remaining increase was primarily due to lower net periodic pension and postretirement benefit income in the current year and higher administrative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of $47 million in 2023 decreased from $51 million in 2022. The decline was primarily due to a loss on extinguishment of debt of $4 million in the prior-year quarter.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effective tax rate was 23.1% in 2023 and 23.0% in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net sales by reportable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6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1, 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24"/>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3,971</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5"/>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39"/>
        </w:trPr>
        <w:tc>
          <w:tcPr>
            <w:tcW w:w="7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7,289</w:t>
            </w:r>
          </w:p>
        </w:tc>
        <w:tc>
          <w:tcPr>
            <w:tcW w:w="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4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Meals &amp; Beverages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Snacks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4"/>
              </w:rPr>
              <w:t>(5)%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94"/>
              </w:rPr>
              <w:t>(1)%</w:t>
            </w:r>
          </w:p>
        </w:tc>
        <w:tc>
          <w:tcPr>
            <w:tcW w:w="10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25"/>
        </w:trPr>
        <w:tc>
          <w:tcPr>
            <w:tcW w:w="74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Net price realization</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120" w:type="dxa"/>
            <w:vAlign w:val="bottom"/>
          </w:tcPr>
          <w:p>
            <w:pPr>
              <w:jc w:val="center"/>
              <w:ind w:right="96"/>
              <w:spacing w:after="0"/>
              <w:rPr>
                <w:sz w:val="20"/>
                <w:szCs w:val="20"/>
                <w:color w:val="auto"/>
              </w:rPr>
            </w:pPr>
            <w:r>
              <w:rPr>
                <w:rFonts w:ascii="Arial" w:cs="Arial" w:eastAsia="Arial" w:hAnsi="Arial"/>
                <w:sz w:val="18"/>
                <w:szCs w:val="18"/>
                <w:color w:val="auto"/>
                <w:w w:val="89"/>
              </w:rPr>
              <w:t>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36"/>
              <w:spacing w:after="0"/>
              <w:rPr>
                <w:sz w:val="20"/>
                <w:szCs w:val="20"/>
                <w:color w:val="auto"/>
              </w:rPr>
            </w:pPr>
            <w:r>
              <w:rPr>
                <w:rFonts w:ascii="Arial" w:cs="Arial" w:eastAsia="Arial" w:hAnsi="Arial"/>
                <w:sz w:val="18"/>
                <w:szCs w:val="18"/>
                <w:color w:val="auto"/>
                <w:w w:val="79"/>
              </w:rPr>
              <w:t>15</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90"/>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right="136"/>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9"/>
        </w:trPr>
        <w:tc>
          <w:tcPr>
            <w:tcW w:w="7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116"/>
              <w:spacing w:after="0"/>
              <w:rPr>
                <w:sz w:val="20"/>
                <w:szCs w:val="20"/>
                <w:color w:val="auto"/>
              </w:rPr>
            </w:pPr>
            <w:r>
              <w:rPr>
                <w:rFonts w:ascii="Arial" w:cs="Arial" w:eastAsia="Arial" w:hAnsi="Arial"/>
                <w:sz w:val="18"/>
                <w:szCs w:val="18"/>
                <w:color w:val="auto"/>
                <w:w w:val="92"/>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36"/>
              <w:spacing w:after="0"/>
              <w:rPr>
                <w:sz w:val="20"/>
                <w:szCs w:val="20"/>
                <w:color w:val="auto"/>
              </w:rPr>
            </w:pPr>
            <w:r>
              <w:rPr>
                <w:rFonts w:ascii="Arial" w:cs="Arial" w:eastAsia="Arial" w:hAnsi="Arial"/>
                <w:sz w:val="18"/>
                <w:szCs w:val="18"/>
                <w:color w:val="auto"/>
                <w:w w:val="88"/>
              </w:rPr>
              <w:t>14%</w:t>
            </w:r>
          </w:p>
        </w:tc>
        <w:tc>
          <w:tcPr>
            <w:tcW w:w="1040" w:type="dxa"/>
            <w:vAlign w:val="bottom"/>
            <w:gridSpan w:val="3"/>
          </w:tcPr>
          <w:p>
            <w:pPr>
              <w:jc w:val="center"/>
              <w:ind w:left="32"/>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revenue reductions from trade promotion and consumer coupon redemption programs.</w:t>
      </w:r>
    </w:p>
    <w:p>
      <w:pPr>
        <w:spacing w:after="0" w:line="3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Meals &amp; Beverages, sales increased 8% primarily due to increases in U.S. retail products, including U.S. soup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as well as gains in foodservice. Favorable net price realization was partially offset by volume/mix declines. Sales of U.S. soup increased 4% primarily due to increases in ready-to-serve soups and broth.</w:t>
      </w:r>
    </w:p>
    <w:p>
      <w:pPr>
        <w:spacing w:after="0" w:line="6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 xml:space="preserve">In Snacks, sales increased 14% driven by sales of our power brands, which increased 19%. Sales increased due to increases in cookies and crackers, primarily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w:t>
      </w:r>
      <w:r>
        <w:rPr>
          <w:rFonts w:ascii="Arial" w:cs="Arial" w:eastAsia="Arial" w:hAnsi="Arial"/>
          <w:sz w:val="17"/>
          <w:szCs w:val="17"/>
          <w:i w:val="1"/>
          <w:iCs w:val="1"/>
          <w:color w:val="auto"/>
        </w:rPr>
        <w:t>Lance</w:t>
      </w:r>
      <w:r>
        <w:rPr>
          <w:rFonts w:ascii="Arial" w:cs="Arial" w:eastAsia="Arial" w:hAnsi="Arial"/>
          <w:sz w:val="17"/>
          <w:szCs w:val="17"/>
          <w:color w:val="auto"/>
        </w:rPr>
        <w:t xml:space="preserve"> sandwich crackers and Pepperidge Farm cookies, and in salty snacks, primarily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pretzels,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and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potato chips and </w:t>
      </w:r>
      <w:r>
        <w:rPr>
          <w:rFonts w:ascii="Arial" w:cs="Arial" w:eastAsia="Arial" w:hAnsi="Arial"/>
          <w:sz w:val="17"/>
          <w:szCs w:val="17"/>
          <w:i w:val="1"/>
          <w:iCs w:val="1"/>
          <w:color w:val="auto"/>
        </w:rPr>
        <w:t>Snack Factory</w:t>
      </w:r>
      <w:r>
        <w:rPr>
          <w:rFonts w:ascii="Arial" w:cs="Arial" w:eastAsia="Arial" w:hAnsi="Arial"/>
          <w:sz w:val="17"/>
          <w:szCs w:val="17"/>
          <w:color w:val="auto"/>
        </w:rPr>
        <w:t xml:space="preserve"> pretzel crisps. Sales benefited from favorable net price realization.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Gross profit, defined as Net sales less Cost of products sold, increased by $205 million in 2023 from 2022. As a percent of sales, gross profit was 31.0% in 2023 and 31.3% in 2022.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8"/>
          <w:szCs w:val="18"/>
          <w:color w:val="auto"/>
        </w:rPr>
        <w:t>The 30 basis-point decrease in gross profit margin was due to the following factors: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Margin Impact</w:t>
            </w:r>
          </w:p>
        </w:tc>
      </w:tr>
      <w:tr>
        <w:trPr>
          <w:trHeight w:val="224"/>
        </w:trPr>
        <w:tc>
          <w:tcPr>
            <w:tcW w:w="9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(1,150)</w:t>
            </w:r>
          </w:p>
        </w:tc>
      </w:tr>
      <w:tr>
        <w:trPr>
          <w:trHeight w:val="225"/>
        </w:trPr>
        <w:tc>
          <w:tcPr>
            <w:tcW w:w="9960" w:type="dxa"/>
            <w:vAlign w:val="bottom"/>
          </w:tcPr>
          <w:p>
            <w:pPr>
              <w:ind w:left="20"/>
              <w:spacing w:after="0" w:line="225" w:lineRule="exact"/>
              <w:rPr>
                <w:sz w:val="20"/>
                <w:szCs w:val="20"/>
                <w:color w:val="auto"/>
              </w:rPr>
            </w:pPr>
            <w:r>
              <w:rPr>
                <w:rFonts w:ascii="Arial" w:cs="Arial" w:eastAsia="Arial" w:hAnsi="Arial"/>
                <w:sz w:val="18"/>
                <w:szCs w:val="18"/>
                <w:color w:val="auto"/>
              </w:rPr>
              <w:t>Volume/mix</w:t>
            </w:r>
            <w:r>
              <w:rPr>
                <w:rFonts w:ascii="Arial" w:cs="Arial" w:eastAsia="Arial" w:hAnsi="Arial"/>
                <w:sz w:val="22"/>
                <w:szCs w:val="22"/>
                <w:color w:val="auto"/>
                <w:vertAlign w:val="superscript"/>
              </w:rPr>
              <w:t>(2)</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(160)</w:t>
            </w:r>
          </w:p>
        </w:tc>
      </w:tr>
      <w:tr>
        <w:trPr>
          <w:trHeight w:val="238"/>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Higher restructuring-related costs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Net price realization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1,020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270</w:t>
            </w:r>
          </w:p>
        </w:tc>
      </w:tr>
      <w:tr>
        <w:trPr>
          <w:trHeight w:val="218"/>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2" w:lineRule="exact"/>
        <w:rPr>
          <w:sz w:val="20"/>
          <w:szCs w:val="20"/>
          <w:color w:val="auto"/>
        </w:rPr>
      </w:pPr>
    </w:p>
    <w:p>
      <w:pPr>
        <w:ind w:left="320" w:hanging="314"/>
        <w:spacing w:after="0" w:line="221"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10 basis points from the benefit of cost savings initiatives, which was more than offset by cost inflation and other factors.</w:t>
      </w:r>
    </w:p>
    <w:p>
      <w:pPr>
        <w:spacing w:after="0" w:line="1"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operating leverage.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Marketing and selling expenses as a percent of sales were 8.4% in 2023 and 2022. Marketing and selling expenses increased 10% in 2023 from 2022. The increase was primarily due to higher advertising and consumer promotion expense (approximately 7 points) and higher selling expenses (approximately 6 points), partially offset by increased benefits from cost savings initiatives (approximately 3 points). The increase in advertising and consumer promotion expense was due in part to moderated levels in the prior year from supply constraints.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Administrative expenses as a percent of sales were 6.7% in 2023 compared to 6.9% in 2022. Administrative expenses increased 7% in 2023 from 2022. The increase was primarily due to higher general administrative costs and inflation (approximately 7 points), higher costs associated with cost savings initiatives (approximately 2 points) and higher incentive compensation (approximately 2 points), partially offset by lower expenses related to the settlement of certain legal claims (approximately 5 points).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expenses were $41 million in 2023 compared to other income of $10 million in 2022. Other expenses in 2023 included pension actuarial losses of $26 million. Other income in 2022 included pension actuarial losses of $12 million. Excluding these amounts, the remaining change was primarily due to lower net periodic pension and postretirement benefit income in the current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operating earnings increased 14% in 2023 from 2022.</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operating earnings by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7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April 30,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May 1, 2022</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762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713</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Snacks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376</w:t>
            </w:r>
          </w:p>
        </w:tc>
        <w:tc>
          <w:tcPr>
            <w:tcW w:w="10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1,244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1,089</w:t>
            </w:r>
          </w:p>
        </w:tc>
        <w:tc>
          <w:tcPr>
            <w:tcW w:w="1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Corporate income (expense)</w:t>
            </w:r>
          </w:p>
        </w:tc>
        <w:tc>
          <w:tcPr>
            <w:tcW w:w="1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1,040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74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4"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6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Operating earnings from Meals &amp; Beverages increased 7%. The increase was primarily due to higher gross profit, partially offset by higher marketing and selling expenses. Gross profit margin decreased due to unfavorable volume/mix, with favorable net price realization and supply chain productivity improvements more than offsetting higher cost inflation and other supply chain costs.</w:t>
      </w:r>
    </w:p>
    <w:p>
      <w:pPr>
        <w:spacing w:after="0" w:line="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Operating earnings from Snacks increased 28%. The increase was primarily due to higher gross profit, partially offset by higher marketing and selling expenses. Gross profit margin increased due to favorable net price realization and supply chain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productivity improvements, partially offset by higher cost inflation and other supply chain costs as well as unfavorable volume/mix.</w:t>
      </w:r>
    </w:p>
    <w:p>
      <w:pPr>
        <w:spacing w:after="0" w:line="85"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Corporate expense in 2023 included costs of $35 million related to costs savings initiatives, pension actuarial losses of $26 million and unrealized mark-to-market losses on outstanding undesignated commodity hedges of $9 million. Corporate expense in 2022 included costs of $15 million related to cost savings initiatives, pension actuarial losses of $12 million and unrealized mark-to-market losses on outstanding undesignated commodity hedges of $8 million. Excluding these amounts, the remaining increase was primarily due to lower net periodic pension and postretirement benefit income in the current year and higher administrative expenses.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of $139 million in 2023 decreased from $144 million in 2022 primarily due to a loss on extinguishment of debt of $4 million in the prior year.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effective tax rate was 23.7% in 2023 and 22.2% in 2022. The increase in the effective tax rate was primarily due to the benefit from the favorable resolution of several tax matters and state tax law changes in 2022.</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years, we expanded these initiatives by continuing to optimize our supply chain and manufacturing networks, as well as our information technology infrastructure.</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pre-tax charges recognized in the Consolidated Statements of Earnings related to these initiatives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1"/>
                <w:szCs w:val="11"/>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April 30, 2023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May 1, 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April 30, 2023</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May 1, 2022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right"/>
              <w:ind w:right="14"/>
              <w:spacing w:after="0" w:line="137" w:lineRule="exact"/>
              <w:rPr>
                <w:sz w:val="20"/>
                <w:szCs w:val="20"/>
                <w:color w:val="auto"/>
              </w:rPr>
            </w:pPr>
            <w:r>
              <w:rPr>
                <w:rFonts w:ascii="Arial" w:cs="Arial" w:eastAsia="Arial" w:hAnsi="Arial"/>
                <w:sz w:val="14"/>
                <w:szCs w:val="14"/>
                <w:b w:val="1"/>
                <w:bCs w:val="1"/>
                <w:color w:val="auto"/>
                <w:w w:val="94"/>
              </w:rPr>
              <w:t>Recognized as of April</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30, 2023</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120" w:type="dxa"/>
            <w:vAlign w:val="bottom"/>
            <w:gridSpan w:val="2"/>
            <w:shd w:val="clear" w:color="auto" w:fill="CCEEFF"/>
          </w:tcPr>
          <w:p>
            <w:pPr>
              <w:jc w:val="right"/>
              <w:ind w:right="84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line="204" w:lineRule="exact"/>
              <w:rPr>
                <w:sz w:val="20"/>
                <w:szCs w:val="20"/>
                <w:color w:val="auto"/>
              </w:rPr>
            </w:pPr>
            <w:r>
              <w:rPr>
                <w:rFonts w:ascii="Arial" w:cs="Arial" w:eastAsia="Arial" w:hAnsi="Arial"/>
                <w:sz w:val="18"/>
                <w:szCs w:val="18"/>
                <w:color w:val="auto"/>
              </w:rPr>
              <w:t>Total pre-tax charges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120" w:type="dxa"/>
            <w:vAlign w:val="bottom"/>
            <w:gridSpan w:val="2"/>
          </w:tcPr>
          <w:p>
            <w:pPr>
              <w:jc w:val="right"/>
              <w:ind w:right="84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42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line="204" w:lineRule="exact"/>
              <w:rPr>
                <w:sz w:val="20"/>
                <w:szCs w:val="20"/>
                <w:color w:val="auto"/>
              </w:rPr>
            </w:pPr>
            <w:r>
              <w:rPr>
                <w:rFonts w:ascii="Arial" w:cs="Arial" w:eastAsia="Arial" w:hAnsi="Arial"/>
                <w:sz w:val="18"/>
                <w:szCs w:val="18"/>
                <w:color w:val="auto"/>
              </w:rPr>
              <w:t>Aggregate after-tax impact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120" w:type="dxa"/>
            <w:vAlign w:val="bottom"/>
            <w:gridSpan w:val="2"/>
          </w:tcPr>
          <w:p>
            <w:pPr>
              <w:jc w:val="right"/>
              <w:ind w:right="84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Per share impact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120" w:type="dxa"/>
            <w:vAlign w:val="bottom"/>
            <w:gridSpan w:val="2"/>
            <w:shd w:val="clear" w:color="auto" w:fill="CCEEFF"/>
          </w:tcPr>
          <w:p>
            <w:pPr>
              <w:jc w:val="right"/>
              <w:ind w:right="84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933"/>
              <w:spacing w:after="0"/>
              <w:rPr>
                <w:sz w:val="20"/>
                <w:szCs w:val="20"/>
                <w:color w:val="auto"/>
              </w:rPr>
            </w:pPr>
            <w:r>
              <w:rPr>
                <w:rFonts w:ascii="Arial" w:cs="Arial" w:eastAsia="Arial" w:hAnsi="Arial"/>
                <w:sz w:val="18"/>
                <w:szCs w:val="18"/>
                <w:color w:val="auto"/>
                <w:w w:val="79"/>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5"/>
          <w:szCs w:val="15"/>
          <w:color w:val="auto"/>
        </w:rPr>
        <w:t>A summary of the pre-tax costs associated with these initiatives is as follows: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01205"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1205" cy="15113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Severance pay and benefits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01205"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Implementation costs and other related costs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54"/>
        <w:spacing w:after="0"/>
        <w:rPr>
          <w:sz w:val="20"/>
          <w:szCs w:val="20"/>
          <w:color w:val="auto"/>
        </w:rPr>
      </w:pPr>
      <w:r>
        <w:rPr>
          <w:rFonts w:ascii="Arial" w:cs="Arial" w:eastAsia="Arial" w:hAnsi="Arial"/>
          <w:sz w:val="12"/>
          <w:szCs w:val="12"/>
          <w:b w:val="1"/>
          <w:bCs w:val="1"/>
          <w:color w:val="auto"/>
        </w:rPr>
        <w:t>Recognized as of April</w:t>
      </w:r>
    </w:p>
    <w:p>
      <w:pPr>
        <w:spacing w:after="0" w:line="11" w:lineRule="exact"/>
        <w:rPr>
          <w:sz w:val="20"/>
          <w:szCs w:val="20"/>
          <w:color w:val="auto"/>
        </w:rPr>
      </w:pPr>
    </w:p>
    <w:p>
      <w:pPr>
        <w:jc w:val="center"/>
        <w:ind w:right="54"/>
        <w:spacing w:after="0"/>
        <w:rPr>
          <w:sz w:val="20"/>
          <w:szCs w:val="20"/>
          <w:color w:val="auto"/>
        </w:rPr>
      </w:pPr>
      <w:r>
        <w:rPr>
          <w:rFonts w:ascii="Arial" w:cs="Arial" w:eastAsia="Arial" w:hAnsi="Arial"/>
          <w:sz w:val="14"/>
          <w:szCs w:val="14"/>
          <w:b w:val="1"/>
          <w:bCs w:val="1"/>
          <w:color w:val="auto"/>
        </w:rPr>
        <w:t>30, 2023</w:t>
      </w:r>
    </w:p>
    <w:p>
      <w:pPr>
        <w:spacing w:after="0" w:line="45" w:lineRule="exact"/>
        <w:rPr>
          <w:sz w:val="20"/>
          <w:szCs w:val="20"/>
          <w:color w:val="auto"/>
        </w:rPr>
      </w:pPr>
    </w:p>
    <w:p>
      <w:pPr>
        <w:ind w:left="1206" w:hanging="1206"/>
        <w:spacing w:after="0"/>
        <w:tabs>
          <w:tab w:leader="none" w:pos="1206" w:val="left"/>
        </w:tabs>
        <w:numPr>
          <w:ilvl w:val="0"/>
          <w:numId w:val="20"/>
        </w:numPr>
        <w:rPr>
          <w:rFonts w:ascii="Arial" w:cs="Arial" w:eastAsia="Arial" w:hAnsi="Arial"/>
          <w:sz w:val="15"/>
          <w:szCs w:val="15"/>
          <w:color w:val="auto"/>
        </w:rPr>
      </w:pPr>
      <w:r>
        <w:rPr>
          <w:rFonts w:ascii="Arial" w:cs="Arial" w:eastAsia="Arial" w:hAnsi="Arial"/>
          <w:sz w:val="15"/>
          <w:szCs w:val="15"/>
          <w:color w:val="auto"/>
        </w:rPr>
        <w:t>239</w:t>
      </w:r>
    </w:p>
    <w:p>
      <w:pPr>
        <w:spacing w:after="0" w:line="52" w:lineRule="exact"/>
        <w:rPr>
          <w:rFonts w:ascii="Arial" w:cs="Arial" w:eastAsia="Arial" w:hAnsi="Arial"/>
          <w:sz w:val="15"/>
          <w:szCs w:val="15"/>
          <w:color w:val="auto"/>
        </w:rPr>
      </w:pPr>
    </w:p>
    <w:p>
      <w:pPr>
        <w:ind w:left="1286"/>
        <w:spacing w:after="0"/>
        <w:rPr>
          <w:rFonts w:ascii="Arial" w:cs="Arial" w:eastAsia="Arial" w:hAnsi="Arial"/>
          <w:sz w:val="15"/>
          <w:szCs w:val="15"/>
          <w:color w:val="auto"/>
        </w:rPr>
      </w:pPr>
      <w:r>
        <w:rPr>
          <w:rFonts w:ascii="Arial" w:cs="Arial" w:eastAsia="Arial" w:hAnsi="Arial"/>
          <w:sz w:val="15"/>
          <w:szCs w:val="15"/>
          <w:color w:val="auto"/>
        </w:rPr>
        <w:t>99</w:t>
      </w:r>
    </w:p>
    <w:p>
      <w:pPr>
        <w:spacing w:after="0" w:line="6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9842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12" w:lineRule="exact"/>
        <w:rPr>
          <w:sz w:val="20"/>
          <w:szCs w:val="20"/>
          <w:color w:val="auto"/>
        </w:rPr>
      </w:pPr>
    </w:p>
    <w:p>
      <w:pPr>
        <w:ind w:left="1206" w:hanging="1206"/>
        <w:spacing w:after="0"/>
        <w:tabs>
          <w:tab w:leader="none" w:pos="1206" w:val="left"/>
        </w:tabs>
        <w:numPr>
          <w:ilvl w:val="0"/>
          <w:numId w:val="21"/>
        </w:numPr>
        <w:rPr>
          <w:rFonts w:ascii="Arial" w:cs="Arial" w:eastAsia="Arial" w:hAnsi="Arial"/>
          <w:sz w:val="15"/>
          <w:szCs w:val="15"/>
          <w:color w:val="auto"/>
        </w:rPr>
      </w:pPr>
      <w:r>
        <w:rPr>
          <w:rFonts w:ascii="Arial" w:cs="Arial" w:eastAsia="Arial" w:hAnsi="Arial"/>
          <w:sz w:val="15"/>
          <w:szCs w:val="15"/>
          <w:color w:val="auto"/>
        </w:rPr>
        <w:t>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9842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425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58420</wp:posOffset>
            </wp:positionV>
            <wp:extent cx="9842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8934" w:space="720"/>
            <w:col w:w="1586"/>
          </w:cols>
          <w:pgMar w:left="320" w:top="1028" w:right="339" w:bottom="1440" w:gutter="0" w:footer="0" w:header="0"/>
        </w:sectPr>
      </w:pPr>
    </w:p>
    <w:p>
      <w:pPr>
        <w:spacing w:after="0" w:line="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total estimated pre-tax costs for actions that have been identified are approximately $880 million to $900 million and we expect to incur the costs through 2025. These estimates will be updated as the expanded initiatives are developed.</w:t>
      </w:r>
    </w:p>
    <w:p>
      <w:pPr>
        <w:spacing w:after="0" w:line="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the costs for actions that have been identified to date to consist of the following: approximately $245 million to $250 million in severance pay and benefits; approximately $140 million in asset impairment and accelerated depreciation; and approximately $495 million to $510 million in implementation costs and other related costs. We expect these pre-tax costs to be associated with our segments as follows: Meals &amp; Beverages - approximately 32%; Snacks - approximately 43%; and Corporate - approximately 25%.</w:t>
      </w:r>
    </w:p>
    <w:p>
      <w:pPr>
        <w:spacing w:after="0" w:line="7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Of the aggregate $880 million to $900 million of pre-tax costs identified to date, we expect approximately $700 million to $720 million will be cash expenditures. In addition, we expect to invest approximately $620 million in capital expenditures through 2025, of which we invested $455 million as of April 30, 2023.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to fund the costs through cash flows from operations and short-term borrowings.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the initiatives, once all phases are implemented, to generate annual ongoing savings of approximately $1 billion by the end of 2025. As of April 30, 2023, we have generated total program-to-date pre-tax savings of $880 million.</w:t>
      </w:r>
    </w:p>
    <w:p>
      <w:pPr>
        <w:spacing w:after="0" w:line="6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238"/>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4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Costs Incurred to Date</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5"/>
        </w:trPr>
        <w:tc>
          <w:tcPr>
            <w:tcW w:w="646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2"/>
        </w:trPr>
        <w:tc>
          <w:tcPr>
            <w:tcW w:w="646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generated cash flows from operations of $918 million in 2023, compared to $1.101 billion in 2022. The decline in 2023 was primarily due to changes in working capital, partially offset by higher cash earnings.</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Current assets are less than current liabilities as a result of our level of debt maturing within one year and our focus to lower core working capital requirements. We had negative working capital of $184 million as of April 30, 2023, and $923 million as of July 31, 2022. Total debt maturing within one year was $263 million as of April 30, 2023, and $814 million as of July 31, 2022.</w:t>
      </w:r>
    </w:p>
    <w:p>
      <w:pPr>
        <w:spacing w:after="0" w:line="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Capital expenditures were $257 million in 2023 and $179 million in 2022. Capital expenditures are expected to total approximately $360 million in 2023. Capital expenditures in the first nine months of 2023 included chip and cracker capacity expansion for our Snacks business and a new manufacturing line for our Meals &amp; Beverages business.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Snacks, we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type w:val="continuous"/>
        </w:sectPr>
      </w:pPr>
    </w:p>
    <w:bookmarkStart w:id="31" w:name="page32"/>
    <w:bookmarkEnd w:id="31"/>
    <w:p>
      <w:pPr>
        <w:jc w:val="both"/>
        <w:ind w:firstLine="318"/>
        <w:spacing w:after="0" w:line="271" w:lineRule="auto"/>
        <w:rPr>
          <w:sz w:val="20"/>
          <w:szCs w:val="20"/>
          <w:color w:val="auto"/>
        </w:rPr>
      </w:pPr>
      <w:r>
        <w:rPr>
          <w:rFonts w:ascii="Arial" w:cs="Arial" w:eastAsia="Arial" w:hAnsi="Arial"/>
          <w:sz w:val="17"/>
          <w:szCs w:val="17"/>
          <w:color w:val="auto"/>
        </w:rPr>
        <w:t>Dividend payments were $336 million in 2023 and $340 million in 2022. The regular quarterly dividend paid on our capital stock was $.37 per share in both the third quarter of 2023 and 2022. On March 1, 2023, the Board of Directors declared a regular quarterly dividend of $.37 per share payable on May 1, 2023 to shareholders of record at the close of business on April 6, 2023. On May 23, 2023, the Board of Directors declared a regular quarterly dividend of $.37 per share payable on July 31, 2023 to shareholders of record at the close of business on July 6, 2023.</w:t>
      </w:r>
    </w:p>
    <w:p>
      <w:pPr>
        <w:spacing w:after="0" w:line="4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We repurchased 2.692 million shares at a cost of $141 million in 2023. Of this amount, $67 million was used to repurchase shares pursuant to our June 2021 program and $74 million was used to repurchase shares pursuant to our September 2021 program. As of April 30, 2023, approximately $104 million remained available under the June 2021 program and approximately $301 million remained available under the September 2021 program. We repurchased approximately 2.7 million shares at a cost of $116 million in 2022. See Note 13 to the Consolidated Financial Statements and “Unregistered Sales of Equity Securities and Use of Proceeds” for additional information.</w:t>
      </w:r>
    </w:p>
    <w:p>
      <w:pPr>
        <w:spacing w:after="0" w:line="2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November 15, 2022, we entered into a delayed draw term loan credit agreement (the DDTL Credit Agreement) totaling up to $500 million scheduled to mature on November 15, 2025. Loans under the DDTL Credit Agreement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borrowed $500 million under the DDTL Credit Agreement on March 13, 2023, and used the proceeds and cash on hand to repay the 3.65% $566 million Notes that matured on March 15, 2023.</w:t>
      </w:r>
    </w:p>
    <w:p>
      <w:pPr>
        <w:spacing w:after="0" w:line="8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1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of April 30, 2023, we had $263 million of short-term borrowings due within one year, $249 million of which was comprised of commercial paper borrowings. As of April 30, 2023, we issued $29 million of standby letters of credit. On September 27, 2021, we entered into a committed revolving credit facility totaling $1.85 billion scheduled to mature on September 27, 2026. The facility remained unused at April 30, 2023,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6"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On April 4, 2023, we entered into an amendment to our existing revolving credit facility to replace remaining LIBOR-based benchmark rates applicable to borrowings under the revolving credit facility with SOFR-based benchmark rates, in advance of the cessation of LIBOR occurring on June 30, 2023.</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31, 2022 (2022 Annual Report on Form 10-K). The accounting policies we used in preparing these financial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2" w:name="page33"/>
    <w:bookmarkEnd w:id="32"/>
    <w:p>
      <w:pPr>
        <w:jc w:val="both"/>
        <w:spacing w:after="0" w:line="218" w:lineRule="exact"/>
        <w:rPr>
          <w:sz w:val="20"/>
          <w:szCs w:val="20"/>
          <w:color w:val="auto"/>
        </w:rPr>
      </w:pPr>
      <w:r>
        <w:rPr>
          <w:rFonts w:ascii="Arial" w:cs="Arial" w:eastAsia="Arial" w:hAnsi="Arial"/>
          <w:sz w:val="18"/>
          <w:szCs w:val="18"/>
          <w:color w:val="auto"/>
        </w:rPr>
        <w:t>statements are substantially consistent with those we applied in our 2022 Annual Report on Form 10-K. Our significant accounting estimates are described in Management’s Discussion and Analysis included in the 2022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2022 Annual Report on Form 10-K, could affect our actual results and could cause such results to vary materially from those expressed in any forward-looking statements made by, or on behalf of, us:</w:t>
      </w:r>
    </w:p>
    <w:p>
      <w:pPr>
        <w:spacing w:after="0" w:line="69" w:lineRule="exact"/>
        <w:rPr>
          <w:sz w:val="20"/>
          <w:szCs w:val="20"/>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related to the availability of, and cost inflation in, supply chain inputs, including labor, raw materials, commodities, packaging and transportation;</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impacts of, and associated responses to the COVID-19 pandemic on our business, suppliers, customers, consumers and employees;</w:t>
      </w:r>
    </w:p>
    <w:p>
      <w:pPr>
        <w:spacing w:after="0" w:line="109" w:lineRule="exact"/>
        <w:rPr>
          <w:rFonts w:ascii="Arial" w:cs="Arial" w:eastAsia="Arial" w:hAnsi="Arial"/>
          <w:sz w:val="17"/>
          <w:szCs w:val="17"/>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growing/maintaining our market share position in soup;</w:t>
      </w:r>
    </w:p>
    <w:p>
      <w:pPr>
        <w:spacing w:after="0" w:line="61"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4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effectiveness of our hedging activities and our ability to respond to volatility in commodity prices;</w:t>
      </w:r>
    </w:p>
    <w:p>
      <w:pPr>
        <w:spacing w:after="0" w:line="9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9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9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disruption, failure or security breach of our or our vendors' information technology systems, including ransomware attacks;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3" w:name="page34"/>
    <w:bookmarkEnd w:id="33"/>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goals and initiatives related to, and the impacts of, climate change, including from weather-related events;</w:t>
      </w:r>
    </w:p>
    <w:p>
      <w:pPr>
        <w:spacing w:after="0" w:line="97" w:lineRule="exact"/>
        <w:rPr>
          <w:rFonts w:ascii="Arial" w:cs="Arial" w:eastAsia="Arial" w:hAnsi="Arial"/>
          <w:sz w:val="18"/>
          <w:szCs w:val="18"/>
          <w:color w:val="auto"/>
        </w:rPr>
      </w:pPr>
    </w:p>
    <w:p>
      <w:pPr>
        <w:ind w:left="640" w:right="100" w:hanging="316"/>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changes and volatility in financial and credit markets, deteriorating economic conditions and other external factors, including changes in laws and regulations; and</w:t>
      </w:r>
    </w:p>
    <w:p>
      <w:pPr>
        <w:spacing w:after="0" w:line="61" w:lineRule="exact"/>
        <w:rPr>
          <w:rFonts w:ascii="Arial" w:cs="Arial" w:eastAsia="Arial" w:hAnsi="Arial"/>
          <w:sz w:val="18"/>
          <w:szCs w:val="18"/>
          <w:color w:val="auto"/>
        </w:rPr>
      </w:pPr>
    </w:p>
    <w:p>
      <w:pPr>
        <w:ind w:left="640" w:right="100" w:hanging="316"/>
        <w:spacing w:after="0" w:line="294"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unforeseen business disruptions or other impacts due to political instability, civil disobedience, terrorism, armed hostilities (including the ongoing conflict between Russia and Ukraine), extreme weather conditions, natural disasters, other pandemics or other calamities.</w:t>
      </w:r>
    </w:p>
    <w:p>
      <w:pPr>
        <w:spacing w:after="0" w:line="25" w:lineRule="exact"/>
        <w:rPr>
          <w:sz w:val="20"/>
          <w:szCs w:val="20"/>
          <w:color w:val="auto"/>
        </w:rPr>
      </w:pPr>
    </w:p>
    <w:p>
      <w:pPr>
        <w:jc w:val="both"/>
        <w:ind w:right="100" w:firstLine="318"/>
        <w:spacing w:after="0" w:line="355" w:lineRule="auto"/>
        <w:rPr>
          <w:sz w:val="20"/>
          <w:szCs w:val="20"/>
          <w:color w:val="auto"/>
        </w:rPr>
      </w:pPr>
      <w:r>
        <w:rPr>
          <w:rFonts w:ascii="Arial" w:cs="Arial" w:eastAsia="Arial" w:hAnsi="Arial"/>
          <w:sz w:val="15"/>
          <w:szCs w:val="15"/>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0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2022 Annual Report on Form 10-K. There have been no significant changes in our portfolio of financial instruments or market risk exposures from the 2022 year-end.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98"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April 30, 2023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8"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9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April 30, 2023.</w:t>
      </w:r>
    </w:p>
    <w:p>
      <w:pPr>
        <w:spacing w:after="0" w:line="3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 -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Information regarding reportable legal proceedings is contained in Note 15 to the Consolidated Financial Statements and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 activity in the three months ended April 30, 2023 was: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center"/>
              <w:ind w:left="167"/>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80" w:type="dxa"/>
            <w:vAlign w:val="bottom"/>
          </w:tcPr>
          <w:p>
            <w:pPr>
              <w:spacing w:after="0"/>
              <w:rPr>
                <w:sz w:val="11"/>
                <w:szCs w:val="11"/>
                <w:color w:val="auto"/>
              </w:rPr>
            </w:pPr>
          </w:p>
        </w:tc>
        <w:tc>
          <w:tcPr>
            <w:tcW w:w="1440" w:type="dxa"/>
            <w:vAlign w:val="bottom"/>
          </w:tcPr>
          <w:p>
            <w:pPr>
              <w:jc w:val="center"/>
              <w:ind w:left="147"/>
              <w:spacing w:after="0" w:line="137" w:lineRule="exact"/>
              <w:rPr>
                <w:sz w:val="20"/>
                <w:szCs w:val="20"/>
                <w:color w:val="auto"/>
              </w:rPr>
            </w:pPr>
            <w:r>
              <w:rPr>
                <w:rFonts w:ascii="Arial" w:cs="Arial" w:eastAsia="Arial" w:hAnsi="Arial"/>
                <w:sz w:val="14"/>
                <w:szCs w:val="14"/>
                <w:b w:val="1"/>
                <w:bCs w:val="1"/>
                <w:color w:val="auto"/>
                <w:w w:val="91"/>
              </w:rPr>
              <w:t>Dollar Value of</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ind w:left="147"/>
              <w:spacing w:after="0" w:line="142" w:lineRule="exact"/>
              <w:rPr>
                <w:sz w:val="20"/>
                <w:szCs w:val="20"/>
                <w:color w:val="auto"/>
              </w:rPr>
            </w:pPr>
            <w:r>
              <w:rPr>
                <w:rFonts w:ascii="Arial" w:cs="Arial" w:eastAsia="Arial" w:hAnsi="Arial"/>
                <w:sz w:val="14"/>
                <w:szCs w:val="14"/>
                <w:b w:val="1"/>
                <w:bCs w:val="1"/>
                <w:color w:val="auto"/>
                <w:w w:val="89"/>
              </w:rPr>
              <w:t>Shares that may yet</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8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8"/>
              </w:rPr>
              <w:t>Shares Purchased</w:t>
            </w:r>
          </w:p>
        </w:tc>
        <w:tc>
          <w:tcPr>
            <w:tcW w:w="380" w:type="dxa"/>
            <w:vAlign w:val="bottom"/>
          </w:tcPr>
          <w:p>
            <w:pPr>
              <w:spacing w:after="0"/>
              <w:rPr>
                <w:sz w:val="11"/>
                <w:szCs w:val="11"/>
                <w:color w:val="auto"/>
              </w:rPr>
            </w:pPr>
          </w:p>
        </w:tc>
        <w:tc>
          <w:tcPr>
            <w:tcW w:w="1440" w:type="dxa"/>
            <w:vAlign w:val="bottom"/>
          </w:tcPr>
          <w:p>
            <w:pPr>
              <w:jc w:val="center"/>
              <w:ind w:left="147"/>
              <w:spacing w:after="0" w:line="137"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as Part of Publicly</w:t>
            </w:r>
          </w:p>
        </w:tc>
        <w:tc>
          <w:tcPr>
            <w:tcW w:w="380" w:type="dxa"/>
            <w:vAlign w:val="bottom"/>
          </w:tcPr>
          <w:p>
            <w:pPr>
              <w:spacing w:after="0"/>
              <w:rPr>
                <w:sz w:val="12"/>
                <w:szCs w:val="12"/>
                <w:color w:val="auto"/>
              </w:rPr>
            </w:pPr>
          </w:p>
        </w:tc>
        <w:tc>
          <w:tcPr>
            <w:tcW w:w="1440" w:type="dxa"/>
            <w:vAlign w:val="bottom"/>
          </w:tcPr>
          <w:p>
            <w:pPr>
              <w:jc w:val="center"/>
              <w:ind w:left="147"/>
              <w:spacing w:after="0" w:line="146"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of Shares</w:t>
            </w:r>
          </w:p>
        </w:tc>
        <w:tc>
          <w:tcPr>
            <w:tcW w:w="3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Price Paid</w:t>
            </w:r>
          </w:p>
        </w:tc>
        <w:tc>
          <w:tcPr>
            <w:tcW w:w="400" w:type="dxa"/>
            <w:vAlign w:val="bottom"/>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Announced Plans or</w:t>
            </w:r>
          </w:p>
        </w:tc>
        <w:tc>
          <w:tcPr>
            <w:tcW w:w="380" w:type="dxa"/>
            <w:vAlign w:val="bottom"/>
          </w:tcPr>
          <w:p>
            <w:pPr>
              <w:spacing w:after="0"/>
              <w:rPr>
                <w:sz w:val="12"/>
                <w:szCs w:val="12"/>
                <w:color w:val="auto"/>
              </w:rPr>
            </w:pPr>
          </w:p>
        </w:tc>
        <w:tc>
          <w:tcPr>
            <w:tcW w:w="1440" w:type="dxa"/>
            <w:vAlign w:val="bottom"/>
          </w:tcPr>
          <w:p>
            <w:pPr>
              <w:jc w:val="center"/>
              <w:ind w:left="147"/>
              <w:spacing w:after="0" w:line="142"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2"/>
            <w:vMerge w:val="continue"/>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9"/>
                <w:szCs w:val="9"/>
                <w:b w:val="1"/>
                <w:bCs w:val="1"/>
                <w:color w:val="auto"/>
                <w:w w:val="90"/>
              </w:rPr>
              <w:t>(1)</w:t>
            </w:r>
          </w:p>
        </w:tc>
        <w:tc>
          <w:tcPr>
            <w:tcW w:w="38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 xml:space="preserve">Per Share </w:t>
            </w:r>
            <w:r>
              <w:rPr>
                <w:rFonts w:ascii="Arial" w:cs="Arial" w:eastAsia="Arial" w:hAnsi="Arial"/>
                <w:sz w:val="9"/>
                <w:szCs w:val="9"/>
                <w:b w:val="1"/>
                <w:bCs w:val="1"/>
                <w:color w:val="auto"/>
                <w:w w:val="92"/>
              </w:rPr>
              <w:t>(2)</w:t>
            </w:r>
          </w:p>
        </w:tc>
        <w:tc>
          <w:tcPr>
            <w:tcW w:w="400" w:type="dxa"/>
            <w:vAlign w:val="bottom"/>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9"/>
                <w:szCs w:val="9"/>
                <w:b w:val="1"/>
                <w:bCs w:val="1"/>
                <w:color w:val="auto"/>
                <w:w w:val="92"/>
              </w:rPr>
              <w:t>(3)</w:t>
            </w:r>
          </w:p>
        </w:tc>
        <w:tc>
          <w:tcPr>
            <w:tcW w:w="380" w:type="dxa"/>
            <w:vAlign w:val="bottom"/>
          </w:tcPr>
          <w:p>
            <w:pPr>
              <w:spacing w:after="0"/>
              <w:rPr>
                <w:sz w:val="13"/>
                <w:szCs w:val="13"/>
                <w:color w:val="auto"/>
              </w:rPr>
            </w:pPr>
          </w:p>
        </w:tc>
        <w:tc>
          <w:tcPr>
            <w:tcW w:w="1440" w:type="dxa"/>
            <w:vAlign w:val="bottom"/>
          </w:tcPr>
          <w:p>
            <w:pPr>
              <w:jc w:val="center"/>
              <w:ind w:left="147"/>
              <w:spacing w:after="0" w:line="159" w:lineRule="exact"/>
              <w:rPr>
                <w:sz w:val="20"/>
                <w:szCs w:val="20"/>
                <w:color w:val="auto"/>
              </w:rPr>
            </w:pPr>
            <w:r>
              <w:rPr>
                <w:rFonts w:ascii="Arial" w:cs="Arial" w:eastAsia="Arial" w:hAnsi="Arial"/>
                <w:sz w:val="14"/>
                <w:szCs w:val="14"/>
                <w:b w:val="1"/>
                <w:bCs w:val="1"/>
                <w:color w:val="auto"/>
                <w:w w:val="93"/>
              </w:rPr>
              <w:t xml:space="preserve">($ in Millions) </w:t>
            </w:r>
            <w:r>
              <w:rPr>
                <w:rFonts w:ascii="Arial" w:cs="Arial" w:eastAsia="Arial" w:hAnsi="Arial"/>
                <w:sz w:val="9"/>
                <w:szCs w:val="9"/>
                <w:b w:val="1"/>
                <w:bCs w:val="1"/>
                <w:color w:val="auto"/>
                <w:w w:val="93"/>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0" w:type="dxa"/>
            <w:vAlign w:val="bottom"/>
          </w:tcPr>
          <w:p>
            <w:pPr>
              <w:spacing w:after="0"/>
              <w:rPr>
                <w:sz w:val="20"/>
                <w:szCs w:val="20"/>
                <w:color w:val="auto"/>
              </w:rPr>
            </w:pPr>
          </w:p>
        </w:tc>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1/30/23-2/28/23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80" w:type="dxa"/>
            <w:vAlign w:val="bottom"/>
            <w:gridSpan w:val="3"/>
          </w:tcPr>
          <w:p>
            <w:pPr>
              <w:ind w:left="20"/>
              <w:spacing w:after="0"/>
              <w:rPr>
                <w:sz w:val="20"/>
                <w:szCs w:val="20"/>
                <w:color w:val="auto"/>
              </w:rPr>
            </w:pPr>
            <w:r>
              <w:rPr>
                <w:rFonts w:ascii="Arial" w:cs="Arial" w:eastAsia="Arial" w:hAnsi="Arial"/>
                <w:sz w:val="18"/>
                <w:szCs w:val="18"/>
                <w:b w:val="1"/>
                <w:bCs w:val="1"/>
                <w:color w:val="auto"/>
              </w:rPr>
              <w:t>3/1/23-3/31/23</w:t>
            </w:r>
          </w:p>
        </w:tc>
        <w:tc>
          <w:tcPr>
            <w:tcW w:w="1260" w:type="dxa"/>
            <w:vAlign w:val="bottom"/>
          </w:tcPr>
          <w:p>
            <w:pPr>
              <w:jc w:val="right"/>
              <w:spacing w:after="0"/>
              <w:rPr>
                <w:sz w:val="20"/>
                <w:szCs w:val="20"/>
                <w:color w:val="auto"/>
              </w:rPr>
            </w:pPr>
            <w:r>
              <w:rPr>
                <w:rFonts w:ascii="Arial" w:cs="Arial" w:eastAsia="Arial" w:hAnsi="Arial"/>
                <w:sz w:val="18"/>
                <w:szCs w:val="18"/>
                <w:color w:val="auto"/>
              </w:rPr>
              <w:t>1,145,147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$53.84</w:t>
            </w:r>
          </w:p>
        </w:tc>
        <w:tc>
          <w:tcPr>
            <w:tcW w:w="2060" w:type="dxa"/>
            <w:vAlign w:val="bottom"/>
            <w:gridSpan w:val="2"/>
          </w:tcPr>
          <w:p>
            <w:pPr>
              <w:jc w:val="right"/>
              <w:ind w:right="4"/>
              <w:spacing w:after="0"/>
              <w:rPr>
                <w:sz w:val="20"/>
                <w:szCs w:val="20"/>
                <w:color w:val="auto"/>
              </w:rPr>
            </w:pPr>
            <w:r>
              <w:rPr>
                <w:rFonts w:ascii="Arial" w:cs="Arial" w:eastAsia="Arial" w:hAnsi="Arial"/>
                <w:sz w:val="18"/>
                <w:szCs w:val="18"/>
                <w:color w:val="auto"/>
              </w:rPr>
              <w:t>1,145,147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4/3/23-4/28/23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248,744</w:t>
            </w:r>
          </w:p>
        </w:tc>
        <w:tc>
          <w:tcPr>
            <w:tcW w:w="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4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248,744</w:t>
            </w:r>
          </w:p>
        </w:tc>
        <w:tc>
          <w:tcPr>
            <w:tcW w:w="3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1,393,891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$54.09</w:t>
            </w:r>
          </w:p>
        </w:tc>
        <w:tc>
          <w:tcPr>
            <w:tcW w:w="2060" w:type="dxa"/>
            <w:vAlign w:val="bottom"/>
            <w:gridSpan w:val="2"/>
          </w:tcPr>
          <w:p>
            <w:pPr>
              <w:jc w:val="right"/>
              <w:ind w:right="4"/>
              <w:spacing w:after="0"/>
              <w:rPr>
                <w:sz w:val="20"/>
                <w:szCs w:val="20"/>
                <w:color w:val="auto"/>
              </w:rPr>
            </w:pPr>
            <w:r>
              <w:rPr>
                <w:rFonts w:ascii="Arial" w:cs="Arial" w:eastAsia="Arial" w:hAnsi="Arial"/>
                <w:sz w:val="18"/>
                <w:szCs w:val="18"/>
                <w:color w:val="auto"/>
              </w:rPr>
              <w:t>1,393,891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
        </w:trPr>
        <w:tc>
          <w:tcPr>
            <w:tcW w:w="4700" w:type="dxa"/>
            <w:vAlign w:val="bottom"/>
            <w:gridSpan w:val="4"/>
            <w:vMerge w:val="restart"/>
          </w:tcPr>
          <w:p>
            <w:pPr>
              <w:jc w:val="right"/>
              <w:ind w:right="1840"/>
              <w:spacing w:after="0"/>
              <w:rPr>
                <w:sz w:val="20"/>
                <w:szCs w:val="20"/>
                <w:color w:val="auto"/>
              </w:rPr>
            </w:pPr>
            <w:r>
              <w:rPr>
                <w:rFonts w:ascii="Arial" w:cs="Arial" w:eastAsia="Arial" w:hAnsi="Arial"/>
                <w:sz w:val="16"/>
                <w:szCs w:val="16"/>
                <w:color w:val="auto"/>
                <w:w w:val="88"/>
              </w:rPr>
              <w:t>____________________________________</w:t>
            </w:r>
          </w:p>
        </w:tc>
        <w:tc>
          <w:tcPr>
            <w:tcW w:w="12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4700" w:type="dxa"/>
            <w:vAlign w:val="bottom"/>
            <w:gridSpan w:val="4"/>
            <w:vMerge w:val="continue"/>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Shares purchased are as of the trade date.</w:t>
      </w:r>
    </w:p>
    <w:p>
      <w:pPr>
        <w:spacing w:after="0" w:line="2" w:lineRule="exact"/>
        <w:rPr>
          <w:rFonts w:ascii="Arial" w:cs="Arial" w:eastAsia="Arial" w:hAnsi="Arial"/>
          <w:sz w:val="23"/>
          <w:szCs w:val="23"/>
          <w:color w:val="auto"/>
          <w:vertAlign w:val="superscript"/>
        </w:rPr>
      </w:pPr>
    </w:p>
    <w:p>
      <w:pPr>
        <w:jc w:val="both"/>
        <w:ind w:left="320" w:right="100" w:hanging="314"/>
        <w:spacing w:after="0" w:line="224" w:lineRule="auto"/>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sectPr>
      </w:pPr>
    </w:p>
    <w:bookmarkStart w:id="34" w:name="page35"/>
    <w:bookmarkEnd w:id="34"/>
    <w:p>
      <w:pPr>
        <w:jc w:val="both"/>
        <w:ind w:left="320" w:hanging="314"/>
        <w:spacing w:after="0" w:line="237"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120" w:type="dxa"/>
            <w:vAlign w:val="bottom"/>
          </w:tcPr>
          <w:p>
            <w:pPr>
              <w:spacing w:after="0"/>
              <w:rPr>
                <w:sz w:val="19"/>
                <w:szCs w:val="19"/>
                <w:color w:val="auto"/>
              </w:rPr>
            </w:pPr>
          </w:p>
        </w:tc>
        <w:tc>
          <w:tcPr>
            <w:tcW w:w="9960" w:type="dxa"/>
            <w:vAlign w:val="bottom"/>
            <w:gridSpan w:val="9"/>
          </w:tcPr>
          <w:p>
            <w:pPr>
              <w:ind w:left="3620"/>
              <w:spacing w:after="0"/>
              <w:rPr>
                <w:sz w:val="20"/>
                <w:szCs w:val="20"/>
                <w:color w:val="auto"/>
              </w:rPr>
            </w:pPr>
            <w:r>
              <w:rPr>
                <w:rFonts w:ascii="Arial" w:cs="Arial" w:eastAsia="Arial" w:hAnsi="Arial"/>
                <w:sz w:val="18"/>
                <w:szCs w:val="18"/>
                <w:color w:val="auto"/>
              </w:rPr>
              <w:t>INDEX TO EXHIBITS</w:t>
            </w:r>
          </w:p>
        </w:tc>
      </w:tr>
      <w:tr>
        <w:trPr>
          <w:trHeight w:val="293"/>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gridSpan w:val="9"/>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By-Laws of Campbell Soup Company, amended and restated as of May 23, 2023, incorporated by reference to Exhibit 3.1 to Campbell's</w:t>
              </w:r>
            </w:hyperlink>
          </w:p>
        </w:tc>
      </w:tr>
      <w:tr>
        <w:trPr>
          <w:trHeight w:val="166"/>
        </w:trPr>
        <w:tc>
          <w:tcPr>
            <w:tcW w:w="11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2"/>
          </w:tcPr>
          <w:p>
            <w:pPr>
              <w:spacing w:after="0" w:line="165"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Form 8-K (SEC file number 1-3822) filed on May 24, 2023.</w:t>
              </w:r>
            </w:hyperlink>
          </w:p>
        </w:tc>
        <w:tc>
          <w:tcPr>
            <w:tcW w:w="5380" w:type="dxa"/>
            <w:vAlign w:val="bottom"/>
            <w:tcBorders>
              <w:top w:val="single" w:sz="8" w:color="0000FF"/>
            </w:tcBorders>
            <w:gridSpan w:val="5"/>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gridSpan w:val="9"/>
          </w:tcPr>
          <w:p>
            <w:pPr>
              <w:spacing w:after="0"/>
              <w:rPr>
                <w:sz w:val="20"/>
                <w:szCs w:val="20"/>
                <w:color w:val="auto"/>
              </w:rPr>
            </w:pPr>
            <w:r>
              <w:rPr>
                <w:rFonts w:ascii="Arial" w:cs="Arial" w:eastAsia="Arial" w:hAnsi="Arial"/>
                <w:sz w:val="18"/>
                <w:szCs w:val="18"/>
                <w:color w:val="0000FF"/>
                <w:w w:val="89"/>
              </w:rPr>
              <w:t>Amendment No. 1 to Five-Year Credit Agreement by and among Campbell Soup Company, the Eligible Subsidiaries party thereto from time</w:t>
            </w:r>
          </w:p>
        </w:tc>
      </w:tr>
      <w:tr>
        <w:trPr>
          <w:trHeight w:val="152"/>
        </w:trPr>
        <w:tc>
          <w:tcPr>
            <w:tcW w:w="11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6"/>
          </w:tcPr>
          <w:p>
            <w:pPr>
              <w:spacing w:after="0" w:line="152" w:lineRule="exact"/>
              <w:rPr>
                <w:sz w:val="20"/>
                <w:szCs w:val="20"/>
                <w:color w:val="auto"/>
              </w:rPr>
            </w:pPr>
            <w:r>
              <w:rPr>
                <w:rFonts w:ascii="Arial" w:cs="Arial" w:eastAsia="Arial" w:hAnsi="Arial"/>
                <w:sz w:val="17"/>
                <w:szCs w:val="17"/>
                <w:color w:val="0000FF"/>
                <w:w w:val="93"/>
              </w:rPr>
              <w:t>to time, JPMorgan Chase Bank, N.A., as administrative agent, and the other lenders named therein, dated as of April 4, 2023.</w:t>
            </w:r>
          </w:p>
        </w:tc>
        <w:tc>
          <w:tcPr>
            <w:tcW w:w="1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Certification of Mark A. Clouse pursuant to Rule 13a-14(a).</w:t>
            </w:r>
          </w:p>
        </w:tc>
        <w:tc>
          <w:tcPr>
            <w:tcW w:w="5720" w:type="dxa"/>
            <w:vAlign w:val="bottom"/>
            <w:gridSpan w:val="8"/>
          </w:tcPr>
          <w:p>
            <w:pPr>
              <w:spacing w:after="0"/>
              <w:rPr>
                <w:sz w:val="19"/>
                <w:szCs w:val="19"/>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9"/>
          </w:tcPr>
          <w:p>
            <w:pPr>
              <w:spacing w:after="0"/>
              <w:rPr>
                <w:sz w:val="20"/>
                <w:szCs w:val="20"/>
                <w:color w:val="auto"/>
              </w:rPr>
            </w:pPr>
            <w:r>
              <w:rPr>
                <w:rFonts w:ascii="Arial" w:cs="Arial" w:eastAsia="Arial" w:hAnsi="Arial"/>
                <w:sz w:val="18"/>
                <w:szCs w:val="18"/>
                <w:color w:val="0000FF"/>
              </w:rPr>
              <w:t>Certification of Carrie L. Anderson pursuant to Rule 13a-14(a)</w:t>
            </w:r>
            <w:r>
              <w:rPr>
                <w:rFonts w:ascii="Arial" w:cs="Arial" w:eastAsia="Arial" w:hAnsi="Arial"/>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8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Certification of Mark A. Clouse pursuant to 18 U.S.C. Section 1350.</w:t>
            </w:r>
          </w:p>
        </w:tc>
        <w:tc>
          <w:tcPr>
            <w:tcW w:w="5120" w:type="dxa"/>
            <w:vAlign w:val="bottom"/>
            <w:gridSpan w:val="5"/>
          </w:tcPr>
          <w:p>
            <w:pPr>
              <w:spacing w:after="0"/>
              <w:rPr>
                <w:sz w:val="24"/>
                <w:szCs w:val="24"/>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9"/>
          </w:tcPr>
          <w:p>
            <w:pPr>
              <w:spacing w:after="0"/>
              <w:rPr>
                <w:sz w:val="20"/>
                <w:szCs w:val="20"/>
                <w:color w:val="auto"/>
              </w:rPr>
            </w:pPr>
            <w:r>
              <w:rPr>
                <w:rFonts w:ascii="Arial" w:cs="Arial" w:eastAsia="Arial" w:hAnsi="Arial"/>
                <w:sz w:val="18"/>
                <w:szCs w:val="18"/>
                <w:color w:val="0000FF"/>
              </w:rPr>
              <w:t>Certification of Carrie L. Anderson pursuant to 18 U.S.C. Section 1350.</w:t>
            </w:r>
          </w:p>
        </w:tc>
      </w:tr>
      <w:tr>
        <w:trPr>
          <w:trHeight w:val="20"/>
        </w:trPr>
        <w:tc>
          <w:tcPr>
            <w:tcW w:w="1120" w:type="dxa"/>
            <w:vAlign w:val="bottom"/>
          </w:tcPr>
          <w:p>
            <w:pPr>
              <w:spacing w:after="0" w:line="20" w:lineRule="exact"/>
              <w:rPr>
                <w:sz w:val="1"/>
                <w:szCs w:val="1"/>
                <w:color w:val="auto"/>
              </w:rPr>
            </w:pPr>
          </w:p>
        </w:tc>
        <w:tc>
          <w:tcPr>
            <w:tcW w:w="5060" w:type="dxa"/>
            <w:vAlign w:val="bottom"/>
            <w:gridSpan w:val="5"/>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9"/>
          </w:tcPr>
          <w:p>
            <w:pPr>
              <w:spacing w:after="0"/>
              <w:rPr>
                <w:sz w:val="20"/>
                <w:szCs w:val="20"/>
                <w:color w:val="auto"/>
              </w:rPr>
            </w:pPr>
            <w:r>
              <w:rPr>
                <w:rFonts w:ascii="Arial" w:cs="Arial" w:eastAsia="Arial" w:hAnsi="Arial"/>
                <w:sz w:val="18"/>
                <w:szCs w:val="18"/>
                <w:color w:val="auto"/>
                <w:w w:val="89"/>
              </w:rPr>
              <w:t>Inline XBRL Instance Document - the instance document does not appear on the Interactive Data File because its XBRL tags are embedded</w:t>
            </w:r>
          </w:p>
        </w:tc>
      </w:tr>
      <w:tr>
        <w:trPr>
          <w:trHeight w:val="223"/>
        </w:trPr>
        <w:tc>
          <w:tcPr>
            <w:tcW w:w="1120" w:type="dxa"/>
            <w:vAlign w:val="bottom"/>
          </w:tcPr>
          <w:p>
            <w:pPr>
              <w:spacing w:after="0"/>
              <w:rPr>
                <w:sz w:val="19"/>
                <w:szCs w:val="19"/>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Extension Schema Document.</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95" w:lineRule="exact"/>
        <w:rPr>
          <w:sz w:val="20"/>
          <w:szCs w:val="20"/>
          <w:color w:val="auto"/>
        </w:rPr>
      </w:pPr>
    </w:p>
    <w:p>
      <w:pPr>
        <w:ind w:left="1160" w:hanging="1128"/>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CAMPBELL SOUP COMPANY</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19685</wp:posOffset>
            </wp:positionV>
            <wp:extent cx="31718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Carrie L. Anderson</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3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19685</wp:posOffset>
            </wp:positionV>
            <wp:extent cx="31718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Stanley Polomski</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876" w:right="459" w:bottom="1440" w:gutter="0" w:footer="0" w:header="0"/>
        </w:sectPr>
      </w:pPr>
    </w:p>
    <w:bookmarkStart w:id="36" w:name="page37"/>
    <w:bookmarkEnd w:id="36"/>
    <w:p>
      <w:pPr>
        <w:jc w:val="right"/>
        <w:ind w:right="100"/>
        <w:spacing w:after="0"/>
        <w:rPr>
          <w:sz w:val="20"/>
          <w:szCs w:val="20"/>
          <w:color w:val="auto"/>
        </w:rPr>
      </w:pPr>
      <w:r>
        <w:rPr>
          <w:rFonts w:ascii="Arial" w:cs="Arial" w:eastAsia="Arial" w:hAnsi="Arial"/>
          <w:sz w:val="19"/>
          <w:szCs w:val="19"/>
          <w:b w:val="1"/>
          <w:bCs w:val="1"/>
          <w:i w:val="1"/>
          <w:iCs w:val="1"/>
          <w:color w:val="auto"/>
        </w:rPr>
        <w:t>Exhibit 10.1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u w:val="single" w:color="auto"/>
          <w:color w:val="auto"/>
        </w:rPr>
        <w:t>AMENDMENT NO. 1</w:t>
      </w:r>
    </w:p>
    <w:p>
      <w:pPr>
        <w:spacing w:after="0" w:line="28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 xml:space="preserve">THIS AMENDMENT NO. 1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April 4, 2023, is entered into among CAMPBELL SOUP</w:t>
      </w:r>
    </w:p>
    <w:p>
      <w:pPr>
        <w:spacing w:after="0" w:line="2" w:lineRule="exact"/>
        <w:rPr>
          <w:sz w:val="20"/>
          <w:szCs w:val="20"/>
          <w:color w:val="auto"/>
        </w:rPr>
      </w:pPr>
    </w:p>
    <w:p>
      <w:pPr>
        <w:ind w:left="60" w:right="100"/>
        <w:spacing w:after="0" w:line="228" w:lineRule="auto"/>
        <w:rPr>
          <w:sz w:val="20"/>
          <w:szCs w:val="20"/>
          <w:color w:val="auto"/>
        </w:rPr>
      </w:pPr>
      <w:r>
        <w:rPr>
          <w:rFonts w:ascii="Arial" w:cs="Arial" w:eastAsia="Arial" w:hAnsi="Arial"/>
          <w:sz w:val="19"/>
          <w:szCs w:val="19"/>
          <w:color w:val="auto"/>
        </w:rPr>
        <w:t>COMPANY, a New Jersey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9"/>
          <w:szCs w:val="19"/>
          <w:u w:val="single" w:color="auto"/>
          <w:color w:val="auto"/>
        </w:rPr>
        <w:t>RECITALS</w:t>
      </w:r>
    </w:p>
    <w:p>
      <w:pPr>
        <w:spacing w:after="0" w:line="2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WHEREAS, the Company, the Eligible Subsidiaries party thereto,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w:t>
      </w:r>
    </w:p>
    <w:p>
      <w:pPr>
        <w:spacing w:after="0" w:line="8" w:lineRule="exact"/>
        <w:rPr>
          <w:sz w:val="20"/>
          <w:szCs w:val="20"/>
          <w:color w:val="auto"/>
        </w:rPr>
      </w:pPr>
    </w:p>
    <w:p>
      <w:pPr>
        <w:ind w:left="60" w:right="100"/>
        <w:spacing w:after="0" w:line="235" w:lineRule="auto"/>
        <w:rPr>
          <w:sz w:val="20"/>
          <w:szCs w:val="20"/>
          <w:color w:val="auto"/>
        </w:rPr>
      </w:pPr>
      <w:r>
        <w:rPr>
          <w:rFonts w:ascii="Arial" w:cs="Arial" w:eastAsia="Arial" w:hAnsi="Arial"/>
          <w:sz w:val="17"/>
          <w:szCs w:val="17"/>
          <w:color w:val="auto"/>
        </w:rPr>
        <w:t>JPMorgan Chase Bank, N.A., as Administrative Agent, are party to the Five-Year Credit Agreement, dated as of September 27, 2021 (as amended, modified, extended, restated, replaced, or supplemented from time to time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9"/>
          <w:szCs w:val="19"/>
          <w:color w:val="auto"/>
        </w:rPr>
        <w:t>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w:t>
      </w:r>
    </w:p>
    <w:p>
      <w:pPr>
        <w:spacing w:after="0" w:line="269" w:lineRule="exact"/>
        <w:rPr>
          <w:sz w:val="20"/>
          <w:szCs w:val="20"/>
          <w:color w:val="auto"/>
        </w:rPr>
      </w:pPr>
    </w:p>
    <w:p>
      <w:pPr>
        <w:ind w:left="60" w:right="100" w:firstLine="636"/>
        <w:spacing w:after="0" w:line="276" w:lineRule="auto"/>
        <w:rPr>
          <w:sz w:val="20"/>
          <w:szCs w:val="20"/>
          <w:color w:val="auto"/>
        </w:rPr>
      </w:pPr>
      <w:r>
        <w:rPr>
          <w:rFonts w:ascii="Arial" w:cs="Arial" w:eastAsia="Arial" w:hAnsi="Arial"/>
          <w:sz w:val="18"/>
          <w:szCs w:val="18"/>
          <w:color w:val="auto"/>
        </w:rPr>
        <w:t>WHEREAS, certain loans under the Credit Agreement denominated in Dollars incur or are permitted to incur interest, fees or other amounts based on the Euro-Dollar Rate under and in accordance with the terms of the Credit Agreement (the “</w:t>
      </w:r>
      <w:r>
        <w:rPr>
          <w:rFonts w:ascii="Arial" w:cs="Arial" w:eastAsia="Arial" w:hAnsi="Arial"/>
          <w:sz w:val="18"/>
          <w:szCs w:val="18"/>
          <w:u w:val="single" w:color="auto"/>
          <w:color w:val="auto"/>
        </w:rPr>
        <w:t>Euro-Dollar Loans</w:t>
      </w:r>
      <w:r>
        <w:rPr>
          <w:rFonts w:ascii="Arial" w:cs="Arial" w:eastAsia="Arial" w:hAnsi="Arial"/>
          <w:sz w:val="18"/>
          <w:szCs w:val="18"/>
          <w:color w:val="auto"/>
        </w:rPr>
        <w:t>”);</w:t>
      </w:r>
    </w:p>
    <w:p>
      <w:pPr>
        <w:spacing w:after="0" w:line="213" w:lineRule="exact"/>
        <w:rPr>
          <w:sz w:val="20"/>
          <w:szCs w:val="20"/>
          <w:color w:val="auto"/>
        </w:rPr>
      </w:pPr>
    </w:p>
    <w:p>
      <w:pPr>
        <w:ind w:left="60" w:right="100" w:firstLine="636"/>
        <w:spacing w:after="0" w:line="239" w:lineRule="auto"/>
        <w:rPr>
          <w:sz w:val="20"/>
          <w:szCs w:val="20"/>
          <w:color w:val="auto"/>
        </w:rPr>
      </w:pPr>
      <w:r>
        <w:rPr>
          <w:rFonts w:ascii="Arial" w:cs="Arial" w:eastAsia="Arial" w:hAnsi="Arial"/>
          <w:sz w:val="18"/>
          <w:szCs w:val="18"/>
          <w:color w:val="auto"/>
        </w:rPr>
        <w:t>WHEREAS, the Administrative Agent and the Company have elected to trigger an Early Opt-In Election with respect to the Euro-Dollar Rate and the Administrative Agent hereby notifies the other parties to the Credit Agreement that at least five currently outstanding</w:t>
      </w:r>
    </w:p>
    <w:p>
      <w:pPr>
        <w:spacing w:after="0" w:line="1" w:lineRule="exact"/>
        <w:rPr>
          <w:sz w:val="20"/>
          <w:szCs w:val="20"/>
          <w:color w:val="auto"/>
        </w:rPr>
      </w:pPr>
    </w:p>
    <w:p>
      <w:pPr>
        <w:ind w:left="60" w:right="100"/>
        <w:spacing w:after="0" w:line="228" w:lineRule="auto"/>
        <w:rPr>
          <w:sz w:val="20"/>
          <w:szCs w:val="20"/>
          <w:color w:val="auto"/>
        </w:rPr>
      </w:pPr>
      <w:r>
        <w:rPr>
          <w:rFonts w:ascii="Arial" w:cs="Arial" w:eastAsia="Arial" w:hAnsi="Arial"/>
          <w:sz w:val="19"/>
          <w:szCs w:val="19"/>
          <w:color w:val="auto"/>
        </w:rPr>
        <w:t>Dollar-denominated syndicated credit facilities contain a SOFR based rate as a benchmark rate, such syndicated credit facilities are publicly available for review and a list of such syndicated credit facilities is on file with the Administrative Agent.</w:t>
      </w:r>
    </w:p>
    <w:p>
      <w:pPr>
        <w:spacing w:after="0" w:line="205" w:lineRule="exact"/>
        <w:rPr>
          <w:sz w:val="20"/>
          <w:szCs w:val="20"/>
          <w:color w:val="auto"/>
        </w:rPr>
      </w:pPr>
    </w:p>
    <w:p>
      <w:pPr>
        <w:ind w:left="60" w:right="100" w:firstLine="636"/>
        <w:spacing w:after="0" w:line="232" w:lineRule="auto"/>
        <w:rPr>
          <w:sz w:val="20"/>
          <w:szCs w:val="20"/>
          <w:color w:val="auto"/>
        </w:rPr>
      </w:pPr>
      <w:r>
        <w:rPr>
          <w:rFonts w:ascii="Arial" w:cs="Arial" w:eastAsia="Arial" w:hAnsi="Arial"/>
          <w:sz w:val="18"/>
          <w:szCs w:val="18"/>
          <w:color w:val="auto"/>
        </w:rPr>
        <w:t>WHEREAS, pursuant to Section 8.01(b) of the Credit Agreement, the Administrative Agent and the Company have determined in accordance with the Credit Agreement that the Euro-Dollar Rate accruing on Euro-Dollar Loans should be replaced with the applicable</w:t>
      </w:r>
    </w:p>
    <w:p>
      <w:pPr>
        <w:ind w:left="60"/>
        <w:spacing w:after="0" w:line="230" w:lineRule="auto"/>
        <w:rPr>
          <w:sz w:val="20"/>
          <w:szCs w:val="20"/>
          <w:color w:val="auto"/>
        </w:rPr>
      </w:pPr>
      <w:r>
        <w:rPr>
          <w:rFonts w:ascii="Arial" w:cs="Arial" w:eastAsia="Arial" w:hAnsi="Arial"/>
          <w:sz w:val="18"/>
          <w:szCs w:val="18"/>
          <w:color w:val="auto"/>
        </w:rPr>
        <w:t>Benchmark Replacement for all purposes under the Credit Agreement and such changes shall become effective on the sixth Business Day</w:t>
      </w:r>
    </w:p>
    <w:p>
      <w:pPr>
        <w:ind w:left="60" w:right="100"/>
        <w:spacing w:after="0" w:line="235" w:lineRule="auto"/>
        <w:rPr>
          <w:sz w:val="20"/>
          <w:szCs w:val="20"/>
          <w:color w:val="auto"/>
        </w:rPr>
      </w:pPr>
      <w:r>
        <w:rPr>
          <w:rFonts w:ascii="Arial" w:cs="Arial" w:eastAsia="Arial" w:hAnsi="Arial"/>
          <w:sz w:val="17"/>
          <w:szCs w:val="17"/>
          <w:color w:val="auto"/>
        </w:rPr>
        <w:t>after the date on which notice of such Early Opt-in Election is provided to the Lenders, so long as the Administrative Agent has not received, by 5:00 p.m. New York City time on the fifth Business Day after the date of such notice of such Early Opt-in Election to the Lenders (such</w:t>
      </w:r>
    </w:p>
    <w:p>
      <w:pPr>
        <w:spacing w:after="0" w:line="1" w:lineRule="exact"/>
        <w:rPr>
          <w:sz w:val="20"/>
          <w:szCs w:val="20"/>
          <w:color w:val="auto"/>
        </w:rPr>
      </w:pPr>
    </w:p>
    <w:p>
      <w:pPr>
        <w:ind w:left="60" w:right="100"/>
        <w:spacing w:after="0" w:line="236" w:lineRule="auto"/>
        <w:rPr>
          <w:sz w:val="20"/>
          <w:szCs w:val="20"/>
          <w:color w:val="auto"/>
        </w:rPr>
      </w:pPr>
      <w:r>
        <w:rPr>
          <w:rFonts w:ascii="Arial" w:cs="Arial" w:eastAsia="Arial" w:hAnsi="Arial"/>
          <w:sz w:val="19"/>
          <w:szCs w:val="19"/>
          <w:color w:val="auto"/>
        </w:rPr>
        <w:t>time, the “</w:t>
      </w:r>
      <w:r>
        <w:rPr>
          <w:rFonts w:ascii="Arial" w:cs="Arial" w:eastAsia="Arial" w:hAnsi="Arial"/>
          <w:sz w:val="19"/>
          <w:szCs w:val="19"/>
          <w:u w:val="single" w:color="auto"/>
          <w:color w:val="auto"/>
        </w:rPr>
        <w:t>Objection Deadline</w:t>
      </w:r>
      <w:r>
        <w:rPr>
          <w:rFonts w:ascii="Arial" w:cs="Arial" w:eastAsia="Arial" w:hAnsi="Arial"/>
          <w:sz w:val="19"/>
          <w:szCs w:val="19"/>
          <w:color w:val="auto"/>
        </w:rPr>
        <w:t>”), written notice of objection to the Early Opt-in Election and applicable Benchmark Replacement from Lenders comprising the Required Lenders;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WHEREAS, the posting of a draft of this Amendment to the Lenders on March 27, 2023 serves as a written notice by the</w:t>
      </w:r>
    </w:p>
    <w:p>
      <w:pPr>
        <w:ind w:left="60" w:right="100"/>
        <w:spacing w:after="0" w:line="228" w:lineRule="auto"/>
        <w:rPr>
          <w:sz w:val="20"/>
          <w:szCs w:val="20"/>
          <w:color w:val="auto"/>
        </w:rPr>
      </w:pPr>
      <w:r>
        <w:rPr>
          <w:rFonts w:ascii="Arial" w:cs="Arial" w:eastAsia="Arial" w:hAnsi="Arial"/>
          <w:sz w:val="19"/>
          <w:szCs w:val="19"/>
          <w:color w:val="auto"/>
        </w:rPr>
        <w:t>Administrative Agent and the Borrower to the Lenders of an Early Opt-in Election made pursuant to the definition of “Early Opt-in Election” in the Credit Agreement; and</w:t>
      </w:r>
    </w:p>
    <w:p>
      <w:pPr>
        <w:spacing w:after="0" w:line="205" w:lineRule="exact"/>
        <w:rPr>
          <w:sz w:val="20"/>
          <w:szCs w:val="20"/>
          <w:color w:val="auto"/>
        </w:rPr>
      </w:pPr>
    </w:p>
    <w:p>
      <w:pPr>
        <w:jc w:val="both"/>
        <w:ind w:left="40" w:firstLine="636"/>
        <w:spacing w:after="0" w:line="262" w:lineRule="auto"/>
        <w:rPr>
          <w:sz w:val="20"/>
          <w:szCs w:val="20"/>
          <w:color w:val="auto"/>
        </w:rPr>
      </w:pPr>
      <w:r>
        <w:rPr>
          <w:rFonts w:ascii="Arial" w:cs="Arial" w:eastAsia="Arial" w:hAnsi="Arial"/>
          <w:sz w:val="19"/>
          <w:szCs w:val="19"/>
          <w:color w:val="auto"/>
        </w:rPr>
        <w:t>WHEREAS, pursuant to Section 8.01 of the Credit Agreement, the Administrative Agent (in consultation with the Company) has determined in accordance with the Credit Agreement that, in connection with the replacement of Euro-Dollar Rate in respect of Euro-Dollar Loans with the applicable Benchmark Replacement, certain Benchmark Replacement Conforming Changes are appropriate to reflect the adoption and implementation of the applicable Benchmark Replacement and such changes shall become effective, subject to the terms of this Amendment, on the Amendment No. 1 Effective Date (as defined below) without any further consent of any other party to the Credit Agreement or any other Loan Document.</w:t>
      </w:r>
    </w:p>
    <w:p>
      <w:pPr>
        <w:spacing w:after="0" w:line="212" w:lineRule="exact"/>
        <w:rPr>
          <w:sz w:val="20"/>
          <w:szCs w:val="20"/>
          <w:color w:val="auto"/>
        </w:rPr>
      </w:pPr>
    </w:p>
    <w:p>
      <w:pPr>
        <w:ind w:left="60" w:right="100" w:firstLine="636"/>
        <w:spacing w:after="0" w:line="237" w:lineRule="auto"/>
        <w:rPr>
          <w:sz w:val="20"/>
          <w:szCs w:val="20"/>
          <w:color w:val="auto"/>
        </w:rPr>
      </w:pPr>
      <w:r>
        <w:rPr>
          <w:rFonts w:ascii="Arial" w:cs="Arial" w:eastAsia="Arial" w:hAnsi="Arial"/>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#96599468v8</w:t>
      </w:r>
    </w:p>
    <w:p>
      <w:pPr>
        <w:sectPr>
          <w:pgSz w:w="11900" w:h="16838" w:orient="portrait"/>
          <w:cols w:equalWidth="0" w:num="1">
            <w:col w:w="11200"/>
          </w:cols>
          <w:pgMar w:left="360" w:top="785" w:right="339" w:bottom="1440" w:gutter="0" w:footer="0" w:header="0"/>
        </w:sectPr>
      </w:pPr>
    </w:p>
    <w:bookmarkStart w:id="37" w:name="page38"/>
    <w:bookmarkEnd w:id="37"/>
    <w:p>
      <w:pPr>
        <w:ind w:firstLine="642"/>
        <w:spacing w:after="0" w:line="249" w:lineRule="auto"/>
        <w:tabs>
          <w:tab w:leader="none" w:pos="127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herein but not otherwise defined herein shall have the meanings provided to such terms in the Credit Agreement.</w:t>
      </w:r>
    </w:p>
    <w:p>
      <w:pPr>
        <w:spacing w:after="0" w:line="182" w:lineRule="exact"/>
        <w:rPr>
          <w:rFonts w:ascii="Arial" w:cs="Arial" w:eastAsia="Arial" w:hAnsi="Arial"/>
          <w:sz w:val="19"/>
          <w:szCs w:val="19"/>
          <w:color w:val="auto"/>
        </w:rPr>
      </w:pPr>
    </w:p>
    <w:p>
      <w:pPr>
        <w:jc w:val="both"/>
        <w:ind w:firstLine="642"/>
        <w:spacing w:after="0" w:line="231" w:lineRule="auto"/>
        <w:tabs>
          <w:tab w:leader="none" w:pos="127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The Credit Agreement is hereby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006FC0"/>
        </w:rPr>
        <w:t>double-underlined text</w:t>
      </w:r>
      <w:r>
        <w:rPr>
          <w:rFonts w:ascii="Arial" w:cs="Arial" w:eastAsia="Arial" w:hAnsi="Arial"/>
          <w:sz w:val="19"/>
          <w:szCs w:val="19"/>
          <w:color w:val="000000"/>
        </w:rPr>
        <w:t>) as set forth in the pages attached as Exhibit A hereto.</w:t>
      </w:r>
    </w:p>
    <w:p>
      <w:pPr>
        <w:spacing w:after="0" w:line="203" w:lineRule="exact"/>
        <w:rPr>
          <w:rFonts w:ascii="Arial" w:cs="Arial" w:eastAsia="Arial" w:hAnsi="Arial"/>
          <w:sz w:val="19"/>
          <w:szCs w:val="19"/>
          <w:color w:val="auto"/>
        </w:rPr>
      </w:pPr>
    </w:p>
    <w:p>
      <w:pPr>
        <w:ind w:firstLine="642"/>
        <w:spacing w:after="0" w:line="237" w:lineRule="auto"/>
        <w:tabs>
          <w:tab w:leader="none" w:pos="127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The effectiveness of this Amendment is subject to the satisfaction of each of the following conditions (the date of the satisfaction of all such conditions, the “</w:t>
      </w:r>
      <w:r>
        <w:rPr>
          <w:rFonts w:ascii="Arial" w:cs="Arial" w:eastAsia="Arial" w:hAnsi="Arial"/>
          <w:sz w:val="19"/>
          <w:szCs w:val="19"/>
          <w:u w:val="single" w:color="auto"/>
          <w:color w:val="auto"/>
        </w:rPr>
        <w:t>Amendment No. 1 Effective Date</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right="100" w:firstLine="1278"/>
        <w:spacing w:after="0" w:line="267" w:lineRule="auto"/>
        <w:tabs>
          <w:tab w:leader="none" w:pos="1730" w:val="left"/>
        </w:tabs>
        <w:numPr>
          <w:ilvl w:val="3"/>
          <w:numId w:val="29"/>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the Company, either (x) a counterpart of this Amendment signed on behalf of the Company or (y) written evidence reasonably satisfactory to the Administrative Agent (which may include delivery of a signed signature page of this Amendment by facsimile or other means of electronic transmission (e.g., “pdf”)) that the Company has signed a counterpart of this Amendment.</w:t>
      </w:r>
    </w:p>
    <w:p>
      <w:pPr>
        <w:spacing w:after="0" w:line="193" w:lineRule="exact"/>
        <w:rPr>
          <w:rFonts w:ascii="Arial" w:cs="Arial" w:eastAsia="Arial" w:hAnsi="Arial"/>
          <w:sz w:val="19"/>
          <w:szCs w:val="19"/>
          <w:color w:val="auto"/>
        </w:rPr>
      </w:pPr>
    </w:p>
    <w:p>
      <w:pPr>
        <w:jc w:val="both"/>
        <w:ind w:firstLine="1198"/>
        <w:spacing w:after="0" w:line="236" w:lineRule="auto"/>
        <w:tabs>
          <w:tab w:leader="none" w:pos="1739" w:val="left"/>
        </w:tabs>
        <w:numPr>
          <w:ilvl w:val="2"/>
          <w:numId w:val="29"/>
        </w:numPr>
        <w:rPr>
          <w:rFonts w:ascii="Arial" w:cs="Arial" w:eastAsia="Arial" w:hAnsi="Arial"/>
          <w:sz w:val="19"/>
          <w:szCs w:val="19"/>
          <w:color w:val="auto"/>
        </w:rPr>
      </w:pPr>
      <w:r>
        <w:rPr>
          <w:rFonts w:ascii="Arial" w:cs="Arial" w:eastAsia="Arial" w:hAnsi="Arial"/>
          <w:sz w:val="19"/>
          <w:szCs w:val="19"/>
          <w:color w:val="auto"/>
        </w:rPr>
        <w:t>The Administrative Agent has not received, by the Objection Deadline, written notice of objection to the Early Opt-in Election of the applicable Benchmark Replacement or the amendments to the Credit Agreement as provided herein from Lenders comprising the Required Lenders.</w:t>
      </w:r>
    </w:p>
    <w:p>
      <w:pPr>
        <w:spacing w:after="0" w:line="190" w:lineRule="exact"/>
        <w:rPr>
          <w:rFonts w:ascii="Arial" w:cs="Arial" w:eastAsia="Arial" w:hAnsi="Arial"/>
          <w:sz w:val="19"/>
          <w:szCs w:val="19"/>
          <w:color w:val="auto"/>
        </w:rPr>
      </w:pPr>
    </w:p>
    <w:p>
      <w:pPr>
        <w:ind w:right="120" w:firstLine="642"/>
        <w:spacing w:after="0" w:line="249" w:lineRule="auto"/>
        <w:tabs>
          <w:tab w:leader="none" w:pos="127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represents and warrants to the Administrative Agent that, as of the date hereof and on the Amendment No. 1 Effective Date:</w:t>
      </w:r>
    </w:p>
    <w:p>
      <w:pPr>
        <w:spacing w:after="0" w:line="165" w:lineRule="exact"/>
        <w:rPr>
          <w:rFonts w:ascii="Arial" w:cs="Arial" w:eastAsia="Arial" w:hAnsi="Arial"/>
          <w:sz w:val="19"/>
          <w:szCs w:val="19"/>
          <w:color w:val="auto"/>
        </w:rPr>
      </w:pPr>
    </w:p>
    <w:p>
      <w:pPr>
        <w:ind w:left="1860" w:hanging="662"/>
        <w:spacing w:after="0"/>
        <w:tabs>
          <w:tab w:leader="none" w:pos="1860" w:val="left"/>
        </w:tabs>
        <w:numPr>
          <w:ilvl w:val="2"/>
          <w:numId w:val="29"/>
        </w:numPr>
        <w:rPr>
          <w:rFonts w:ascii="Arial" w:cs="Arial" w:eastAsia="Arial" w:hAnsi="Arial"/>
          <w:sz w:val="19"/>
          <w:szCs w:val="19"/>
          <w:color w:val="auto"/>
        </w:rPr>
      </w:pPr>
      <w:r>
        <w:rPr>
          <w:rFonts w:ascii="Arial" w:cs="Arial" w:eastAsia="Arial" w:hAnsi="Arial"/>
          <w:sz w:val="19"/>
          <w:szCs w:val="19"/>
          <w:color w:val="auto"/>
        </w:rPr>
        <w:t>it has the power and authority to execute and deliver this Amendment and to perform its obligations under this</w:t>
      </w:r>
    </w:p>
    <w:p>
      <w:pPr>
        <w:spacing w:after="0"/>
        <w:rPr>
          <w:rFonts w:ascii="Arial" w:cs="Arial" w:eastAsia="Arial" w:hAnsi="Arial"/>
          <w:sz w:val="19"/>
          <w:szCs w:val="19"/>
          <w:color w:val="auto"/>
        </w:rPr>
      </w:pPr>
      <w:r>
        <w:rPr>
          <w:rFonts w:ascii="Arial" w:cs="Arial" w:eastAsia="Arial" w:hAnsi="Arial"/>
          <w:sz w:val="19"/>
          <w:szCs w:val="19"/>
          <w:color w:val="auto"/>
        </w:rPr>
        <w:t>Amendment;</w:t>
      </w:r>
    </w:p>
    <w:p>
      <w:pPr>
        <w:spacing w:after="0" w:line="216" w:lineRule="exact"/>
        <w:rPr>
          <w:rFonts w:ascii="Arial" w:cs="Arial" w:eastAsia="Arial" w:hAnsi="Arial"/>
          <w:sz w:val="19"/>
          <w:szCs w:val="19"/>
          <w:color w:val="auto"/>
        </w:rPr>
      </w:pPr>
    </w:p>
    <w:p>
      <w:pPr>
        <w:jc w:val="both"/>
        <w:ind w:firstLine="1198"/>
        <w:spacing w:after="0" w:line="216" w:lineRule="auto"/>
        <w:tabs>
          <w:tab w:leader="none" w:pos="1705" w:val="left"/>
        </w:tabs>
        <w:numPr>
          <w:ilvl w:val="2"/>
          <w:numId w:val="29"/>
        </w:numPr>
        <w:rPr>
          <w:rFonts w:ascii="Arial" w:cs="Arial" w:eastAsia="Arial" w:hAnsi="Arial"/>
          <w:sz w:val="19"/>
          <w:szCs w:val="19"/>
          <w:color w:val="auto"/>
        </w:rPr>
      </w:pPr>
      <w:r>
        <w:rPr>
          <w:rFonts w:ascii="Arial" w:cs="Arial" w:eastAsia="Arial" w:hAnsi="Arial"/>
          <w:sz w:val="19"/>
          <w:szCs w:val="19"/>
          <w:color w:val="auto"/>
        </w:rPr>
        <w:t>the execution, delivery and performance of this Amendment by it (A) is within its powers and has been duly authorized by all requisite entity action on its part to be performed and (B) will not (i) violate (x) any provision of any law, statute, rule or regulation (including, without limitation, the Margin Regulations) or of the certificate or articles of incorporation or organization, limited liability company agreement, by-laws or other constitutive documents of the Company or any Subsidiary, (y) any order of any Governmental Authority or (z) any provision of any indenture, agreement or other instrument to which the Company or any Subsidiary is a party or by which it or any of its property is or may be bound,</w:t>
      </w:r>
    </w:p>
    <w:p>
      <w:pPr>
        <w:spacing w:after="0" w:line="2" w:lineRule="exact"/>
        <w:rPr>
          <w:rFonts w:ascii="Arial" w:cs="Arial" w:eastAsia="Arial" w:hAnsi="Arial"/>
          <w:sz w:val="19"/>
          <w:szCs w:val="19"/>
          <w:color w:val="auto"/>
        </w:rPr>
      </w:pPr>
    </w:p>
    <w:p>
      <w:pPr>
        <w:jc w:val="both"/>
        <w:ind w:left="100" w:hanging="6"/>
        <w:spacing w:after="0" w:line="223" w:lineRule="auto"/>
        <w:tabs>
          <w:tab w:leader="none" w:pos="398" w:val="left"/>
        </w:tabs>
        <w:numPr>
          <w:ilvl w:val="0"/>
          <w:numId w:val="30"/>
        </w:numPr>
        <w:rPr>
          <w:rFonts w:ascii="Arial" w:cs="Arial" w:eastAsia="Arial" w:hAnsi="Arial"/>
          <w:sz w:val="19"/>
          <w:szCs w:val="19"/>
          <w:color w:val="auto"/>
        </w:rPr>
      </w:pPr>
      <w:r>
        <w:rPr>
          <w:rFonts w:ascii="Arial" w:cs="Arial" w:eastAsia="Arial" w:hAnsi="Arial"/>
          <w:sz w:val="19"/>
          <w:szCs w:val="19"/>
          <w:color w:val="auto"/>
        </w:rPr>
        <w:t>be in conflict with, result in a breach of or constitute (alone or with notice or lapse of time or both) a default under any such indenture, agreement or other instrument or (iii) result in the creation or imposition of any lien upon any property or assets of the Company or any Subsidiary, except, in the case of subclauses (B)(i) and (B)(ii), where the violation, conflict, breach or default would not result in a Material Adverse Effect; and</w:t>
      </w:r>
    </w:p>
    <w:p>
      <w:pPr>
        <w:spacing w:after="0" w:line="178" w:lineRule="exact"/>
        <w:rPr>
          <w:rFonts w:ascii="Arial" w:cs="Arial" w:eastAsia="Arial" w:hAnsi="Arial"/>
          <w:sz w:val="19"/>
          <w:szCs w:val="19"/>
          <w:color w:val="auto"/>
        </w:rPr>
      </w:pPr>
    </w:p>
    <w:p>
      <w:pPr>
        <w:jc w:val="both"/>
        <w:ind w:firstLine="1198"/>
        <w:spacing w:after="0" w:line="227" w:lineRule="auto"/>
        <w:tabs>
          <w:tab w:leader="none" w:pos="1699" w:val="left"/>
        </w:tabs>
        <w:numPr>
          <w:ilvl w:val="2"/>
          <w:numId w:val="30"/>
        </w:numPr>
        <w:rPr>
          <w:rFonts w:ascii="Arial" w:cs="Arial" w:eastAsia="Arial" w:hAnsi="Arial"/>
          <w:sz w:val="19"/>
          <w:szCs w:val="19"/>
          <w:color w:val="auto"/>
        </w:rPr>
      </w:pPr>
      <w:r>
        <w:rPr>
          <w:rFonts w:ascii="Arial" w:cs="Arial" w:eastAsia="Arial" w:hAnsi="Arial"/>
          <w:sz w:val="19"/>
          <w:szCs w:val="19"/>
          <w:color w:val="auto"/>
        </w:rPr>
        <w:t>this Amendment constitutes or, when executed and delivered, will constitute a legal, valid and binding obligation of the Company, enforceable in accordance with its terms (subject, as to enforceability, to applicable bankruptcy, insolvency, reorganization, moratorium or other similar laws affecting creditors’ rights generally and to general principles of equity (regardless of whether such enforceability is considered in a proceeding at law or in equity)).</w:t>
      </w:r>
    </w:p>
    <w:p>
      <w:pPr>
        <w:spacing w:after="0" w:line="220" w:lineRule="exact"/>
        <w:rPr>
          <w:rFonts w:ascii="Arial" w:cs="Arial" w:eastAsia="Arial" w:hAnsi="Arial"/>
          <w:sz w:val="19"/>
          <w:szCs w:val="19"/>
          <w:color w:val="auto"/>
        </w:rPr>
      </w:pPr>
    </w:p>
    <w:p>
      <w:pPr>
        <w:ind w:left="1280" w:hanging="638"/>
        <w:spacing w:after="0"/>
        <w:tabs>
          <w:tab w:leader="none" w:pos="1280" w:val="left"/>
        </w:tabs>
        <w:numPr>
          <w:ilvl w:val="1"/>
          <w:numId w:val="3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Reaffirmation; Reference to and Effect on the Loan Documents.</w:t>
      </w:r>
    </w:p>
    <w:p>
      <w:pPr>
        <w:spacing w:after="0" w:line="232" w:lineRule="exact"/>
        <w:rPr>
          <w:rFonts w:ascii="Arial" w:cs="Arial" w:eastAsia="Arial" w:hAnsi="Arial"/>
          <w:sz w:val="19"/>
          <w:szCs w:val="19"/>
          <w:u w:val="single" w:color="auto"/>
          <w:color w:val="auto"/>
        </w:rPr>
      </w:pPr>
    </w:p>
    <w:p>
      <w:pPr>
        <w:ind w:firstLine="1198"/>
        <w:spacing w:after="0" w:line="249" w:lineRule="auto"/>
        <w:tabs>
          <w:tab w:leader="none" w:pos="1707" w:val="left"/>
        </w:tabs>
        <w:numPr>
          <w:ilvl w:val="2"/>
          <w:numId w:val="31"/>
        </w:numPr>
        <w:rPr>
          <w:rFonts w:ascii="Arial" w:cs="Arial" w:eastAsia="Arial" w:hAnsi="Arial"/>
          <w:sz w:val="19"/>
          <w:szCs w:val="19"/>
          <w:color w:val="auto"/>
        </w:rPr>
      </w:pPr>
      <w:r>
        <w:rPr>
          <w:rFonts w:ascii="Arial" w:cs="Arial" w:eastAsia="Arial" w:hAnsi="Arial"/>
          <w:sz w:val="19"/>
          <w:szCs w:val="19"/>
          <w:color w:val="auto"/>
        </w:rPr>
        <w:t>From and after the Amendment No. 1 Effective Date, each reference in the Credit Agreement to “hereunder,” “hereof,” “this Agreement” or words of like import and each reference in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22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1"/>
          <w:szCs w:val="11"/>
          <w:color w:val="auto"/>
        </w:rPr>
        <w:t>#96599468v8</w:t>
      </w:r>
    </w:p>
    <w:p>
      <w:pPr>
        <w:sectPr>
          <w:pgSz w:w="11900" w:h="16838" w:orient="portrait"/>
          <w:cols w:equalWidth="0" w:num="1">
            <w:col w:w="11140"/>
          </w:cols>
          <w:pgMar w:left="320" w:top="1381" w:right="439" w:bottom="1440" w:gutter="0" w:footer="0" w:header="0"/>
        </w:sectPr>
      </w:pPr>
    </w:p>
    <w:bookmarkStart w:id="38" w:name="page39"/>
    <w:bookmarkEnd w:id="38"/>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other Loan Documents to “Credit Agreement,” “thereunder,” “thereof” or words of like import shall, unless the context otherwise requires, mean and be a reference to the Credit Agreement as amended by this Amendment. This Amendment is a Loan Document.</w:t>
      </w:r>
    </w:p>
    <w:p>
      <w:pPr>
        <w:spacing w:after="0" w:line="183" w:lineRule="exact"/>
        <w:rPr>
          <w:sz w:val="20"/>
          <w:szCs w:val="20"/>
          <w:color w:val="auto"/>
        </w:rPr>
      </w:pPr>
    </w:p>
    <w:p>
      <w:pPr>
        <w:ind w:firstLine="1198"/>
        <w:spacing w:after="0" w:line="249" w:lineRule="auto"/>
        <w:tabs>
          <w:tab w:leader="none" w:pos="1695"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Loan Documents, and the obligations of the Company and the Eligible Subsidiaries under the Loan Documents, are hereby ratified and confirmed and shall remain in full force and effect according to their terms.</w:t>
      </w:r>
    </w:p>
    <w:p>
      <w:pPr>
        <w:spacing w:after="0" w:line="182" w:lineRule="exact"/>
        <w:rPr>
          <w:rFonts w:ascii="Arial" w:cs="Arial" w:eastAsia="Arial" w:hAnsi="Arial"/>
          <w:sz w:val="19"/>
          <w:szCs w:val="19"/>
          <w:color w:val="auto"/>
        </w:rPr>
      </w:pPr>
    </w:p>
    <w:p>
      <w:pPr>
        <w:jc w:val="both"/>
        <w:ind w:firstLine="1198"/>
        <w:spacing w:after="0" w:line="231" w:lineRule="auto"/>
        <w:tabs>
          <w:tab w:leader="none" w:pos="1688"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Company (i) acknowledges and consents to all of the terms and conditions of this Amendment, (ii) affirms all of its obligations under the Loan Documents and (iii) agrees that this Amendment and all documents executed in connection herewith do not operate to reduce or discharge its obligations under the Loan Documents.</w:t>
      </w:r>
    </w:p>
    <w:p>
      <w:pPr>
        <w:spacing w:after="0" w:line="203" w:lineRule="exact"/>
        <w:rPr>
          <w:rFonts w:ascii="Arial" w:cs="Arial" w:eastAsia="Arial" w:hAnsi="Arial"/>
          <w:sz w:val="19"/>
          <w:szCs w:val="19"/>
          <w:color w:val="auto"/>
        </w:rPr>
      </w:pPr>
    </w:p>
    <w:p>
      <w:pPr>
        <w:jc w:val="both"/>
        <w:ind w:firstLine="1198"/>
        <w:spacing w:after="0" w:line="231" w:lineRule="auto"/>
        <w:tabs>
          <w:tab w:leader="none" w:pos="1687"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90" w:lineRule="exact"/>
        <w:rPr>
          <w:rFonts w:ascii="Arial" w:cs="Arial" w:eastAsia="Arial" w:hAnsi="Arial"/>
          <w:sz w:val="19"/>
          <w:szCs w:val="19"/>
          <w:color w:val="auto"/>
        </w:rPr>
      </w:pPr>
    </w:p>
    <w:p>
      <w:pPr>
        <w:ind w:firstLine="1198"/>
        <w:spacing w:after="0" w:line="249" w:lineRule="auto"/>
        <w:tabs>
          <w:tab w:leader="none" w:pos="1731" w:val="left"/>
        </w:tabs>
        <w:numPr>
          <w:ilvl w:val="1"/>
          <w:numId w:val="32"/>
        </w:numPr>
        <w:rPr>
          <w:rFonts w:ascii="Arial" w:cs="Arial" w:eastAsia="Arial" w:hAnsi="Arial"/>
          <w:sz w:val="19"/>
          <w:szCs w:val="19"/>
          <w:color w:val="auto"/>
        </w:rPr>
      </w:pPr>
      <w:r>
        <w:rPr>
          <w:rFonts w:ascii="Arial" w:cs="Arial" w:eastAsia="Arial" w:hAnsi="Arial"/>
          <w:sz w:val="19"/>
          <w:szCs w:val="19"/>
          <w:color w:val="auto"/>
        </w:rPr>
        <w:t>In the event of any conflict between the terms of this Amendment and the terms of the Credit Agreement or the other Loan Documents, the terms hereof shall control.</w:t>
      </w:r>
    </w:p>
    <w:p>
      <w:pPr>
        <w:spacing w:after="0" w:line="182" w:lineRule="exact"/>
        <w:rPr>
          <w:rFonts w:ascii="Arial" w:cs="Arial" w:eastAsia="Arial" w:hAnsi="Arial"/>
          <w:sz w:val="19"/>
          <w:szCs w:val="19"/>
          <w:color w:val="auto"/>
        </w:rPr>
      </w:pPr>
    </w:p>
    <w:p>
      <w:pPr>
        <w:jc w:val="both"/>
        <w:ind w:firstLine="642"/>
        <w:spacing w:after="0" w:line="234" w:lineRule="auto"/>
        <w:tabs>
          <w:tab w:leader="none" w:pos="12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Existing Interest Periods for Loans</w:t>
      </w:r>
      <w:r>
        <w:rPr>
          <w:rFonts w:ascii="Arial" w:cs="Arial" w:eastAsia="Arial" w:hAnsi="Arial"/>
          <w:sz w:val="18"/>
          <w:szCs w:val="18"/>
          <w:color w:val="auto"/>
        </w:rPr>
        <w:t>. Notwithstanding anything to the contrary in the Credit Agreement, the Amended Credit Agreement or this Amendment, any Euro-Dollar Loans denominated in Dollars and outstanding as of the Amendment No. 1 Effective Date shall continue to the end of the applicable Interest Period for such Euro-Dollar Loans and the provisions of the existing Credit Agreement applicable thereto shall continue and remain in effect (notwithstanding the amendments effected pursuant to Section 2 of this Amendment and the occurrence of the Amendment No. 1 Effective Date) until the end of the applicable Interest Period for such Euro-Dollar Loans, after which such provisions shall have no further force or effect as it relates to Loans denominated in Dollars.</w:t>
      </w:r>
    </w:p>
    <w:p>
      <w:pPr>
        <w:spacing w:after="0" w:line="206" w:lineRule="exact"/>
        <w:rPr>
          <w:rFonts w:ascii="Arial" w:cs="Arial" w:eastAsia="Arial" w:hAnsi="Arial"/>
          <w:sz w:val="18"/>
          <w:szCs w:val="18"/>
          <w:color w:val="auto"/>
        </w:rPr>
      </w:pPr>
    </w:p>
    <w:p>
      <w:pPr>
        <w:ind w:left="1280" w:hanging="638"/>
        <w:spacing w:after="0"/>
        <w:tabs>
          <w:tab w:leader="none" w:pos="128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Consent to Service of Process; Waiver of Jury Trial, Etc</w:t>
      </w:r>
      <w:r>
        <w:rPr>
          <w:rFonts w:ascii="Arial" w:cs="Arial" w:eastAsia="Arial" w:hAnsi="Arial"/>
          <w:sz w:val="19"/>
          <w:szCs w:val="19"/>
          <w:color w:val="auto"/>
        </w:rPr>
        <w:t>.</w:t>
      </w:r>
    </w:p>
    <w:p>
      <w:pPr>
        <w:spacing w:after="0" w:line="285" w:lineRule="exact"/>
        <w:rPr>
          <w:rFonts w:ascii="Arial" w:cs="Arial" w:eastAsia="Arial" w:hAnsi="Arial"/>
          <w:sz w:val="19"/>
          <w:szCs w:val="19"/>
          <w:color w:val="auto"/>
        </w:rPr>
      </w:pPr>
    </w:p>
    <w:p>
      <w:pPr>
        <w:ind w:firstLine="1198"/>
        <w:spacing w:after="0" w:line="261" w:lineRule="auto"/>
        <w:tabs>
          <w:tab w:leader="none" w:pos="17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Amendment shall be construed in accordance with and governed by the law of the State of New York, without regard to conflict of laws principles thereof to the extent such principles would cause the application of the law of another state.</w:t>
      </w:r>
    </w:p>
    <w:p>
      <w:pPr>
        <w:spacing w:after="0" w:line="166" w:lineRule="exact"/>
        <w:rPr>
          <w:rFonts w:ascii="Arial" w:cs="Arial" w:eastAsia="Arial" w:hAnsi="Arial"/>
          <w:sz w:val="18"/>
          <w:szCs w:val="18"/>
          <w:color w:val="auto"/>
        </w:rPr>
      </w:pPr>
    </w:p>
    <w:p>
      <w:pPr>
        <w:ind w:firstLine="1198"/>
        <w:spacing w:after="0" w:line="256" w:lineRule="auto"/>
        <w:tabs>
          <w:tab w:leader="none" w:pos="1860" w:val="left"/>
        </w:tabs>
        <w:numPr>
          <w:ilvl w:val="1"/>
          <w:numId w:val="33"/>
        </w:numPr>
        <w:rPr>
          <w:rFonts w:ascii="Arial" w:cs="Arial" w:eastAsia="Arial" w:hAnsi="Arial"/>
          <w:sz w:val="19"/>
          <w:szCs w:val="19"/>
          <w:color w:val="auto"/>
        </w:rPr>
      </w:pPr>
      <w:r>
        <w:rPr>
          <w:rFonts w:ascii="Arial" w:cs="Arial" w:eastAsia="Arial" w:hAnsi="Arial"/>
          <w:sz w:val="19"/>
          <w:szCs w:val="19"/>
          <w:b w:val="1"/>
          <w:bCs w:val="1"/>
          <w:color w:val="auto"/>
        </w:rPr>
        <w:t>EACH PARTY HERETO HEREBY AGREES AS SET FORTH IN SECTIONS 11.09 AND 11.11 OF THE CREDIT AGREEMENT AS IF SUCH SECTIONS WERE SET FORTH IN FULL HEREIN</w:t>
      </w:r>
      <w:r>
        <w:rPr>
          <w:rFonts w:ascii="Arial" w:cs="Arial" w:eastAsia="Arial" w:hAnsi="Arial"/>
          <w:sz w:val="19"/>
          <w:szCs w:val="19"/>
          <w:color w:val="auto"/>
        </w:rPr>
        <w:t>.</w:t>
      </w:r>
    </w:p>
    <w:p>
      <w:pPr>
        <w:spacing w:after="0" w:line="175" w:lineRule="exact"/>
        <w:rPr>
          <w:rFonts w:ascii="Arial" w:cs="Arial" w:eastAsia="Arial" w:hAnsi="Arial"/>
          <w:sz w:val="19"/>
          <w:szCs w:val="19"/>
          <w:color w:val="auto"/>
        </w:rPr>
      </w:pPr>
    </w:p>
    <w:p>
      <w:pPr>
        <w:jc w:val="both"/>
        <w:ind w:firstLine="642"/>
        <w:spacing w:after="0" w:line="233" w:lineRule="auto"/>
        <w:tabs>
          <w:tab w:leader="none" w:pos="12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Amendments; Headings; Severability</w:t>
      </w:r>
      <w:r>
        <w:rPr>
          <w:rFonts w:ascii="Arial" w:cs="Arial" w:eastAsia="Arial" w:hAnsi="Arial"/>
          <w:sz w:val="18"/>
          <w:szCs w:val="18"/>
          <w:color w:val="auto"/>
        </w:rPr>
        <w:t>. This Amendment may not be amended nor may any provision hereof be waived except pursuant to a writing signed by the Company and the Administrative Agent.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tabs>
          <w:tab w:leader="none" w:pos="220" w:val="left"/>
        </w:tabs>
        <w:rPr>
          <w:sz w:val="20"/>
          <w:szCs w:val="20"/>
          <w:color w:val="auto"/>
        </w:rPr>
      </w:pPr>
      <w:r>
        <w:rPr>
          <w:rFonts w:ascii="Arial" w:cs="Arial" w:eastAsia="Arial" w:hAnsi="Arial"/>
          <w:sz w:val="12"/>
          <w:szCs w:val="12"/>
          <w:color w:val="auto"/>
        </w:rPr>
        <w:t>3</w:t>
      </w:r>
      <w:r>
        <w:rPr>
          <w:sz w:val="20"/>
          <w:szCs w:val="20"/>
          <w:color w:val="auto"/>
        </w:rPr>
        <w:tab/>
      </w:r>
      <w:r>
        <w:rPr>
          <w:rFonts w:ascii="Arial" w:cs="Arial" w:eastAsia="Arial" w:hAnsi="Arial"/>
          <w:sz w:val="11"/>
          <w:szCs w:val="11"/>
          <w:color w:val="auto"/>
        </w:rPr>
        <w:t>#96599468v8</w:t>
      </w:r>
    </w:p>
    <w:p>
      <w:pPr>
        <w:sectPr>
          <w:pgSz w:w="11900" w:h="16838" w:orient="portrait"/>
          <w:cols w:equalWidth="0" w:num="1">
            <w:col w:w="11140"/>
          </w:cols>
          <w:pgMar w:left="320" w:top="1440" w:right="439" w:bottom="1440" w:gutter="0" w:footer="0" w:header="0"/>
        </w:sectPr>
      </w:pPr>
    </w:p>
    <w:bookmarkStart w:id="39" w:name="page40"/>
    <w:bookmarkEnd w:id="39"/>
    <w:p>
      <w:pPr>
        <w:spacing w:after="0" w:line="300" w:lineRule="exact"/>
        <w:rPr>
          <w:sz w:val="20"/>
          <w:szCs w:val="20"/>
          <w:color w:val="auto"/>
        </w:rPr>
      </w:pPr>
    </w:p>
    <w:p>
      <w:pPr>
        <w:jc w:val="both"/>
        <w:ind w:left="-60" w:firstLine="642"/>
        <w:spacing w:after="0" w:line="231" w:lineRule="auto"/>
        <w:tabs>
          <w:tab w:leader="none" w:pos="121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one or more counterparts, each of which shall be deemed an original, but all of which together shall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93" w:lineRule="exact"/>
        <w:rPr>
          <w:rFonts w:ascii="Arial" w:cs="Arial" w:eastAsia="Arial" w:hAnsi="Arial"/>
          <w:sz w:val="18"/>
          <w:szCs w:val="18"/>
          <w:color w:val="auto"/>
        </w:rPr>
      </w:pPr>
    </w:p>
    <w:p>
      <w:pPr>
        <w:ind w:left="2520" w:right="480" w:hanging="1938"/>
        <w:spacing w:after="0" w:line="540" w:lineRule="auto"/>
        <w:tabs>
          <w:tab w:leader="none" w:pos="122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hereunder shall be given in accordance with the provisions of Section 11.01of the Credit Agreement. [remainder of page intentionally left blank]</w:t>
      </w:r>
    </w:p>
    <w:p>
      <w:pPr>
        <w:spacing w:after="0" w:line="344" w:lineRule="exact"/>
        <w:rPr>
          <w:sz w:val="20"/>
          <w:szCs w:val="20"/>
          <w:color w:val="auto"/>
        </w:rPr>
      </w:pPr>
    </w:p>
    <w:p>
      <w:pPr>
        <w:spacing w:after="0"/>
        <w:tabs>
          <w:tab w:leader="none" w:pos="160" w:val="left"/>
        </w:tabs>
        <w:rPr>
          <w:sz w:val="20"/>
          <w:szCs w:val="20"/>
          <w:color w:val="auto"/>
        </w:rPr>
      </w:pPr>
      <w:r>
        <w:rPr>
          <w:rFonts w:ascii="Arial" w:cs="Arial" w:eastAsia="Arial" w:hAnsi="Arial"/>
          <w:sz w:val="12"/>
          <w:szCs w:val="12"/>
          <w:color w:val="auto"/>
        </w:rPr>
        <w:t>4</w:t>
      </w:r>
      <w:r>
        <w:rPr>
          <w:sz w:val="20"/>
          <w:szCs w:val="20"/>
          <w:color w:val="auto"/>
        </w:rPr>
        <w:tab/>
      </w:r>
      <w:r>
        <w:rPr>
          <w:rFonts w:ascii="Arial" w:cs="Arial" w:eastAsia="Arial" w:hAnsi="Arial"/>
          <w:sz w:val="11"/>
          <w:szCs w:val="11"/>
          <w:color w:val="auto"/>
        </w:rPr>
        <w:t>#96599468v8</w:t>
      </w:r>
    </w:p>
    <w:p>
      <w:pPr>
        <w:sectPr>
          <w:pgSz w:w="11900" w:h="16838" w:orient="portrait"/>
          <w:cols w:equalWidth="0" w:num="1">
            <w:col w:w="11080"/>
          </w:cols>
          <w:pgMar w:left="380" w:top="1440" w:right="439" w:bottom="1440" w:gutter="0" w:footer="0" w:header="0"/>
        </w:sectPr>
      </w:pPr>
    </w:p>
    <w:bookmarkStart w:id="40" w:name="page41"/>
    <w:bookmarkEnd w:id="40"/>
    <w:p>
      <w:pPr>
        <w:spacing w:after="0" w:line="61" w:lineRule="exact"/>
        <w:rPr>
          <w:sz w:val="20"/>
          <w:szCs w:val="20"/>
          <w:color w:val="auto"/>
        </w:rPr>
      </w:pPr>
    </w:p>
    <w:p>
      <w:pPr>
        <w:ind w:left="720"/>
        <w:spacing w:after="0"/>
        <w:rPr>
          <w:sz w:val="20"/>
          <w:szCs w:val="20"/>
          <w:color w:val="auto"/>
        </w:rPr>
      </w:pPr>
      <w:r>
        <w:rPr>
          <w:rFonts w:ascii="Arial" w:cs="Arial" w:eastAsia="Arial" w:hAnsi="Arial"/>
          <w:sz w:val="17"/>
          <w:szCs w:val="17"/>
          <w:color w:val="2B2B2B"/>
        </w:rPr>
        <w:t>Each of the parties hereto has caused a counterpart of this Amendment to be duly executed and delivered as of the date first above</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9"/>
          <w:szCs w:val="19"/>
          <w:color w:val="2B2B2B"/>
        </w:rPr>
        <w:t>written.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60" w:val="left"/>
        </w:tabs>
        <w:rPr>
          <w:sz w:val="20"/>
          <w:szCs w:val="20"/>
          <w:color w:val="auto"/>
        </w:rPr>
      </w:pPr>
      <w:r>
        <w:rPr>
          <w:rFonts w:ascii="Arial" w:cs="Arial" w:eastAsia="Arial" w:hAnsi="Arial"/>
          <w:sz w:val="19"/>
          <w:szCs w:val="19"/>
          <w:u w:val="single" w:color="auto"/>
          <w:color w:val="auto"/>
        </w:rPr>
        <w:t>COMPANY</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CAMPBELL SOUP COMPANY</w:t>
      </w:r>
    </w:p>
    <w:p>
      <w:pPr>
        <w:spacing w:after="0" w:line="200" w:lineRule="exact"/>
        <w:rPr>
          <w:sz w:val="20"/>
          <w:szCs w:val="20"/>
          <w:color w:val="auto"/>
        </w:rPr>
      </w:pPr>
    </w:p>
    <w:p>
      <w:pPr>
        <w:spacing w:after="0" w:line="254"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Atul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-6985</wp:posOffset>
            </wp:positionV>
            <wp:extent cx="1128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3180"/>
        <w:spacing w:after="0" w:line="203" w:lineRule="auto"/>
        <w:rPr>
          <w:sz w:val="20"/>
          <w:szCs w:val="20"/>
          <w:color w:val="auto"/>
        </w:rPr>
      </w:pPr>
      <w:r>
        <w:rPr>
          <w:rFonts w:ascii="Arial" w:cs="Arial" w:eastAsia="Arial" w:hAnsi="Arial"/>
          <w:sz w:val="19"/>
          <w:szCs w:val="19"/>
          <w:color w:val="auto"/>
        </w:rPr>
        <w:t>Name: Atul Garg</w:t>
      </w:r>
    </w:p>
    <w:p>
      <w:pPr>
        <w:spacing w:after="0" w:line="1"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Title: Vice President and Treasurer</w:t>
      </w:r>
    </w:p>
    <w:p>
      <w:pPr>
        <w:spacing w:after="0" w:line="279"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Carrie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-6985</wp:posOffset>
            </wp:positionV>
            <wp:extent cx="1329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3180"/>
        <w:spacing w:after="0" w:line="203" w:lineRule="auto"/>
        <w:rPr>
          <w:sz w:val="20"/>
          <w:szCs w:val="20"/>
          <w:color w:val="auto"/>
        </w:rPr>
      </w:pPr>
      <w:r>
        <w:rPr>
          <w:rFonts w:ascii="Arial" w:cs="Arial" w:eastAsia="Arial" w:hAnsi="Arial"/>
          <w:sz w:val="19"/>
          <w:szCs w:val="19"/>
          <w:color w:val="auto"/>
        </w:rPr>
        <w:t>Name: Carrie Anderson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7"/>
          <w:szCs w:val="17"/>
          <w:color w:val="2B2B2B"/>
        </w:rPr>
        <w:t>[Signature Page to Amendment No. 1]</w:t>
      </w:r>
    </w:p>
    <w:p>
      <w:pPr>
        <w:sectPr>
          <w:pgSz w:w="11900" w:h="16838" w:orient="portrait"/>
          <w:cols w:equalWidth="0" w:num="1">
            <w:col w:w="10800"/>
          </w:cols>
          <w:pgMar w:left="320" w:top="1440" w:right="77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540" w:right="4699" w:hanging="3179"/>
        <w:spacing w:after="0" w:line="249" w:lineRule="auto"/>
        <w:tabs>
          <w:tab w:leader="none" w:pos="2520" w:val="left"/>
        </w:tabs>
        <w:rPr>
          <w:sz w:val="20"/>
          <w:szCs w:val="20"/>
          <w:color w:val="auto"/>
        </w:rPr>
      </w:pP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JPMORGAN CHASE BANK, N.A., as Administrative Agent</w:t>
      </w:r>
    </w:p>
    <w:p>
      <w:pPr>
        <w:spacing w:after="0" w:line="245" w:lineRule="exact"/>
        <w:rPr>
          <w:sz w:val="20"/>
          <w:szCs w:val="20"/>
          <w:color w:val="auto"/>
        </w:rPr>
      </w:pPr>
    </w:p>
    <w:p>
      <w:pPr>
        <w:ind w:left="3140"/>
        <w:spacing w:after="0"/>
        <w:tabs>
          <w:tab w:leader="none" w:pos="36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/s/ James Kyle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-6985</wp:posOffset>
            </wp:positionV>
            <wp:extent cx="15240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ind w:left="3140"/>
        <w:spacing w:after="0" w:line="218" w:lineRule="auto"/>
        <w:rPr>
          <w:sz w:val="20"/>
          <w:szCs w:val="20"/>
          <w:color w:val="auto"/>
        </w:rPr>
      </w:pPr>
      <w:r>
        <w:rPr>
          <w:rFonts w:ascii="Arial" w:cs="Arial" w:eastAsia="Arial" w:hAnsi="Arial"/>
          <w:sz w:val="19"/>
          <w:szCs w:val="19"/>
          <w:color w:val="auto"/>
        </w:rPr>
        <w:t>Name: James Kyle O’Donnell</w:t>
      </w:r>
    </w:p>
    <w:p>
      <w:pPr>
        <w:ind w:left="314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2B2B2B"/>
        </w:rPr>
        <w:t>[Signature Page to Amendment No. 1]</w:t>
      </w:r>
    </w:p>
    <w:p>
      <w:pPr>
        <w:sectPr>
          <w:pgSz w:w="11900" w:h="16838" w:orient="portrait"/>
          <w:cols w:equalWidth="0" w:num="1">
            <w:col w:w="10099"/>
          </w:cols>
          <w:pgMar w:left="360" w:top="144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9"/>
          <w:szCs w:val="19"/>
          <w:color w:val="FF0000"/>
          <w:strike w:val="1"/>
        </w:rPr>
        <w:t>Execution Version</w:t>
      </w:r>
      <w:r>
        <w:rPr>
          <w:rFonts w:ascii="Arial" w:cs="Arial" w:eastAsia="Arial" w:hAnsi="Arial"/>
          <w:sz w:val="19"/>
          <w:szCs w:val="19"/>
          <w:u w:val="single" w:color="auto"/>
          <w:color w:val="0000FF"/>
          <w:strike w:val="1"/>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Attached hereto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0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9"/>
          <w:szCs w:val="19"/>
          <w:color w:val="FF0000"/>
          <w:strike w:val="1"/>
        </w:rPr>
        <w:t>Execution Version</w:t>
      </w:r>
      <w:r>
        <w:rPr>
          <w:rFonts w:ascii="Arial" w:cs="Arial" w:eastAsia="Arial" w:hAnsi="Arial"/>
          <w:sz w:val="19"/>
          <w:szCs w:val="19"/>
          <w:u w:val="single" w:color="auto"/>
          <w:color w:val="0000FF"/>
          <w:strike w:val="1"/>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$1,850,000,000</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FIVE-YEAR CREDIT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September 27, 2021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Among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Campbell Soup Company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Eligible Subsidiaries Referred to Herein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Lenders Party Hereto</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JPMorgan Chase Bank, N.A.,</w:t>
      </w:r>
    </w:p>
    <w:p>
      <w:pPr>
        <w:jc w:val="center"/>
        <w:spacing w:after="0"/>
        <w:rPr>
          <w:sz w:val="20"/>
          <w:szCs w:val="20"/>
          <w:color w:val="auto"/>
        </w:rPr>
      </w:pPr>
      <w:r>
        <w:rPr>
          <w:rFonts w:ascii="Arial" w:cs="Arial" w:eastAsia="Arial" w:hAnsi="Arial"/>
          <w:sz w:val="21"/>
          <w:szCs w:val="21"/>
          <w:color w:val="auto"/>
        </w:rPr>
        <w:t>as Administrative Agent</w:t>
      </w:r>
    </w:p>
    <w:p>
      <w:pPr>
        <w:spacing w:after="0" w:line="265"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_____________________</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JPMorgan Chase Bank, N.A.,</w:t>
      </w:r>
    </w:p>
    <w:p>
      <w:pPr>
        <w:jc w:val="center"/>
        <w:spacing w:after="0" w:line="210" w:lineRule="auto"/>
        <w:rPr>
          <w:sz w:val="20"/>
          <w:szCs w:val="20"/>
          <w:color w:val="auto"/>
        </w:rPr>
      </w:pPr>
      <w:r>
        <w:rPr>
          <w:rFonts w:ascii="Arial" w:cs="Arial" w:eastAsia="Arial" w:hAnsi="Arial"/>
          <w:sz w:val="21"/>
          <w:szCs w:val="21"/>
          <w:color w:val="auto"/>
        </w:rPr>
        <w:t>Barclays Bank PLC,</w:t>
      </w:r>
    </w:p>
    <w:p>
      <w:pPr>
        <w:jc w:val="center"/>
        <w:spacing w:after="0" w:line="211" w:lineRule="auto"/>
        <w:rPr>
          <w:sz w:val="20"/>
          <w:szCs w:val="20"/>
          <w:color w:val="auto"/>
        </w:rPr>
      </w:pPr>
      <w:r>
        <w:rPr>
          <w:rFonts w:ascii="Arial" w:cs="Arial" w:eastAsia="Arial" w:hAnsi="Arial"/>
          <w:sz w:val="21"/>
          <w:szCs w:val="21"/>
          <w:color w:val="auto"/>
        </w:rPr>
        <w:t>BNP Paribas Securities Corp.</w:t>
      </w:r>
    </w:p>
    <w:p>
      <w:pPr>
        <w:jc w:val="center"/>
        <w:spacing w:after="0" w:line="211" w:lineRule="auto"/>
        <w:rPr>
          <w:sz w:val="20"/>
          <w:szCs w:val="20"/>
          <w:color w:val="auto"/>
        </w:rPr>
      </w:pPr>
      <w:r>
        <w:rPr>
          <w:rFonts w:ascii="Arial" w:cs="Arial" w:eastAsia="Arial" w:hAnsi="Arial"/>
          <w:sz w:val="21"/>
          <w:szCs w:val="21"/>
          <w:color w:val="auto"/>
        </w:rPr>
        <w:t>and BofA Securities, Inc.,</w:t>
      </w:r>
    </w:p>
    <w:p>
      <w:pPr>
        <w:jc w:val="center"/>
        <w:spacing w:after="0"/>
        <w:rPr>
          <w:sz w:val="20"/>
          <w:szCs w:val="20"/>
          <w:color w:val="auto"/>
        </w:rPr>
      </w:pPr>
      <w:r>
        <w:rPr>
          <w:rFonts w:ascii="Arial" w:cs="Arial" w:eastAsia="Arial" w:hAnsi="Arial"/>
          <w:sz w:val="21"/>
          <w:szCs w:val="21"/>
          <w:i w:val="1"/>
          <w:iCs w:val="1"/>
          <w:color w:val="auto"/>
        </w:rPr>
        <w:t>as Joint Lead Arrangers and Joint Bookrunners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Barclays Bank PLC,</w:t>
      </w:r>
    </w:p>
    <w:p>
      <w:pPr>
        <w:jc w:val="center"/>
        <w:spacing w:after="0" w:line="210" w:lineRule="auto"/>
        <w:rPr>
          <w:sz w:val="20"/>
          <w:szCs w:val="20"/>
          <w:color w:val="auto"/>
        </w:rPr>
      </w:pPr>
      <w:r>
        <w:rPr>
          <w:rFonts w:ascii="Arial" w:cs="Arial" w:eastAsia="Arial" w:hAnsi="Arial"/>
          <w:sz w:val="21"/>
          <w:szCs w:val="21"/>
          <w:color w:val="auto"/>
        </w:rPr>
        <w:t>BNP Paribas Securities Corp.</w:t>
      </w:r>
    </w:p>
    <w:p>
      <w:pPr>
        <w:jc w:val="center"/>
        <w:spacing w:after="0" w:line="211" w:lineRule="auto"/>
        <w:rPr>
          <w:sz w:val="20"/>
          <w:szCs w:val="20"/>
          <w:color w:val="auto"/>
        </w:rPr>
      </w:pPr>
      <w:r>
        <w:rPr>
          <w:rFonts w:ascii="Arial" w:cs="Arial" w:eastAsia="Arial" w:hAnsi="Arial"/>
          <w:sz w:val="21"/>
          <w:szCs w:val="21"/>
          <w:color w:val="auto"/>
        </w:rPr>
        <w:t>and BofA Securities, Inc.,</w:t>
      </w:r>
    </w:p>
    <w:p>
      <w:pPr>
        <w:jc w:val="center"/>
        <w:spacing w:after="0"/>
        <w:rPr>
          <w:sz w:val="20"/>
          <w:szCs w:val="20"/>
          <w:color w:val="auto"/>
        </w:rPr>
      </w:pPr>
      <w:r>
        <w:rPr>
          <w:rFonts w:ascii="Arial" w:cs="Arial" w:eastAsia="Arial" w:hAnsi="Arial"/>
          <w:sz w:val="21"/>
          <w:szCs w:val="21"/>
          <w:i w:val="1"/>
          <w:iCs w:val="1"/>
          <w:color w:val="auto"/>
        </w:rPr>
        <w:t>as Syndication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03" w:right="339" w:bottom="1440" w:gutter="0" w:footer="0" w:header="0"/>
        </w:sectPr>
      </w:pPr>
    </w:p>
    <w:bookmarkStart w:id="44" w:name="page45"/>
    <w:bookmarkEnd w:id="44"/>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17"/>
          </w:tcPr>
          <w:p>
            <w:pPr>
              <w:jc w:val="center"/>
              <w:ind w:right="360"/>
              <w:spacing w:after="0"/>
              <w:rPr>
                <w:sz w:val="20"/>
                <w:szCs w:val="20"/>
                <w:color w:val="auto"/>
              </w:rPr>
            </w:pPr>
            <w:r>
              <w:rPr>
                <w:rFonts w:ascii="Arial" w:cs="Arial" w:eastAsia="Arial" w:hAnsi="Arial"/>
                <w:sz w:val="21"/>
                <w:szCs w:val="21"/>
                <w:color w:val="0000FF"/>
                <w:w w:val="97"/>
              </w:rPr>
              <w:t>ARTICLE 1</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0" w:type="dxa"/>
            <w:vAlign w:val="bottom"/>
            <w:tcBorders>
              <w:top w:val="single" w:sz="8" w:color="0000FF"/>
            </w:tcBorders>
            <w:gridSpan w:val="12"/>
          </w:tcPr>
          <w:p>
            <w:pPr>
              <w:jc w:val="center"/>
              <w:ind w:right="40"/>
              <w:spacing w:after="0" w:line="192" w:lineRule="exact"/>
              <w:rPr>
                <w:sz w:val="20"/>
                <w:szCs w:val="20"/>
                <w:color w:val="auto"/>
              </w:rPr>
            </w:pPr>
            <w:r>
              <w:rPr>
                <w:rFonts w:ascii="Arial" w:cs="Arial" w:eastAsia="Arial" w:hAnsi="Arial"/>
                <w:sz w:val="21"/>
                <w:szCs w:val="21"/>
                <w:color w:val="0000FF"/>
                <w:w w:val="97"/>
              </w:rPr>
              <w:t>Definitions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380" w:type="dxa"/>
            <w:vAlign w:val="bottom"/>
            <w:tcBorders>
              <w:bottom w:val="single" w:sz="8" w:color="0000FF"/>
            </w:tcBorders>
            <w:gridSpan w:val="3"/>
          </w:tcPr>
          <w:p>
            <w:pPr>
              <w:spacing w:after="0"/>
              <w:rPr>
                <w:sz w:val="20"/>
                <w:szCs w:val="20"/>
                <w:color w:val="auto"/>
              </w:rPr>
            </w:pPr>
            <w:r>
              <w:rPr>
                <w:rFonts w:ascii="Arial" w:cs="Arial" w:eastAsia="Arial" w:hAnsi="Arial"/>
                <w:sz w:val="21"/>
                <w:szCs w:val="21"/>
                <w:color w:val="0000FF"/>
                <w:w w:val="94"/>
              </w:rPr>
              <w:t>SECTION 1.01</w:t>
            </w:r>
            <w:r>
              <w:rPr>
                <w:rFonts w:ascii="Arial" w:cs="Arial" w:eastAsia="Arial" w:hAnsi="Arial"/>
                <w:sz w:val="21"/>
                <w:szCs w:val="21"/>
                <w:i w:val="1"/>
                <w:iCs w:val="1"/>
                <w:color w:val="0000FF"/>
                <w:w w:val="94"/>
              </w:rPr>
              <w:t>. Definitions</w:t>
            </w:r>
          </w:p>
        </w:tc>
        <w:tc>
          <w:tcPr>
            <w:tcW w:w="340" w:type="dxa"/>
            <w:vAlign w:val="bottom"/>
            <w:gridSpan w:val="3"/>
          </w:tcPr>
          <w:p>
            <w:pPr>
              <w:jc w:val="right"/>
              <w:ind w:right="20"/>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0000FF"/>
            </w:tcBorders>
            <w:gridSpan w:val="3"/>
          </w:tcPr>
          <w:p>
            <w:pPr>
              <w:spacing w:after="0" w:line="192" w:lineRule="exact"/>
              <w:rPr>
                <w:sz w:val="20"/>
                <w:szCs w:val="20"/>
                <w:color w:val="auto"/>
              </w:rPr>
            </w:pPr>
            <w:r>
              <w:rPr>
                <w:rFonts w:ascii="Arial" w:cs="Arial" w:eastAsia="Arial" w:hAnsi="Arial"/>
                <w:sz w:val="21"/>
                <w:szCs w:val="21"/>
                <w:color w:val="0000FF"/>
                <w:w w:val="92"/>
              </w:rPr>
              <w:t>SECTION 1.02</w:t>
            </w:r>
            <w:r>
              <w:rPr>
                <w:rFonts w:ascii="Arial" w:cs="Arial" w:eastAsia="Arial" w:hAnsi="Arial"/>
                <w:sz w:val="21"/>
                <w:szCs w:val="21"/>
                <w:i w:val="1"/>
                <w:iCs w:val="1"/>
                <w:color w:val="0000FF"/>
                <w:w w:val="92"/>
              </w:rPr>
              <w:t>. Accounting</w:t>
            </w:r>
          </w:p>
        </w:tc>
        <w:tc>
          <w:tcPr>
            <w:tcW w:w="2320" w:type="dxa"/>
            <w:vAlign w:val="bottom"/>
            <w:tcBorders>
              <w:bottom w:val="single" w:sz="8" w:color="0000FF"/>
            </w:tcBorders>
            <w:gridSpan w:val="32"/>
          </w:tcPr>
          <w:p>
            <w:pPr>
              <w:jc w:val="right"/>
              <w:spacing w:after="0" w:line="192" w:lineRule="exact"/>
              <w:rPr>
                <w:sz w:val="20"/>
                <w:szCs w:val="20"/>
                <w:color w:val="auto"/>
              </w:rPr>
            </w:pPr>
            <w:r>
              <w:rPr>
                <w:rFonts w:ascii="Arial" w:cs="Arial" w:eastAsia="Arial" w:hAnsi="Arial"/>
                <w:sz w:val="21"/>
                <w:szCs w:val="21"/>
                <w:i w:val="1"/>
                <w:iCs w:val="1"/>
                <w:color w:val="0000FF"/>
                <w:w w:val="92"/>
              </w:rPr>
              <w:t>Terms and Determinations</w:t>
            </w:r>
          </w:p>
        </w:tc>
        <w:tc>
          <w:tcPr>
            <w:tcW w:w="200" w:type="dxa"/>
            <w:vAlign w:val="bottom"/>
          </w:tcPr>
          <w:p>
            <w:pPr>
              <w:spacing w:after="0"/>
              <w:rPr>
                <w:sz w:val="16"/>
                <w:szCs w:val="16"/>
                <w:color w:val="auto"/>
              </w:rPr>
            </w:pPr>
          </w:p>
        </w:tc>
        <w:tc>
          <w:tcPr>
            <w:tcW w:w="240" w:type="dxa"/>
            <w:vAlign w:val="bottom"/>
            <w:gridSpan w:val="2"/>
          </w:tcPr>
          <w:p>
            <w:pPr>
              <w:jc w:val="right"/>
              <w:spacing w:after="0" w:line="192" w:lineRule="exact"/>
              <w:rPr>
                <w:sz w:val="20"/>
                <w:szCs w:val="20"/>
                <w:color w:val="auto"/>
              </w:rPr>
            </w:pPr>
            <w:r>
              <w:rPr>
                <w:rFonts w:ascii="Arial" w:cs="Arial" w:eastAsia="Arial" w:hAnsi="Arial"/>
                <w:sz w:val="21"/>
                <w:szCs w:val="21"/>
                <w:color w:val="auto"/>
                <w:w w:val="85"/>
              </w:rPr>
              <w:t>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Borders>
              <w:bottom w:val="single" w:sz="8" w:color="0000FF"/>
            </w:tcBorders>
            <w:gridSpan w:val="14"/>
          </w:tcPr>
          <w:p>
            <w:pPr>
              <w:spacing w:after="0" w:line="192" w:lineRule="exact"/>
              <w:rPr>
                <w:sz w:val="20"/>
                <w:szCs w:val="20"/>
                <w:color w:val="auto"/>
              </w:rPr>
            </w:pPr>
            <w:r>
              <w:rPr>
                <w:rFonts w:ascii="Arial" w:cs="Arial" w:eastAsia="Arial" w:hAnsi="Arial"/>
                <w:sz w:val="21"/>
                <w:szCs w:val="21"/>
                <w:color w:val="0000FF"/>
                <w:w w:val="92"/>
              </w:rPr>
              <w:t>SECTION 1.03</w:t>
            </w:r>
            <w:r>
              <w:rPr>
                <w:rFonts w:ascii="Arial" w:cs="Arial" w:eastAsia="Arial" w:hAnsi="Arial"/>
                <w:sz w:val="21"/>
                <w:szCs w:val="21"/>
                <w:i w:val="1"/>
                <w:iCs w:val="1"/>
                <w:color w:val="0000FF"/>
                <w:w w:val="92"/>
              </w:rPr>
              <w:t>. Types of Borrowings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spacing w:after="0" w:line="192" w:lineRule="exact"/>
              <w:rPr>
                <w:sz w:val="20"/>
                <w:szCs w:val="20"/>
                <w:color w:val="auto"/>
              </w:rPr>
            </w:pPr>
            <w:r>
              <w:rPr>
                <w:rFonts w:ascii="Arial" w:cs="Arial" w:eastAsia="Arial" w:hAnsi="Arial"/>
                <w:sz w:val="21"/>
                <w:szCs w:val="21"/>
                <w:color w:val="FF0000"/>
                <w:strike w:val="1"/>
              </w:rPr>
              <w:t>29</w:t>
            </w:r>
          </w:p>
        </w:tc>
        <w:tc>
          <w:tcPr>
            <w:tcW w:w="14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71"/>
              </w:rPr>
              <w:t>28</w:t>
            </w:r>
          </w:p>
        </w:tc>
        <w:tc>
          <w:tcPr>
            <w:tcW w:w="2080" w:type="dxa"/>
            <w:vAlign w:val="bottom"/>
            <w:gridSpan w:val="23"/>
            <w:vMerge w:val="restart"/>
          </w:tcPr>
          <w:p>
            <w:pPr>
              <w:jc w:val="right"/>
              <w:ind w:right="60"/>
              <w:spacing w:after="0"/>
              <w:rPr>
                <w:sz w:val="20"/>
                <w:szCs w:val="20"/>
                <w:color w:val="auto"/>
              </w:rPr>
            </w:pPr>
            <w:r>
              <w:rPr>
                <w:rFonts w:ascii="Arial" w:cs="Arial" w:eastAsia="Arial" w:hAnsi="Arial"/>
                <w:sz w:val="21"/>
                <w:szCs w:val="21"/>
                <w:i w:val="1"/>
                <w:iCs w:val="1"/>
                <w:color w:val="0000FF"/>
                <w:w w:val="92"/>
              </w:rPr>
              <w:t>Benchmark Notification</w:t>
            </w:r>
          </w:p>
        </w:tc>
        <w:tc>
          <w:tcPr>
            <w:tcW w:w="140" w:type="dxa"/>
            <w:vAlign w:val="bottom"/>
          </w:tcPr>
          <w:p>
            <w:pPr>
              <w:spacing w:after="0"/>
              <w:rPr>
                <w:sz w:val="18"/>
                <w:szCs w:val="18"/>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85"/>
              </w:rPr>
              <w:t>29</w:t>
            </w:r>
          </w:p>
        </w:tc>
        <w:tc>
          <w:tcPr>
            <w:tcW w:w="200" w:type="dxa"/>
            <w:vAlign w:val="bottom"/>
            <w:gridSpan w:val="2"/>
            <w:vMerge w:val="restart"/>
          </w:tcPr>
          <w:p>
            <w:pPr>
              <w:spacing w:after="0"/>
              <w:rPr>
                <w:sz w:val="20"/>
                <w:szCs w:val="20"/>
                <w:color w:val="auto"/>
              </w:rPr>
            </w:pPr>
            <w:r>
              <w:rPr>
                <w:rFonts w:ascii="Arial" w:cs="Arial" w:eastAsia="Arial" w:hAnsi="Arial"/>
                <w:sz w:val="21"/>
                <w:szCs w:val="21"/>
                <w:color w:val="0000FF"/>
                <w:w w:val="76"/>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720" w:type="dxa"/>
            <w:vAlign w:val="bottom"/>
            <w:gridSpan w:val="6"/>
          </w:tcPr>
          <w:p>
            <w:pPr>
              <w:spacing w:after="0" w:line="172" w:lineRule="exact"/>
              <w:rPr>
                <w:sz w:val="20"/>
                <w:szCs w:val="20"/>
                <w:color w:val="auto"/>
              </w:rPr>
            </w:pPr>
            <w:r>
              <w:rPr>
                <w:rFonts w:ascii="Arial" w:cs="Arial" w:eastAsia="Arial" w:hAnsi="Arial"/>
                <w:sz w:val="19"/>
                <w:szCs w:val="19"/>
                <w:color w:val="0000FF"/>
              </w:rPr>
              <w:t xml:space="preserve">SECTION 1.04. </w:t>
            </w:r>
            <w:r>
              <w:rPr>
                <w:rFonts w:ascii="Arial" w:cs="Arial" w:eastAsia="Arial" w:hAnsi="Arial"/>
                <w:sz w:val="19"/>
                <w:szCs w:val="19"/>
                <w:i w:val="1"/>
                <w:iCs w:val="1"/>
                <w:color w:val="0000FF"/>
              </w:rPr>
              <w:t>Interest Rates;</w:t>
            </w:r>
          </w:p>
        </w:tc>
        <w:tc>
          <w:tcPr>
            <w:tcW w:w="480" w:type="dxa"/>
            <w:vAlign w:val="bottom"/>
            <w:gridSpan w:val="8"/>
          </w:tcPr>
          <w:p>
            <w:pPr>
              <w:spacing w:after="0" w:line="172" w:lineRule="exact"/>
              <w:rPr>
                <w:sz w:val="20"/>
                <w:szCs w:val="20"/>
                <w:color w:val="auto"/>
              </w:rPr>
            </w:pPr>
            <w:r>
              <w:rPr>
                <w:rFonts w:ascii="Arial" w:cs="Arial" w:eastAsia="Arial" w:hAnsi="Arial"/>
                <w:sz w:val="19"/>
                <w:szCs w:val="19"/>
                <w:i w:val="1"/>
                <w:iCs w:val="1"/>
                <w:color w:val="FF0000"/>
                <w:strike w:val="1"/>
                <w:w w:val="77"/>
              </w:rPr>
              <w:t>LIBOR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7"/>
          </w:tcPr>
          <w:p>
            <w:pPr>
              <w:spacing w:after="0" w:line="172" w:lineRule="exact"/>
              <w:rPr>
                <w:sz w:val="20"/>
                <w:szCs w:val="20"/>
                <w:color w:val="auto"/>
              </w:rPr>
            </w:pPr>
            <w:r>
              <w:rPr>
                <w:rFonts w:ascii="Arial" w:cs="Arial" w:eastAsia="Arial" w:hAnsi="Arial"/>
                <w:sz w:val="19"/>
                <w:szCs w:val="19"/>
                <w:i w:val="1"/>
                <w:iCs w:val="1"/>
                <w:color w:val="0000FF"/>
              </w:rPr>
              <w:t>Term</w:t>
            </w:r>
          </w:p>
        </w:tc>
        <w:tc>
          <w:tcPr>
            <w:tcW w:w="2080" w:type="dxa"/>
            <w:vAlign w:val="bottom"/>
            <w:gridSpan w:val="2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gridSpan w:val="4"/>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tcBorders>
              <w:top w:val="single" w:sz="8" w:color="0000FF"/>
            </w:tcBorders>
            <w:gridSpan w:val="3"/>
          </w:tcPr>
          <w:p>
            <w:pPr>
              <w:spacing w:after="0" w:line="192" w:lineRule="exact"/>
              <w:rPr>
                <w:sz w:val="20"/>
                <w:szCs w:val="20"/>
                <w:color w:val="auto"/>
              </w:rPr>
            </w:pPr>
            <w:r>
              <w:rPr>
                <w:rFonts w:ascii="Arial" w:cs="Arial" w:eastAsia="Arial" w:hAnsi="Arial"/>
                <w:sz w:val="21"/>
                <w:szCs w:val="21"/>
                <w:color w:val="0000FF"/>
              </w:rPr>
              <w:t xml:space="preserve">SECTION 1.05. </w:t>
            </w:r>
            <w:r>
              <w:rPr>
                <w:rFonts w:ascii="Arial" w:cs="Arial" w:eastAsia="Arial" w:hAnsi="Arial"/>
                <w:sz w:val="21"/>
                <w:szCs w:val="21"/>
                <w:i w:val="1"/>
                <w:iCs w:val="1"/>
                <w:color w:val="0000FF"/>
              </w:rPr>
              <w:t>Divisions</w:t>
            </w:r>
          </w:p>
        </w:tc>
        <w:tc>
          <w:tcPr>
            <w:tcW w:w="340" w:type="dxa"/>
            <w:vAlign w:val="bottom"/>
            <w:tcBorders>
              <w:top w:val="single" w:sz="8" w:color="0000FF"/>
            </w:tcBorders>
            <w:gridSpan w:val="3"/>
          </w:tcPr>
          <w:p>
            <w:pPr>
              <w:jc w:val="right"/>
              <w:ind w:right="60"/>
              <w:spacing w:after="0" w:line="192" w:lineRule="exact"/>
              <w:rPr>
                <w:sz w:val="20"/>
                <w:szCs w:val="20"/>
                <w:color w:val="auto"/>
              </w:rPr>
            </w:pPr>
            <w:r>
              <w:rPr>
                <w:rFonts w:ascii="Arial" w:cs="Arial" w:eastAsia="Arial" w:hAnsi="Arial"/>
                <w:sz w:val="21"/>
                <w:szCs w:val="21"/>
                <w:color w:val="auto"/>
              </w:rPr>
              <w:t>29</w:t>
            </w:r>
          </w:p>
        </w:tc>
        <w:tc>
          <w:tcPr>
            <w:tcW w:w="20" w:type="dxa"/>
            <w:vAlign w:val="bottom"/>
            <w:tcBorders>
              <w:top w:val="single" w:sz="8" w:color="FF0000"/>
            </w:tcBorders>
          </w:tcPr>
          <w:p>
            <w:pPr>
              <w:spacing w:after="0"/>
              <w:rPr>
                <w:sz w:val="16"/>
                <w:szCs w:val="16"/>
                <w:color w:val="auto"/>
              </w:rPr>
            </w:pPr>
          </w:p>
        </w:tc>
        <w:tc>
          <w:tcPr>
            <w:tcW w:w="20" w:type="dxa"/>
            <w:vAlign w:val="bottom"/>
            <w:tcBorders>
              <w:top w:val="single" w:sz="8" w:color="FF0000"/>
            </w:tcBorders>
          </w:tcPr>
          <w:p>
            <w:pPr>
              <w:spacing w:after="0"/>
              <w:rPr>
                <w:sz w:val="16"/>
                <w:szCs w:val="16"/>
                <w:color w:val="auto"/>
              </w:rPr>
            </w:pPr>
          </w:p>
        </w:tc>
        <w:tc>
          <w:tcPr>
            <w:tcW w:w="120" w:type="dxa"/>
            <w:vAlign w:val="bottom"/>
            <w:tcBorders>
              <w:top w:val="single" w:sz="8" w:color="FF0000"/>
            </w:tcBorders>
          </w:tcPr>
          <w:p>
            <w:pPr>
              <w:spacing w:after="0"/>
              <w:rPr>
                <w:sz w:val="16"/>
                <w:szCs w:val="16"/>
                <w:color w:val="auto"/>
              </w:rPr>
            </w:pPr>
          </w:p>
        </w:tc>
        <w:tc>
          <w:tcPr>
            <w:tcW w:w="80" w:type="dxa"/>
            <w:vAlign w:val="bottom"/>
            <w:tcBorders>
              <w:top w:val="single" w:sz="8" w:color="FF0000"/>
            </w:tcBorders>
          </w:tcPr>
          <w:p>
            <w:pPr>
              <w:spacing w:after="0"/>
              <w:rPr>
                <w:sz w:val="16"/>
                <w:szCs w:val="16"/>
                <w:color w:val="auto"/>
              </w:rPr>
            </w:pPr>
          </w:p>
        </w:tc>
        <w:tc>
          <w:tcPr>
            <w:tcW w:w="20" w:type="dxa"/>
            <w:vAlign w:val="bottom"/>
            <w:tcBorders>
              <w:top w:val="single" w:sz="8" w:color="FF0000"/>
            </w:tcBorders>
          </w:tcPr>
          <w:p>
            <w:pPr>
              <w:spacing w:after="0"/>
              <w:rPr>
                <w:sz w:val="16"/>
                <w:szCs w:val="16"/>
                <w:color w:val="auto"/>
              </w:rPr>
            </w:pPr>
          </w:p>
        </w:tc>
        <w:tc>
          <w:tcPr>
            <w:tcW w:w="100" w:type="dxa"/>
            <w:vAlign w:val="bottom"/>
            <w:tcBorders>
              <w:top w:val="single" w:sz="8" w:color="FF0000"/>
            </w:tcBorders>
          </w:tcPr>
          <w:p>
            <w:pPr>
              <w:spacing w:after="0"/>
              <w:rPr>
                <w:sz w:val="16"/>
                <w:szCs w:val="16"/>
                <w:color w:val="auto"/>
              </w:rPr>
            </w:pPr>
          </w:p>
        </w:tc>
        <w:tc>
          <w:tcPr>
            <w:tcW w:w="80" w:type="dxa"/>
            <w:vAlign w:val="bottom"/>
            <w:tcBorders>
              <w:top w:val="single" w:sz="8" w:color="FF0000"/>
            </w:tcBorders>
          </w:tcPr>
          <w:p>
            <w:pPr>
              <w:spacing w:after="0"/>
              <w:rPr>
                <w:sz w:val="16"/>
                <w:szCs w:val="16"/>
                <w:color w:val="auto"/>
              </w:rPr>
            </w:pPr>
          </w:p>
        </w:tc>
        <w:tc>
          <w:tcPr>
            <w:tcW w:w="40" w:type="dxa"/>
            <w:vAlign w:val="bottom"/>
            <w:tcBorders>
              <w:top w:val="single" w:sz="8" w:color="FF0000"/>
            </w:tcBorders>
          </w:tcPr>
          <w:p>
            <w:pPr>
              <w:spacing w:after="0"/>
              <w:rPr>
                <w:sz w:val="16"/>
                <w:szCs w:val="16"/>
                <w:color w:val="auto"/>
              </w:rPr>
            </w:pPr>
          </w:p>
        </w:tc>
        <w:tc>
          <w:tcPr>
            <w:tcW w:w="100" w:type="dxa"/>
            <w:vAlign w:val="bottom"/>
            <w:tcBorders>
              <w:top w:val="single" w:sz="8" w:color="FF0000"/>
            </w:tcBorders>
          </w:tcPr>
          <w:p>
            <w:pPr>
              <w:spacing w:after="0"/>
              <w:rPr>
                <w:sz w:val="16"/>
                <w:szCs w:val="16"/>
                <w:color w:val="auto"/>
              </w:rPr>
            </w:pPr>
          </w:p>
        </w:tc>
        <w:tc>
          <w:tcPr>
            <w:tcW w:w="20" w:type="dxa"/>
            <w:vAlign w:val="bottom"/>
            <w:tcBorders>
              <w:top w:val="single" w:sz="8" w:color="FF0000"/>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tcBorders>
              <w:top w:val="single" w:sz="8" w:color="0000FF"/>
            </w:tcBorders>
            <w:gridSpan w:val="2"/>
          </w:tcPr>
          <w:p>
            <w:pPr>
              <w:spacing w:after="0" w:line="192" w:lineRule="exact"/>
              <w:rPr>
                <w:sz w:val="20"/>
                <w:szCs w:val="20"/>
                <w:color w:val="auto"/>
              </w:rPr>
            </w:pPr>
            <w:r>
              <w:rPr>
                <w:rFonts w:ascii="Arial" w:cs="Arial" w:eastAsia="Arial" w:hAnsi="Arial"/>
                <w:sz w:val="21"/>
                <w:szCs w:val="21"/>
                <w:color w:val="0000FF"/>
                <w:w w:val="97"/>
              </w:rPr>
              <w:t xml:space="preserve">SECTION 1.06. </w:t>
            </w:r>
            <w:r>
              <w:rPr>
                <w:rFonts w:ascii="Arial" w:cs="Arial" w:eastAsia="Arial" w:hAnsi="Arial"/>
                <w:sz w:val="21"/>
                <w:szCs w:val="21"/>
                <w:i w:val="1"/>
                <w:iCs w:val="1"/>
                <w:color w:val="0000FF"/>
                <w:w w:val="97"/>
              </w:rPr>
              <w:t>Letter of</w:t>
            </w:r>
          </w:p>
        </w:tc>
        <w:tc>
          <w:tcPr>
            <w:tcW w:w="1480" w:type="dxa"/>
            <w:vAlign w:val="bottom"/>
            <w:gridSpan w:val="19"/>
          </w:tcPr>
          <w:p>
            <w:pPr>
              <w:jc w:val="center"/>
              <w:ind w:right="95"/>
              <w:spacing w:after="0" w:line="192" w:lineRule="exact"/>
              <w:rPr>
                <w:sz w:val="20"/>
                <w:szCs w:val="20"/>
                <w:color w:val="auto"/>
              </w:rPr>
            </w:pPr>
            <w:r>
              <w:rPr>
                <w:rFonts w:ascii="Arial" w:cs="Arial" w:eastAsia="Arial" w:hAnsi="Arial"/>
                <w:sz w:val="21"/>
                <w:szCs w:val="21"/>
                <w:i w:val="1"/>
                <w:iCs w:val="1"/>
                <w:color w:val="0000FF"/>
                <w:w w:val="89"/>
              </w:rPr>
              <w:t>Credit Amounts</w:t>
            </w:r>
          </w:p>
        </w:tc>
        <w:tc>
          <w:tcPr>
            <w:tcW w:w="240" w:type="dxa"/>
            <w:vAlign w:val="bottom"/>
            <w:gridSpan w:val="6"/>
          </w:tcPr>
          <w:p>
            <w:pPr>
              <w:ind w:left="20"/>
              <w:spacing w:after="0" w:line="192" w:lineRule="exact"/>
              <w:rPr>
                <w:sz w:val="20"/>
                <w:szCs w:val="20"/>
                <w:color w:val="auto"/>
              </w:rPr>
            </w:pPr>
            <w:r>
              <w:rPr>
                <w:rFonts w:ascii="Arial" w:cs="Arial" w:eastAsia="Arial" w:hAnsi="Arial"/>
                <w:sz w:val="21"/>
                <w:szCs w:val="21"/>
                <w:color w:val="FF0000"/>
                <w:strike w:val="1"/>
                <w:w w:val="85"/>
              </w:rPr>
              <w:t>30</w:t>
            </w:r>
          </w:p>
        </w:tc>
        <w:tc>
          <w:tcPr>
            <w:tcW w:w="200" w:type="dxa"/>
            <w:vAlign w:val="bottom"/>
            <w:gridSpan w:val="2"/>
          </w:tcPr>
          <w:p>
            <w:pPr>
              <w:jc w:val="right"/>
              <w:spacing w:after="0" w:line="192" w:lineRule="exact"/>
              <w:rPr>
                <w:sz w:val="20"/>
                <w:szCs w:val="20"/>
                <w:color w:val="auto"/>
              </w:rPr>
            </w:pPr>
            <w:r>
              <w:rPr>
                <w:rFonts w:ascii="Arial" w:cs="Arial" w:eastAsia="Arial" w:hAnsi="Arial"/>
                <w:sz w:val="21"/>
                <w:szCs w:val="21"/>
                <w:color w:val="0000FF"/>
                <w:w w:val="76"/>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17"/>
            <w:vMerge w:val="restart"/>
          </w:tcPr>
          <w:p>
            <w:pPr>
              <w:jc w:val="center"/>
              <w:ind w:right="360"/>
              <w:spacing w:after="0"/>
              <w:rPr>
                <w:sz w:val="20"/>
                <w:szCs w:val="20"/>
                <w:color w:val="auto"/>
              </w:rPr>
            </w:pPr>
            <w:r>
              <w:rPr>
                <w:rFonts w:ascii="Arial" w:cs="Arial" w:eastAsia="Arial" w:hAnsi="Arial"/>
                <w:sz w:val="21"/>
                <w:szCs w:val="21"/>
                <w:color w:val="0000FF"/>
                <w:w w:val="97"/>
              </w:rPr>
              <w:t>ARTICLE 2</w:t>
            </w:r>
          </w:p>
        </w:tc>
        <w:tc>
          <w:tcPr>
            <w:tcW w:w="0" w:type="dxa"/>
            <w:vAlign w:val="bottom"/>
          </w:tcPr>
          <w:p>
            <w:pPr>
              <w:spacing w:after="0"/>
              <w:rPr>
                <w:sz w:val="1"/>
                <w:szCs w:val="1"/>
                <w:color w:val="auto"/>
              </w:rPr>
            </w:pPr>
          </w:p>
        </w:tc>
      </w:tr>
      <w:tr>
        <w:trPr>
          <w:trHeight w:val="404"/>
        </w:trPr>
        <w:tc>
          <w:tcPr>
            <w:tcW w:w="18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1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0000FF"/>
              <w:bottom w:val="single" w:sz="8" w:color="0000FF"/>
            </w:tcBorders>
            <w:gridSpan w:val="13"/>
          </w:tcPr>
          <w:p>
            <w:pPr>
              <w:jc w:val="center"/>
              <w:spacing w:after="0" w:line="192" w:lineRule="exact"/>
              <w:rPr>
                <w:sz w:val="20"/>
                <w:szCs w:val="20"/>
                <w:color w:val="auto"/>
              </w:rPr>
            </w:pPr>
            <w:r>
              <w:rPr>
                <w:rFonts w:ascii="Arial" w:cs="Arial" w:eastAsia="Arial" w:hAnsi="Arial"/>
                <w:sz w:val="21"/>
                <w:szCs w:val="21"/>
                <w:color w:val="0000FF"/>
                <w:w w:val="96"/>
              </w:rPr>
              <w:t>The Facility</w:t>
            </w:r>
          </w:p>
        </w:tc>
        <w:tc>
          <w:tcPr>
            <w:tcW w:w="140" w:type="dxa"/>
            <w:vAlign w:val="bottom"/>
            <w:gridSpan w:val="2"/>
          </w:tcPr>
          <w:p>
            <w:pPr>
              <w:spacing w:after="0"/>
              <w:rPr>
                <w:sz w:val="16"/>
                <w:szCs w:val="16"/>
                <w:color w:val="auto"/>
              </w:rPr>
            </w:pP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3300" w:type="dxa"/>
            <w:vAlign w:val="bottom"/>
            <w:tcBorders>
              <w:bottom w:val="single" w:sz="8" w:color="0000FF"/>
            </w:tcBorders>
            <w:gridSpan w:val="15"/>
          </w:tcPr>
          <w:p>
            <w:pPr>
              <w:spacing w:after="0"/>
              <w:rPr>
                <w:sz w:val="20"/>
                <w:szCs w:val="20"/>
                <w:color w:val="auto"/>
              </w:rPr>
            </w:pPr>
            <w:r>
              <w:rPr>
                <w:rFonts w:ascii="Arial" w:cs="Arial" w:eastAsia="Arial" w:hAnsi="Arial"/>
                <w:sz w:val="21"/>
                <w:szCs w:val="21"/>
                <w:color w:val="0000FF"/>
                <w:w w:val="91"/>
              </w:rPr>
              <w:t>SECTION 2.01</w:t>
            </w:r>
            <w:r>
              <w:rPr>
                <w:rFonts w:ascii="Arial" w:cs="Arial" w:eastAsia="Arial" w:hAnsi="Arial"/>
                <w:sz w:val="21"/>
                <w:szCs w:val="21"/>
                <w:i w:val="1"/>
                <w:iCs w:val="1"/>
                <w:color w:val="0000FF"/>
                <w:w w:val="91"/>
              </w:rPr>
              <w:t>. Commitments to Lend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4"/>
          </w:tcPr>
          <w:p>
            <w:pPr>
              <w:ind w:left="100"/>
              <w:spacing w:after="0"/>
              <w:rPr>
                <w:sz w:val="20"/>
                <w:szCs w:val="20"/>
                <w:color w:val="auto"/>
              </w:rPr>
            </w:pPr>
            <w:r>
              <w:rPr>
                <w:rFonts w:ascii="Arial" w:cs="Arial" w:eastAsia="Arial" w:hAnsi="Arial"/>
                <w:sz w:val="21"/>
                <w:szCs w:val="21"/>
                <w:color w:val="FF0000"/>
                <w:strike w:val="1"/>
                <w:w w:val="85"/>
              </w:rPr>
              <w:t>30</w:t>
            </w:r>
          </w:p>
        </w:tc>
        <w:tc>
          <w:tcPr>
            <w:tcW w:w="200" w:type="dxa"/>
            <w:vAlign w:val="bottom"/>
            <w:tcBorders>
              <w:bottom w:val="single" w:sz="8" w:color="0000FF"/>
            </w:tcBorders>
            <w:gridSpan w:val="5"/>
          </w:tcPr>
          <w:p>
            <w:pPr>
              <w:spacing w:after="0"/>
              <w:rPr>
                <w:sz w:val="20"/>
                <w:szCs w:val="20"/>
                <w:color w:val="auto"/>
              </w:rPr>
            </w:pPr>
            <w:r>
              <w:rPr>
                <w:rFonts w:ascii="Arial" w:cs="Arial" w:eastAsia="Arial" w:hAnsi="Arial"/>
                <w:sz w:val="21"/>
                <w:szCs w:val="21"/>
                <w:color w:val="0000FF"/>
                <w:w w:val="76"/>
              </w:rPr>
              <w:t>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gridSpan w:val="15"/>
          </w:tcPr>
          <w:p>
            <w:pPr>
              <w:spacing w:after="0" w:line="192" w:lineRule="exact"/>
              <w:rPr>
                <w:sz w:val="20"/>
                <w:szCs w:val="20"/>
                <w:color w:val="auto"/>
              </w:rPr>
            </w:pPr>
            <w:r>
              <w:rPr>
                <w:rFonts w:ascii="Arial" w:cs="Arial" w:eastAsia="Arial" w:hAnsi="Arial"/>
                <w:sz w:val="21"/>
                <w:szCs w:val="21"/>
                <w:color w:val="0000FF"/>
                <w:w w:val="97"/>
              </w:rPr>
              <w:t xml:space="preserve">SECTION 2.02. </w:t>
            </w:r>
            <w:r>
              <w:rPr>
                <w:rFonts w:ascii="Arial" w:cs="Arial" w:eastAsia="Arial" w:hAnsi="Arial"/>
                <w:sz w:val="21"/>
                <w:szCs w:val="21"/>
                <w:i w:val="1"/>
                <w:iCs w:val="1"/>
                <w:color w:val="0000FF"/>
                <w:w w:val="97"/>
              </w:rPr>
              <w:t>Notice of Borrowing</w:t>
            </w:r>
          </w:p>
        </w:tc>
        <w:tc>
          <w:tcPr>
            <w:tcW w:w="20" w:type="dxa"/>
            <w:vAlign w:val="bottom"/>
          </w:tcPr>
          <w:p>
            <w:pPr>
              <w:spacing w:after="0"/>
              <w:rPr>
                <w:sz w:val="16"/>
                <w:szCs w:val="16"/>
                <w:color w:val="auto"/>
              </w:rPr>
            </w:pPr>
          </w:p>
        </w:tc>
        <w:tc>
          <w:tcPr>
            <w:tcW w:w="360" w:type="dxa"/>
            <w:vAlign w:val="bottom"/>
            <w:gridSpan w:val="4"/>
          </w:tcPr>
          <w:p>
            <w:pPr>
              <w:ind w:left="60"/>
              <w:spacing w:after="0" w:line="192" w:lineRule="exact"/>
              <w:rPr>
                <w:sz w:val="20"/>
                <w:szCs w:val="20"/>
                <w:color w:val="auto"/>
              </w:rPr>
            </w:pPr>
            <w:r>
              <w:rPr>
                <w:rFonts w:ascii="Arial" w:cs="Arial" w:eastAsia="Arial" w:hAnsi="Arial"/>
                <w:sz w:val="21"/>
                <w:szCs w:val="21"/>
                <w:color w:val="FF0000"/>
                <w:strike w:val="1"/>
              </w:rPr>
              <w:t>31</w:t>
            </w:r>
          </w:p>
        </w:tc>
        <w:tc>
          <w:tcPr>
            <w:tcW w:w="140" w:type="dxa"/>
            <w:vAlign w:val="bottom"/>
            <w:gridSpan w:val="3"/>
          </w:tcPr>
          <w:p>
            <w:pPr>
              <w:spacing w:after="0"/>
              <w:rPr>
                <w:sz w:val="20"/>
                <w:szCs w:val="20"/>
                <w:color w:val="auto"/>
              </w:rPr>
            </w:pPr>
            <w:r>
              <w:rPr>
                <w:rFonts w:ascii="Arial" w:cs="Arial" w:eastAsia="Arial" w:hAnsi="Arial"/>
                <w:sz w:val="15"/>
                <w:szCs w:val="15"/>
                <w:color w:val="0000FF"/>
                <w:w w:val="71"/>
              </w:rPr>
              <w:t>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17"/>
            <w:vMerge w:val="restart"/>
          </w:tcPr>
          <w:p>
            <w:pPr>
              <w:ind w:left="60"/>
              <w:spacing w:after="0"/>
              <w:rPr>
                <w:sz w:val="20"/>
                <w:szCs w:val="20"/>
                <w:color w:val="auto"/>
              </w:rPr>
            </w:pPr>
            <w:r>
              <w:rPr>
                <w:rFonts w:ascii="Arial" w:cs="Arial" w:eastAsia="Arial" w:hAnsi="Arial"/>
                <w:sz w:val="21"/>
                <w:szCs w:val="21"/>
                <w:i w:val="1"/>
                <w:iCs w:val="1"/>
                <w:color w:val="0000FF"/>
              </w:rPr>
              <w:t xml:space="preserve">of Loans  </w:t>
            </w:r>
            <w:r>
              <w:rPr>
                <w:rFonts w:ascii="Arial" w:cs="Arial" w:eastAsia="Arial" w:hAnsi="Arial"/>
                <w:sz w:val="21"/>
                <w:szCs w:val="21"/>
                <w:color w:val="000000"/>
              </w:rPr>
              <w:t>31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20" w:type="dxa"/>
            <w:vAlign w:val="bottom"/>
            <w:gridSpan w:val="1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gridSpan w:val="13"/>
          </w:tcPr>
          <w:p>
            <w:pPr>
              <w:spacing w:after="0" w:line="192" w:lineRule="exact"/>
              <w:rPr>
                <w:sz w:val="20"/>
                <w:szCs w:val="20"/>
                <w:color w:val="auto"/>
              </w:rPr>
            </w:pPr>
            <w:r>
              <w:rPr>
                <w:rFonts w:ascii="Arial" w:cs="Arial" w:eastAsia="Arial" w:hAnsi="Arial"/>
                <w:sz w:val="21"/>
                <w:szCs w:val="21"/>
                <w:color w:val="0000FF"/>
                <w:w w:val="96"/>
              </w:rPr>
              <w:t xml:space="preserve">SECTION 2.03. </w:t>
            </w:r>
            <w:r>
              <w:rPr>
                <w:rFonts w:ascii="Arial" w:cs="Arial" w:eastAsia="Arial" w:hAnsi="Arial"/>
                <w:sz w:val="21"/>
                <w:szCs w:val="21"/>
                <w:i w:val="1"/>
                <w:iCs w:val="1"/>
                <w:color w:val="0000FF"/>
                <w:w w:val="96"/>
              </w:rPr>
              <w:t>Notice to Lenders;</w:t>
            </w:r>
          </w:p>
        </w:tc>
        <w:tc>
          <w:tcPr>
            <w:tcW w:w="640" w:type="dxa"/>
            <w:vAlign w:val="bottom"/>
            <w:gridSpan w:val="9"/>
          </w:tcPr>
          <w:p>
            <w:pPr>
              <w:spacing w:after="0" w:line="192" w:lineRule="exact"/>
              <w:rPr>
                <w:sz w:val="20"/>
                <w:szCs w:val="20"/>
                <w:color w:val="auto"/>
              </w:rPr>
            </w:pPr>
            <w:r>
              <w:rPr>
                <w:rFonts w:ascii="Arial" w:cs="Arial" w:eastAsia="Arial" w:hAnsi="Arial"/>
                <w:sz w:val="21"/>
                <w:szCs w:val="21"/>
                <w:i w:val="1"/>
                <w:iCs w:val="1"/>
                <w:color w:val="0000FF"/>
                <w:w w:val="71"/>
              </w:rPr>
              <w:t>Fundings</w:t>
            </w: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520" w:type="dxa"/>
            <w:vAlign w:val="bottom"/>
            <w:gridSpan w:val="17"/>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tcBorders>
              <w:top w:val="single" w:sz="8" w:color="0000FF"/>
              <w:bottom w:val="single" w:sz="8" w:color="0000FF"/>
            </w:tcBorders>
            <w:gridSpan w:val="7"/>
          </w:tcPr>
          <w:p>
            <w:pPr>
              <w:spacing w:after="0" w:line="192" w:lineRule="exact"/>
              <w:rPr>
                <w:sz w:val="20"/>
                <w:szCs w:val="20"/>
                <w:color w:val="auto"/>
              </w:rPr>
            </w:pPr>
            <w:r>
              <w:rPr>
                <w:rFonts w:ascii="Arial" w:cs="Arial" w:eastAsia="Arial" w:hAnsi="Arial"/>
                <w:sz w:val="21"/>
                <w:szCs w:val="21"/>
                <w:color w:val="0000FF"/>
                <w:w w:val="92"/>
              </w:rPr>
              <w:t xml:space="preserve">SECTION 2.04. </w:t>
            </w:r>
            <w:r>
              <w:rPr>
                <w:rFonts w:ascii="Arial" w:cs="Arial" w:eastAsia="Arial" w:hAnsi="Arial"/>
                <w:sz w:val="21"/>
                <w:szCs w:val="21"/>
                <w:i w:val="1"/>
                <w:iCs w:val="1"/>
                <w:color w:val="0000FF"/>
                <w:w w:val="92"/>
              </w:rPr>
              <w:t>Registry; Notes</w:t>
            </w: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gridSpan w:val="4"/>
          </w:tcPr>
          <w:p>
            <w:pPr>
              <w:ind w:left="80"/>
              <w:spacing w:after="0" w:line="192" w:lineRule="exact"/>
              <w:rPr>
                <w:sz w:val="20"/>
                <w:szCs w:val="20"/>
                <w:color w:val="auto"/>
              </w:rPr>
            </w:pPr>
            <w:r>
              <w:rPr>
                <w:rFonts w:ascii="Arial" w:cs="Arial" w:eastAsia="Arial" w:hAnsi="Arial"/>
                <w:sz w:val="20"/>
                <w:szCs w:val="20"/>
                <w:color w:val="FF0000"/>
                <w:strike w:val="1"/>
                <w:w w:val="71"/>
              </w:rPr>
              <w:t>32</w:t>
            </w:r>
          </w:p>
        </w:tc>
        <w:tc>
          <w:tcPr>
            <w:tcW w:w="240" w:type="dxa"/>
            <w:vAlign w:val="bottom"/>
            <w:tcBorders>
              <w:top w:val="single" w:sz="8" w:color="0000FF"/>
              <w:bottom w:val="single" w:sz="8" w:color="0000FF"/>
            </w:tcBorders>
            <w:gridSpan w:val="4"/>
          </w:tcPr>
          <w:p>
            <w:pPr>
              <w:jc w:val="right"/>
              <w:spacing w:after="0" w:line="192" w:lineRule="exact"/>
              <w:rPr>
                <w:sz w:val="20"/>
                <w:szCs w:val="20"/>
                <w:color w:val="auto"/>
              </w:rPr>
            </w:pPr>
            <w:r>
              <w:rPr>
                <w:rFonts w:ascii="Arial" w:cs="Arial" w:eastAsia="Arial" w:hAnsi="Arial"/>
                <w:sz w:val="21"/>
                <w:szCs w:val="21"/>
                <w:color w:val="0000FF"/>
                <w:w w:val="85"/>
              </w:rPr>
              <w:t>31</w:t>
            </w: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0000FF"/>
            </w:tcBorders>
            <w:gridSpan w:val="10"/>
          </w:tcPr>
          <w:p>
            <w:pPr>
              <w:spacing w:after="0" w:line="192" w:lineRule="exact"/>
              <w:rPr>
                <w:sz w:val="20"/>
                <w:szCs w:val="20"/>
                <w:color w:val="auto"/>
              </w:rPr>
            </w:pPr>
            <w:r>
              <w:rPr>
                <w:rFonts w:ascii="Arial" w:cs="Arial" w:eastAsia="Arial" w:hAnsi="Arial"/>
                <w:sz w:val="21"/>
                <w:szCs w:val="21"/>
                <w:color w:val="0000FF"/>
                <w:w w:val="93"/>
              </w:rPr>
              <w:t xml:space="preserve">SECTION 2.05. </w:t>
            </w:r>
            <w:r>
              <w:rPr>
                <w:rFonts w:ascii="Arial" w:cs="Arial" w:eastAsia="Arial" w:hAnsi="Arial"/>
                <w:sz w:val="21"/>
                <w:szCs w:val="21"/>
                <w:i w:val="1"/>
                <w:iCs w:val="1"/>
                <w:color w:val="0000FF"/>
                <w:w w:val="93"/>
              </w:rPr>
              <w:t>Maturity of Loans</w:t>
            </w:r>
          </w:p>
        </w:tc>
        <w:tc>
          <w:tcPr>
            <w:tcW w:w="20" w:type="dxa"/>
            <w:vAlign w:val="bottom"/>
            <w:tcBorders>
              <w:bottom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4"/>
          </w:tcPr>
          <w:p>
            <w:pPr>
              <w:jc w:val="right"/>
              <w:spacing w:after="0" w:line="192" w:lineRule="exact"/>
              <w:rPr>
                <w:sz w:val="20"/>
                <w:szCs w:val="20"/>
                <w:color w:val="auto"/>
              </w:rPr>
            </w:pPr>
            <w:r>
              <w:rPr>
                <w:rFonts w:ascii="Arial" w:cs="Arial" w:eastAsia="Arial" w:hAnsi="Arial"/>
                <w:sz w:val="21"/>
                <w:szCs w:val="21"/>
                <w:color w:val="auto"/>
                <w:w w:val="85"/>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gridSpan w:val="7"/>
          </w:tcPr>
          <w:p>
            <w:pPr>
              <w:spacing w:after="0" w:line="192" w:lineRule="exact"/>
              <w:rPr>
                <w:sz w:val="20"/>
                <w:szCs w:val="20"/>
                <w:color w:val="auto"/>
              </w:rPr>
            </w:pPr>
            <w:r>
              <w:rPr>
                <w:rFonts w:ascii="Arial" w:cs="Arial" w:eastAsia="Arial" w:hAnsi="Arial"/>
                <w:sz w:val="21"/>
                <w:szCs w:val="21"/>
                <w:color w:val="0000FF"/>
                <w:w w:val="96"/>
              </w:rPr>
              <w:t xml:space="preserve">SECTION 2.06. </w:t>
            </w:r>
            <w:r>
              <w:rPr>
                <w:rFonts w:ascii="Arial" w:cs="Arial" w:eastAsia="Arial" w:hAnsi="Arial"/>
                <w:sz w:val="21"/>
                <w:szCs w:val="21"/>
                <w:i w:val="1"/>
                <w:iCs w:val="1"/>
                <w:color w:val="0000FF"/>
                <w:w w:val="96"/>
              </w:rPr>
              <w:t>Interest Rates</w:t>
            </w:r>
          </w:p>
        </w:tc>
        <w:tc>
          <w:tcPr>
            <w:tcW w:w="340" w:type="dxa"/>
            <w:vAlign w:val="bottom"/>
            <w:gridSpan w:val="5"/>
          </w:tcPr>
          <w:p>
            <w:pPr>
              <w:jc w:val="center"/>
              <w:spacing w:after="0" w:line="192" w:lineRule="exact"/>
              <w:rPr>
                <w:sz w:val="20"/>
                <w:szCs w:val="20"/>
                <w:color w:val="auto"/>
              </w:rPr>
            </w:pPr>
            <w:r>
              <w:rPr>
                <w:rFonts w:ascii="Arial" w:cs="Arial" w:eastAsia="Arial" w:hAnsi="Arial"/>
                <w:sz w:val="21"/>
                <w:szCs w:val="21"/>
                <w:color w:val="auto"/>
                <w:w w:val="93"/>
              </w:rPr>
              <w:t>32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tcBorders>
              <w:top w:val="single" w:sz="8" w:color="0000FF"/>
            </w:tcBorders>
            <w:gridSpan w:val="3"/>
          </w:tcPr>
          <w:p>
            <w:pPr>
              <w:spacing w:after="0" w:line="192" w:lineRule="exact"/>
              <w:rPr>
                <w:sz w:val="20"/>
                <w:szCs w:val="20"/>
                <w:color w:val="auto"/>
              </w:rPr>
            </w:pPr>
            <w:r>
              <w:rPr>
                <w:rFonts w:ascii="Arial" w:cs="Arial" w:eastAsia="Arial" w:hAnsi="Arial"/>
                <w:sz w:val="21"/>
                <w:szCs w:val="21"/>
                <w:color w:val="0000FF"/>
              </w:rPr>
              <w:t>SECTION 2.07</w:t>
            </w:r>
            <w:r>
              <w:rPr>
                <w:rFonts w:ascii="Arial" w:cs="Arial" w:eastAsia="Arial" w:hAnsi="Arial"/>
                <w:sz w:val="21"/>
                <w:szCs w:val="21"/>
                <w:i w:val="1"/>
                <w:iCs w:val="1"/>
                <w:color w:val="0000FF"/>
              </w:rPr>
              <w:t>. Fees</w:t>
            </w:r>
            <w:r>
              <w:rPr>
                <w:rFonts w:ascii="Arial" w:cs="Arial" w:eastAsia="Arial" w:hAnsi="Arial"/>
                <w:sz w:val="21"/>
                <w:szCs w:val="21"/>
                <w:color w:val="0000FF"/>
              </w:rPr>
              <w:t xml:space="preserve">  </w:t>
            </w:r>
            <w:r>
              <w:rPr>
                <w:rFonts w:ascii="Arial" w:cs="Arial" w:eastAsia="Arial" w:hAnsi="Arial"/>
                <w:sz w:val="21"/>
                <w:szCs w:val="21"/>
                <w:color w:val="000000"/>
              </w:rPr>
              <w:t>33</w:t>
            </w: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5"/>
            <w:vMerge w:val="restart"/>
          </w:tcPr>
          <w:p>
            <w:pPr>
              <w:jc w:val="right"/>
              <w:spacing w:after="0"/>
              <w:rPr>
                <w:sz w:val="20"/>
                <w:szCs w:val="20"/>
                <w:color w:val="auto"/>
              </w:rPr>
            </w:pPr>
            <w:r>
              <w:rPr>
                <w:rFonts w:ascii="Arial" w:cs="Arial" w:eastAsia="Arial" w:hAnsi="Arial"/>
                <w:sz w:val="21"/>
                <w:szCs w:val="21"/>
                <w:color w:val="FF0000"/>
                <w:strike w:val="1"/>
                <w:w w:val="93"/>
              </w:rPr>
              <w:t>34</w:t>
            </w:r>
          </w:p>
        </w:tc>
        <w:tc>
          <w:tcPr>
            <w:tcW w:w="220" w:type="dxa"/>
            <w:vAlign w:val="bottom"/>
            <w:gridSpan w:val="2"/>
            <w:vMerge w:val="restart"/>
          </w:tcPr>
          <w:p>
            <w:pPr>
              <w:spacing w:after="0"/>
              <w:rPr>
                <w:sz w:val="20"/>
                <w:szCs w:val="20"/>
                <w:color w:val="auto"/>
              </w:rPr>
            </w:pPr>
            <w:r>
              <w:rPr>
                <w:rFonts w:ascii="Arial" w:cs="Arial" w:eastAsia="Arial" w:hAnsi="Arial"/>
                <w:sz w:val="21"/>
                <w:szCs w:val="21"/>
                <w:color w:val="0000FF"/>
                <w:w w:val="85"/>
              </w:rPr>
              <w:t>33</w:t>
            </w:r>
          </w:p>
        </w:tc>
        <w:tc>
          <w:tcPr>
            <w:tcW w:w="0" w:type="dxa"/>
            <w:vAlign w:val="bottom"/>
          </w:tcPr>
          <w:p>
            <w:pPr>
              <w:spacing w:after="0"/>
              <w:rPr>
                <w:sz w:val="1"/>
                <w:szCs w:val="1"/>
                <w:color w:val="auto"/>
              </w:rPr>
            </w:pPr>
          </w:p>
        </w:tc>
      </w:tr>
      <w:tr>
        <w:trPr>
          <w:trHeight w:val="20"/>
        </w:trPr>
        <w:tc>
          <w:tcPr>
            <w:tcW w:w="184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gridSpan w:val="5"/>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gridSpan w:val="46"/>
          </w:tcPr>
          <w:p>
            <w:pPr>
              <w:spacing w:after="0" w:line="192" w:lineRule="exact"/>
              <w:rPr>
                <w:sz w:val="20"/>
                <w:szCs w:val="20"/>
                <w:color w:val="auto"/>
              </w:rPr>
            </w:pPr>
            <w:r>
              <w:rPr>
                <w:rFonts w:ascii="Arial" w:cs="Arial" w:eastAsia="Arial" w:hAnsi="Arial"/>
                <w:sz w:val="21"/>
                <w:szCs w:val="21"/>
                <w:color w:val="0000FF"/>
                <w:w w:val="93"/>
              </w:rPr>
              <w:t xml:space="preserve">SECTION 2.08. </w:t>
            </w:r>
            <w:r>
              <w:rPr>
                <w:rFonts w:ascii="Arial" w:cs="Arial" w:eastAsia="Arial" w:hAnsi="Arial"/>
                <w:sz w:val="21"/>
                <w:szCs w:val="21"/>
                <w:i w:val="1"/>
                <w:iCs w:val="1"/>
                <w:color w:val="0000FF"/>
                <w:w w:val="93"/>
              </w:rPr>
              <w:t>Optional Termination or Reduction of Commitments</w:t>
            </w:r>
          </w:p>
        </w:tc>
        <w:tc>
          <w:tcPr>
            <w:tcW w:w="140" w:type="dxa"/>
            <w:vAlign w:val="bottom"/>
            <w:vMerge w:val="continue"/>
          </w:tcPr>
          <w:p>
            <w:pPr>
              <w:spacing w:after="0"/>
              <w:rPr>
                <w:sz w:val="16"/>
                <w:szCs w:val="16"/>
                <w:color w:val="auto"/>
              </w:rPr>
            </w:pPr>
          </w:p>
        </w:tc>
        <w:tc>
          <w:tcPr>
            <w:tcW w:w="240" w:type="dxa"/>
            <w:vAlign w:val="bottom"/>
            <w:gridSpan w:val="5"/>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0000FF"/>
              <w:bottom w:val="single" w:sz="8" w:color="0000FF"/>
            </w:tcBorders>
            <w:gridSpan w:val="30"/>
          </w:tcPr>
          <w:p>
            <w:pPr>
              <w:spacing w:after="0" w:line="192" w:lineRule="exact"/>
              <w:rPr>
                <w:sz w:val="20"/>
                <w:szCs w:val="20"/>
                <w:color w:val="auto"/>
              </w:rPr>
            </w:pPr>
            <w:r>
              <w:rPr>
                <w:rFonts w:ascii="Arial" w:cs="Arial" w:eastAsia="Arial" w:hAnsi="Arial"/>
                <w:sz w:val="21"/>
                <w:szCs w:val="21"/>
                <w:color w:val="0000FF"/>
                <w:w w:val="92"/>
              </w:rPr>
              <w:t xml:space="preserve">SECTION 2.09. </w:t>
            </w:r>
            <w:r>
              <w:rPr>
                <w:rFonts w:ascii="Arial" w:cs="Arial" w:eastAsia="Arial" w:hAnsi="Arial"/>
                <w:sz w:val="21"/>
                <w:szCs w:val="21"/>
                <w:i w:val="1"/>
                <w:iCs w:val="1"/>
                <w:color w:val="0000FF"/>
                <w:w w:val="92"/>
              </w:rPr>
              <w:t>Method of Electing Interest Rates</w:t>
            </w:r>
          </w:p>
        </w:tc>
        <w:tc>
          <w:tcPr>
            <w:tcW w:w="180" w:type="dxa"/>
            <w:vAlign w:val="bottom"/>
            <w:tcBorders>
              <w:top w:val="single" w:sz="8" w:color="0000FF"/>
            </w:tcBorders>
            <w:gridSpan w:val="3"/>
          </w:tcPr>
          <w:p>
            <w:pPr>
              <w:spacing w:after="0"/>
              <w:rPr>
                <w:sz w:val="16"/>
                <w:szCs w:val="16"/>
                <w:color w:val="auto"/>
              </w:rPr>
            </w:pPr>
          </w:p>
        </w:tc>
        <w:tc>
          <w:tcPr>
            <w:tcW w:w="240" w:type="dxa"/>
            <w:vAlign w:val="bottom"/>
            <w:tcBorders>
              <w:top w:val="single" w:sz="8" w:color="0000FF"/>
            </w:tcBorders>
            <w:gridSpan w:val="2"/>
          </w:tcPr>
          <w:p>
            <w:pPr>
              <w:jc w:val="right"/>
              <w:spacing w:after="0" w:line="192" w:lineRule="exact"/>
              <w:rPr>
                <w:sz w:val="20"/>
                <w:szCs w:val="20"/>
                <w:color w:val="auto"/>
              </w:rPr>
            </w:pPr>
            <w:r>
              <w:rPr>
                <w:rFonts w:ascii="Arial" w:cs="Arial" w:eastAsia="Arial" w:hAnsi="Arial"/>
                <w:sz w:val="21"/>
                <w:szCs w:val="21"/>
                <w:color w:val="auto"/>
                <w:w w:val="93"/>
              </w:rPr>
              <w:t>34</w:t>
            </w:r>
          </w:p>
        </w:tc>
        <w:tc>
          <w:tcPr>
            <w:tcW w:w="200" w:type="dxa"/>
            <w:vAlign w:val="bottom"/>
            <w:tcBorders>
              <w:top w:val="single" w:sz="8" w:color="0000FF"/>
            </w:tcBorders>
          </w:tcPr>
          <w:p>
            <w:pPr>
              <w:spacing w:after="0"/>
              <w:rPr>
                <w:sz w:val="16"/>
                <w:szCs w:val="16"/>
                <w:color w:val="auto"/>
              </w:rPr>
            </w:pPr>
          </w:p>
        </w:tc>
        <w:tc>
          <w:tcPr>
            <w:tcW w:w="480" w:type="dxa"/>
            <w:vAlign w:val="bottom"/>
            <w:tcBorders>
              <w:top w:val="single" w:sz="8" w:color="0000FF"/>
              <w:bottom w:val="single" w:sz="8" w:color="0000FF"/>
            </w:tcBorders>
            <w:gridSpan w:val="6"/>
            <w:vMerge w:val="restart"/>
          </w:tcPr>
          <w:p>
            <w:pPr>
              <w:jc w:val="right"/>
              <w:ind w:right="60"/>
              <w:spacing w:after="0"/>
              <w:rPr>
                <w:sz w:val="20"/>
                <w:szCs w:val="20"/>
                <w:color w:val="auto"/>
              </w:rPr>
            </w:pPr>
            <w:r>
              <w:rPr>
                <w:rFonts w:ascii="Arial" w:cs="Arial" w:eastAsia="Arial" w:hAnsi="Arial"/>
                <w:sz w:val="21"/>
                <w:szCs w:val="21"/>
                <w:color w:val="auto"/>
              </w:rPr>
              <w:t>35</w:t>
            </w:r>
          </w:p>
        </w:tc>
        <w:tc>
          <w:tcPr>
            <w:tcW w:w="3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Borders>
              <w:bottom w:val="single" w:sz="8" w:color="0000FF"/>
            </w:tcBorders>
            <w:gridSpan w:val="36"/>
          </w:tcPr>
          <w:p>
            <w:pPr>
              <w:spacing w:after="0" w:line="192" w:lineRule="exact"/>
              <w:rPr>
                <w:sz w:val="20"/>
                <w:szCs w:val="20"/>
                <w:color w:val="auto"/>
              </w:rPr>
            </w:pPr>
            <w:r>
              <w:rPr>
                <w:rFonts w:ascii="Arial" w:cs="Arial" w:eastAsia="Arial" w:hAnsi="Arial"/>
                <w:sz w:val="21"/>
                <w:szCs w:val="21"/>
                <w:color w:val="0000FF"/>
                <w:w w:val="92"/>
              </w:rPr>
              <w:t xml:space="preserve">SECTION 2.10. </w:t>
            </w:r>
            <w:r>
              <w:rPr>
                <w:rFonts w:ascii="Arial" w:cs="Arial" w:eastAsia="Arial" w:hAnsi="Arial"/>
                <w:sz w:val="21"/>
                <w:szCs w:val="21"/>
                <w:i w:val="1"/>
                <w:iCs w:val="1"/>
                <w:color w:val="0000FF"/>
                <w:w w:val="92"/>
              </w:rPr>
              <w:t>Mandatory Termination of Commitments</w:t>
            </w:r>
          </w:p>
        </w:tc>
        <w:tc>
          <w:tcPr>
            <w:tcW w:w="48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gridSpan w:val="28"/>
          </w:tcPr>
          <w:p>
            <w:pPr>
              <w:spacing w:after="0" w:line="192" w:lineRule="exact"/>
              <w:rPr>
                <w:sz w:val="20"/>
                <w:szCs w:val="20"/>
                <w:color w:val="auto"/>
              </w:rPr>
            </w:pPr>
            <w:r>
              <w:rPr>
                <w:rFonts w:ascii="Arial" w:cs="Arial" w:eastAsia="Arial" w:hAnsi="Arial"/>
                <w:sz w:val="21"/>
                <w:szCs w:val="21"/>
                <w:color w:val="0000FF"/>
              </w:rPr>
              <w:t xml:space="preserve">SECTION 2.11. </w:t>
            </w:r>
            <w:r>
              <w:rPr>
                <w:rFonts w:ascii="Arial" w:cs="Arial" w:eastAsia="Arial" w:hAnsi="Arial"/>
                <w:sz w:val="21"/>
                <w:szCs w:val="21"/>
                <w:i w:val="1"/>
                <w:iCs w:val="1"/>
                <w:color w:val="0000FF"/>
              </w:rPr>
              <w:t>Optional Prepayments</w:t>
            </w:r>
            <w:r>
              <w:rPr>
                <w:rFonts w:ascii="Arial" w:cs="Arial" w:eastAsia="Arial" w:hAnsi="Arial"/>
                <w:sz w:val="21"/>
                <w:szCs w:val="21"/>
                <w:color w:val="0000FF"/>
              </w:rPr>
              <w:t xml:space="preserve">  </w:t>
            </w:r>
            <w:r>
              <w:rPr>
                <w:rFonts w:ascii="Arial" w:cs="Arial" w:eastAsia="Arial" w:hAnsi="Arial"/>
                <w:sz w:val="21"/>
                <w:szCs w:val="21"/>
                <w:color w:val="000000"/>
              </w:rPr>
              <w:t>35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tcBorders>
              <w:top w:val="single" w:sz="8" w:color="0000FF"/>
            </w:tcBorders>
            <w:gridSpan w:val="16"/>
          </w:tcPr>
          <w:p>
            <w:pPr>
              <w:spacing w:after="0" w:line="192" w:lineRule="exact"/>
              <w:rPr>
                <w:sz w:val="20"/>
                <w:szCs w:val="20"/>
                <w:color w:val="auto"/>
              </w:rPr>
            </w:pPr>
            <w:r>
              <w:rPr>
                <w:rFonts w:ascii="Arial" w:cs="Arial" w:eastAsia="Arial" w:hAnsi="Arial"/>
                <w:sz w:val="21"/>
                <w:szCs w:val="21"/>
                <w:color w:val="0000FF"/>
                <w:w w:val="92"/>
              </w:rPr>
              <w:t>SECTION 2.12</w:t>
            </w:r>
            <w:r>
              <w:rPr>
                <w:rFonts w:ascii="Arial" w:cs="Arial" w:eastAsia="Arial" w:hAnsi="Arial"/>
                <w:sz w:val="21"/>
                <w:szCs w:val="21"/>
                <w:i w:val="1"/>
                <w:iCs w:val="1"/>
                <w:color w:val="0000FF"/>
                <w:w w:val="92"/>
              </w:rPr>
              <w:t>. General Provisions as</w:t>
            </w:r>
          </w:p>
        </w:tc>
        <w:tc>
          <w:tcPr>
            <w:tcW w:w="1580" w:type="dxa"/>
            <w:vAlign w:val="bottom"/>
            <w:gridSpan w:val="20"/>
          </w:tcPr>
          <w:p>
            <w:pPr>
              <w:jc w:val="center"/>
              <w:spacing w:after="0" w:line="192" w:lineRule="exact"/>
              <w:rPr>
                <w:sz w:val="20"/>
                <w:szCs w:val="20"/>
                <w:color w:val="auto"/>
              </w:rPr>
            </w:pPr>
            <w:r>
              <w:rPr>
                <w:rFonts w:ascii="Arial" w:cs="Arial" w:eastAsia="Arial" w:hAnsi="Arial"/>
                <w:sz w:val="21"/>
                <w:szCs w:val="21"/>
                <w:i w:val="1"/>
                <w:iCs w:val="1"/>
                <w:color w:val="0000FF"/>
                <w:w w:val="96"/>
              </w:rPr>
              <w:t xml:space="preserve">to Payments.  </w:t>
            </w:r>
            <w:r>
              <w:rPr>
                <w:rFonts w:ascii="Arial" w:cs="Arial" w:eastAsia="Arial" w:hAnsi="Arial"/>
                <w:sz w:val="21"/>
                <w:szCs w:val="21"/>
                <w:color w:val="000000"/>
                <w:w w:val="96"/>
              </w:rPr>
              <w:t>35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Borders>
              <w:top w:val="single" w:sz="8" w:color="0000FF"/>
            </w:tcBorders>
            <w:gridSpan w:val="10"/>
          </w:tcPr>
          <w:p>
            <w:pPr>
              <w:spacing w:after="0" w:line="192" w:lineRule="exact"/>
              <w:rPr>
                <w:sz w:val="20"/>
                <w:szCs w:val="20"/>
                <w:color w:val="auto"/>
              </w:rPr>
            </w:pPr>
            <w:r>
              <w:rPr>
                <w:rFonts w:ascii="Arial" w:cs="Arial" w:eastAsia="Arial" w:hAnsi="Arial"/>
                <w:sz w:val="21"/>
                <w:szCs w:val="21"/>
                <w:color w:val="0000FF"/>
                <w:w w:val="97"/>
              </w:rPr>
              <w:t xml:space="preserve">SECTION 2.13. </w:t>
            </w:r>
            <w:r>
              <w:rPr>
                <w:rFonts w:ascii="Arial" w:cs="Arial" w:eastAsia="Arial" w:hAnsi="Arial"/>
                <w:sz w:val="21"/>
                <w:szCs w:val="21"/>
                <w:i w:val="1"/>
                <w:iCs w:val="1"/>
                <w:color w:val="0000FF"/>
                <w:w w:val="97"/>
              </w:rPr>
              <w:t>Funding Losses</w:t>
            </w: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gridSpan w:val="3"/>
          </w:tcPr>
          <w:p>
            <w:pPr>
              <w:spacing w:after="0" w:line="192" w:lineRule="exact"/>
              <w:rPr>
                <w:sz w:val="20"/>
                <w:szCs w:val="20"/>
                <w:color w:val="auto"/>
              </w:rPr>
            </w:pPr>
            <w:r>
              <w:rPr>
                <w:rFonts w:ascii="Arial" w:cs="Arial" w:eastAsia="Arial" w:hAnsi="Arial"/>
                <w:sz w:val="21"/>
                <w:szCs w:val="21"/>
                <w:color w:val="FF0000"/>
                <w:strike w:val="1"/>
                <w:w w:val="76"/>
              </w:rPr>
              <w:t>37</w:t>
            </w:r>
          </w:p>
        </w:tc>
        <w:tc>
          <w:tcPr>
            <w:tcW w:w="200" w:type="dxa"/>
            <w:vAlign w:val="bottom"/>
            <w:tcBorders>
              <w:top w:val="single" w:sz="8" w:color="0000FF"/>
            </w:tcBorders>
            <w:gridSpan w:val="3"/>
          </w:tcPr>
          <w:p>
            <w:pPr>
              <w:jc w:val="right"/>
              <w:spacing w:after="0" w:line="192" w:lineRule="exact"/>
              <w:rPr>
                <w:sz w:val="20"/>
                <w:szCs w:val="20"/>
                <w:color w:val="auto"/>
              </w:rPr>
            </w:pPr>
            <w:r>
              <w:rPr>
                <w:rFonts w:ascii="Arial" w:cs="Arial" w:eastAsia="Arial" w:hAnsi="Arial"/>
                <w:sz w:val="21"/>
                <w:szCs w:val="21"/>
                <w:color w:val="0000FF"/>
                <w:w w:val="76"/>
              </w:rPr>
              <w:t>36</w:t>
            </w:r>
          </w:p>
        </w:tc>
        <w:tc>
          <w:tcPr>
            <w:tcW w:w="1060" w:type="dxa"/>
            <w:vAlign w:val="bottom"/>
            <w:tcBorders>
              <w:top w:val="single" w:sz="8" w:color="0000FF"/>
            </w:tcBorders>
            <w:gridSpan w:val="16"/>
            <w:vMerge w:val="restart"/>
          </w:tcPr>
          <w:p>
            <w:pPr>
              <w:ind w:left="100"/>
              <w:spacing w:after="0"/>
              <w:rPr>
                <w:sz w:val="20"/>
                <w:szCs w:val="20"/>
                <w:color w:val="auto"/>
              </w:rPr>
            </w:pPr>
            <w:r>
              <w:rPr>
                <w:rFonts w:ascii="Arial" w:cs="Arial" w:eastAsia="Arial" w:hAnsi="Arial"/>
                <w:sz w:val="21"/>
                <w:szCs w:val="21"/>
                <w:i w:val="1"/>
                <w:iCs w:val="1"/>
                <w:color w:val="0000FF"/>
              </w:rPr>
              <w:t>and Fees</w:t>
            </w:r>
          </w:p>
        </w:tc>
        <w:tc>
          <w:tcPr>
            <w:tcW w:w="240" w:type="dxa"/>
            <w:vAlign w:val="bottom"/>
            <w:gridSpan w:val="2"/>
            <w:vMerge w:val="restart"/>
          </w:tcPr>
          <w:p>
            <w:pPr>
              <w:jc w:val="right"/>
              <w:spacing w:after="0"/>
              <w:rPr>
                <w:sz w:val="20"/>
                <w:szCs w:val="20"/>
                <w:color w:val="auto"/>
              </w:rPr>
            </w:pPr>
            <w:r>
              <w:rPr>
                <w:rFonts w:ascii="Arial" w:cs="Arial" w:eastAsia="Arial" w:hAnsi="Arial"/>
                <w:sz w:val="21"/>
                <w:szCs w:val="21"/>
                <w:color w:val="auto"/>
                <w:w w:val="93"/>
              </w:rPr>
              <w:t>37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0000FF"/>
            </w:tcBorders>
            <w:gridSpan w:val="8"/>
            <w:vMerge w:val="restart"/>
          </w:tcPr>
          <w:p>
            <w:pPr>
              <w:spacing w:after="0" w:line="192" w:lineRule="exact"/>
              <w:rPr>
                <w:sz w:val="20"/>
                <w:szCs w:val="20"/>
                <w:color w:val="auto"/>
              </w:rPr>
            </w:pPr>
            <w:r>
              <w:rPr>
                <w:rFonts w:ascii="Arial" w:cs="Arial" w:eastAsia="Arial" w:hAnsi="Arial"/>
                <w:sz w:val="21"/>
                <w:szCs w:val="21"/>
                <w:color w:val="0000FF"/>
                <w:w w:val="93"/>
              </w:rPr>
              <w:t>SECTION 2.14</w:t>
            </w:r>
            <w:r>
              <w:rPr>
                <w:rFonts w:ascii="Arial" w:cs="Arial" w:eastAsia="Arial" w:hAnsi="Arial"/>
                <w:sz w:val="21"/>
                <w:szCs w:val="21"/>
                <w:i w:val="1"/>
                <w:iCs w:val="1"/>
                <w:color w:val="0000FF"/>
                <w:w w:val="93"/>
              </w:rPr>
              <w:t>. Computation of</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tcBorders>
              <w:top w:val="single" w:sz="8" w:color="0000FF"/>
            </w:tcBorders>
            <w:gridSpan w:val="16"/>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60" w:type="dxa"/>
            <w:vAlign w:val="bottom"/>
            <w:gridSpan w:val="8"/>
            <w:vMerge w:val="continue"/>
          </w:tcPr>
          <w:p>
            <w:pPr>
              <w:spacing w:after="0"/>
              <w:rPr>
                <w:sz w:val="14"/>
                <w:szCs w:val="14"/>
                <w:color w:val="auto"/>
              </w:rPr>
            </w:pPr>
          </w:p>
        </w:tc>
        <w:tc>
          <w:tcPr>
            <w:tcW w:w="640" w:type="dxa"/>
            <w:vAlign w:val="bottom"/>
            <w:gridSpan w:val="9"/>
          </w:tcPr>
          <w:p>
            <w:pPr>
              <w:jc w:val="right"/>
              <w:spacing w:after="0" w:line="172" w:lineRule="exact"/>
              <w:rPr>
                <w:sz w:val="20"/>
                <w:szCs w:val="20"/>
                <w:color w:val="auto"/>
              </w:rPr>
            </w:pPr>
            <w:r>
              <w:rPr>
                <w:rFonts w:ascii="Arial" w:cs="Arial" w:eastAsia="Arial" w:hAnsi="Arial"/>
                <w:sz w:val="19"/>
                <w:szCs w:val="19"/>
                <w:i w:val="1"/>
                <w:iCs w:val="1"/>
                <w:color w:val="0000FF"/>
                <w:w w:val="97"/>
              </w:rPr>
              <w:t>Interest</w:t>
            </w:r>
          </w:p>
        </w:tc>
        <w:tc>
          <w:tcPr>
            <w:tcW w:w="1060" w:type="dxa"/>
            <w:vAlign w:val="bottom"/>
            <w:gridSpan w:val="16"/>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Borders>
              <w:top w:val="single" w:sz="8" w:color="0000FF"/>
            </w:tcBorders>
            <w:gridSpan w:val="15"/>
          </w:tcPr>
          <w:p>
            <w:pPr>
              <w:spacing w:after="0" w:line="192" w:lineRule="exact"/>
              <w:rPr>
                <w:sz w:val="20"/>
                <w:szCs w:val="20"/>
                <w:color w:val="auto"/>
              </w:rPr>
            </w:pPr>
            <w:r>
              <w:rPr>
                <w:rFonts w:ascii="Arial" w:cs="Arial" w:eastAsia="Arial" w:hAnsi="Arial"/>
                <w:sz w:val="21"/>
                <w:szCs w:val="21"/>
                <w:color w:val="0000FF"/>
                <w:w w:val="97"/>
              </w:rPr>
              <w:t xml:space="preserve">SECTION 2.15. </w:t>
            </w:r>
            <w:r>
              <w:rPr>
                <w:rFonts w:ascii="Arial" w:cs="Arial" w:eastAsia="Arial" w:hAnsi="Arial"/>
                <w:sz w:val="21"/>
                <w:szCs w:val="21"/>
                <w:i w:val="1"/>
                <w:iCs w:val="1"/>
                <w:color w:val="0000FF"/>
                <w:w w:val="97"/>
              </w:rPr>
              <w:t>Judgment Currency</w:t>
            </w:r>
          </w:p>
        </w:tc>
        <w:tc>
          <w:tcPr>
            <w:tcW w:w="240" w:type="dxa"/>
            <w:vAlign w:val="bottom"/>
            <w:tcBorders>
              <w:top w:val="single" w:sz="8" w:color="0000FF"/>
            </w:tcBorders>
            <w:gridSpan w:val="4"/>
          </w:tcPr>
          <w:p>
            <w:pPr>
              <w:ind w:left="20"/>
              <w:spacing w:after="0" w:line="192" w:lineRule="exact"/>
              <w:rPr>
                <w:sz w:val="20"/>
                <w:szCs w:val="20"/>
                <w:color w:val="auto"/>
              </w:rPr>
            </w:pPr>
            <w:r>
              <w:rPr>
                <w:rFonts w:ascii="Arial" w:cs="Arial" w:eastAsia="Arial" w:hAnsi="Arial"/>
                <w:sz w:val="21"/>
                <w:szCs w:val="21"/>
                <w:color w:val="auto"/>
                <w:w w:val="85"/>
              </w:rPr>
              <w:t>37</w:t>
            </w: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top w:val="single" w:sz="8" w:color="0000FF"/>
              <w:bottom w:val="single" w:sz="8" w:color="0000FF"/>
            </w:tcBorders>
            <w:gridSpan w:val="13"/>
          </w:tcPr>
          <w:p>
            <w:pPr>
              <w:spacing w:after="0" w:line="192" w:lineRule="exact"/>
              <w:rPr>
                <w:sz w:val="20"/>
                <w:szCs w:val="20"/>
                <w:color w:val="auto"/>
              </w:rPr>
            </w:pPr>
            <w:r>
              <w:rPr>
                <w:rFonts w:ascii="Arial" w:cs="Arial" w:eastAsia="Arial" w:hAnsi="Arial"/>
                <w:sz w:val="21"/>
                <w:szCs w:val="21"/>
                <w:color w:val="0000FF"/>
                <w:w w:val="95"/>
              </w:rPr>
              <w:t xml:space="preserve">SECTION 2.16. </w:t>
            </w:r>
            <w:r>
              <w:rPr>
                <w:rFonts w:ascii="Arial" w:cs="Arial" w:eastAsia="Arial" w:hAnsi="Arial"/>
                <w:sz w:val="21"/>
                <w:szCs w:val="21"/>
                <w:i w:val="1"/>
                <w:iCs w:val="1"/>
                <w:color w:val="0000FF"/>
                <w:w w:val="95"/>
              </w:rPr>
              <w:t>Foreign Subsidiary</w:t>
            </w:r>
          </w:p>
        </w:tc>
        <w:tc>
          <w:tcPr>
            <w:tcW w:w="860" w:type="dxa"/>
            <w:vAlign w:val="bottom"/>
            <w:tcBorders>
              <w:bottom w:val="single" w:sz="8" w:color="0000FF"/>
            </w:tcBorders>
            <w:gridSpan w:val="15"/>
          </w:tcPr>
          <w:p>
            <w:pPr>
              <w:spacing w:after="0" w:line="192" w:lineRule="exact"/>
              <w:rPr>
                <w:sz w:val="20"/>
                <w:szCs w:val="20"/>
                <w:color w:val="auto"/>
              </w:rPr>
            </w:pPr>
            <w:r>
              <w:rPr>
                <w:rFonts w:ascii="Arial" w:cs="Arial" w:eastAsia="Arial" w:hAnsi="Arial"/>
                <w:sz w:val="21"/>
                <w:szCs w:val="21"/>
                <w:i w:val="1"/>
                <w:iCs w:val="1"/>
                <w:color w:val="0000FF"/>
                <w:w w:val="87"/>
              </w:rPr>
              <w:t>Borrowers</w:t>
            </w:r>
          </w:p>
        </w:tc>
        <w:tc>
          <w:tcPr>
            <w:tcW w:w="140" w:type="dxa"/>
            <w:vAlign w:val="bottom"/>
          </w:tcPr>
          <w:p>
            <w:pPr>
              <w:spacing w:after="0"/>
              <w:rPr>
                <w:sz w:val="16"/>
                <w:szCs w:val="16"/>
                <w:color w:val="auto"/>
              </w:rPr>
            </w:pPr>
          </w:p>
        </w:tc>
        <w:tc>
          <w:tcPr>
            <w:tcW w:w="280" w:type="dxa"/>
            <w:vAlign w:val="bottom"/>
            <w:gridSpan w:val="3"/>
          </w:tcPr>
          <w:p>
            <w:pPr>
              <w:jc w:val="right"/>
              <w:spacing w:after="0" w:line="192" w:lineRule="exact"/>
              <w:rPr>
                <w:sz w:val="20"/>
                <w:szCs w:val="20"/>
                <w:color w:val="auto"/>
              </w:rPr>
            </w:pPr>
            <w:r>
              <w:rPr>
                <w:rFonts w:ascii="Arial" w:cs="Arial" w:eastAsia="Arial" w:hAnsi="Arial"/>
                <w:sz w:val="21"/>
                <w:szCs w:val="21"/>
                <w:color w:val="FF0000"/>
                <w:strike w:val="1"/>
              </w:rPr>
              <w:t>38</w:t>
            </w:r>
          </w:p>
        </w:tc>
        <w:tc>
          <w:tcPr>
            <w:tcW w:w="220" w:type="dxa"/>
            <w:vAlign w:val="bottom"/>
            <w:tcBorders>
              <w:bottom w:val="single" w:sz="8" w:color="0000FF"/>
            </w:tcBorders>
            <w:gridSpan w:val="2"/>
          </w:tcPr>
          <w:p>
            <w:pPr>
              <w:jc w:val="right"/>
              <w:spacing w:after="0" w:line="192" w:lineRule="exact"/>
              <w:rPr>
                <w:sz w:val="20"/>
                <w:szCs w:val="20"/>
                <w:color w:val="auto"/>
              </w:rPr>
            </w:pPr>
            <w:r>
              <w:rPr>
                <w:rFonts w:ascii="Arial" w:cs="Arial" w:eastAsia="Arial" w:hAnsi="Arial"/>
                <w:sz w:val="21"/>
                <w:szCs w:val="21"/>
                <w:color w:val="0000FF"/>
                <w:w w:val="85"/>
              </w:rPr>
              <w:t>37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gridSpan w:val="28"/>
          </w:tcPr>
          <w:p>
            <w:pPr>
              <w:spacing w:after="0" w:line="192" w:lineRule="exact"/>
              <w:rPr>
                <w:sz w:val="20"/>
                <w:szCs w:val="20"/>
                <w:color w:val="auto"/>
              </w:rPr>
            </w:pPr>
            <w:r>
              <w:rPr>
                <w:rFonts w:ascii="Arial" w:cs="Arial" w:eastAsia="Arial" w:hAnsi="Arial"/>
                <w:sz w:val="21"/>
                <w:szCs w:val="21"/>
                <w:color w:val="0000FF"/>
                <w:w w:val="96"/>
              </w:rPr>
              <w:t xml:space="preserve">SECTION 2.17. </w:t>
            </w:r>
            <w:r>
              <w:rPr>
                <w:rFonts w:ascii="Arial" w:cs="Arial" w:eastAsia="Arial" w:hAnsi="Arial"/>
                <w:sz w:val="21"/>
                <w:szCs w:val="21"/>
                <w:i w:val="1"/>
                <w:iCs w:val="1"/>
                <w:color w:val="0000FF"/>
                <w:w w:val="96"/>
              </w:rPr>
              <w:t>Regulation D Compensation</w:t>
            </w:r>
          </w:p>
        </w:tc>
        <w:tc>
          <w:tcPr>
            <w:tcW w:w="260" w:type="dxa"/>
            <w:vAlign w:val="bottom"/>
            <w:gridSpan w:val="2"/>
          </w:tcPr>
          <w:p>
            <w:pPr>
              <w:jc w:val="right"/>
              <w:spacing w:after="0" w:line="192" w:lineRule="exact"/>
              <w:rPr>
                <w:sz w:val="20"/>
                <w:szCs w:val="20"/>
                <w:color w:val="auto"/>
              </w:rPr>
            </w:pPr>
            <w:r>
              <w:rPr>
                <w:rFonts w:ascii="Arial" w:cs="Arial" w:eastAsia="Arial" w:hAnsi="Arial"/>
                <w:sz w:val="21"/>
                <w:szCs w:val="21"/>
                <w:color w:val="auto"/>
                <w:w w:val="93"/>
              </w:rPr>
              <w:t>38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80" w:type="dxa"/>
            <w:vAlign w:val="bottom"/>
            <w:tcBorders>
              <w:top w:val="single" w:sz="8" w:color="0000FF"/>
              <w:bottom w:val="single" w:sz="8" w:color="0000FF"/>
            </w:tcBorders>
            <w:gridSpan w:val="9"/>
          </w:tcPr>
          <w:p>
            <w:pPr>
              <w:spacing w:after="0" w:line="192" w:lineRule="exact"/>
              <w:rPr>
                <w:sz w:val="20"/>
                <w:szCs w:val="20"/>
                <w:color w:val="auto"/>
              </w:rPr>
            </w:pPr>
            <w:r>
              <w:rPr>
                <w:rFonts w:ascii="Arial" w:cs="Arial" w:eastAsia="Arial" w:hAnsi="Arial"/>
                <w:sz w:val="21"/>
                <w:szCs w:val="21"/>
                <w:color w:val="0000FF"/>
                <w:w w:val="93"/>
              </w:rPr>
              <w:t>SECTION 2.18</w:t>
            </w:r>
            <w:r>
              <w:rPr>
                <w:rFonts w:ascii="Arial" w:cs="Arial" w:eastAsia="Arial" w:hAnsi="Arial"/>
                <w:sz w:val="21"/>
                <w:szCs w:val="21"/>
                <w:i w:val="1"/>
                <w:iCs w:val="1"/>
                <w:color w:val="0000FF"/>
                <w:w w:val="93"/>
              </w:rPr>
              <w:t>. Letters of Credit.</w:t>
            </w:r>
          </w:p>
        </w:tc>
        <w:tc>
          <w:tcPr>
            <w:tcW w:w="200" w:type="dxa"/>
            <w:vAlign w:val="bottom"/>
            <w:tcBorders>
              <w:top w:val="single" w:sz="8" w:color="0000FF"/>
            </w:tcBorders>
            <w:gridSpan w:val="3"/>
          </w:tcPr>
          <w:p>
            <w:pPr>
              <w:spacing w:after="0"/>
              <w:rPr>
                <w:sz w:val="18"/>
                <w:szCs w:val="18"/>
                <w:color w:val="auto"/>
              </w:rPr>
            </w:pPr>
          </w:p>
        </w:tc>
        <w:tc>
          <w:tcPr>
            <w:tcW w:w="220" w:type="dxa"/>
            <w:vAlign w:val="bottom"/>
            <w:tcBorders>
              <w:top w:val="single" w:sz="8" w:color="0000FF"/>
            </w:tcBorders>
            <w:gridSpan w:val="3"/>
          </w:tcPr>
          <w:p>
            <w:pPr>
              <w:ind w:left="20"/>
              <w:spacing w:after="0" w:line="192" w:lineRule="exact"/>
              <w:rPr>
                <w:sz w:val="20"/>
                <w:szCs w:val="20"/>
                <w:color w:val="auto"/>
              </w:rPr>
            </w:pPr>
            <w:r>
              <w:rPr>
                <w:rFonts w:ascii="Arial" w:cs="Arial" w:eastAsia="Arial" w:hAnsi="Arial"/>
                <w:sz w:val="21"/>
                <w:szCs w:val="21"/>
                <w:color w:val="FF0000"/>
                <w:strike w:val="1"/>
                <w:w w:val="76"/>
              </w:rPr>
              <w:t>39</w:t>
            </w:r>
          </w:p>
        </w:tc>
        <w:tc>
          <w:tcPr>
            <w:tcW w:w="220" w:type="dxa"/>
            <w:vAlign w:val="bottom"/>
            <w:tcBorders>
              <w:top w:val="single" w:sz="8" w:color="0000FF"/>
              <w:bottom w:val="single" w:sz="8" w:color="0000FF"/>
            </w:tcBorders>
            <w:gridSpan w:val="3"/>
          </w:tcPr>
          <w:p>
            <w:pPr>
              <w:spacing w:after="0" w:line="192" w:lineRule="exact"/>
              <w:rPr>
                <w:sz w:val="20"/>
                <w:szCs w:val="20"/>
                <w:color w:val="auto"/>
              </w:rPr>
            </w:pPr>
            <w:r>
              <w:rPr>
                <w:rFonts w:ascii="Arial" w:cs="Arial" w:eastAsia="Arial" w:hAnsi="Arial"/>
                <w:sz w:val="21"/>
                <w:szCs w:val="21"/>
                <w:color w:val="0000FF"/>
                <w:w w:val="85"/>
              </w:rPr>
              <w:t>38</w:t>
            </w:r>
          </w:p>
        </w:tc>
        <w:tc>
          <w:tcPr>
            <w:tcW w:w="160" w:type="dxa"/>
            <w:vAlign w:val="bottom"/>
            <w:tcBorders>
              <w:top w:val="single" w:sz="8" w:color="0000FF"/>
            </w:tcBorders>
            <w:gridSpan w:val="2"/>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300" w:type="dxa"/>
            <w:vAlign w:val="bottom"/>
            <w:gridSpan w:val="15"/>
          </w:tcPr>
          <w:p>
            <w:pPr>
              <w:spacing w:after="0" w:line="172" w:lineRule="exact"/>
              <w:rPr>
                <w:sz w:val="20"/>
                <w:szCs w:val="20"/>
                <w:color w:val="auto"/>
              </w:rPr>
            </w:pPr>
            <w:r>
              <w:rPr>
                <w:rFonts w:ascii="Arial" w:cs="Arial" w:eastAsia="Arial" w:hAnsi="Arial"/>
                <w:sz w:val="19"/>
                <w:szCs w:val="19"/>
                <w:color w:val="0000FF"/>
              </w:rPr>
              <w:t xml:space="preserve">SECTION 2.19. </w:t>
            </w:r>
            <w:r>
              <w:rPr>
                <w:rFonts w:ascii="Arial" w:cs="Arial" w:eastAsia="Arial" w:hAnsi="Arial"/>
                <w:sz w:val="19"/>
                <w:szCs w:val="19"/>
                <w:i w:val="1"/>
                <w:iCs w:val="1"/>
                <w:color w:val="0000FF"/>
              </w:rPr>
              <w:t>Stop Issuance Notice</w:t>
            </w:r>
          </w:p>
        </w:tc>
        <w:tc>
          <w:tcPr>
            <w:tcW w:w="100" w:type="dxa"/>
            <w:vAlign w:val="bottom"/>
            <w:gridSpan w:val="2"/>
          </w:tcPr>
          <w:p>
            <w:pPr>
              <w:spacing w:after="0"/>
              <w:rPr>
                <w:sz w:val="14"/>
                <w:szCs w:val="14"/>
                <w:color w:val="auto"/>
              </w:rPr>
            </w:pPr>
          </w:p>
        </w:tc>
        <w:tc>
          <w:tcPr>
            <w:tcW w:w="280" w:type="dxa"/>
            <w:vAlign w:val="bottom"/>
            <w:gridSpan w:val="3"/>
          </w:tcPr>
          <w:p>
            <w:pPr>
              <w:jc w:val="right"/>
              <w:ind w:right="40"/>
              <w:spacing w:after="0" w:line="172" w:lineRule="exact"/>
              <w:rPr>
                <w:sz w:val="20"/>
                <w:szCs w:val="20"/>
                <w:color w:val="auto"/>
              </w:rPr>
            </w:pPr>
            <w:r>
              <w:rPr>
                <w:rFonts w:ascii="Arial" w:cs="Arial" w:eastAsia="Arial" w:hAnsi="Arial"/>
                <w:sz w:val="19"/>
                <w:szCs w:val="19"/>
                <w:color w:val="FF0000"/>
                <w:strike w:val="1"/>
              </w:rPr>
              <w:t>44</w:t>
            </w:r>
          </w:p>
        </w:tc>
        <w:tc>
          <w:tcPr>
            <w:tcW w:w="180" w:type="dxa"/>
            <w:vAlign w:val="bottom"/>
            <w:gridSpan w:val="5"/>
          </w:tcPr>
          <w:p>
            <w:pPr>
              <w:jc w:val="right"/>
              <w:ind w:right="20"/>
              <w:spacing w:after="0" w:line="172" w:lineRule="exact"/>
              <w:rPr>
                <w:sz w:val="20"/>
                <w:szCs w:val="20"/>
                <w:color w:val="auto"/>
              </w:rPr>
            </w:pPr>
            <w:r>
              <w:rPr>
                <w:rFonts w:ascii="Arial" w:cs="Arial" w:eastAsia="Arial" w:hAnsi="Arial"/>
                <w:sz w:val="17"/>
                <w:szCs w:val="17"/>
                <w:color w:val="0000FF"/>
                <w:w w:val="73"/>
              </w:rPr>
              <w:t>43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21"/>
                <w:szCs w:val="21"/>
                <w:color w:val="auto"/>
              </w:rPr>
              <w:t>44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gridSpan w:val="14"/>
          </w:tcPr>
          <w:p>
            <w:pPr>
              <w:spacing w:after="0" w:line="192" w:lineRule="exact"/>
              <w:rPr>
                <w:sz w:val="20"/>
                <w:szCs w:val="20"/>
                <w:color w:val="auto"/>
              </w:rPr>
            </w:pPr>
            <w:r>
              <w:rPr>
                <w:rFonts w:ascii="Arial" w:cs="Arial" w:eastAsia="Arial" w:hAnsi="Arial"/>
                <w:sz w:val="21"/>
                <w:szCs w:val="21"/>
                <w:color w:val="0000FF"/>
                <w:w w:val="93"/>
              </w:rPr>
              <w:t>SECTION 2.20</w:t>
            </w:r>
            <w:r>
              <w:rPr>
                <w:rFonts w:ascii="Arial" w:cs="Arial" w:eastAsia="Arial" w:hAnsi="Arial"/>
                <w:sz w:val="21"/>
                <w:szCs w:val="21"/>
                <w:i w:val="1"/>
                <w:iCs w:val="1"/>
                <w:color w:val="0000FF"/>
                <w:w w:val="93"/>
              </w:rPr>
              <w:t>. Optional Increase in</w:t>
            </w:r>
          </w:p>
        </w:tc>
        <w:tc>
          <w:tcPr>
            <w:tcW w:w="1260" w:type="dxa"/>
            <w:vAlign w:val="bottom"/>
            <w:gridSpan w:val="19"/>
          </w:tcPr>
          <w:p>
            <w:pPr>
              <w:ind w:left="40"/>
              <w:spacing w:after="0" w:line="192" w:lineRule="exact"/>
              <w:rPr>
                <w:sz w:val="20"/>
                <w:szCs w:val="20"/>
                <w:color w:val="auto"/>
              </w:rPr>
            </w:pPr>
            <w:r>
              <w:rPr>
                <w:rFonts w:ascii="Arial" w:cs="Arial" w:eastAsia="Arial" w:hAnsi="Arial"/>
                <w:sz w:val="21"/>
                <w:szCs w:val="21"/>
                <w:i w:val="1"/>
                <w:iCs w:val="1"/>
                <w:color w:val="0000FF"/>
                <w:w w:val="92"/>
              </w:rPr>
              <w:t>Commitments</w:t>
            </w:r>
          </w:p>
        </w:tc>
        <w:tc>
          <w:tcPr>
            <w:tcW w:w="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Borders>
              <w:top w:val="single" w:sz="8" w:color="0000FF"/>
            </w:tcBorders>
            <w:gridSpan w:val="15"/>
          </w:tcPr>
          <w:p>
            <w:pPr>
              <w:spacing w:after="0" w:line="192" w:lineRule="exact"/>
              <w:rPr>
                <w:sz w:val="20"/>
                <w:szCs w:val="20"/>
                <w:color w:val="auto"/>
              </w:rPr>
            </w:pPr>
            <w:r>
              <w:rPr>
                <w:rFonts w:ascii="Arial" w:cs="Arial" w:eastAsia="Arial" w:hAnsi="Arial"/>
                <w:sz w:val="21"/>
                <w:szCs w:val="21"/>
                <w:color w:val="0000FF"/>
                <w:w w:val="98"/>
              </w:rPr>
              <w:t>SECTION 2.21</w:t>
            </w:r>
            <w:r>
              <w:rPr>
                <w:rFonts w:ascii="Arial" w:cs="Arial" w:eastAsia="Arial" w:hAnsi="Arial"/>
                <w:sz w:val="21"/>
                <w:szCs w:val="21"/>
                <w:i w:val="1"/>
                <w:iCs w:val="1"/>
                <w:color w:val="0000FF"/>
                <w:w w:val="98"/>
              </w:rPr>
              <w:t>. Defaulting Lenders</w:t>
            </w:r>
            <w:r>
              <w:rPr>
                <w:rFonts w:ascii="Arial" w:cs="Arial" w:eastAsia="Arial" w:hAnsi="Arial"/>
                <w:sz w:val="21"/>
                <w:szCs w:val="21"/>
                <w:i w:val="1"/>
                <w:iCs w:val="1"/>
                <w:u w:val="single" w:color="auto"/>
                <w:color w:val="FF0000"/>
                <w:strike w:val="1"/>
                <w:w w:val="98"/>
              </w:rPr>
              <w:t>.</w:t>
            </w:r>
          </w:p>
        </w:tc>
        <w:tc>
          <w:tcPr>
            <w:tcW w:w="380" w:type="dxa"/>
            <w:vAlign w:val="bottom"/>
            <w:tcBorders>
              <w:top w:val="single" w:sz="8" w:color="0000FF"/>
            </w:tcBorders>
            <w:gridSpan w:val="5"/>
          </w:tcPr>
          <w:p>
            <w:pPr>
              <w:ind w:left="40"/>
              <w:spacing w:after="0" w:line="192" w:lineRule="exact"/>
              <w:rPr>
                <w:sz w:val="20"/>
                <w:szCs w:val="20"/>
                <w:color w:val="auto"/>
              </w:rPr>
            </w:pPr>
            <w:r>
              <w:rPr>
                <w:rFonts w:ascii="Arial" w:cs="Arial" w:eastAsia="Arial" w:hAnsi="Arial"/>
                <w:sz w:val="21"/>
                <w:szCs w:val="21"/>
                <w:color w:val="auto"/>
              </w:rPr>
              <w:t>45</w:t>
            </w: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8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17"/>
          </w:tcPr>
          <w:p>
            <w:pPr>
              <w:jc w:val="center"/>
              <w:ind w:right="360"/>
              <w:spacing w:after="0"/>
              <w:rPr>
                <w:sz w:val="20"/>
                <w:szCs w:val="20"/>
                <w:color w:val="auto"/>
              </w:rPr>
            </w:pPr>
            <w:r>
              <w:rPr>
                <w:rFonts w:ascii="Arial" w:cs="Arial" w:eastAsia="Arial" w:hAnsi="Arial"/>
                <w:sz w:val="21"/>
                <w:szCs w:val="21"/>
                <w:color w:val="0000FF"/>
                <w:w w:val="97"/>
              </w:rPr>
              <w:t>ARTICLE 3</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980" w:type="dxa"/>
            <w:vAlign w:val="bottom"/>
            <w:tcBorders>
              <w:top w:val="single" w:sz="8" w:color="0000FF"/>
            </w:tcBorders>
            <w:gridSpan w:val="11"/>
          </w:tcPr>
          <w:p>
            <w:pPr>
              <w:jc w:val="center"/>
              <w:ind w:right="60"/>
              <w:spacing w:after="0" w:line="192" w:lineRule="exact"/>
              <w:rPr>
                <w:sz w:val="20"/>
                <w:szCs w:val="20"/>
                <w:color w:val="auto"/>
              </w:rPr>
            </w:pPr>
            <w:r>
              <w:rPr>
                <w:rFonts w:ascii="Arial" w:cs="Arial" w:eastAsia="Arial" w:hAnsi="Arial"/>
                <w:sz w:val="21"/>
                <w:szCs w:val="21"/>
                <w:color w:val="0000FF"/>
                <w:w w:val="92"/>
              </w:rPr>
              <w:t>Conditions</w:t>
            </w:r>
          </w:p>
        </w:tc>
        <w:tc>
          <w:tcPr>
            <w:tcW w:w="3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540" w:type="dxa"/>
            <w:vAlign w:val="bottom"/>
            <w:tcBorders>
              <w:bottom w:val="single" w:sz="8" w:color="0000FF"/>
            </w:tcBorders>
            <w:gridSpan w:val="4"/>
          </w:tcPr>
          <w:p>
            <w:pPr>
              <w:spacing w:after="0"/>
              <w:rPr>
                <w:sz w:val="20"/>
                <w:szCs w:val="20"/>
                <w:color w:val="auto"/>
              </w:rPr>
            </w:pPr>
            <w:r>
              <w:rPr>
                <w:rFonts w:ascii="Arial" w:cs="Arial" w:eastAsia="Arial" w:hAnsi="Arial"/>
                <w:sz w:val="21"/>
                <w:szCs w:val="21"/>
                <w:color w:val="0000FF"/>
                <w:w w:val="91"/>
              </w:rPr>
              <w:t xml:space="preserve">SECTION 3.01. </w:t>
            </w:r>
            <w:r>
              <w:rPr>
                <w:rFonts w:ascii="Arial" w:cs="Arial" w:eastAsia="Arial" w:hAnsi="Arial"/>
                <w:sz w:val="21"/>
                <w:szCs w:val="21"/>
                <w:i w:val="1"/>
                <w:iCs w:val="1"/>
                <w:color w:val="0000FF"/>
                <w:w w:val="91"/>
              </w:rPr>
              <w:t>Effectiveness</w:t>
            </w:r>
          </w:p>
        </w:tc>
        <w:tc>
          <w:tcPr>
            <w:tcW w:w="200" w:type="dxa"/>
            <w:vAlign w:val="bottom"/>
            <w:gridSpan w:val="3"/>
          </w:tcPr>
          <w:p>
            <w:pPr>
              <w:spacing w:after="0"/>
              <w:rPr>
                <w:sz w:val="24"/>
                <w:szCs w:val="24"/>
                <w:color w:val="auto"/>
              </w:rPr>
            </w:pPr>
          </w:p>
        </w:tc>
        <w:tc>
          <w:tcPr>
            <w:tcW w:w="220" w:type="dxa"/>
            <w:vAlign w:val="bottom"/>
            <w:gridSpan w:val="3"/>
          </w:tcPr>
          <w:p>
            <w:pPr>
              <w:jc w:val="center"/>
              <w:spacing w:after="0"/>
              <w:rPr>
                <w:sz w:val="20"/>
                <w:szCs w:val="20"/>
                <w:color w:val="auto"/>
              </w:rPr>
            </w:pPr>
            <w:r>
              <w:rPr>
                <w:rFonts w:ascii="Arial" w:cs="Arial" w:eastAsia="Arial" w:hAnsi="Arial"/>
                <w:sz w:val="21"/>
                <w:szCs w:val="21"/>
                <w:color w:val="FF0000"/>
                <w:strike w:val="1"/>
                <w:w w:val="93"/>
              </w:rPr>
              <w:t>49</w:t>
            </w:r>
          </w:p>
        </w:tc>
        <w:tc>
          <w:tcPr>
            <w:tcW w:w="240" w:type="dxa"/>
            <w:vAlign w:val="bottom"/>
            <w:tcBorders>
              <w:bottom w:val="single" w:sz="8" w:color="0000FF"/>
            </w:tcBorders>
            <w:gridSpan w:val="4"/>
          </w:tcPr>
          <w:p>
            <w:pPr>
              <w:spacing w:after="0"/>
              <w:rPr>
                <w:sz w:val="20"/>
                <w:szCs w:val="20"/>
                <w:color w:val="auto"/>
              </w:rPr>
            </w:pPr>
            <w:r>
              <w:rPr>
                <w:rFonts w:ascii="Arial" w:cs="Arial" w:eastAsia="Arial" w:hAnsi="Arial"/>
                <w:sz w:val="21"/>
                <w:szCs w:val="21"/>
                <w:color w:val="0000FF"/>
                <w:w w:val="85"/>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40" w:type="dxa"/>
            <w:vAlign w:val="bottom"/>
            <w:gridSpan w:val="4"/>
          </w:tcPr>
          <w:p>
            <w:pPr>
              <w:spacing w:after="0" w:line="192" w:lineRule="exact"/>
              <w:rPr>
                <w:sz w:val="20"/>
                <w:szCs w:val="20"/>
                <w:color w:val="auto"/>
              </w:rPr>
            </w:pPr>
            <w:r>
              <w:rPr>
                <w:rFonts w:ascii="Arial" w:cs="Arial" w:eastAsia="Arial" w:hAnsi="Arial"/>
                <w:sz w:val="21"/>
                <w:szCs w:val="21"/>
                <w:color w:val="0000FF"/>
                <w:w w:val="98"/>
              </w:rPr>
              <w:t>SECTION 3.02</w:t>
            </w:r>
            <w:r>
              <w:rPr>
                <w:rFonts w:ascii="Arial" w:cs="Arial" w:eastAsia="Arial" w:hAnsi="Arial"/>
                <w:sz w:val="21"/>
                <w:szCs w:val="21"/>
                <w:i w:val="1"/>
                <w:iCs w:val="1"/>
                <w:color w:val="0000FF"/>
                <w:w w:val="98"/>
              </w:rPr>
              <w:t>. Borrowings</w:t>
            </w:r>
          </w:p>
        </w:tc>
        <w:tc>
          <w:tcPr>
            <w:tcW w:w="420" w:type="dxa"/>
            <w:vAlign w:val="bottom"/>
            <w:gridSpan w:val="6"/>
          </w:tcPr>
          <w:p>
            <w:pPr>
              <w:jc w:val="center"/>
              <w:ind w:right="59"/>
              <w:spacing w:after="0" w:line="192" w:lineRule="exact"/>
              <w:rPr>
                <w:sz w:val="20"/>
                <w:szCs w:val="20"/>
                <w:color w:val="auto"/>
              </w:rPr>
            </w:pPr>
            <w:r>
              <w:rPr>
                <w:rFonts w:ascii="Arial" w:cs="Arial" w:eastAsia="Arial" w:hAnsi="Arial"/>
                <w:sz w:val="21"/>
                <w:szCs w:val="21"/>
                <w:i w:val="1"/>
                <w:iCs w:val="1"/>
                <w:color w:val="0000FF"/>
                <w:w w:val="74"/>
              </w:rPr>
              <w:t>and</w:t>
            </w:r>
          </w:p>
        </w:tc>
        <w:tc>
          <w:tcPr>
            <w:tcW w:w="2420" w:type="dxa"/>
            <w:vAlign w:val="bottom"/>
            <w:gridSpan w:val="32"/>
          </w:tcPr>
          <w:p>
            <w:pPr>
              <w:spacing w:after="0" w:line="192" w:lineRule="exact"/>
              <w:rPr>
                <w:sz w:val="20"/>
                <w:szCs w:val="20"/>
                <w:color w:val="auto"/>
              </w:rPr>
            </w:pPr>
            <w:r>
              <w:rPr>
                <w:rFonts w:ascii="Arial" w:cs="Arial" w:eastAsia="Arial" w:hAnsi="Arial"/>
                <w:sz w:val="21"/>
                <w:szCs w:val="21"/>
                <w:i w:val="1"/>
                <w:iCs w:val="1"/>
                <w:color w:val="0000FF"/>
                <w:w w:val="91"/>
              </w:rPr>
              <w:t>Issuance of Letters of Credit</w:t>
            </w:r>
          </w:p>
        </w:tc>
        <w:tc>
          <w:tcPr>
            <w:tcW w:w="300" w:type="dxa"/>
            <w:vAlign w:val="bottom"/>
          </w:tcPr>
          <w:p>
            <w:pPr>
              <w:jc w:val="right"/>
              <w:spacing w:after="0" w:line="192" w:lineRule="exact"/>
              <w:rPr>
                <w:sz w:val="20"/>
                <w:szCs w:val="20"/>
                <w:color w:val="auto"/>
              </w:rPr>
            </w:pPr>
            <w:r>
              <w:rPr>
                <w:rFonts w:ascii="Arial" w:cs="Arial" w:eastAsia="Arial" w:hAnsi="Arial"/>
                <w:sz w:val="21"/>
                <w:szCs w:val="21"/>
                <w:color w:val="FF0000"/>
                <w:strike w:val="1"/>
              </w:rPr>
              <w:t>50</w:t>
            </w:r>
          </w:p>
        </w:tc>
        <w:tc>
          <w:tcPr>
            <w:tcW w:w="220" w:type="dxa"/>
            <w:vAlign w:val="bottom"/>
            <w:gridSpan w:val="3"/>
          </w:tcPr>
          <w:p>
            <w:pPr>
              <w:jc w:val="right"/>
              <w:spacing w:after="0" w:line="192" w:lineRule="exact"/>
              <w:rPr>
                <w:sz w:val="20"/>
                <w:szCs w:val="20"/>
                <w:color w:val="auto"/>
              </w:rPr>
            </w:pPr>
            <w:r>
              <w:rPr>
                <w:rFonts w:ascii="Arial" w:cs="Arial" w:eastAsia="Arial" w:hAnsi="Arial"/>
                <w:sz w:val="21"/>
                <w:szCs w:val="21"/>
                <w:color w:val="0000FF"/>
                <w:w w:val="85"/>
              </w:rPr>
              <w:t>49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20" w:type="dxa"/>
            <w:vAlign w:val="bottom"/>
            <w:tcBorders>
              <w:top w:val="single" w:sz="8" w:color="0000FF"/>
            </w:tcBorders>
            <w:gridSpan w:val="21"/>
          </w:tcPr>
          <w:p>
            <w:pPr>
              <w:spacing w:after="0" w:line="192" w:lineRule="exact"/>
              <w:rPr>
                <w:sz w:val="20"/>
                <w:szCs w:val="20"/>
                <w:color w:val="auto"/>
              </w:rPr>
            </w:pPr>
            <w:r>
              <w:rPr>
                <w:rFonts w:ascii="Arial" w:cs="Arial" w:eastAsia="Arial" w:hAnsi="Arial"/>
                <w:sz w:val="21"/>
                <w:szCs w:val="21"/>
                <w:color w:val="0000FF"/>
                <w:w w:val="93"/>
              </w:rPr>
              <w:t>SECTION 3.03</w:t>
            </w:r>
            <w:r>
              <w:rPr>
                <w:rFonts w:ascii="Arial" w:cs="Arial" w:eastAsia="Arial" w:hAnsi="Arial"/>
                <w:sz w:val="21"/>
                <w:szCs w:val="21"/>
                <w:i w:val="1"/>
                <w:iCs w:val="1"/>
                <w:color w:val="0000FF"/>
                <w:w w:val="93"/>
              </w:rPr>
              <w:t>. Existing Credit Agreement</w:t>
            </w:r>
          </w:p>
        </w:tc>
        <w:tc>
          <w:tcPr>
            <w:tcW w:w="440" w:type="dxa"/>
            <w:vAlign w:val="bottom"/>
            <w:tcBorders>
              <w:top w:val="single" w:sz="8" w:color="0000FF"/>
            </w:tcBorders>
            <w:gridSpan w:val="8"/>
          </w:tcPr>
          <w:p>
            <w:pPr>
              <w:ind w:left="160"/>
              <w:spacing w:after="0" w:line="192" w:lineRule="exact"/>
              <w:rPr>
                <w:sz w:val="20"/>
                <w:szCs w:val="20"/>
                <w:color w:val="auto"/>
              </w:rPr>
            </w:pPr>
            <w:r>
              <w:rPr>
                <w:rFonts w:ascii="Arial" w:cs="Arial" w:eastAsia="Arial" w:hAnsi="Arial"/>
                <w:sz w:val="21"/>
                <w:szCs w:val="21"/>
                <w:color w:val="auto"/>
              </w:rPr>
              <w:t>50</w:t>
            </w: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80" w:type="dxa"/>
            <w:vAlign w:val="bottom"/>
            <w:tcBorders>
              <w:top w:val="single" w:sz="8" w:color="0000FF"/>
              <w:bottom w:val="single" w:sz="8" w:color="0000FF"/>
            </w:tcBorders>
            <w:gridSpan w:val="20"/>
          </w:tcPr>
          <w:p>
            <w:pPr>
              <w:spacing w:after="0" w:line="192" w:lineRule="exact"/>
              <w:rPr>
                <w:sz w:val="20"/>
                <w:szCs w:val="20"/>
                <w:color w:val="auto"/>
              </w:rPr>
            </w:pPr>
            <w:r>
              <w:rPr>
                <w:rFonts w:ascii="Arial" w:cs="Arial" w:eastAsia="Arial" w:hAnsi="Arial"/>
                <w:sz w:val="21"/>
                <w:szCs w:val="21"/>
                <w:color w:val="0000FF"/>
                <w:w w:val="97"/>
              </w:rPr>
              <w:t>SECTION 3.04</w:t>
            </w:r>
            <w:r>
              <w:rPr>
                <w:rFonts w:ascii="Arial" w:cs="Arial" w:eastAsia="Arial" w:hAnsi="Arial"/>
                <w:sz w:val="21"/>
                <w:szCs w:val="21"/>
                <w:i w:val="1"/>
                <w:iCs w:val="1"/>
                <w:color w:val="0000FF"/>
                <w:w w:val="97"/>
              </w:rPr>
              <w:t>. First Borrowing by Each</w:t>
            </w:r>
          </w:p>
        </w:tc>
        <w:tc>
          <w:tcPr>
            <w:tcW w:w="1560" w:type="dxa"/>
            <w:vAlign w:val="bottom"/>
            <w:tcBorders>
              <w:bottom w:val="single" w:sz="8" w:color="0000FF"/>
            </w:tcBorders>
            <w:gridSpan w:val="20"/>
          </w:tcPr>
          <w:p>
            <w:pPr>
              <w:spacing w:after="0" w:line="192" w:lineRule="exact"/>
              <w:rPr>
                <w:sz w:val="20"/>
                <w:szCs w:val="20"/>
                <w:color w:val="auto"/>
              </w:rPr>
            </w:pPr>
            <w:r>
              <w:rPr>
                <w:rFonts w:ascii="Arial" w:cs="Arial" w:eastAsia="Arial" w:hAnsi="Arial"/>
                <w:sz w:val="21"/>
                <w:szCs w:val="21"/>
                <w:i w:val="1"/>
                <w:iCs w:val="1"/>
                <w:color w:val="0000FF"/>
                <w:w w:val="89"/>
              </w:rPr>
              <w:t>Eligible Subsidiary</w:t>
            </w:r>
          </w:p>
        </w:tc>
        <w:tc>
          <w:tcPr>
            <w:tcW w:w="140" w:type="dxa"/>
            <w:vAlign w:val="bottom"/>
            <w:gridSpan w:val="2"/>
          </w:tcPr>
          <w:p>
            <w:pPr>
              <w:spacing w:after="0"/>
              <w:rPr>
                <w:sz w:val="16"/>
                <w:szCs w:val="16"/>
                <w:color w:val="auto"/>
              </w:rPr>
            </w:pPr>
          </w:p>
        </w:tc>
        <w:tc>
          <w:tcPr>
            <w:tcW w:w="300" w:type="dxa"/>
            <w:vAlign w:val="bottom"/>
          </w:tcPr>
          <w:p>
            <w:pPr>
              <w:jc w:val="right"/>
              <w:spacing w:after="0" w:line="192" w:lineRule="exact"/>
              <w:rPr>
                <w:sz w:val="20"/>
                <w:szCs w:val="20"/>
                <w:color w:val="auto"/>
              </w:rPr>
            </w:pPr>
            <w:r>
              <w:rPr>
                <w:rFonts w:ascii="Arial" w:cs="Arial" w:eastAsia="Arial" w:hAnsi="Arial"/>
                <w:sz w:val="21"/>
                <w:szCs w:val="21"/>
                <w:color w:val="auto"/>
              </w:rPr>
              <w:t>50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i</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80" w:type="dxa"/>
            <w:vAlign w:val="bottom"/>
            <w:gridSpan w:val="13"/>
          </w:tcPr>
          <w:p>
            <w:pPr>
              <w:jc w:val="center"/>
              <w:ind w:right="1540"/>
              <w:spacing w:after="0"/>
              <w:rPr>
                <w:sz w:val="20"/>
                <w:szCs w:val="20"/>
                <w:color w:val="auto"/>
              </w:rPr>
            </w:pPr>
            <w:r>
              <w:rPr>
                <w:rFonts w:ascii="Arial" w:cs="Arial" w:eastAsia="Arial" w:hAnsi="Arial"/>
                <w:sz w:val="21"/>
                <w:szCs w:val="21"/>
                <w:color w:val="0000FF"/>
                <w:w w:val="97"/>
              </w:rPr>
              <w:t>ARTICLE 4</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80" w:type="dxa"/>
            <w:vAlign w:val="bottom"/>
            <w:gridSpan w:val="6"/>
            <w:vMerge w:val="restart"/>
          </w:tcPr>
          <w:p>
            <w:pPr>
              <w:ind w:left="100"/>
              <w:spacing w:after="0" w:line="212" w:lineRule="exact"/>
              <w:rPr>
                <w:sz w:val="20"/>
                <w:szCs w:val="20"/>
                <w:color w:val="auto"/>
              </w:rPr>
            </w:pPr>
            <w:r>
              <w:rPr>
                <w:rFonts w:ascii="Arial" w:cs="Arial" w:eastAsia="Arial" w:hAnsi="Arial"/>
                <w:sz w:val="21"/>
                <w:szCs w:val="21"/>
                <w:color w:val="0000FF"/>
                <w:w w:val="91"/>
              </w:rPr>
              <w:t>of the Company</w:t>
            </w:r>
          </w:p>
        </w:tc>
        <w:tc>
          <w:tcPr>
            <w:tcW w:w="0" w:type="dxa"/>
            <w:vAlign w:val="bottom"/>
          </w:tcPr>
          <w:p>
            <w:pPr>
              <w:spacing w:after="0" w:line="20" w:lineRule="exact"/>
              <w:rPr>
                <w:sz w:val="1"/>
                <w:szCs w:val="1"/>
                <w:color w:val="auto"/>
              </w:rPr>
            </w:pPr>
          </w:p>
        </w:tc>
      </w:tr>
      <w:tr>
        <w:trPr>
          <w:trHeight w:val="192"/>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gridSpan w:val="16"/>
          </w:tcPr>
          <w:p>
            <w:pPr>
              <w:ind w:left="40"/>
              <w:spacing w:after="0" w:line="192" w:lineRule="exact"/>
              <w:rPr>
                <w:sz w:val="20"/>
                <w:szCs w:val="20"/>
                <w:color w:val="auto"/>
              </w:rPr>
            </w:pPr>
            <w:r>
              <w:rPr>
                <w:rFonts w:ascii="Arial" w:cs="Arial" w:eastAsia="Arial" w:hAnsi="Arial"/>
                <w:sz w:val="21"/>
                <w:szCs w:val="21"/>
                <w:color w:val="0000FF"/>
                <w:w w:val="83"/>
              </w:rPr>
              <w:t>Representations and Warranties</w:t>
            </w:r>
          </w:p>
        </w:tc>
        <w:tc>
          <w:tcPr>
            <w:tcW w:w="60" w:type="dxa"/>
            <w:vAlign w:val="bottom"/>
            <w:vMerge w:val="continue"/>
          </w:tcPr>
          <w:p>
            <w:pPr>
              <w:spacing w:after="0"/>
              <w:rPr>
                <w:sz w:val="16"/>
                <w:szCs w:val="16"/>
                <w:color w:val="auto"/>
              </w:rPr>
            </w:pPr>
          </w:p>
        </w:tc>
        <w:tc>
          <w:tcPr>
            <w:tcW w:w="14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660" w:type="dxa"/>
            <w:vAlign w:val="bottom"/>
            <w:gridSpan w:val="32"/>
          </w:tcPr>
          <w:p>
            <w:pPr>
              <w:spacing w:after="0"/>
              <w:rPr>
                <w:sz w:val="20"/>
                <w:szCs w:val="20"/>
                <w:color w:val="auto"/>
              </w:rPr>
            </w:pPr>
            <w:r>
              <w:rPr>
                <w:rFonts w:ascii="Arial" w:cs="Arial" w:eastAsia="Arial" w:hAnsi="Arial"/>
                <w:sz w:val="21"/>
                <w:szCs w:val="21"/>
                <w:color w:val="0000FF"/>
                <w:w w:val="96"/>
              </w:rPr>
              <w:t xml:space="preserve">SECTION 4.01. </w:t>
            </w:r>
            <w:r>
              <w:rPr>
                <w:rFonts w:ascii="Arial" w:cs="Arial" w:eastAsia="Arial" w:hAnsi="Arial"/>
                <w:sz w:val="21"/>
                <w:szCs w:val="21"/>
                <w:i w:val="1"/>
                <w:iCs w:val="1"/>
                <w:color w:val="0000FF"/>
                <w:w w:val="96"/>
              </w:rPr>
              <w:t>Corporate Existence and Power</w:t>
            </w:r>
            <w:r>
              <w:rPr>
                <w:rFonts w:ascii="Arial" w:cs="Arial" w:eastAsia="Arial" w:hAnsi="Arial"/>
                <w:sz w:val="21"/>
                <w:szCs w:val="21"/>
                <w:color w:val="0000FF"/>
                <w:w w:val="96"/>
              </w:rPr>
              <w:t xml:space="preserve">  </w:t>
            </w:r>
            <w:r>
              <w:rPr>
                <w:rFonts w:ascii="Arial" w:cs="Arial" w:eastAsia="Arial" w:hAnsi="Arial"/>
                <w:sz w:val="21"/>
                <w:szCs w:val="21"/>
                <w:color w:val="000000"/>
                <w:w w:val="96"/>
              </w:rPr>
              <w:t>51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60" w:type="dxa"/>
            <w:vAlign w:val="bottom"/>
            <w:tcBorders>
              <w:top w:val="single" w:sz="8" w:color="0000FF"/>
            </w:tcBorders>
            <w:gridSpan w:val="30"/>
          </w:tcPr>
          <w:p>
            <w:pPr>
              <w:spacing w:after="0" w:line="192" w:lineRule="exact"/>
              <w:rPr>
                <w:sz w:val="20"/>
                <w:szCs w:val="20"/>
                <w:color w:val="auto"/>
              </w:rPr>
            </w:pPr>
            <w:r>
              <w:rPr>
                <w:rFonts w:ascii="Arial" w:cs="Arial" w:eastAsia="Arial" w:hAnsi="Arial"/>
                <w:sz w:val="21"/>
                <w:szCs w:val="21"/>
                <w:color w:val="0000FF"/>
                <w:w w:val="97"/>
              </w:rPr>
              <w:t xml:space="preserve">SECTION 4.02. </w:t>
            </w:r>
            <w:r>
              <w:rPr>
                <w:rFonts w:ascii="Arial" w:cs="Arial" w:eastAsia="Arial" w:hAnsi="Arial"/>
                <w:sz w:val="21"/>
                <w:szCs w:val="21"/>
                <w:i w:val="1"/>
                <w:iCs w:val="1"/>
                <w:color w:val="0000FF"/>
                <w:w w:val="97"/>
              </w:rPr>
              <w:t>Corporate and Governmental</w:t>
            </w:r>
          </w:p>
        </w:tc>
        <w:tc>
          <w:tcPr>
            <w:tcW w:w="3520" w:type="dxa"/>
            <w:vAlign w:val="bottom"/>
            <w:gridSpan w:val="16"/>
          </w:tcPr>
          <w:p>
            <w:pPr>
              <w:spacing w:after="0" w:line="192" w:lineRule="exact"/>
              <w:rPr>
                <w:sz w:val="20"/>
                <w:szCs w:val="20"/>
                <w:color w:val="auto"/>
              </w:rPr>
            </w:pPr>
            <w:r>
              <w:rPr>
                <w:rFonts w:ascii="Arial" w:cs="Arial" w:eastAsia="Arial" w:hAnsi="Arial"/>
                <w:sz w:val="21"/>
                <w:szCs w:val="21"/>
                <w:i w:val="1"/>
                <w:iCs w:val="1"/>
                <w:color w:val="0000FF"/>
              </w:rPr>
              <w:t xml:space="preserve">Authorization; No Contravention  </w:t>
            </w:r>
            <w:r>
              <w:rPr>
                <w:rFonts w:ascii="Arial" w:cs="Arial" w:eastAsia="Arial" w:hAnsi="Arial"/>
                <w:sz w:val="21"/>
                <w:szCs w:val="21"/>
                <w:color w:val="000000"/>
              </w:rPr>
              <w:t>51</w:t>
            </w:r>
          </w:p>
        </w:tc>
        <w:tc>
          <w:tcPr>
            <w:tcW w:w="0" w:type="dxa"/>
            <w:vAlign w:val="bottom"/>
          </w:tcPr>
          <w:p>
            <w:pPr>
              <w:spacing w:after="0"/>
              <w:rPr>
                <w:sz w:val="1"/>
                <w:szCs w:val="1"/>
                <w:color w:val="auto"/>
              </w:rPr>
            </w:pPr>
          </w:p>
        </w:tc>
      </w:tr>
      <w:tr>
        <w:trPr>
          <w:trHeight w:val="192"/>
        </w:trPr>
        <w:tc>
          <w:tcPr>
            <w:tcW w:w="2660" w:type="dxa"/>
            <w:vAlign w:val="bottom"/>
            <w:tcBorders>
              <w:top w:val="single" w:sz="8" w:color="0000FF"/>
            </w:tcBorders>
            <w:gridSpan w:val="9"/>
          </w:tcPr>
          <w:p>
            <w:pPr>
              <w:spacing w:after="0" w:line="192" w:lineRule="exact"/>
              <w:rPr>
                <w:sz w:val="20"/>
                <w:szCs w:val="20"/>
                <w:color w:val="auto"/>
              </w:rPr>
            </w:pPr>
            <w:r>
              <w:rPr>
                <w:rFonts w:ascii="Arial" w:cs="Arial" w:eastAsia="Arial" w:hAnsi="Arial"/>
                <w:sz w:val="21"/>
                <w:szCs w:val="21"/>
                <w:color w:val="0000FF"/>
                <w:w w:val="93"/>
              </w:rPr>
              <w:t xml:space="preserve">SECTION 4.03. </w:t>
            </w:r>
            <w:r>
              <w:rPr>
                <w:rFonts w:ascii="Arial" w:cs="Arial" w:eastAsia="Arial" w:hAnsi="Arial"/>
                <w:sz w:val="21"/>
                <w:szCs w:val="21"/>
                <w:i w:val="1"/>
                <w:iCs w:val="1"/>
                <w:color w:val="0000FF"/>
                <w:w w:val="93"/>
              </w:rPr>
              <w:t>Binding Effect</w:t>
            </w: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gridSpan w:val="4"/>
          </w:tcPr>
          <w:p>
            <w:pPr>
              <w:jc w:val="right"/>
              <w:spacing w:after="0" w:line="192" w:lineRule="exact"/>
              <w:rPr>
                <w:sz w:val="20"/>
                <w:szCs w:val="20"/>
                <w:color w:val="auto"/>
              </w:rPr>
            </w:pPr>
            <w:r>
              <w:rPr>
                <w:rFonts w:ascii="Arial" w:cs="Arial" w:eastAsia="Arial" w:hAnsi="Arial"/>
                <w:sz w:val="21"/>
                <w:szCs w:val="21"/>
                <w:color w:val="FF0000"/>
                <w:strike w:val="1"/>
              </w:rPr>
              <w:t>52</w:t>
            </w:r>
          </w:p>
        </w:tc>
        <w:tc>
          <w:tcPr>
            <w:tcW w:w="180" w:type="dxa"/>
            <w:vAlign w:val="bottom"/>
            <w:tcBorders>
              <w:top w:val="single" w:sz="8" w:color="0000FF"/>
            </w:tcBorders>
            <w:gridSpan w:val="2"/>
          </w:tcPr>
          <w:p>
            <w:pPr>
              <w:jc w:val="center"/>
              <w:ind w:right="20"/>
              <w:spacing w:after="0" w:line="192" w:lineRule="exact"/>
              <w:rPr>
                <w:sz w:val="20"/>
                <w:szCs w:val="20"/>
                <w:color w:val="auto"/>
              </w:rPr>
            </w:pPr>
            <w:r>
              <w:rPr>
                <w:rFonts w:ascii="Arial" w:cs="Arial" w:eastAsia="Arial" w:hAnsi="Arial"/>
                <w:sz w:val="20"/>
                <w:szCs w:val="20"/>
                <w:color w:val="0000FF"/>
                <w:w w:val="71"/>
              </w:rPr>
              <w:t>51</w:t>
            </w: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21"/>
                <w:szCs w:val="21"/>
                <w:color w:val="FF0000"/>
                <w:strike w:val="1"/>
                <w:w w:val="85"/>
              </w:rPr>
              <w:t>52</w:t>
            </w:r>
          </w:p>
        </w:tc>
        <w:tc>
          <w:tcPr>
            <w:tcW w:w="20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21"/>
                <w:szCs w:val="21"/>
                <w:color w:val="0000FF"/>
                <w:w w:val="76"/>
              </w:rPr>
              <w:t>51</w:t>
            </w: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gridSpan w:val="38"/>
          </w:tcPr>
          <w:p>
            <w:pPr>
              <w:spacing w:after="0" w:line="192" w:lineRule="exact"/>
              <w:rPr>
                <w:sz w:val="20"/>
                <w:szCs w:val="20"/>
                <w:color w:val="auto"/>
              </w:rPr>
            </w:pPr>
            <w:r>
              <w:rPr>
                <w:rFonts w:ascii="Arial" w:cs="Arial" w:eastAsia="Arial" w:hAnsi="Arial"/>
                <w:sz w:val="21"/>
                <w:szCs w:val="21"/>
                <w:color w:val="0000FF"/>
                <w:w w:val="94"/>
              </w:rPr>
              <w:t xml:space="preserve">SECTION 4.04. </w:t>
            </w:r>
            <w:r>
              <w:rPr>
                <w:rFonts w:ascii="Arial" w:cs="Arial" w:eastAsia="Arial" w:hAnsi="Arial"/>
                <w:sz w:val="21"/>
                <w:szCs w:val="21"/>
                <w:i w:val="1"/>
                <w:iCs w:val="1"/>
                <w:color w:val="0000FF"/>
                <w:w w:val="94"/>
              </w:rPr>
              <w:t>Financial Information; No Material Adverse Change</w:t>
            </w:r>
          </w:p>
        </w:tc>
        <w:tc>
          <w:tcPr>
            <w:tcW w:w="1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tcBorders>
              <w:top w:val="single" w:sz="8" w:color="0000FF"/>
            </w:tcBorders>
            <w:gridSpan w:val="7"/>
          </w:tcPr>
          <w:p>
            <w:pPr>
              <w:spacing w:after="0" w:line="192" w:lineRule="exact"/>
              <w:rPr>
                <w:sz w:val="20"/>
                <w:szCs w:val="20"/>
                <w:color w:val="auto"/>
              </w:rPr>
            </w:pPr>
            <w:r>
              <w:rPr>
                <w:rFonts w:ascii="Arial" w:cs="Arial" w:eastAsia="Arial" w:hAnsi="Arial"/>
                <w:sz w:val="21"/>
                <w:szCs w:val="21"/>
                <w:color w:val="0000FF"/>
              </w:rPr>
              <w:t xml:space="preserve">SECTION 4.05. </w:t>
            </w:r>
            <w:r>
              <w:rPr>
                <w:rFonts w:ascii="Arial" w:cs="Arial" w:eastAsia="Arial" w:hAnsi="Arial"/>
                <w:sz w:val="21"/>
                <w:szCs w:val="21"/>
                <w:i w:val="1"/>
                <w:iCs w:val="1"/>
                <w:color w:val="0000FF"/>
              </w:rPr>
              <w:t>Litigation</w:t>
            </w:r>
          </w:p>
        </w:tc>
        <w:tc>
          <w:tcPr>
            <w:tcW w:w="260" w:type="dxa"/>
            <w:vAlign w:val="bottom"/>
            <w:tcBorders>
              <w:top w:val="single" w:sz="8" w:color="0000FF"/>
            </w:tcBorders>
            <w:gridSpan w:val="3"/>
          </w:tcPr>
          <w:p>
            <w:pPr>
              <w:spacing w:after="0" w:line="192" w:lineRule="exact"/>
              <w:rPr>
                <w:sz w:val="20"/>
                <w:szCs w:val="20"/>
                <w:color w:val="auto"/>
              </w:rPr>
            </w:pPr>
            <w:r>
              <w:rPr>
                <w:rFonts w:ascii="Arial" w:cs="Arial" w:eastAsia="Arial" w:hAnsi="Arial"/>
                <w:sz w:val="21"/>
                <w:szCs w:val="21"/>
                <w:color w:val="FF0000"/>
                <w:strike w:val="1"/>
                <w:w w:val="93"/>
              </w:rPr>
              <w:t>52</w:t>
            </w:r>
          </w:p>
        </w:tc>
        <w:tc>
          <w:tcPr>
            <w:tcW w:w="180" w:type="dxa"/>
            <w:vAlign w:val="bottom"/>
            <w:tcBorders>
              <w:top w:val="single" w:sz="8" w:color="0000FF"/>
            </w:tcBorders>
            <w:gridSpan w:val="4"/>
          </w:tcPr>
          <w:p>
            <w:pPr>
              <w:jc w:val="right"/>
              <w:spacing w:after="0" w:line="192" w:lineRule="exact"/>
              <w:rPr>
                <w:sz w:val="20"/>
                <w:szCs w:val="20"/>
                <w:color w:val="auto"/>
              </w:rPr>
            </w:pPr>
            <w:r>
              <w:rPr>
                <w:rFonts w:ascii="Arial" w:cs="Arial" w:eastAsia="Arial" w:hAnsi="Arial"/>
                <w:sz w:val="17"/>
                <w:szCs w:val="17"/>
                <w:color w:val="0000FF"/>
                <w:w w:val="73"/>
              </w:rPr>
              <w:t>51</w:t>
            </w:r>
          </w:p>
        </w:tc>
        <w:tc>
          <w:tcPr>
            <w:tcW w:w="1740" w:type="dxa"/>
            <w:vAlign w:val="bottom"/>
            <w:tcBorders>
              <w:top w:val="single" w:sz="8" w:color="0000FF"/>
            </w:tcBorders>
            <w:gridSpan w:val="18"/>
            <w:vMerge w:val="restart"/>
          </w:tcPr>
          <w:p>
            <w:pPr>
              <w:spacing w:after="0"/>
              <w:rPr>
                <w:sz w:val="20"/>
                <w:szCs w:val="20"/>
                <w:color w:val="auto"/>
              </w:rPr>
            </w:pPr>
            <w:r>
              <w:rPr>
                <w:rFonts w:ascii="Arial" w:cs="Arial" w:eastAsia="Arial" w:hAnsi="Arial"/>
                <w:sz w:val="21"/>
                <w:szCs w:val="21"/>
                <w:i w:val="1"/>
                <w:iCs w:val="1"/>
                <w:color w:val="0000FF"/>
              </w:rPr>
              <w:t>ERISA</w:t>
            </w:r>
            <w:r>
              <w:rPr>
                <w:rFonts w:ascii="Arial" w:cs="Arial" w:eastAsia="Arial" w:hAnsi="Arial"/>
                <w:sz w:val="21"/>
                <w:szCs w:val="21"/>
                <w:color w:val="0000FF"/>
              </w:rPr>
              <w:t>.</w:t>
            </w:r>
            <w:r>
              <w:rPr>
                <w:rFonts w:ascii="Arial" w:cs="Arial" w:eastAsia="Arial" w:hAnsi="Arial"/>
                <w:sz w:val="21"/>
                <w:szCs w:val="21"/>
                <w:i w:val="1"/>
                <w:iCs w:val="1"/>
                <w:color w:val="0000FF"/>
              </w:rPr>
              <w:t xml:space="preserve">  </w:t>
            </w:r>
            <w:r>
              <w:rPr>
                <w:rFonts w:ascii="Arial" w:cs="Arial" w:eastAsia="Arial" w:hAnsi="Arial"/>
                <w:sz w:val="21"/>
                <w:szCs w:val="21"/>
                <w:color w:val="000000"/>
              </w:rPr>
              <w:t>52</w:t>
            </w:r>
          </w:p>
        </w:tc>
        <w:tc>
          <w:tcPr>
            <w:tcW w:w="4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bottom w:val="single" w:sz="8" w:color="0000FF"/>
            </w:tcBorders>
            <w:gridSpan w:val="18"/>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60" w:type="dxa"/>
            <w:vAlign w:val="bottom"/>
            <w:gridSpan w:val="3"/>
          </w:tcPr>
          <w:p>
            <w:pPr>
              <w:spacing w:after="0" w:line="172" w:lineRule="exact"/>
              <w:rPr>
                <w:sz w:val="20"/>
                <w:szCs w:val="20"/>
                <w:color w:val="auto"/>
              </w:rPr>
            </w:pPr>
            <w:r>
              <w:rPr>
                <w:rFonts w:ascii="Arial" w:cs="Arial" w:eastAsia="Arial" w:hAnsi="Arial"/>
                <w:sz w:val="19"/>
                <w:szCs w:val="19"/>
                <w:color w:val="0000FF"/>
                <w:w w:val="94"/>
              </w:rPr>
              <w:t xml:space="preserve">SECTION 4.06. </w:t>
            </w:r>
            <w:r>
              <w:rPr>
                <w:rFonts w:ascii="Arial" w:cs="Arial" w:eastAsia="Arial" w:hAnsi="Arial"/>
                <w:sz w:val="19"/>
                <w:szCs w:val="19"/>
                <w:i w:val="1"/>
                <w:iCs w:val="1"/>
                <w:color w:val="0000FF"/>
                <w:w w:val="94"/>
              </w:rPr>
              <w:t>Compliance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7"/>
          </w:tcPr>
          <w:p>
            <w:pPr>
              <w:jc w:val="right"/>
              <w:spacing w:after="0" w:line="172" w:lineRule="exact"/>
              <w:rPr>
                <w:sz w:val="20"/>
                <w:szCs w:val="20"/>
                <w:color w:val="auto"/>
              </w:rPr>
            </w:pPr>
            <w:r>
              <w:rPr>
                <w:rFonts w:ascii="Arial" w:cs="Arial" w:eastAsia="Arial" w:hAnsi="Arial"/>
                <w:sz w:val="19"/>
                <w:szCs w:val="19"/>
                <w:i w:val="1"/>
                <w:iCs w:val="1"/>
                <w:color w:val="0000FF"/>
              </w:rPr>
              <w:t>with</w:t>
            </w:r>
          </w:p>
        </w:tc>
        <w:tc>
          <w:tcPr>
            <w:tcW w:w="1740" w:type="dxa"/>
            <w:vAlign w:val="bottom"/>
            <w:gridSpan w:val="18"/>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top w:val="single" w:sz="8" w:color="0000FF"/>
            </w:tcBorders>
            <w:gridSpan w:val="23"/>
          </w:tcPr>
          <w:p>
            <w:pPr>
              <w:spacing w:after="0" w:line="192" w:lineRule="exact"/>
              <w:rPr>
                <w:sz w:val="20"/>
                <w:szCs w:val="20"/>
                <w:color w:val="auto"/>
              </w:rPr>
            </w:pPr>
            <w:r>
              <w:rPr>
                <w:rFonts w:ascii="Arial" w:cs="Arial" w:eastAsia="Arial" w:hAnsi="Arial"/>
                <w:sz w:val="21"/>
                <w:szCs w:val="21"/>
                <w:color w:val="0000FF"/>
                <w:w w:val="97"/>
              </w:rPr>
              <w:t>SECTION 4.07</w:t>
            </w:r>
            <w:r>
              <w:rPr>
                <w:rFonts w:ascii="Arial" w:cs="Arial" w:eastAsia="Arial" w:hAnsi="Arial"/>
                <w:sz w:val="21"/>
                <w:szCs w:val="21"/>
                <w:i w:val="1"/>
                <w:iCs w:val="1"/>
                <w:color w:val="0000FF"/>
                <w:w w:val="97"/>
              </w:rPr>
              <w:t>. Environmental Matters</w:t>
            </w:r>
          </w:p>
        </w:tc>
        <w:tc>
          <w:tcPr>
            <w:tcW w:w="40" w:type="dxa"/>
            <w:vAlign w:val="bottom"/>
          </w:tcPr>
          <w:p>
            <w:pPr>
              <w:spacing w:after="0"/>
              <w:rPr>
                <w:sz w:val="16"/>
                <w:szCs w:val="16"/>
                <w:color w:val="auto"/>
              </w:rPr>
            </w:pPr>
          </w:p>
        </w:tc>
        <w:tc>
          <w:tcPr>
            <w:tcW w:w="240" w:type="dxa"/>
            <w:vAlign w:val="bottom"/>
            <w:gridSpan w:val="3"/>
          </w:tcPr>
          <w:p>
            <w:pPr>
              <w:jc w:val="center"/>
              <w:spacing w:after="0" w:line="192" w:lineRule="exact"/>
              <w:rPr>
                <w:sz w:val="20"/>
                <w:szCs w:val="20"/>
                <w:color w:val="auto"/>
              </w:rPr>
            </w:pPr>
            <w:r>
              <w:rPr>
                <w:rFonts w:ascii="Arial" w:cs="Arial" w:eastAsia="Arial" w:hAnsi="Arial"/>
                <w:sz w:val="21"/>
                <w:szCs w:val="21"/>
                <w:color w:val="FF0000"/>
                <w:strike w:val="1"/>
                <w:w w:val="93"/>
              </w:rPr>
              <w:t>53</w:t>
            </w:r>
          </w:p>
        </w:tc>
        <w:tc>
          <w:tcPr>
            <w:tcW w:w="340" w:type="dxa"/>
            <w:vAlign w:val="bottom"/>
            <w:gridSpan w:val="3"/>
          </w:tcPr>
          <w:p>
            <w:pPr>
              <w:jc w:val="right"/>
              <w:ind w:right="120"/>
              <w:spacing w:after="0" w:line="192" w:lineRule="exact"/>
              <w:rPr>
                <w:sz w:val="20"/>
                <w:szCs w:val="20"/>
                <w:color w:val="auto"/>
              </w:rPr>
            </w:pPr>
            <w:r>
              <w:rPr>
                <w:rFonts w:ascii="Arial" w:cs="Arial" w:eastAsia="Arial" w:hAnsi="Arial"/>
                <w:sz w:val="21"/>
                <w:szCs w:val="21"/>
                <w:color w:val="0000FF"/>
                <w:w w:val="85"/>
              </w:rPr>
              <w:t>52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tcBorders>
              <w:top w:val="single" w:sz="8" w:color="0000FF"/>
            </w:tcBorders>
            <w:gridSpan w:val="2"/>
          </w:tcPr>
          <w:p>
            <w:pPr>
              <w:spacing w:after="0" w:line="192" w:lineRule="exact"/>
              <w:rPr>
                <w:sz w:val="20"/>
                <w:szCs w:val="20"/>
                <w:color w:val="auto"/>
              </w:rPr>
            </w:pPr>
            <w:r>
              <w:rPr>
                <w:rFonts w:ascii="Arial" w:cs="Arial" w:eastAsia="Arial" w:hAnsi="Arial"/>
                <w:sz w:val="21"/>
                <w:szCs w:val="21"/>
                <w:color w:val="0000FF"/>
              </w:rPr>
              <w:t xml:space="preserve">SECTION 4.08. </w:t>
            </w:r>
            <w:r>
              <w:rPr>
                <w:rFonts w:ascii="Arial" w:cs="Arial" w:eastAsia="Arial" w:hAnsi="Arial"/>
                <w:sz w:val="21"/>
                <w:szCs w:val="21"/>
                <w:i w:val="1"/>
                <w:iCs w:val="1"/>
                <w:color w:val="0000FF"/>
              </w:rPr>
              <w:t>Taxes</w:t>
            </w:r>
          </w:p>
        </w:tc>
        <w:tc>
          <w:tcPr>
            <w:tcW w:w="220" w:type="dxa"/>
            <w:vAlign w:val="bottom"/>
            <w:tcBorders>
              <w:top w:val="single" w:sz="8" w:color="0000FF"/>
            </w:tcBorders>
            <w:gridSpan w:val="2"/>
          </w:tcPr>
          <w:p>
            <w:pPr>
              <w:jc w:val="right"/>
              <w:spacing w:after="0" w:line="192" w:lineRule="exact"/>
              <w:rPr>
                <w:sz w:val="20"/>
                <w:szCs w:val="20"/>
                <w:color w:val="auto"/>
              </w:rPr>
            </w:pPr>
            <w:r>
              <w:rPr>
                <w:rFonts w:ascii="Arial" w:cs="Arial" w:eastAsia="Arial" w:hAnsi="Arial"/>
                <w:sz w:val="21"/>
                <w:szCs w:val="21"/>
                <w:color w:val="FF0000"/>
                <w:strike w:val="1"/>
                <w:w w:val="85"/>
              </w:rPr>
              <w:t>53</w:t>
            </w:r>
          </w:p>
        </w:tc>
        <w:tc>
          <w:tcPr>
            <w:tcW w:w="320" w:type="dxa"/>
            <w:vAlign w:val="bottom"/>
            <w:tcBorders>
              <w:top w:val="single" w:sz="8" w:color="0000FF"/>
            </w:tcBorders>
            <w:gridSpan w:val="5"/>
          </w:tcPr>
          <w:p>
            <w:pPr>
              <w:jc w:val="right"/>
              <w:ind w:right="120"/>
              <w:spacing w:after="0" w:line="192" w:lineRule="exact"/>
              <w:rPr>
                <w:sz w:val="20"/>
                <w:szCs w:val="20"/>
                <w:color w:val="auto"/>
              </w:rPr>
            </w:pPr>
            <w:r>
              <w:rPr>
                <w:rFonts w:ascii="Arial" w:cs="Arial" w:eastAsia="Arial" w:hAnsi="Arial"/>
                <w:sz w:val="21"/>
                <w:szCs w:val="21"/>
                <w:color w:val="0000FF"/>
                <w:w w:val="76"/>
              </w:rPr>
              <w:t>52</w:t>
            </w:r>
          </w:p>
        </w:tc>
        <w:tc>
          <w:tcPr>
            <w:tcW w:w="260" w:type="dxa"/>
            <w:vAlign w:val="bottom"/>
            <w:tcBorders>
              <w:top w:val="single" w:sz="8" w:color="0000FF"/>
            </w:tcBorders>
            <w:gridSpan w:val="5"/>
            <w:vMerge w:val="restart"/>
          </w:tcPr>
          <w:p>
            <w:pPr>
              <w:jc w:val="right"/>
              <w:spacing w:after="0"/>
              <w:rPr>
                <w:sz w:val="20"/>
                <w:szCs w:val="20"/>
                <w:color w:val="auto"/>
              </w:rPr>
            </w:pPr>
            <w:r>
              <w:rPr>
                <w:rFonts w:ascii="Arial" w:cs="Arial" w:eastAsia="Arial" w:hAnsi="Arial"/>
                <w:sz w:val="21"/>
                <w:szCs w:val="21"/>
                <w:color w:val="auto"/>
                <w:w w:val="93"/>
              </w:rPr>
              <w:t>53</w:t>
            </w: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80" w:type="dxa"/>
            <w:vAlign w:val="bottom"/>
            <w:tcBorders>
              <w:bottom w:val="single" w:sz="8" w:color="0000FF"/>
            </w:tcBorders>
            <w:gridSpan w:val="7"/>
          </w:tcPr>
          <w:p>
            <w:pPr>
              <w:spacing w:after="0" w:line="192" w:lineRule="exact"/>
              <w:rPr>
                <w:sz w:val="20"/>
                <w:szCs w:val="20"/>
                <w:color w:val="auto"/>
              </w:rPr>
            </w:pPr>
            <w:r>
              <w:rPr>
                <w:rFonts w:ascii="Arial" w:cs="Arial" w:eastAsia="Arial" w:hAnsi="Arial"/>
                <w:sz w:val="21"/>
                <w:szCs w:val="21"/>
                <w:color w:val="0000FF"/>
                <w:w w:val="92"/>
              </w:rPr>
              <w:t xml:space="preserve">SECTION 4.09. </w:t>
            </w:r>
            <w:r>
              <w:rPr>
                <w:rFonts w:ascii="Arial" w:cs="Arial" w:eastAsia="Arial" w:hAnsi="Arial"/>
                <w:sz w:val="21"/>
                <w:szCs w:val="21"/>
                <w:i w:val="1"/>
                <w:iCs w:val="1"/>
                <w:color w:val="0000FF"/>
                <w:w w:val="92"/>
              </w:rPr>
              <w:t>Subsidiaries</w:t>
            </w:r>
          </w:p>
        </w:tc>
        <w:tc>
          <w:tcPr>
            <w:tcW w:w="180" w:type="dxa"/>
            <w:vAlign w:val="bottom"/>
            <w:gridSpan w:val="2"/>
          </w:tcPr>
          <w:p>
            <w:pPr>
              <w:spacing w:after="0"/>
              <w:rPr>
                <w:sz w:val="16"/>
                <w:szCs w:val="16"/>
                <w:color w:val="auto"/>
              </w:rPr>
            </w:pPr>
          </w:p>
        </w:tc>
        <w:tc>
          <w:tcPr>
            <w:tcW w:w="260" w:type="dxa"/>
            <w:vAlign w:val="bottom"/>
            <w:gridSpan w:val="5"/>
            <w:vMerge w:val="continue"/>
          </w:tcPr>
          <w:p>
            <w:pPr>
              <w:spacing w:after="0"/>
              <w:rPr>
                <w:sz w:val="16"/>
                <w:szCs w:val="16"/>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21"/>
                <w:szCs w:val="21"/>
                <w:color w:val="auto"/>
              </w:rPr>
              <w:t>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gridSpan w:val="14"/>
          </w:tcPr>
          <w:p>
            <w:pPr>
              <w:spacing w:after="0" w:line="192" w:lineRule="exact"/>
              <w:rPr>
                <w:sz w:val="20"/>
                <w:szCs w:val="20"/>
                <w:color w:val="auto"/>
              </w:rPr>
            </w:pPr>
            <w:r>
              <w:rPr>
                <w:rFonts w:ascii="Arial" w:cs="Arial" w:eastAsia="Arial" w:hAnsi="Arial"/>
                <w:sz w:val="21"/>
                <w:szCs w:val="21"/>
                <w:color w:val="0000FF"/>
                <w:w w:val="99"/>
              </w:rPr>
              <w:t xml:space="preserve">SECTION 4.10. </w:t>
            </w:r>
            <w:r>
              <w:rPr>
                <w:rFonts w:ascii="Arial" w:cs="Arial" w:eastAsia="Arial" w:hAnsi="Arial"/>
                <w:sz w:val="21"/>
                <w:szCs w:val="21"/>
                <w:i w:val="1"/>
                <w:iCs w:val="1"/>
                <w:color w:val="0000FF"/>
                <w:w w:val="99"/>
              </w:rPr>
              <w:t>Full Disclosure</w:t>
            </w:r>
          </w:p>
        </w:tc>
        <w:tc>
          <w:tcPr>
            <w:tcW w:w="3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tcBorders>
              <w:top w:val="single" w:sz="8" w:color="0000FF"/>
            </w:tcBorders>
            <w:gridSpan w:val="10"/>
          </w:tcPr>
          <w:p>
            <w:pPr>
              <w:spacing w:after="0" w:line="192" w:lineRule="exact"/>
              <w:rPr>
                <w:sz w:val="20"/>
                <w:szCs w:val="20"/>
                <w:color w:val="auto"/>
              </w:rPr>
            </w:pPr>
            <w:r>
              <w:rPr>
                <w:rFonts w:ascii="Arial" w:cs="Arial" w:eastAsia="Arial" w:hAnsi="Arial"/>
                <w:sz w:val="21"/>
                <w:szCs w:val="21"/>
                <w:color w:val="0000FF"/>
                <w:w w:val="92"/>
              </w:rPr>
              <w:t xml:space="preserve">SECTION 4.11. </w:t>
            </w:r>
            <w:r>
              <w:rPr>
                <w:rFonts w:ascii="Arial" w:cs="Arial" w:eastAsia="Arial" w:hAnsi="Arial"/>
                <w:sz w:val="21"/>
                <w:szCs w:val="21"/>
                <w:i w:val="1"/>
                <w:iCs w:val="1"/>
                <w:color w:val="0000FF"/>
                <w:w w:val="92"/>
              </w:rPr>
              <w:t>Anti-Corruption</w:t>
            </w:r>
          </w:p>
        </w:tc>
        <w:tc>
          <w:tcPr>
            <w:tcW w:w="80" w:type="dxa"/>
            <w:vAlign w:val="bottom"/>
          </w:tcPr>
          <w:p>
            <w:pPr>
              <w:spacing w:after="0"/>
              <w:rPr>
                <w:sz w:val="16"/>
                <w:szCs w:val="16"/>
                <w:color w:val="auto"/>
              </w:rPr>
            </w:pPr>
          </w:p>
        </w:tc>
        <w:tc>
          <w:tcPr>
            <w:tcW w:w="1840" w:type="dxa"/>
            <w:vAlign w:val="bottom"/>
            <w:gridSpan w:val="21"/>
          </w:tcPr>
          <w:p>
            <w:pPr>
              <w:jc w:val="center"/>
              <w:spacing w:after="0" w:line="192" w:lineRule="exact"/>
              <w:rPr>
                <w:sz w:val="20"/>
                <w:szCs w:val="20"/>
                <w:color w:val="auto"/>
              </w:rPr>
            </w:pPr>
            <w:r>
              <w:rPr>
                <w:rFonts w:ascii="Arial" w:cs="Arial" w:eastAsia="Arial" w:hAnsi="Arial"/>
                <w:sz w:val="21"/>
                <w:szCs w:val="21"/>
                <w:i w:val="1"/>
                <w:iCs w:val="1"/>
                <w:color w:val="0000FF"/>
                <w:w w:val="90"/>
              </w:rPr>
              <w:t>Laws and Sanctions</w:t>
            </w:r>
          </w:p>
        </w:tc>
        <w:tc>
          <w:tcPr>
            <w:tcW w:w="440" w:type="dxa"/>
            <w:vAlign w:val="bottom"/>
          </w:tcPr>
          <w:p>
            <w:pPr>
              <w:ind w:left="100"/>
              <w:spacing w:after="0" w:line="192" w:lineRule="exact"/>
              <w:rPr>
                <w:sz w:val="20"/>
                <w:szCs w:val="20"/>
                <w:color w:val="auto"/>
              </w:rPr>
            </w:pPr>
            <w:r>
              <w:rPr>
                <w:rFonts w:ascii="Arial" w:cs="Arial" w:eastAsia="Arial" w:hAnsi="Arial"/>
                <w:sz w:val="21"/>
                <w:szCs w:val="21"/>
                <w:color w:val="auto"/>
              </w:rPr>
              <w:t>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9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13"/>
          </w:tcPr>
          <w:p>
            <w:pPr>
              <w:jc w:val="center"/>
              <w:ind w:right="1540"/>
              <w:spacing w:after="0"/>
              <w:rPr>
                <w:sz w:val="20"/>
                <w:szCs w:val="20"/>
                <w:color w:val="auto"/>
              </w:rPr>
            </w:pPr>
            <w:r>
              <w:rPr>
                <w:rFonts w:ascii="Arial" w:cs="Arial" w:eastAsia="Arial" w:hAnsi="Arial"/>
                <w:sz w:val="21"/>
                <w:szCs w:val="21"/>
                <w:color w:val="0000FF"/>
                <w:w w:val="97"/>
              </w:rPr>
              <w:t>ARTICLE 5</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60" w:type="dxa"/>
            <w:vAlign w:val="bottom"/>
            <w:tcBorders>
              <w:top w:val="single" w:sz="8" w:color="0000FF"/>
            </w:tcBorders>
            <w:gridSpan w:val="5"/>
          </w:tcPr>
          <w:p>
            <w:pPr>
              <w:jc w:val="center"/>
              <w:spacing w:after="0" w:line="192" w:lineRule="exact"/>
              <w:rPr>
                <w:sz w:val="20"/>
                <w:szCs w:val="20"/>
                <w:color w:val="auto"/>
              </w:rPr>
            </w:pPr>
            <w:r>
              <w:rPr>
                <w:rFonts w:ascii="Arial" w:cs="Arial" w:eastAsia="Arial" w:hAnsi="Arial"/>
                <w:sz w:val="21"/>
                <w:szCs w:val="21"/>
                <w:color w:val="0000FF"/>
                <w:w w:val="89"/>
              </w:rPr>
              <w:t>Covenants</w:t>
            </w:r>
          </w:p>
        </w:tc>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00" w:type="dxa"/>
            <w:vAlign w:val="bottom"/>
            <w:gridSpan w:val="2"/>
          </w:tcPr>
          <w:p>
            <w:pPr>
              <w:spacing w:after="0"/>
              <w:rPr>
                <w:sz w:val="16"/>
                <w:szCs w:val="16"/>
                <w:color w:val="auto"/>
              </w:rPr>
            </w:pPr>
          </w:p>
        </w:tc>
        <w:tc>
          <w:tcPr>
            <w:tcW w:w="9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460" w:type="dxa"/>
            <w:vAlign w:val="bottom"/>
            <w:tcBorders>
              <w:bottom w:val="single" w:sz="8" w:color="0000FF"/>
            </w:tcBorders>
            <w:gridSpan w:val="6"/>
          </w:tcPr>
          <w:p>
            <w:pPr>
              <w:spacing w:after="0"/>
              <w:rPr>
                <w:sz w:val="20"/>
                <w:szCs w:val="20"/>
                <w:color w:val="auto"/>
              </w:rPr>
            </w:pPr>
            <w:r>
              <w:rPr>
                <w:rFonts w:ascii="Arial" w:cs="Arial" w:eastAsia="Arial" w:hAnsi="Arial"/>
                <w:sz w:val="21"/>
                <w:szCs w:val="21"/>
                <w:color w:val="0000FF"/>
                <w:w w:val="95"/>
              </w:rPr>
              <w:t xml:space="preserve">SECTION 5.01. </w:t>
            </w:r>
            <w:r>
              <w:rPr>
                <w:rFonts w:ascii="Arial" w:cs="Arial" w:eastAsia="Arial" w:hAnsi="Arial"/>
                <w:sz w:val="21"/>
                <w:szCs w:val="21"/>
                <w:i w:val="1"/>
                <w:iCs w:val="1"/>
                <w:color w:val="0000FF"/>
                <w:w w:val="95"/>
              </w:rPr>
              <w:t>Information</w:t>
            </w:r>
          </w:p>
        </w:tc>
        <w:tc>
          <w:tcPr>
            <w:tcW w:w="200" w:type="dxa"/>
            <w:vAlign w:val="bottom"/>
            <w:gridSpan w:val="3"/>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1"/>
                <w:szCs w:val="21"/>
                <w:color w:val="FF0000"/>
                <w:strike w:val="1"/>
                <w:w w:val="76"/>
              </w:rPr>
              <w:t>54</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color w:val="0000FF"/>
                <w:w w:val="85"/>
              </w:rPr>
              <w:t>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460" w:type="dxa"/>
            <w:vAlign w:val="bottom"/>
            <w:gridSpan w:val="6"/>
          </w:tcPr>
          <w:p>
            <w:pPr>
              <w:spacing w:after="0" w:line="192" w:lineRule="exact"/>
              <w:rPr>
                <w:sz w:val="20"/>
                <w:szCs w:val="20"/>
                <w:color w:val="auto"/>
              </w:rPr>
            </w:pPr>
            <w:r>
              <w:rPr>
                <w:rFonts w:ascii="Arial" w:cs="Arial" w:eastAsia="Arial" w:hAnsi="Arial"/>
                <w:sz w:val="21"/>
                <w:szCs w:val="21"/>
                <w:color w:val="0000FF"/>
                <w:w w:val="89"/>
              </w:rPr>
              <w:t xml:space="preserve">SECTION 5.02. </w:t>
            </w:r>
            <w:r>
              <w:rPr>
                <w:rFonts w:ascii="Arial" w:cs="Arial" w:eastAsia="Arial" w:hAnsi="Arial"/>
                <w:sz w:val="21"/>
                <w:szCs w:val="21"/>
                <w:i w:val="1"/>
                <w:iCs w:val="1"/>
                <w:color w:val="0000FF"/>
                <w:w w:val="89"/>
              </w:rPr>
              <w:t>Maintenance</w:t>
            </w:r>
          </w:p>
        </w:tc>
        <w:tc>
          <w:tcPr>
            <w:tcW w:w="400" w:type="dxa"/>
            <w:vAlign w:val="bottom"/>
            <w:gridSpan w:val="7"/>
          </w:tcPr>
          <w:p>
            <w:pPr>
              <w:jc w:val="right"/>
              <w:spacing w:after="0" w:line="192" w:lineRule="exact"/>
              <w:rPr>
                <w:sz w:val="20"/>
                <w:szCs w:val="20"/>
                <w:color w:val="auto"/>
              </w:rPr>
            </w:pPr>
            <w:r>
              <w:rPr>
                <w:rFonts w:ascii="Arial" w:cs="Arial" w:eastAsia="Arial" w:hAnsi="Arial"/>
                <w:sz w:val="21"/>
                <w:szCs w:val="21"/>
                <w:i w:val="1"/>
                <w:iCs w:val="1"/>
                <w:color w:val="0000FF"/>
              </w:rPr>
              <w:t>of</w:t>
            </w:r>
          </w:p>
        </w:tc>
        <w:tc>
          <w:tcPr>
            <w:tcW w:w="1800" w:type="dxa"/>
            <w:vAlign w:val="bottom"/>
            <w:gridSpan w:val="19"/>
          </w:tcPr>
          <w:p>
            <w:pPr>
              <w:jc w:val="center"/>
              <w:ind w:right="34"/>
              <w:spacing w:after="0" w:line="192" w:lineRule="exact"/>
              <w:rPr>
                <w:sz w:val="20"/>
                <w:szCs w:val="20"/>
                <w:color w:val="auto"/>
              </w:rPr>
            </w:pPr>
            <w:r>
              <w:rPr>
                <w:rFonts w:ascii="Arial" w:cs="Arial" w:eastAsia="Arial" w:hAnsi="Arial"/>
                <w:sz w:val="21"/>
                <w:szCs w:val="21"/>
                <w:i w:val="1"/>
                <w:iCs w:val="1"/>
                <w:color w:val="0000FF"/>
                <w:w w:val="90"/>
              </w:rPr>
              <w:t>Property; Insurance</w:t>
            </w:r>
          </w:p>
        </w:tc>
        <w:tc>
          <w:tcPr>
            <w:tcW w:w="440" w:type="dxa"/>
            <w:vAlign w:val="bottom"/>
          </w:tcPr>
          <w:p>
            <w:pPr>
              <w:ind w:left="80"/>
              <w:spacing w:after="0" w:line="192" w:lineRule="exact"/>
              <w:rPr>
                <w:sz w:val="20"/>
                <w:szCs w:val="20"/>
                <w:color w:val="auto"/>
              </w:rPr>
            </w:pPr>
            <w:r>
              <w:rPr>
                <w:rFonts w:ascii="Arial" w:cs="Arial" w:eastAsia="Arial" w:hAnsi="Arial"/>
                <w:sz w:val="21"/>
                <w:szCs w:val="21"/>
                <w:color w:val="auto"/>
              </w:rPr>
              <w:t>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0000FF"/>
            </w:tcBorders>
            <w:gridSpan w:val="31"/>
          </w:tcPr>
          <w:p>
            <w:pPr>
              <w:spacing w:after="0" w:line="192" w:lineRule="exact"/>
              <w:rPr>
                <w:sz w:val="20"/>
                <w:szCs w:val="20"/>
                <w:color w:val="auto"/>
              </w:rPr>
            </w:pPr>
            <w:r>
              <w:rPr>
                <w:rFonts w:ascii="Arial" w:cs="Arial" w:eastAsia="Arial" w:hAnsi="Arial"/>
                <w:sz w:val="21"/>
                <w:szCs w:val="21"/>
                <w:color w:val="0000FF"/>
                <w:w w:val="88"/>
              </w:rPr>
              <w:t xml:space="preserve">SECTION 5.03. </w:t>
            </w:r>
            <w:r>
              <w:rPr>
                <w:rFonts w:ascii="Arial" w:cs="Arial" w:eastAsia="Arial" w:hAnsi="Arial"/>
                <w:sz w:val="21"/>
                <w:szCs w:val="21"/>
                <w:i w:val="1"/>
                <w:iCs w:val="1"/>
                <w:color w:val="0000FF"/>
                <w:w w:val="88"/>
              </w:rPr>
              <w:t>Conduct of Business and Maintenance</w:t>
            </w:r>
          </w:p>
        </w:tc>
        <w:tc>
          <w:tcPr>
            <w:tcW w:w="1420" w:type="dxa"/>
            <w:vAlign w:val="bottom"/>
            <w:gridSpan w:val="7"/>
          </w:tcPr>
          <w:p>
            <w:pPr>
              <w:ind w:left="180"/>
              <w:spacing w:after="0" w:line="192" w:lineRule="exact"/>
              <w:rPr>
                <w:sz w:val="20"/>
                <w:szCs w:val="20"/>
                <w:color w:val="auto"/>
              </w:rPr>
            </w:pPr>
            <w:r>
              <w:rPr>
                <w:rFonts w:ascii="Arial" w:cs="Arial" w:eastAsia="Arial" w:hAnsi="Arial"/>
                <w:sz w:val="21"/>
                <w:szCs w:val="21"/>
                <w:i w:val="1"/>
                <w:iCs w:val="1"/>
                <w:color w:val="0000FF"/>
              </w:rPr>
              <w:t>of Existence</w:t>
            </w:r>
          </w:p>
        </w:tc>
        <w:tc>
          <w:tcPr>
            <w:tcW w:w="220" w:type="dxa"/>
            <w:vAlign w:val="bottom"/>
            <w:gridSpan w:val="2"/>
          </w:tcPr>
          <w:p>
            <w:pPr>
              <w:jc w:val="right"/>
              <w:spacing w:after="0" w:line="192" w:lineRule="exact"/>
              <w:rPr>
                <w:sz w:val="20"/>
                <w:szCs w:val="20"/>
                <w:color w:val="auto"/>
              </w:rPr>
            </w:pPr>
            <w:r>
              <w:rPr>
                <w:rFonts w:ascii="Arial" w:cs="Arial" w:eastAsia="Arial" w:hAnsi="Arial"/>
                <w:sz w:val="21"/>
                <w:szCs w:val="21"/>
                <w:color w:val="FF0000"/>
                <w:strike w:val="1"/>
                <w:w w:val="85"/>
              </w:rPr>
              <w:t>56</w:t>
            </w:r>
          </w:p>
        </w:tc>
        <w:tc>
          <w:tcPr>
            <w:tcW w:w="360" w:type="dxa"/>
            <w:vAlign w:val="bottom"/>
            <w:gridSpan w:val="3"/>
          </w:tcPr>
          <w:p>
            <w:pPr>
              <w:spacing w:after="0" w:line="192" w:lineRule="exact"/>
              <w:rPr>
                <w:sz w:val="20"/>
                <w:szCs w:val="20"/>
                <w:color w:val="auto"/>
              </w:rPr>
            </w:pPr>
            <w:r>
              <w:rPr>
                <w:rFonts w:ascii="Arial" w:cs="Arial" w:eastAsia="Arial" w:hAnsi="Arial"/>
                <w:sz w:val="21"/>
                <w:szCs w:val="21"/>
                <w:color w:val="0000FF"/>
              </w:rPr>
              <w:t>55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tcBorders>
              <w:top w:val="single" w:sz="8" w:color="0000FF"/>
            </w:tcBorders>
            <w:gridSpan w:val="23"/>
          </w:tcPr>
          <w:p>
            <w:pPr>
              <w:spacing w:after="0" w:line="192" w:lineRule="exact"/>
              <w:rPr>
                <w:sz w:val="20"/>
                <w:szCs w:val="20"/>
                <w:color w:val="auto"/>
              </w:rPr>
            </w:pPr>
            <w:r>
              <w:rPr>
                <w:rFonts w:ascii="Arial" w:cs="Arial" w:eastAsia="Arial" w:hAnsi="Arial"/>
                <w:sz w:val="21"/>
                <w:szCs w:val="21"/>
                <w:color w:val="0000FF"/>
                <w:w w:val="97"/>
              </w:rPr>
              <w:t xml:space="preserve">SECTION 5.04. </w:t>
            </w:r>
            <w:r>
              <w:rPr>
                <w:rFonts w:ascii="Arial" w:cs="Arial" w:eastAsia="Arial" w:hAnsi="Arial"/>
                <w:sz w:val="21"/>
                <w:szCs w:val="21"/>
                <w:i w:val="1"/>
                <w:iCs w:val="1"/>
                <w:color w:val="0000FF"/>
                <w:w w:val="97"/>
              </w:rPr>
              <w:t>Compliance with Laws</w:t>
            </w: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gridSpan w:val="2"/>
          </w:tcPr>
          <w:p>
            <w:pPr>
              <w:jc w:val="center"/>
              <w:spacing w:after="0" w:line="192" w:lineRule="exact"/>
              <w:rPr>
                <w:sz w:val="20"/>
                <w:szCs w:val="20"/>
                <w:color w:val="auto"/>
              </w:rPr>
            </w:pPr>
            <w:r>
              <w:rPr>
                <w:rFonts w:ascii="Arial" w:cs="Arial" w:eastAsia="Arial" w:hAnsi="Arial"/>
                <w:sz w:val="21"/>
                <w:szCs w:val="21"/>
                <w:color w:val="FF0000"/>
                <w:strike w:val="1"/>
                <w:w w:val="93"/>
              </w:rPr>
              <w:t>56</w:t>
            </w:r>
          </w:p>
        </w:tc>
        <w:tc>
          <w:tcPr>
            <w:tcW w:w="220" w:type="dxa"/>
            <w:vAlign w:val="bottom"/>
            <w:tcBorders>
              <w:top w:val="single" w:sz="8" w:color="0000FF"/>
            </w:tcBorders>
            <w:gridSpan w:val="2"/>
          </w:tcPr>
          <w:p>
            <w:pPr>
              <w:jc w:val="right"/>
              <w:spacing w:after="0" w:line="192" w:lineRule="exact"/>
              <w:rPr>
                <w:sz w:val="20"/>
                <w:szCs w:val="20"/>
                <w:color w:val="auto"/>
              </w:rPr>
            </w:pPr>
            <w:r>
              <w:rPr>
                <w:rFonts w:ascii="Arial" w:cs="Arial" w:eastAsia="Arial" w:hAnsi="Arial"/>
                <w:sz w:val="21"/>
                <w:szCs w:val="21"/>
                <w:color w:val="0000FF"/>
                <w:w w:val="85"/>
              </w:rPr>
              <w:t>55</w:t>
            </w: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tcBorders>
              <w:top w:val="single" w:sz="8" w:color="0000FF"/>
              <w:bottom w:val="single" w:sz="8" w:color="0000FF"/>
            </w:tcBorders>
            <w:gridSpan w:val="19"/>
          </w:tcPr>
          <w:p>
            <w:pPr>
              <w:spacing w:after="0" w:line="192" w:lineRule="exact"/>
              <w:rPr>
                <w:sz w:val="20"/>
                <w:szCs w:val="20"/>
                <w:color w:val="auto"/>
              </w:rPr>
            </w:pPr>
            <w:r>
              <w:rPr>
                <w:rFonts w:ascii="Arial" w:cs="Arial" w:eastAsia="Arial" w:hAnsi="Arial"/>
                <w:sz w:val="21"/>
                <w:szCs w:val="21"/>
                <w:color w:val="0000FF"/>
                <w:w w:val="95"/>
              </w:rPr>
              <w:t xml:space="preserve">SECTION 5.05. </w:t>
            </w:r>
            <w:r>
              <w:rPr>
                <w:rFonts w:ascii="Arial" w:cs="Arial" w:eastAsia="Arial" w:hAnsi="Arial"/>
                <w:sz w:val="21"/>
                <w:szCs w:val="21"/>
                <w:i w:val="1"/>
                <w:iCs w:val="1"/>
                <w:color w:val="0000FF"/>
                <w:w w:val="95"/>
              </w:rPr>
              <w:t>Mergers and Sales of</w:t>
            </w:r>
          </w:p>
        </w:tc>
        <w:tc>
          <w:tcPr>
            <w:tcW w:w="420" w:type="dxa"/>
            <w:vAlign w:val="bottom"/>
            <w:tcBorders>
              <w:bottom w:val="single" w:sz="8" w:color="0000FF"/>
            </w:tcBorders>
            <w:gridSpan w:val="7"/>
          </w:tcPr>
          <w:p>
            <w:pPr>
              <w:jc w:val="center"/>
              <w:spacing w:after="0" w:line="192" w:lineRule="exact"/>
              <w:rPr>
                <w:sz w:val="20"/>
                <w:szCs w:val="20"/>
                <w:color w:val="auto"/>
              </w:rPr>
            </w:pPr>
            <w:r>
              <w:rPr>
                <w:rFonts w:ascii="Arial" w:cs="Arial" w:eastAsia="Arial" w:hAnsi="Arial"/>
                <w:sz w:val="19"/>
                <w:szCs w:val="19"/>
                <w:i w:val="1"/>
                <w:iCs w:val="1"/>
                <w:color w:val="0000FF"/>
                <w:w w:val="73"/>
              </w:rPr>
              <w:t>Assets</w:t>
            </w:r>
          </w:p>
        </w:tc>
        <w:tc>
          <w:tcPr>
            <w:tcW w:w="20" w:type="dxa"/>
            <w:vAlign w:val="bottom"/>
            <w:tcBorders>
              <w:top w:val="single" w:sz="8" w:color="0000FF"/>
              <w:bottom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540" w:type="dxa"/>
            <w:vAlign w:val="bottom"/>
            <w:gridSpan w:val="3"/>
          </w:tcPr>
          <w:p>
            <w:pPr>
              <w:jc w:val="right"/>
              <w:ind w:right="214"/>
              <w:spacing w:after="0" w:line="192" w:lineRule="exact"/>
              <w:rPr>
                <w:sz w:val="20"/>
                <w:szCs w:val="20"/>
                <w:color w:val="auto"/>
              </w:rPr>
            </w:pPr>
            <w:r>
              <w:rPr>
                <w:rFonts w:ascii="Arial" w:cs="Arial" w:eastAsia="Arial" w:hAnsi="Arial"/>
                <w:sz w:val="21"/>
                <w:szCs w:val="21"/>
                <w:color w:val="auto"/>
                <w:w w:val="85"/>
              </w:rPr>
              <w:t>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gridSpan w:val="14"/>
          </w:tcPr>
          <w:p>
            <w:pPr>
              <w:spacing w:after="0" w:line="192" w:lineRule="exact"/>
              <w:rPr>
                <w:sz w:val="20"/>
                <w:szCs w:val="20"/>
                <w:color w:val="auto"/>
              </w:rPr>
            </w:pPr>
            <w:r>
              <w:rPr>
                <w:rFonts w:ascii="Arial" w:cs="Arial" w:eastAsia="Arial" w:hAnsi="Arial"/>
                <w:sz w:val="21"/>
                <w:szCs w:val="21"/>
                <w:color w:val="0000FF"/>
                <w:w w:val="94"/>
              </w:rPr>
              <w:t xml:space="preserve">SECTION 5.06. </w:t>
            </w:r>
            <w:r>
              <w:rPr>
                <w:rFonts w:ascii="Arial" w:cs="Arial" w:eastAsia="Arial" w:hAnsi="Arial"/>
                <w:sz w:val="21"/>
                <w:szCs w:val="21"/>
                <w:i w:val="1"/>
                <w:iCs w:val="1"/>
                <w:color w:val="0000FF"/>
                <w:w w:val="94"/>
              </w:rPr>
              <w:t>Negative Pledge</w:t>
            </w:r>
          </w:p>
        </w:tc>
        <w:tc>
          <w:tcPr>
            <w:tcW w:w="360" w:type="dxa"/>
            <w:vAlign w:val="bottom"/>
            <w:gridSpan w:val="2"/>
          </w:tcPr>
          <w:p>
            <w:pPr>
              <w:jc w:val="right"/>
              <w:spacing w:after="0" w:line="192" w:lineRule="exact"/>
              <w:rPr>
                <w:sz w:val="20"/>
                <w:szCs w:val="20"/>
                <w:color w:val="auto"/>
              </w:rPr>
            </w:pPr>
            <w:r>
              <w:rPr>
                <w:rFonts w:ascii="Arial" w:cs="Arial" w:eastAsia="Arial" w:hAnsi="Arial"/>
                <w:sz w:val="21"/>
                <w:szCs w:val="21"/>
                <w:color w:val="auto"/>
              </w:rPr>
              <w:t>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tcBorders>
              <w:top w:val="single" w:sz="8" w:color="0000FF"/>
              <w:bottom w:val="single" w:sz="8" w:color="0000FF"/>
            </w:tcBorders>
            <w:gridSpan w:val="11"/>
          </w:tcPr>
          <w:p>
            <w:pPr>
              <w:spacing w:after="0" w:line="192" w:lineRule="exact"/>
              <w:rPr>
                <w:sz w:val="20"/>
                <w:szCs w:val="20"/>
                <w:color w:val="auto"/>
              </w:rPr>
            </w:pPr>
            <w:r>
              <w:rPr>
                <w:rFonts w:ascii="Arial" w:cs="Arial" w:eastAsia="Arial" w:hAnsi="Arial"/>
                <w:sz w:val="21"/>
                <w:szCs w:val="21"/>
                <w:color w:val="0000FF"/>
                <w:w w:val="89"/>
              </w:rPr>
              <w:t xml:space="preserve">SECTION 5.07. </w:t>
            </w:r>
            <w:r>
              <w:rPr>
                <w:rFonts w:ascii="Arial" w:cs="Arial" w:eastAsia="Arial" w:hAnsi="Arial"/>
                <w:sz w:val="21"/>
                <w:szCs w:val="21"/>
                <w:i w:val="1"/>
                <w:iCs w:val="1"/>
                <w:color w:val="0000FF"/>
                <w:w w:val="89"/>
              </w:rPr>
              <w:t>Use of Proceeds.</w:t>
            </w:r>
          </w:p>
        </w:tc>
        <w:tc>
          <w:tcPr>
            <w:tcW w:w="40" w:type="dxa"/>
            <w:vAlign w:val="bottom"/>
            <w:tcBorders>
              <w:bottom w:val="single" w:sz="8" w:color="0000FF"/>
            </w:tcBorders>
            <w:gridSpan w:val="2"/>
          </w:tcPr>
          <w:p>
            <w:pPr>
              <w:spacing w:after="0"/>
              <w:rPr>
                <w:sz w:val="16"/>
                <w:szCs w:val="16"/>
                <w:color w:val="auto"/>
              </w:rPr>
            </w:pPr>
          </w:p>
        </w:tc>
        <w:tc>
          <w:tcPr>
            <w:tcW w:w="440" w:type="dxa"/>
            <w:vAlign w:val="bottom"/>
            <w:gridSpan w:val="4"/>
          </w:tcPr>
          <w:p>
            <w:pPr>
              <w:jc w:val="center"/>
              <w:ind w:left="94"/>
              <w:spacing w:after="0" w:line="192" w:lineRule="exact"/>
              <w:rPr>
                <w:sz w:val="20"/>
                <w:szCs w:val="20"/>
                <w:color w:val="auto"/>
              </w:rPr>
            </w:pPr>
            <w:r>
              <w:rPr>
                <w:rFonts w:ascii="Arial" w:cs="Arial" w:eastAsia="Arial" w:hAnsi="Arial"/>
                <w:sz w:val="21"/>
                <w:szCs w:val="21"/>
                <w:color w:val="auto"/>
                <w:w w:val="85"/>
              </w:rPr>
              <w:t>57</w:t>
            </w:r>
          </w:p>
        </w:tc>
        <w:tc>
          <w:tcPr>
            <w:tcW w:w="20" w:type="dxa"/>
            <w:vAlign w:val="bottom"/>
          </w:tcPr>
          <w:p>
            <w:pPr>
              <w:spacing w:after="0"/>
              <w:rPr>
                <w:sz w:val="16"/>
                <w:szCs w:val="16"/>
                <w:color w:val="auto"/>
              </w:rPr>
            </w:pPr>
          </w:p>
        </w:tc>
        <w:tc>
          <w:tcPr>
            <w:tcW w:w="1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gridSpan w:val="17"/>
          </w:tcPr>
          <w:p>
            <w:pPr>
              <w:spacing w:after="0" w:line="192" w:lineRule="exact"/>
              <w:rPr>
                <w:sz w:val="20"/>
                <w:szCs w:val="20"/>
                <w:color w:val="auto"/>
              </w:rPr>
            </w:pPr>
            <w:r>
              <w:rPr>
                <w:rFonts w:ascii="Arial" w:cs="Arial" w:eastAsia="Arial" w:hAnsi="Arial"/>
                <w:sz w:val="21"/>
                <w:szCs w:val="21"/>
                <w:color w:val="0000FF"/>
                <w:w w:val="98"/>
              </w:rPr>
              <w:t>SECTION 5.08. Financial Covenant</w:t>
            </w:r>
          </w:p>
        </w:tc>
        <w:tc>
          <w:tcPr>
            <w:tcW w:w="200" w:type="dxa"/>
            <w:vAlign w:val="bottom"/>
            <w:gridSpan w:val="4"/>
          </w:tcPr>
          <w:p>
            <w:pPr>
              <w:spacing w:after="0" w:line="192" w:lineRule="exact"/>
              <w:rPr>
                <w:sz w:val="20"/>
                <w:szCs w:val="20"/>
                <w:color w:val="auto"/>
              </w:rPr>
            </w:pPr>
            <w:r>
              <w:rPr>
                <w:rFonts w:ascii="Arial" w:cs="Arial" w:eastAsia="Arial" w:hAnsi="Arial"/>
                <w:sz w:val="21"/>
                <w:szCs w:val="21"/>
                <w:color w:val="FF0000"/>
                <w:strike w:val="1"/>
                <w:w w:val="76"/>
              </w:rPr>
              <w:t>58</w:t>
            </w:r>
          </w:p>
        </w:tc>
        <w:tc>
          <w:tcPr>
            <w:tcW w:w="1060" w:type="dxa"/>
            <w:vAlign w:val="bottom"/>
            <w:gridSpan w:val="10"/>
          </w:tcPr>
          <w:p>
            <w:pPr>
              <w:jc w:val="right"/>
              <w:ind w:right="734"/>
              <w:spacing w:after="0" w:line="192" w:lineRule="exact"/>
              <w:rPr>
                <w:sz w:val="20"/>
                <w:szCs w:val="20"/>
                <w:color w:val="auto"/>
              </w:rPr>
            </w:pPr>
            <w:r>
              <w:rPr>
                <w:rFonts w:ascii="Arial" w:cs="Arial" w:eastAsia="Arial" w:hAnsi="Arial"/>
                <w:sz w:val="21"/>
                <w:szCs w:val="21"/>
                <w:color w:val="0000FF"/>
                <w:w w:val="85"/>
              </w:rPr>
              <w:t>57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80" w:type="dxa"/>
            <w:vAlign w:val="bottom"/>
            <w:gridSpan w:val="13"/>
            <w:vMerge w:val="restart"/>
          </w:tcPr>
          <w:p>
            <w:pPr>
              <w:jc w:val="center"/>
              <w:ind w:right="1540"/>
              <w:spacing w:after="0"/>
              <w:rPr>
                <w:sz w:val="20"/>
                <w:szCs w:val="20"/>
                <w:color w:val="auto"/>
              </w:rPr>
            </w:pPr>
            <w:r>
              <w:rPr>
                <w:rFonts w:ascii="Arial" w:cs="Arial" w:eastAsia="Arial" w:hAnsi="Arial"/>
                <w:sz w:val="21"/>
                <w:szCs w:val="21"/>
                <w:color w:val="0000FF"/>
                <w:w w:val="97"/>
              </w:rPr>
              <w:t>ARTICLE 6</w:t>
            </w:r>
          </w:p>
        </w:tc>
        <w:tc>
          <w:tcPr>
            <w:tcW w:w="0" w:type="dxa"/>
            <w:vAlign w:val="bottom"/>
          </w:tcPr>
          <w:p>
            <w:pPr>
              <w:spacing w:after="0"/>
              <w:rPr>
                <w:sz w:val="1"/>
                <w:szCs w:val="1"/>
                <w:color w:val="auto"/>
              </w:rPr>
            </w:pPr>
          </w:p>
        </w:tc>
      </w:tr>
      <w:tr>
        <w:trPr>
          <w:trHeight w:val="404"/>
        </w:trPr>
        <w:tc>
          <w:tcPr>
            <w:tcW w:w="19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1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gridSpan w:val="4"/>
          </w:tcPr>
          <w:p>
            <w:pPr>
              <w:jc w:val="center"/>
              <w:spacing w:after="0" w:line="192" w:lineRule="exact"/>
              <w:rPr>
                <w:sz w:val="20"/>
                <w:szCs w:val="20"/>
                <w:color w:val="auto"/>
              </w:rPr>
            </w:pPr>
            <w:r>
              <w:rPr>
                <w:rFonts w:ascii="Arial" w:cs="Arial" w:eastAsia="Arial" w:hAnsi="Arial"/>
                <w:sz w:val="21"/>
                <w:szCs w:val="21"/>
                <w:color w:val="0000FF"/>
                <w:w w:val="93"/>
              </w:rPr>
              <w:t>Defaults</w:t>
            </w:r>
          </w:p>
        </w:tc>
        <w:tc>
          <w:tcPr>
            <w:tcW w:w="16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920" w:type="dxa"/>
            <w:vAlign w:val="bottom"/>
            <w:tcBorders>
              <w:bottom w:val="single" w:sz="8" w:color="0000FF"/>
            </w:tcBorders>
            <w:gridSpan w:val="14"/>
          </w:tcPr>
          <w:p>
            <w:pPr>
              <w:spacing w:after="0"/>
              <w:rPr>
                <w:sz w:val="20"/>
                <w:szCs w:val="20"/>
                <w:color w:val="auto"/>
              </w:rPr>
            </w:pPr>
            <w:r>
              <w:rPr>
                <w:rFonts w:ascii="Arial" w:cs="Arial" w:eastAsia="Arial" w:hAnsi="Arial"/>
                <w:sz w:val="21"/>
                <w:szCs w:val="21"/>
                <w:color w:val="0000FF"/>
                <w:w w:val="92"/>
              </w:rPr>
              <w:t>SECTION 6.01</w:t>
            </w:r>
            <w:r>
              <w:rPr>
                <w:rFonts w:ascii="Arial" w:cs="Arial" w:eastAsia="Arial" w:hAnsi="Arial"/>
                <w:sz w:val="21"/>
                <w:szCs w:val="21"/>
                <w:i w:val="1"/>
                <w:iCs w:val="1"/>
                <w:color w:val="0000FF"/>
                <w:w w:val="92"/>
              </w:rPr>
              <w:t>. Events of Default</w:t>
            </w:r>
          </w:p>
        </w:tc>
        <w:tc>
          <w:tcPr>
            <w:tcW w:w="20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58</w:t>
            </w:r>
          </w:p>
        </w:tc>
        <w:tc>
          <w:tcPr>
            <w:tcW w:w="220" w:type="dxa"/>
            <w:vAlign w:val="bottom"/>
            <w:tcBorders>
              <w:bottom w:val="single" w:sz="8" w:color="0000FF"/>
            </w:tcBorders>
            <w:gridSpan w:val="5"/>
          </w:tcPr>
          <w:p>
            <w:pPr>
              <w:spacing w:after="0"/>
              <w:rPr>
                <w:sz w:val="20"/>
                <w:szCs w:val="20"/>
                <w:color w:val="auto"/>
              </w:rPr>
            </w:pPr>
            <w:r>
              <w:rPr>
                <w:rFonts w:ascii="Arial" w:cs="Arial" w:eastAsia="Arial" w:hAnsi="Arial"/>
                <w:sz w:val="21"/>
                <w:szCs w:val="21"/>
                <w:color w:val="0000FF"/>
                <w:w w:val="85"/>
              </w:rPr>
              <w:t>57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20" w:type="dxa"/>
            <w:vAlign w:val="bottom"/>
            <w:gridSpan w:val="14"/>
          </w:tcPr>
          <w:p>
            <w:pPr>
              <w:spacing w:after="0" w:line="192" w:lineRule="exact"/>
              <w:rPr>
                <w:sz w:val="20"/>
                <w:szCs w:val="20"/>
                <w:color w:val="auto"/>
              </w:rPr>
            </w:pPr>
            <w:r>
              <w:rPr>
                <w:rFonts w:ascii="Arial" w:cs="Arial" w:eastAsia="Arial" w:hAnsi="Arial"/>
                <w:sz w:val="21"/>
                <w:szCs w:val="21"/>
                <w:color w:val="0000FF"/>
                <w:w w:val="93"/>
              </w:rPr>
              <w:t xml:space="preserve">SECTION 6.02. </w:t>
            </w:r>
            <w:r>
              <w:rPr>
                <w:rFonts w:ascii="Arial" w:cs="Arial" w:eastAsia="Arial" w:hAnsi="Arial"/>
                <w:sz w:val="21"/>
                <w:szCs w:val="21"/>
                <w:i w:val="1"/>
                <w:iCs w:val="1"/>
                <w:color w:val="0000FF"/>
                <w:w w:val="93"/>
              </w:rPr>
              <w:t>Notice of Default</w:t>
            </w:r>
          </w:p>
        </w:tc>
        <w:tc>
          <w:tcPr>
            <w:tcW w:w="200" w:type="dxa"/>
            <w:vAlign w:val="bottom"/>
          </w:tcPr>
          <w:p>
            <w:pPr>
              <w:spacing w:after="0"/>
              <w:rPr>
                <w:sz w:val="16"/>
                <w:szCs w:val="16"/>
                <w:color w:val="auto"/>
              </w:rPr>
            </w:pPr>
          </w:p>
        </w:tc>
        <w:tc>
          <w:tcPr>
            <w:tcW w:w="200" w:type="dxa"/>
            <w:vAlign w:val="bottom"/>
            <w:gridSpan w:val="3"/>
          </w:tcPr>
          <w:p>
            <w:pPr>
              <w:jc w:val="right"/>
              <w:spacing w:after="0" w:line="192" w:lineRule="exact"/>
              <w:rPr>
                <w:sz w:val="20"/>
                <w:szCs w:val="20"/>
                <w:color w:val="auto"/>
              </w:rPr>
            </w:pPr>
            <w:r>
              <w:rPr>
                <w:rFonts w:ascii="Arial" w:cs="Arial" w:eastAsia="Arial" w:hAnsi="Arial"/>
                <w:sz w:val="21"/>
                <w:szCs w:val="21"/>
                <w:color w:val="FF0000"/>
                <w:strike w:val="1"/>
                <w:w w:val="76"/>
              </w:rPr>
              <w:t>60</w:t>
            </w:r>
          </w:p>
        </w:tc>
        <w:tc>
          <w:tcPr>
            <w:tcW w:w="220" w:type="dxa"/>
            <w:vAlign w:val="bottom"/>
            <w:gridSpan w:val="5"/>
          </w:tcPr>
          <w:p>
            <w:pPr>
              <w:spacing w:after="0" w:line="192" w:lineRule="exact"/>
              <w:rPr>
                <w:sz w:val="20"/>
                <w:szCs w:val="20"/>
                <w:color w:val="auto"/>
              </w:rPr>
            </w:pPr>
            <w:r>
              <w:rPr>
                <w:rFonts w:ascii="Arial" w:cs="Arial" w:eastAsia="Arial" w:hAnsi="Arial"/>
                <w:sz w:val="21"/>
                <w:szCs w:val="21"/>
                <w:color w:val="0000FF"/>
                <w:w w:val="85"/>
              </w:rPr>
              <w:t>59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tcBorders>
              <w:top w:val="single" w:sz="8" w:color="0000FF"/>
              <w:bottom w:val="single" w:sz="8" w:color="0000FF"/>
            </w:tcBorders>
            <w:gridSpan w:val="5"/>
          </w:tcPr>
          <w:p>
            <w:pPr>
              <w:spacing w:after="0" w:line="192" w:lineRule="exact"/>
              <w:rPr>
                <w:sz w:val="20"/>
                <w:szCs w:val="20"/>
                <w:color w:val="auto"/>
              </w:rPr>
            </w:pPr>
            <w:r>
              <w:rPr>
                <w:rFonts w:ascii="Arial" w:cs="Arial" w:eastAsia="Arial" w:hAnsi="Arial"/>
                <w:sz w:val="21"/>
                <w:szCs w:val="21"/>
                <w:color w:val="0000FF"/>
                <w:w w:val="92"/>
              </w:rPr>
              <w:t xml:space="preserve">SECTION 6.03. </w:t>
            </w:r>
            <w:r>
              <w:rPr>
                <w:rFonts w:ascii="Arial" w:cs="Arial" w:eastAsia="Arial" w:hAnsi="Arial"/>
                <w:sz w:val="21"/>
                <w:szCs w:val="21"/>
                <w:i w:val="1"/>
                <w:iCs w:val="1"/>
                <w:color w:val="0000FF"/>
                <w:w w:val="92"/>
              </w:rPr>
              <w:t>Cash Cover</w:t>
            </w:r>
          </w:p>
        </w:tc>
        <w:tc>
          <w:tcPr>
            <w:tcW w:w="220" w:type="dxa"/>
            <w:vAlign w:val="bottom"/>
            <w:tcBorders>
              <w:top w:val="single" w:sz="8" w:color="0000FF"/>
            </w:tcBorders>
            <w:gridSpan w:val="4"/>
          </w:tcPr>
          <w:p>
            <w:pPr>
              <w:spacing w:after="0"/>
              <w:rPr>
                <w:sz w:val="16"/>
                <w:szCs w:val="16"/>
                <w:color w:val="auto"/>
              </w:rPr>
            </w:pPr>
          </w:p>
        </w:tc>
        <w:tc>
          <w:tcPr>
            <w:tcW w:w="200" w:type="dxa"/>
            <w:vAlign w:val="bottom"/>
            <w:tcBorders>
              <w:top w:val="single" w:sz="8" w:color="0000FF"/>
            </w:tcBorders>
            <w:gridSpan w:val="3"/>
          </w:tcPr>
          <w:p>
            <w:pPr>
              <w:jc w:val="right"/>
              <w:spacing w:after="0" w:line="192" w:lineRule="exact"/>
              <w:rPr>
                <w:sz w:val="20"/>
                <w:szCs w:val="20"/>
                <w:color w:val="auto"/>
              </w:rPr>
            </w:pPr>
            <w:r>
              <w:rPr>
                <w:rFonts w:ascii="Arial" w:cs="Arial" w:eastAsia="Arial" w:hAnsi="Arial"/>
                <w:sz w:val="21"/>
                <w:szCs w:val="21"/>
                <w:color w:val="FF0000"/>
                <w:strike w:val="1"/>
                <w:w w:val="76"/>
              </w:rPr>
              <w:t>60</w:t>
            </w:r>
          </w:p>
        </w:tc>
        <w:tc>
          <w:tcPr>
            <w:tcW w:w="0" w:type="dxa"/>
            <w:vAlign w:val="bottom"/>
            <w:tcBorders>
              <w:top w:val="single" w:sz="8" w:color="0000FF"/>
              <w:bottom w:val="single" w:sz="8" w:color="0000FF"/>
            </w:tcBorders>
          </w:tcPr>
          <w:p>
            <w:pPr>
              <w:spacing w:after="0"/>
              <w:rPr>
                <w:sz w:val="16"/>
                <w:szCs w:val="16"/>
                <w:color w:val="auto"/>
              </w:rPr>
            </w:pPr>
          </w:p>
        </w:tc>
        <w:tc>
          <w:tcPr>
            <w:tcW w:w="60" w:type="dxa"/>
            <w:vAlign w:val="bottom"/>
            <w:tcBorders>
              <w:top w:val="single" w:sz="8" w:color="0000FF"/>
              <w:bottom w:val="single" w:sz="8" w:color="0000FF"/>
            </w:tcBorders>
          </w:tcPr>
          <w:p>
            <w:pPr>
              <w:spacing w:after="0"/>
              <w:rPr>
                <w:sz w:val="16"/>
                <w:szCs w:val="16"/>
                <w:color w:val="auto"/>
              </w:rPr>
            </w:pPr>
          </w:p>
        </w:tc>
        <w:tc>
          <w:tcPr>
            <w:tcW w:w="200" w:type="dxa"/>
            <w:vAlign w:val="bottom"/>
            <w:tcBorders>
              <w:bottom w:val="single" w:sz="8" w:color="0000FF"/>
            </w:tcBorders>
          </w:tcPr>
          <w:p>
            <w:pPr>
              <w:jc w:val="right"/>
              <w:spacing w:after="0" w:line="192" w:lineRule="exact"/>
              <w:rPr>
                <w:sz w:val="20"/>
                <w:szCs w:val="20"/>
                <w:color w:val="auto"/>
              </w:rPr>
            </w:pPr>
            <w:r>
              <w:rPr>
                <w:rFonts w:ascii="Arial" w:cs="Arial" w:eastAsia="Arial" w:hAnsi="Arial"/>
                <w:sz w:val="17"/>
                <w:szCs w:val="17"/>
                <w:color w:val="0000FF"/>
                <w:w w:val="73"/>
              </w:rPr>
              <w:t>59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gridSpan w:val="5"/>
          </w:tcPr>
          <w:p>
            <w:pPr>
              <w:spacing w:after="0" w:line="192" w:lineRule="exact"/>
              <w:rPr>
                <w:sz w:val="20"/>
                <w:szCs w:val="20"/>
                <w:color w:val="auto"/>
              </w:rPr>
            </w:pPr>
            <w:r>
              <w:rPr>
                <w:rFonts w:ascii="Arial" w:cs="Arial" w:eastAsia="Arial" w:hAnsi="Arial"/>
                <w:sz w:val="21"/>
                <w:szCs w:val="21"/>
                <w:color w:val="0000FF"/>
                <w:w w:val="95"/>
              </w:rPr>
              <w:t xml:space="preserve">SECTION 6.04. </w:t>
            </w:r>
            <w:r>
              <w:rPr>
                <w:rFonts w:ascii="Arial" w:cs="Arial" w:eastAsia="Arial" w:hAnsi="Arial"/>
                <w:sz w:val="21"/>
                <w:szCs w:val="21"/>
                <w:i w:val="1"/>
                <w:iCs w:val="1"/>
                <w:color w:val="0000FF"/>
                <w:w w:val="95"/>
              </w:rPr>
              <w:t>Application</w:t>
            </w:r>
          </w:p>
        </w:tc>
        <w:tc>
          <w:tcPr>
            <w:tcW w:w="420" w:type="dxa"/>
            <w:vAlign w:val="bottom"/>
            <w:gridSpan w:val="7"/>
          </w:tcPr>
          <w:p>
            <w:pPr>
              <w:ind w:left="40"/>
              <w:spacing w:after="0" w:line="192" w:lineRule="exact"/>
              <w:rPr>
                <w:sz w:val="20"/>
                <w:szCs w:val="20"/>
                <w:color w:val="auto"/>
              </w:rPr>
            </w:pPr>
            <w:r>
              <w:rPr>
                <w:rFonts w:ascii="Arial" w:cs="Arial" w:eastAsia="Arial" w:hAnsi="Arial"/>
                <w:sz w:val="21"/>
                <w:szCs w:val="21"/>
                <w:i w:val="1"/>
                <w:iCs w:val="1"/>
                <w:color w:val="0000FF"/>
              </w:rPr>
              <w:t>of</w:t>
            </w:r>
          </w:p>
        </w:tc>
        <w:tc>
          <w:tcPr>
            <w:tcW w:w="680" w:type="dxa"/>
            <w:vAlign w:val="bottom"/>
            <w:gridSpan w:val="11"/>
          </w:tcPr>
          <w:p>
            <w:pPr>
              <w:jc w:val="center"/>
              <w:ind w:right="20"/>
              <w:spacing w:after="0" w:line="192" w:lineRule="exact"/>
              <w:rPr>
                <w:sz w:val="20"/>
                <w:szCs w:val="20"/>
                <w:color w:val="auto"/>
              </w:rPr>
            </w:pPr>
            <w:r>
              <w:rPr>
                <w:rFonts w:ascii="Arial" w:cs="Arial" w:eastAsia="Arial" w:hAnsi="Arial"/>
                <w:sz w:val="21"/>
                <w:szCs w:val="21"/>
                <w:i w:val="1"/>
                <w:iCs w:val="1"/>
                <w:color w:val="0000FF"/>
                <w:w w:val="70"/>
              </w:rPr>
              <w:t>Payments</w:t>
            </w:r>
          </w:p>
        </w:tc>
        <w:tc>
          <w:tcPr>
            <w:tcW w:w="480" w:type="dxa"/>
            <w:vAlign w:val="bottom"/>
            <w:gridSpan w:val="5"/>
          </w:tcPr>
          <w:p>
            <w:pPr>
              <w:jc w:val="right"/>
              <w:spacing w:after="0" w:line="192" w:lineRule="exact"/>
              <w:rPr>
                <w:sz w:val="20"/>
                <w:szCs w:val="20"/>
                <w:color w:val="auto"/>
              </w:rPr>
            </w:pPr>
            <w:r>
              <w:rPr>
                <w:rFonts w:ascii="Arial" w:cs="Arial" w:eastAsia="Arial" w:hAnsi="Arial"/>
                <w:sz w:val="21"/>
                <w:szCs w:val="21"/>
                <w:color w:val="auto"/>
              </w:rPr>
              <w:t>60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9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13"/>
          </w:tcPr>
          <w:p>
            <w:pPr>
              <w:jc w:val="center"/>
              <w:ind w:right="1540"/>
              <w:spacing w:after="0"/>
              <w:rPr>
                <w:sz w:val="20"/>
                <w:szCs w:val="20"/>
                <w:color w:val="auto"/>
              </w:rPr>
            </w:pPr>
            <w:r>
              <w:rPr>
                <w:rFonts w:ascii="Arial" w:cs="Arial" w:eastAsia="Arial" w:hAnsi="Arial"/>
                <w:sz w:val="21"/>
                <w:szCs w:val="21"/>
                <w:color w:val="0000FF"/>
                <w:w w:val="97"/>
              </w:rPr>
              <w:t>ARTICLE 7</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2"/>
          </w:tcPr>
          <w:p>
            <w:pPr>
              <w:spacing w:after="0" w:line="192" w:lineRule="exact"/>
              <w:rPr>
                <w:sz w:val="20"/>
                <w:szCs w:val="20"/>
                <w:color w:val="auto"/>
              </w:rPr>
            </w:pPr>
            <w:r>
              <w:rPr>
                <w:rFonts w:ascii="Arial" w:cs="Arial" w:eastAsia="Arial" w:hAnsi="Arial"/>
                <w:sz w:val="21"/>
                <w:szCs w:val="21"/>
                <w:color w:val="0000FF"/>
              </w:rPr>
              <w:t>The</w:t>
            </w:r>
          </w:p>
        </w:tc>
        <w:tc>
          <w:tcPr>
            <w:tcW w:w="1040" w:type="dxa"/>
            <w:vAlign w:val="bottom"/>
            <w:tcBorders>
              <w:top w:val="single" w:sz="8" w:color="0000FF"/>
            </w:tcBorders>
            <w:gridSpan w:val="6"/>
          </w:tcPr>
          <w:p>
            <w:pPr>
              <w:jc w:val="center"/>
              <w:spacing w:after="0" w:line="192" w:lineRule="exact"/>
              <w:rPr>
                <w:sz w:val="20"/>
                <w:szCs w:val="20"/>
                <w:color w:val="auto"/>
              </w:rPr>
            </w:pPr>
            <w:r>
              <w:rPr>
                <w:rFonts w:ascii="Arial" w:cs="Arial" w:eastAsia="Arial" w:hAnsi="Arial"/>
                <w:sz w:val="21"/>
                <w:szCs w:val="21"/>
                <w:color w:val="0000FF"/>
                <w:w w:val="78"/>
              </w:rPr>
              <w:t>Administrative</w:t>
            </w:r>
          </w:p>
        </w:tc>
        <w:tc>
          <w:tcPr>
            <w:tcW w:w="1540" w:type="dxa"/>
            <w:vAlign w:val="bottom"/>
            <w:gridSpan w:val="7"/>
          </w:tcPr>
          <w:p>
            <w:pPr>
              <w:ind w:left="60"/>
              <w:spacing w:after="0" w:line="192" w:lineRule="exact"/>
              <w:rPr>
                <w:sz w:val="20"/>
                <w:szCs w:val="20"/>
                <w:color w:val="auto"/>
              </w:rPr>
            </w:pPr>
            <w:r>
              <w:rPr>
                <w:rFonts w:ascii="Arial" w:cs="Arial" w:eastAsia="Arial" w:hAnsi="Arial"/>
                <w:sz w:val="21"/>
                <w:szCs w:val="21"/>
                <w:color w:val="0000FF"/>
              </w:rPr>
              <w:t>Agent</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tabs>
          <w:tab w:leader="none" w:pos="3820" w:val="left"/>
        </w:tabs>
        <w:rPr>
          <w:sz w:val="20"/>
          <w:szCs w:val="20"/>
          <w:color w:val="auto"/>
        </w:rPr>
      </w:pPr>
      <w:r>
        <w:rPr>
          <w:rFonts w:ascii="Arial" w:cs="Arial" w:eastAsia="Arial" w:hAnsi="Arial"/>
          <w:sz w:val="21"/>
          <w:szCs w:val="21"/>
          <w:u w:val="single" w:color="auto"/>
          <w:color w:val="0000FF"/>
        </w:rPr>
        <w:t>SECTION 7.01.</w:t>
      </w:r>
      <w:r>
        <w:rPr>
          <w:rFonts w:ascii="Arial" w:cs="Arial" w:eastAsia="Arial" w:hAnsi="Arial"/>
          <w:sz w:val="21"/>
          <w:szCs w:val="21"/>
          <w:color w:val="0000FF"/>
        </w:rPr>
        <w:t xml:space="preserve"> </w:t>
      </w:r>
      <w:r>
        <w:rPr>
          <w:rFonts w:ascii="Arial" w:cs="Arial" w:eastAsia="Arial" w:hAnsi="Arial"/>
          <w:sz w:val="21"/>
          <w:szCs w:val="21"/>
          <w:i w:val="1"/>
          <w:iCs w:val="1"/>
          <w:u w:val="single" w:color="auto"/>
          <w:color w:val="0000FF"/>
        </w:rPr>
        <w:t>Authorization and Action</w:t>
      </w:r>
      <w:r>
        <w:rPr>
          <w:rFonts w:ascii="Arial" w:cs="Arial" w:eastAsia="Arial" w:hAnsi="Arial"/>
          <w:sz w:val="21"/>
          <w:szCs w:val="21"/>
          <w:u w:val="single" w:color="auto"/>
          <w:color w:val="0000FF"/>
        </w:rPr>
        <w:t>.</w:t>
      </w:r>
      <w:r>
        <w:rPr>
          <w:sz w:val="20"/>
          <w:szCs w:val="20"/>
          <w:color w:val="auto"/>
        </w:rPr>
        <w:tab/>
      </w:r>
      <w:r>
        <w:rPr>
          <w:rFonts w:ascii="Arial" w:cs="Arial" w:eastAsia="Arial" w:hAnsi="Arial"/>
          <w:sz w:val="17"/>
          <w:szCs w:val="17"/>
          <w:color w:val="auto"/>
        </w:rPr>
        <w:t>61</w:t>
      </w:r>
    </w:p>
    <w:p>
      <w:pPr>
        <w:spacing w:after="0"/>
        <w:tabs>
          <w:tab w:leader="none" w:pos="4600" w:val="left"/>
        </w:tabs>
        <w:rPr>
          <w:sz w:val="20"/>
          <w:szCs w:val="20"/>
          <w:color w:val="auto"/>
        </w:rPr>
      </w:pPr>
      <w:r>
        <w:rPr>
          <w:rFonts w:ascii="Arial" w:cs="Arial" w:eastAsia="Arial" w:hAnsi="Arial"/>
          <w:sz w:val="21"/>
          <w:szCs w:val="21"/>
          <w:u w:val="single" w:color="auto"/>
          <w:color w:val="0000FF"/>
        </w:rPr>
        <w:t xml:space="preserve">SECTION 7.02. </w:t>
      </w:r>
      <w:r>
        <w:rPr>
          <w:rFonts w:ascii="Arial" w:cs="Arial" w:eastAsia="Arial" w:hAnsi="Arial"/>
          <w:sz w:val="21"/>
          <w:szCs w:val="21"/>
          <w:i w:val="1"/>
          <w:iCs w:val="1"/>
          <w:u w:val="single" w:color="auto"/>
          <w:color w:val="0000FF"/>
        </w:rPr>
        <w:t>Administrative Agent and Affiliates</w:t>
      </w:r>
      <w:r>
        <w:rPr>
          <w:sz w:val="20"/>
          <w:szCs w:val="20"/>
          <w:color w:val="auto"/>
        </w:rPr>
        <w:tab/>
      </w:r>
      <w:r>
        <w:rPr>
          <w:rFonts w:ascii="Arial" w:cs="Arial" w:eastAsia="Arial" w:hAnsi="Arial"/>
          <w:sz w:val="18"/>
          <w:szCs w:val="18"/>
          <w:color w:val="FF0000"/>
          <w:strike w:val="1"/>
        </w:rPr>
        <w:t>64</w:t>
      </w:r>
      <w:r>
        <w:rPr>
          <w:rFonts w:ascii="Arial" w:cs="Arial" w:eastAsia="Arial" w:hAnsi="Arial"/>
          <w:sz w:val="18"/>
          <w:szCs w:val="18"/>
          <w:u w:val="single" w:color="auto"/>
          <w:color w:val="0000FF"/>
          <w:strike w:val="1"/>
        </w:rPr>
        <w:t>63</w:t>
      </w:r>
    </w:p>
    <w:p>
      <w:pPr>
        <w:spacing w:after="0" w:line="222" w:lineRule="auto"/>
        <w:tabs>
          <w:tab w:leader="none" w:pos="6740" w:val="left"/>
        </w:tabs>
        <w:rPr>
          <w:sz w:val="20"/>
          <w:szCs w:val="20"/>
          <w:color w:val="auto"/>
        </w:rPr>
      </w:pPr>
      <w:r>
        <w:rPr>
          <w:rFonts w:ascii="Arial" w:cs="Arial" w:eastAsia="Arial" w:hAnsi="Arial"/>
          <w:sz w:val="21"/>
          <w:szCs w:val="21"/>
          <w:color w:val="0000FF"/>
        </w:rPr>
        <w:t xml:space="preserve">SECTION 7.03. </w:t>
      </w:r>
      <w:r>
        <w:rPr>
          <w:rFonts w:ascii="Arial" w:cs="Arial" w:eastAsia="Arial" w:hAnsi="Arial"/>
          <w:sz w:val="21"/>
          <w:szCs w:val="21"/>
          <w:i w:val="1"/>
          <w:iCs w:val="1"/>
          <w:color w:val="0000FF"/>
        </w:rPr>
        <w:t>Administrative Agent’s Reliance, Limitation of Liability, Etc</w:t>
      </w:r>
      <w:r>
        <w:rPr>
          <w:rFonts w:ascii="Arial" w:cs="Arial" w:eastAsia="Arial" w:hAnsi="Arial"/>
          <w:sz w:val="21"/>
          <w:szCs w:val="21"/>
          <w:color w:val="0000FF"/>
        </w:rPr>
        <w:t>.</w:t>
      </w:r>
      <w:r>
        <w:rPr>
          <w:sz w:val="20"/>
          <w:szCs w:val="20"/>
          <w:color w:val="auto"/>
        </w:rPr>
        <w:tab/>
      </w:r>
      <w:r>
        <w:rPr>
          <w:rFonts w:ascii="Arial" w:cs="Arial" w:eastAsia="Arial" w:hAnsi="Arial"/>
          <w:sz w:val="19"/>
          <w:szCs w:val="19"/>
          <w:color w:val="auto"/>
        </w:rPr>
        <w:t>64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top w:val="single" w:sz="8" w:color="0000FF"/>
            </w:tcBorders>
            <w:gridSpan w:val="5"/>
          </w:tcPr>
          <w:p>
            <w:pPr>
              <w:spacing w:after="0" w:line="192" w:lineRule="exact"/>
              <w:rPr>
                <w:sz w:val="20"/>
                <w:szCs w:val="20"/>
                <w:color w:val="auto"/>
              </w:rPr>
            </w:pPr>
            <w:r>
              <w:rPr>
                <w:rFonts w:ascii="Arial" w:cs="Arial" w:eastAsia="Arial" w:hAnsi="Arial"/>
                <w:sz w:val="21"/>
                <w:szCs w:val="21"/>
                <w:color w:val="0000FF"/>
                <w:w w:val="93"/>
              </w:rPr>
              <w:t xml:space="preserve">SECTION 7.04. </w:t>
            </w:r>
            <w:r>
              <w:rPr>
                <w:rFonts w:ascii="Arial" w:cs="Arial" w:eastAsia="Arial" w:hAnsi="Arial"/>
                <w:sz w:val="21"/>
                <w:szCs w:val="21"/>
                <w:i w:val="1"/>
                <w:iCs w:val="1"/>
                <w:color w:val="0000FF"/>
                <w:w w:val="93"/>
              </w:rPr>
              <w:t>Posting of Communications</w:t>
            </w:r>
          </w:p>
        </w:tc>
        <w:tc>
          <w:tcPr>
            <w:tcW w:w="420" w:type="dxa"/>
            <w:vAlign w:val="bottom"/>
            <w:tcBorders>
              <w:top w:val="single" w:sz="8" w:color="0000FF"/>
            </w:tcBorders>
            <w:gridSpan w:val="3"/>
          </w:tcPr>
          <w:p>
            <w:pPr>
              <w:jc w:val="right"/>
              <w:ind w:right="40"/>
              <w:spacing w:after="0" w:line="192" w:lineRule="exact"/>
              <w:rPr>
                <w:sz w:val="20"/>
                <w:szCs w:val="20"/>
                <w:color w:val="auto"/>
              </w:rPr>
            </w:pPr>
            <w:r>
              <w:rPr>
                <w:rFonts w:ascii="Arial" w:cs="Arial" w:eastAsia="Arial" w:hAnsi="Arial"/>
                <w:sz w:val="21"/>
                <w:szCs w:val="21"/>
                <w:color w:val="auto"/>
              </w:rPr>
              <w:t>65</w:t>
            </w:r>
          </w:p>
        </w:tc>
        <w:tc>
          <w:tcPr>
            <w:tcW w:w="2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0000FF"/>
            </w:tcBorders>
            <w:gridSpan w:val="4"/>
          </w:tcPr>
          <w:p>
            <w:pPr>
              <w:spacing w:after="0" w:line="192" w:lineRule="exact"/>
              <w:rPr>
                <w:sz w:val="20"/>
                <w:szCs w:val="20"/>
                <w:color w:val="auto"/>
              </w:rPr>
            </w:pPr>
            <w:r>
              <w:rPr>
                <w:rFonts w:ascii="Arial" w:cs="Arial" w:eastAsia="Arial" w:hAnsi="Arial"/>
                <w:sz w:val="21"/>
                <w:szCs w:val="21"/>
                <w:color w:val="0000FF"/>
                <w:w w:val="97"/>
              </w:rPr>
              <w:t xml:space="preserve">SECTION 7.05. </w:t>
            </w:r>
            <w:r>
              <w:rPr>
                <w:rFonts w:ascii="Arial" w:cs="Arial" w:eastAsia="Arial" w:hAnsi="Arial"/>
                <w:sz w:val="21"/>
                <w:szCs w:val="21"/>
                <w:i w:val="1"/>
                <w:iCs w:val="1"/>
                <w:color w:val="0000FF"/>
                <w:w w:val="97"/>
              </w:rPr>
              <w:t>The Administrative Agent</w:t>
            </w:r>
          </w:p>
        </w:tc>
        <w:tc>
          <w:tcPr>
            <w:tcW w:w="1100" w:type="dxa"/>
            <w:vAlign w:val="bottom"/>
            <w:gridSpan w:val="7"/>
          </w:tcPr>
          <w:p>
            <w:pPr>
              <w:spacing w:after="0" w:line="192" w:lineRule="exact"/>
              <w:rPr>
                <w:sz w:val="20"/>
                <w:szCs w:val="20"/>
                <w:color w:val="auto"/>
              </w:rPr>
            </w:pPr>
            <w:r>
              <w:rPr>
                <w:rFonts w:ascii="Arial" w:cs="Arial" w:eastAsia="Arial" w:hAnsi="Arial"/>
                <w:sz w:val="21"/>
                <w:szCs w:val="21"/>
                <w:i w:val="1"/>
                <w:iCs w:val="1"/>
                <w:color w:val="0000FF"/>
              </w:rPr>
              <w:t>Individually</w:t>
            </w:r>
          </w:p>
        </w:tc>
        <w:tc>
          <w:tcPr>
            <w:tcW w:w="220" w:type="dxa"/>
            <w:vAlign w:val="bottom"/>
          </w:tcPr>
          <w:p>
            <w:pPr>
              <w:jc w:val="right"/>
              <w:spacing w:after="0" w:line="192" w:lineRule="exact"/>
              <w:rPr>
                <w:sz w:val="20"/>
                <w:szCs w:val="20"/>
                <w:color w:val="auto"/>
              </w:rPr>
            </w:pPr>
            <w:r>
              <w:rPr>
                <w:rFonts w:ascii="Arial" w:cs="Arial" w:eastAsia="Arial" w:hAnsi="Arial"/>
                <w:sz w:val="21"/>
                <w:szCs w:val="21"/>
                <w:color w:val="FF0000"/>
                <w:strike w:val="1"/>
                <w:w w:val="85"/>
              </w:rPr>
              <w:t>67</w:t>
            </w:r>
          </w:p>
        </w:tc>
        <w:tc>
          <w:tcPr>
            <w:tcW w:w="680" w:type="dxa"/>
            <w:vAlign w:val="bottom"/>
            <w:gridSpan w:val="3"/>
          </w:tcPr>
          <w:p>
            <w:pPr>
              <w:spacing w:after="0" w:line="192" w:lineRule="exact"/>
              <w:rPr>
                <w:sz w:val="20"/>
                <w:szCs w:val="20"/>
                <w:color w:val="auto"/>
              </w:rPr>
            </w:pPr>
            <w:r>
              <w:rPr>
                <w:rFonts w:ascii="Arial" w:cs="Arial" w:eastAsia="Arial" w:hAnsi="Arial"/>
                <w:sz w:val="21"/>
                <w:szCs w:val="21"/>
                <w:color w:val="0000FF"/>
              </w:rPr>
              <w:t>66</w:t>
            </w:r>
          </w:p>
        </w:tc>
        <w:tc>
          <w:tcPr>
            <w:tcW w:w="3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60" w:type="dxa"/>
            <w:vAlign w:val="bottom"/>
            <w:tcBorders>
              <w:top w:val="single" w:sz="8" w:color="0000FF"/>
            </w:tcBorders>
            <w:gridSpan w:val="10"/>
          </w:tcPr>
          <w:p>
            <w:pPr>
              <w:spacing w:after="0" w:line="172" w:lineRule="exact"/>
              <w:rPr>
                <w:sz w:val="20"/>
                <w:szCs w:val="20"/>
                <w:color w:val="auto"/>
              </w:rPr>
            </w:pPr>
            <w:r>
              <w:rPr>
                <w:rFonts w:ascii="Arial" w:cs="Arial" w:eastAsia="Arial" w:hAnsi="Arial"/>
                <w:sz w:val="19"/>
                <w:szCs w:val="19"/>
                <w:color w:val="0000FF"/>
              </w:rPr>
              <w:t xml:space="preserve">SECTION 7.06. </w:t>
            </w:r>
            <w:r>
              <w:rPr>
                <w:rFonts w:ascii="Arial" w:cs="Arial" w:eastAsia="Arial" w:hAnsi="Arial"/>
                <w:sz w:val="19"/>
                <w:szCs w:val="19"/>
                <w:i w:val="1"/>
                <w:iCs w:val="1"/>
                <w:color w:val="0000FF"/>
              </w:rPr>
              <w:t>Successor Administrative Agent</w:t>
            </w:r>
            <w:r>
              <w:rPr>
                <w:rFonts w:ascii="Arial" w:cs="Arial" w:eastAsia="Arial" w:hAnsi="Arial"/>
                <w:sz w:val="19"/>
                <w:szCs w:val="19"/>
                <w:color w:val="0000FF"/>
              </w:rPr>
              <w:t xml:space="preserve">  </w:t>
            </w:r>
            <w:r>
              <w:rPr>
                <w:rFonts w:ascii="Arial" w:cs="Arial" w:eastAsia="Arial" w:hAnsi="Arial"/>
                <w:sz w:val="19"/>
                <w:szCs w:val="19"/>
                <w:color w:val="000000"/>
              </w:rPr>
              <w:t>67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20" w:type="dxa"/>
            <w:vAlign w:val="bottom"/>
            <w:tcBorders>
              <w:top w:val="single" w:sz="8" w:color="0000FF"/>
              <w:bottom w:val="single" w:sz="8" w:color="0000FF"/>
            </w:tcBorders>
            <w:gridSpan w:val="3"/>
          </w:tcPr>
          <w:p>
            <w:pPr>
              <w:spacing w:after="0" w:line="192" w:lineRule="exact"/>
              <w:rPr>
                <w:sz w:val="20"/>
                <w:szCs w:val="20"/>
                <w:color w:val="auto"/>
              </w:rPr>
            </w:pPr>
            <w:r>
              <w:rPr>
                <w:rFonts w:ascii="Arial" w:cs="Arial" w:eastAsia="Arial" w:hAnsi="Arial"/>
                <w:sz w:val="21"/>
                <w:szCs w:val="21"/>
                <w:color w:val="0000FF"/>
                <w:w w:val="92"/>
              </w:rPr>
              <w:t xml:space="preserve">SECTION 7.07. </w:t>
            </w:r>
            <w:r>
              <w:rPr>
                <w:rFonts w:ascii="Arial" w:cs="Arial" w:eastAsia="Arial" w:hAnsi="Arial"/>
                <w:sz w:val="21"/>
                <w:szCs w:val="21"/>
                <w:i w:val="1"/>
                <w:iCs w:val="1"/>
                <w:color w:val="0000FF"/>
                <w:w w:val="92"/>
              </w:rPr>
              <w:t>Administrative Agent’s Fee</w:t>
            </w:r>
          </w:p>
        </w:tc>
        <w:tc>
          <w:tcPr>
            <w:tcW w:w="120" w:type="dxa"/>
            <w:vAlign w:val="bottom"/>
            <w:tcBorders>
              <w:top w:val="single" w:sz="8" w:color="0000FF"/>
            </w:tcBorders>
            <w:gridSpan w:val="2"/>
          </w:tcPr>
          <w:p>
            <w:pPr>
              <w:spacing w:after="0"/>
              <w:rPr>
                <w:sz w:val="16"/>
                <w:szCs w:val="16"/>
                <w:color w:val="auto"/>
              </w:rPr>
            </w:pPr>
          </w:p>
        </w:tc>
        <w:tc>
          <w:tcPr>
            <w:tcW w:w="280" w:type="dxa"/>
            <w:vAlign w:val="bottom"/>
            <w:tcBorders>
              <w:top w:val="single" w:sz="8" w:color="0000FF"/>
            </w:tcBorders>
            <w:gridSpan w:val="2"/>
          </w:tcPr>
          <w:p>
            <w:pPr>
              <w:jc w:val="right"/>
              <w:spacing w:after="0" w:line="192" w:lineRule="exact"/>
              <w:rPr>
                <w:sz w:val="20"/>
                <w:szCs w:val="20"/>
                <w:color w:val="auto"/>
              </w:rPr>
            </w:pPr>
            <w:r>
              <w:rPr>
                <w:rFonts w:ascii="Arial" w:cs="Arial" w:eastAsia="Arial" w:hAnsi="Arial"/>
                <w:sz w:val="21"/>
                <w:szCs w:val="21"/>
                <w:color w:val="auto"/>
              </w:rPr>
              <w:t>68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gridSpan w:val="18"/>
          </w:tcPr>
          <w:p>
            <w:pPr>
              <w:spacing w:after="0" w:line="192" w:lineRule="exact"/>
              <w:rPr>
                <w:sz w:val="20"/>
                <w:szCs w:val="20"/>
                <w:color w:val="auto"/>
              </w:rPr>
            </w:pPr>
            <w:r>
              <w:rPr>
                <w:rFonts w:ascii="Arial" w:cs="Arial" w:eastAsia="Arial" w:hAnsi="Arial"/>
                <w:sz w:val="21"/>
                <w:szCs w:val="21"/>
                <w:color w:val="0000FF"/>
                <w:w w:val="99"/>
              </w:rPr>
              <w:t xml:space="preserve">SECTION 7.08. </w:t>
            </w:r>
            <w:r>
              <w:rPr>
                <w:rFonts w:ascii="Arial" w:cs="Arial" w:eastAsia="Arial" w:hAnsi="Arial"/>
                <w:sz w:val="21"/>
                <w:szCs w:val="21"/>
                <w:i w:val="1"/>
                <w:iCs w:val="1"/>
                <w:color w:val="0000FF"/>
                <w:w w:val="99"/>
              </w:rPr>
              <w:t>Acknowledgements of Lenders and Issuing Lenders</w:t>
            </w:r>
            <w:r>
              <w:rPr>
                <w:rFonts w:ascii="Arial" w:cs="Arial" w:eastAsia="Arial" w:hAnsi="Arial"/>
                <w:sz w:val="21"/>
                <w:szCs w:val="21"/>
                <w:color w:val="0000FF"/>
                <w:w w:val="99"/>
              </w:rPr>
              <w:t xml:space="preserve">  </w:t>
            </w:r>
            <w:r>
              <w:rPr>
                <w:rFonts w:ascii="Arial" w:cs="Arial" w:eastAsia="Arial" w:hAnsi="Arial"/>
                <w:sz w:val="21"/>
                <w:szCs w:val="21"/>
                <w:color w:val="000000"/>
                <w:w w:val="99"/>
              </w:rPr>
              <w:t>68</w:t>
            </w:r>
          </w:p>
        </w:tc>
        <w:tc>
          <w:tcPr>
            <w:tcW w:w="0" w:type="dxa"/>
            <w:vAlign w:val="bottom"/>
          </w:tcPr>
          <w:p>
            <w:pPr>
              <w:spacing w:after="0"/>
              <w:rPr>
                <w:sz w:val="1"/>
                <w:szCs w:val="1"/>
                <w:color w:val="auto"/>
              </w:rPr>
            </w:pPr>
          </w:p>
        </w:tc>
      </w:tr>
      <w:tr>
        <w:trPr>
          <w:trHeight w:val="192"/>
        </w:trPr>
        <w:tc>
          <w:tcPr>
            <w:tcW w:w="3840" w:type="dxa"/>
            <w:vAlign w:val="bottom"/>
            <w:tcBorders>
              <w:top w:val="single" w:sz="8" w:color="0000FF"/>
            </w:tcBorders>
            <w:gridSpan w:val="5"/>
          </w:tcPr>
          <w:p>
            <w:pPr>
              <w:spacing w:after="0" w:line="192" w:lineRule="exact"/>
              <w:rPr>
                <w:sz w:val="20"/>
                <w:szCs w:val="20"/>
                <w:color w:val="auto"/>
              </w:rPr>
            </w:pPr>
            <w:r>
              <w:rPr>
                <w:rFonts w:ascii="Arial" w:cs="Arial" w:eastAsia="Arial" w:hAnsi="Arial"/>
                <w:sz w:val="21"/>
                <w:szCs w:val="21"/>
                <w:color w:val="0000FF"/>
                <w:w w:val="95"/>
              </w:rPr>
              <w:t xml:space="preserve">SECTION 7.09. </w:t>
            </w:r>
            <w:r>
              <w:rPr>
                <w:rFonts w:ascii="Arial" w:cs="Arial" w:eastAsia="Arial" w:hAnsi="Arial"/>
                <w:sz w:val="21"/>
                <w:szCs w:val="21"/>
                <w:i w:val="1"/>
                <w:iCs w:val="1"/>
                <w:color w:val="0000FF"/>
                <w:w w:val="95"/>
              </w:rPr>
              <w:t>Certain ERISA Matters</w:t>
            </w:r>
            <w:r>
              <w:rPr>
                <w:rFonts w:ascii="Arial" w:cs="Arial" w:eastAsia="Arial" w:hAnsi="Arial"/>
                <w:sz w:val="21"/>
                <w:szCs w:val="21"/>
                <w:color w:val="0000FF"/>
                <w:w w:val="95"/>
              </w:rPr>
              <w:t xml:space="preserve">  </w:t>
            </w:r>
            <w:r>
              <w:rPr>
                <w:rFonts w:ascii="Arial" w:cs="Arial" w:eastAsia="Arial" w:hAnsi="Arial"/>
                <w:sz w:val="21"/>
                <w:szCs w:val="21"/>
                <w:color w:val="000000"/>
                <w:w w:val="95"/>
              </w:rPr>
              <w:t>69</w:t>
            </w:r>
          </w:p>
        </w:tc>
        <w:tc>
          <w:tcPr>
            <w:tcW w:w="2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3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5"/>
            <w:vMerge w:val="restart"/>
          </w:tcPr>
          <w:p>
            <w:pPr>
              <w:ind w:left="280"/>
              <w:spacing w:after="0"/>
              <w:rPr>
                <w:sz w:val="20"/>
                <w:szCs w:val="20"/>
                <w:color w:val="auto"/>
              </w:rPr>
            </w:pPr>
            <w:r>
              <w:rPr>
                <w:rFonts w:ascii="Arial" w:cs="Arial" w:eastAsia="Arial" w:hAnsi="Arial"/>
                <w:sz w:val="21"/>
                <w:szCs w:val="21"/>
                <w:color w:val="0000FF"/>
                <w:w w:val="76"/>
              </w:rPr>
              <w:t>Change</w:t>
            </w:r>
          </w:p>
        </w:tc>
        <w:tc>
          <w:tcPr>
            <w:tcW w:w="1580" w:type="dxa"/>
            <w:vAlign w:val="bottom"/>
            <w:gridSpan w:val="5"/>
          </w:tcPr>
          <w:p>
            <w:pPr>
              <w:spacing w:after="0"/>
              <w:rPr>
                <w:sz w:val="20"/>
                <w:szCs w:val="20"/>
                <w:color w:val="auto"/>
              </w:rPr>
            </w:pPr>
            <w:r>
              <w:rPr>
                <w:rFonts w:ascii="Arial" w:cs="Arial" w:eastAsia="Arial" w:hAnsi="Arial"/>
                <w:sz w:val="21"/>
                <w:szCs w:val="21"/>
                <w:color w:val="0000FF"/>
              </w:rPr>
              <w:t>ARTICLE 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gridSpan w:val="5"/>
            <w:vMerge w:val="continue"/>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1580" w:type="dxa"/>
            <w:vAlign w:val="bottom"/>
            <w:gridSpan w:val="5"/>
          </w:tcPr>
          <w:p>
            <w:pPr>
              <w:ind w:left="120"/>
              <w:spacing w:after="0" w:line="192" w:lineRule="exact"/>
              <w:rPr>
                <w:sz w:val="20"/>
                <w:szCs w:val="20"/>
                <w:color w:val="auto"/>
              </w:rPr>
            </w:pPr>
            <w:r>
              <w:rPr>
                <w:rFonts w:ascii="Arial" w:cs="Arial" w:eastAsia="Arial" w:hAnsi="Arial"/>
                <w:sz w:val="21"/>
                <w:szCs w:val="21"/>
                <w:color w:val="0000FF"/>
                <w:w w:val="89"/>
              </w:rPr>
              <w:t>in Circumstances</w:t>
            </w:r>
          </w:p>
        </w:tc>
        <w:tc>
          <w:tcPr>
            <w:tcW w:w="0" w:type="dxa"/>
            <w:vAlign w:val="bottom"/>
          </w:tcPr>
          <w:p>
            <w:pPr>
              <w:spacing w:after="0"/>
              <w:rPr>
                <w:sz w:val="1"/>
                <w:szCs w:val="1"/>
                <w:color w:val="auto"/>
              </w:rPr>
            </w:pPr>
          </w:p>
        </w:tc>
      </w:tr>
      <w:tr>
        <w:trPr>
          <w:trHeight w:val="404"/>
        </w:trPr>
        <w:tc>
          <w:tcPr>
            <w:tcW w:w="3840" w:type="dxa"/>
            <w:vAlign w:val="bottom"/>
            <w:gridSpan w:val="5"/>
          </w:tcPr>
          <w:p>
            <w:pPr>
              <w:spacing w:after="0"/>
              <w:rPr>
                <w:sz w:val="20"/>
                <w:szCs w:val="20"/>
                <w:color w:val="auto"/>
              </w:rPr>
            </w:pPr>
            <w:r>
              <w:rPr>
                <w:rFonts w:ascii="Arial" w:cs="Arial" w:eastAsia="Arial" w:hAnsi="Arial"/>
                <w:sz w:val="21"/>
                <w:szCs w:val="21"/>
                <w:color w:val="0000FF"/>
                <w:w w:val="97"/>
              </w:rPr>
              <w:t xml:space="preserve">SECTION 8.01. </w:t>
            </w:r>
            <w:r>
              <w:rPr>
                <w:rFonts w:ascii="Arial" w:cs="Arial" w:eastAsia="Arial" w:hAnsi="Arial"/>
                <w:sz w:val="21"/>
                <w:szCs w:val="21"/>
                <w:i w:val="1"/>
                <w:iCs w:val="1"/>
                <w:color w:val="0000FF"/>
                <w:w w:val="97"/>
              </w:rPr>
              <w:t>Alternate Rate of Interest</w:t>
            </w:r>
            <w:r>
              <w:rPr>
                <w:rFonts w:ascii="Arial" w:cs="Arial" w:eastAsia="Arial" w:hAnsi="Arial"/>
                <w:sz w:val="21"/>
                <w:szCs w:val="21"/>
                <w:color w:val="0000FF"/>
                <w:w w:val="97"/>
              </w:rPr>
              <w:t>.</w:t>
            </w:r>
          </w:p>
        </w:tc>
        <w:tc>
          <w:tcPr>
            <w:tcW w:w="200" w:type="dxa"/>
            <w:vAlign w:val="bottom"/>
          </w:tcPr>
          <w:p>
            <w:pPr>
              <w:jc w:val="right"/>
              <w:spacing w:after="0"/>
              <w:rPr>
                <w:sz w:val="20"/>
                <w:szCs w:val="20"/>
                <w:color w:val="auto"/>
              </w:rPr>
            </w:pPr>
            <w:r>
              <w:rPr>
                <w:rFonts w:ascii="Arial" w:cs="Arial" w:eastAsia="Arial" w:hAnsi="Arial"/>
                <w:sz w:val="21"/>
                <w:szCs w:val="21"/>
                <w:color w:val="FF0000"/>
                <w:strike w:val="1"/>
                <w:w w:val="76"/>
              </w:rPr>
              <w:t>70</w:t>
            </w:r>
          </w:p>
        </w:tc>
        <w:tc>
          <w:tcPr>
            <w:tcW w:w="500" w:type="dxa"/>
            <w:vAlign w:val="bottom"/>
            <w:gridSpan w:val="3"/>
          </w:tcPr>
          <w:p>
            <w:pPr>
              <w:jc w:val="right"/>
              <w:ind w:right="174"/>
              <w:spacing w:after="0"/>
              <w:rPr>
                <w:sz w:val="20"/>
                <w:szCs w:val="20"/>
                <w:color w:val="auto"/>
              </w:rPr>
            </w:pPr>
            <w:r>
              <w:rPr>
                <w:rFonts w:ascii="Arial" w:cs="Arial" w:eastAsia="Arial" w:hAnsi="Arial"/>
                <w:sz w:val="21"/>
                <w:szCs w:val="21"/>
                <w:color w:val="0000FF"/>
                <w:w w:val="85"/>
              </w:rPr>
              <w:t>71</w:t>
            </w: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139"/>
          </w:cols>
          <w:pgMar w:left="320" w:top="1440" w:right="1440"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FF0000"/>
          <w:strike w:val="1"/>
        </w:rPr>
        <w:t>96599450v1</w:t>
      </w:r>
      <w:r>
        <w:rPr>
          <w:rFonts w:ascii="Arial" w:cs="Arial" w:eastAsia="Arial" w:hAnsi="Arial"/>
          <w:sz w:val="11"/>
          <w:szCs w:val="11"/>
          <w:u w:val="single" w:color="auto"/>
          <w:color w:val="0000FF"/>
        </w:rPr>
        <w:t>96599450v11</w:t>
      </w:r>
    </w:p>
    <w:p>
      <w:pPr>
        <w:sectPr>
          <w:pgSz w:w="11900" w:h="16838" w:orient="portrait"/>
          <w:cols w:equalWidth="0" w:num="1">
            <w:col w:w="10139"/>
          </w:cols>
          <w:pgMar w:left="320" w:top="1440" w:right="1440" w:bottom="1440" w:gutter="0" w:footer="0" w:header="0"/>
          <w:type w:val="continuous"/>
        </w:sectPr>
      </w:pPr>
    </w:p>
    <w:bookmarkStart w:id="46" w:name="page47"/>
    <w:bookmarkEnd w:id="46"/>
    <w:p>
      <w:pPr>
        <w:spacing w:after="0" w:line="151" w:lineRule="exact"/>
        <w:rPr>
          <w:sz w:val="20"/>
          <w:szCs w:val="20"/>
          <w:color w:val="auto"/>
        </w:rPr>
      </w:pPr>
    </w:p>
    <w:p>
      <w:pPr>
        <w:spacing w:after="0"/>
        <w:tabs>
          <w:tab w:leader="none" w:pos="2380" w:val="left"/>
        </w:tabs>
        <w:rPr>
          <w:sz w:val="20"/>
          <w:szCs w:val="20"/>
          <w:color w:val="auto"/>
        </w:rPr>
      </w:pPr>
      <w:r>
        <w:rPr>
          <w:rFonts w:ascii="Arial" w:cs="Arial" w:eastAsia="Arial" w:hAnsi="Arial"/>
          <w:sz w:val="21"/>
          <w:szCs w:val="21"/>
          <w:u w:val="single" w:color="auto"/>
          <w:color w:val="0000FF"/>
        </w:rPr>
        <w:t>SECTION 8.02</w:t>
      </w:r>
      <w:r>
        <w:rPr>
          <w:rFonts w:ascii="Arial" w:cs="Arial" w:eastAsia="Arial" w:hAnsi="Arial"/>
          <w:sz w:val="21"/>
          <w:szCs w:val="21"/>
          <w:i w:val="1"/>
          <w:iCs w:val="1"/>
          <w:u w:val="single" w:color="auto"/>
          <w:color w:val="0000FF"/>
        </w:rPr>
        <w:t>. Illegality</w:t>
      </w:r>
      <w:r>
        <w:rPr>
          <w:sz w:val="20"/>
          <w:szCs w:val="20"/>
          <w:color w:val="auto"/>
        </w:rPr>
        <w:tab/>
      </w:r>
      <w:r>
        <w:rPr>
          <w:rFonts w:ascii="Arial" w:cs="Arial" w:eastAsia="Arial" w:hAnsi="Arial"/>
          <w:sz w:val="19"/>
          <w:szCs w:val="19"/>
          <w:color w:val="FF0000"/>
          <w:strike w:val="1"/>
        </w:rPr>
        <w:t>72</w:t>
      </w:r>
      <w:r>
        <w:rPr>
          <w:rFonts w:ascii="Arial" w:cs="Arial" w:eastAsia="Arial" w:hAnsi="Arial"/>
          <w:sz w:val="19"/>
          <w:szCs w:val="19"/>
          <w:u w:val="single" w:color="auto"/>
          <w:color w:val="0000FF"/>
          <w:strike w:val="1"/>
        </w:rPr>
        <w:t>73</w:t>
      </w:r>
    </w:p>
    <w:p>
      <w:pPr>
        <w:ind w:right="5019"/>
        <w:spacing w:after="0" w:line="210" w:lineRule="auto"/>
        <w:rPr>
          <w:sz w:val="20"/>
          <w:szCs w:val="20"/>
          <w:color w:val="auto"/>
        </w:rPr>
      </w:pPr>
      <w:r>
        <w:rPr>
          <w:rFonts w:ascii="Arial" w:cs="Arial" w:eastAsia="Arial" w:hAnsi="Arial"/>
          <w:sz w:val="21"/>
          <w:szCs w:val="21"/>
          <w:u w:val="single" w:color="auto"/>
          <w:color w:val="0000FF"/>
        </w:rPr>
        <w:t xml:space="preserve">SECTION 8.03. </w:t>
      </w:r>
      <w:r>
        <w:rPr>
          <w:rFonts w:ascii="Arial" w:cs="Arial" w:eastAsia="Arial" w:hAnsi="Arial"/>
          <w:sz w:val="21"/>
          <w:szCs w:val="21"/>
          <w:i w:val="1"/>
          <w:iCs w:val="1"/>
          <w:u w:val="single" w:color="auto"/>
          <w:color w:val="0000FF"/>
        </w:rPr>
        <w:t>Increased Cost and Reduced Return</w:t>
      </w:r>
      <w:r>
        <w:rPr>
          <w:rFonts w:ascii="Arial" w:cs="Arial" w:eastAsia="Arial" w:hAnsi="Arial"/>
          <w:sz w:val="21"/>
          <w:szCs w:val="21"/>
          <w:u w:val="single" w:color="auto"/>
          <w:color w:val="0000FF"/>
        </w:rPr>
        <w:t xml:space="preserve"> </w:t>
      </w:r>
      <w:r>
        <w:rPr>
          <w:rFonts w:ascii="Arial" w:cs="Arial" w:eastAsia="Arial" w:hAnsi="Arial"/>
          <w:sz w:val="21"/>
          <w:szCs w:val="21"/>
          <w:color w:val="FF0000"/>
          <w:strike w:val="1"/>
        </w:rPr>
        <w:t>73</w:t>
      </w:r>
      <w:r>
        <w:rPr>
          <w:rFonts w:ascii="Arial" w:cs="Arial" w:eastAsia="Arial" w:hAnsi="Arial"/>
          <w:sz w:val="21"/>
          <w:szCs w:val="21"/>
          <w:u w:val="single" w:color="auto"/>
          <w:color w:val="0000FF"/>
        </w:rPr>
        <w:t xml:space="preserve">74 SECTION 8.04. </w:t>
      </w:r>
      <w:r>
        <w:rPr>
          <w:rFonts w:ascii="Arial" w:cs="Arial" w:eastAsia="Arial" w:hAnsi="Arial"/>
          <w:sz w:val="21"/>
          <w:szCs w:val="21"/>
          <w:i w:val="1"/>
          <w:iCs w:val="1"/>
          <w:u w:val="single" w:color="auto"/>
          <w:color w:val="0000FF"/>
        </w:rPr>
        <w:t>Taxes</w:t>
      </w:r>
      <w:r>
        <w:rPr>
          <w:rFonts w:ascii="Arial" w:cs="Arial" w:eastAsia="Arial" w:hAnsi="Arial"/>
          <w:sz w:val="21"/>
          <w:szCs w:val="21"/>
          <w:u w:val="single" w:color="auto"/>
          <w:color w:val="0000FF"/>
        </w:rPr>
        <w:t xml:space="preserve"> </w:t>
      </w:r>
      <w:r>
        <w:rPr>
          <w:rFonts w:ascii="Arial" w:cs="Arial" w:eastAsia="Arial" w:hAnsi="Arial"/>
          <w:sz w:val="21"/>
          <w:szCs w:val="21"/>
          <w:color w:val="FF0000"/>
          <w:strike w:val="1"/>
        </w:rPr>
        <w:t>74</w:t>
      </w:r>
      <w:r>
        <w:rPr>
          <w:rFonts w:ascii="Arial" w:cs="Arial" w:eastAsia="Arial" w:hAnsi="Arial"/>
          <w:sz w:val="21"/>
          <w:szCs w:val="21"/>
          <w:u w:val="single" w:color="auto"/>
          <w:color w:val="0000FF"/>
        </w:rPr>
        <w:t>75</w:t>
      </w:r>
    </w:p>
    <w:p>
      <w:pPr>
        <w:spacing w:after="0" w:line="1" w:lineRule="exact"/>
        <w:rPr>
          <w:sz w:val="20"/>
          <w:szCs w:val="20"/>
          <w:color w:val="auto"/>
        </w:rPr>
      </w:pPr>
    </w:p>
    <w:p>
      <w:pPr>
        <w:spacing w:after="0"/>
        <w:tabs>
          <w:tab w:leader="none" w:pos="6640" w:val="left"/>
          <w:tab w:leader="none" w:pos="7580" w:val="left"/>
        </w:tabs>
        <w:rPr>
          <w:sz w:val="20"/>
          <w:szCs w:val="20"/>
          <w:color w:val="auto"/>
        </w:rPr>
      </w:pPr>
      <w:r>
        <w:rPr>
          <w:rFonts w:ascii="Arial" w:cs="Arial" w:eastAsia="Arial" w:hAnsi="Arial"/>
          <w:sz w:val="21"/>
          <w:szCs w:val="21"/>
          <w:u w:val="single" w:color="auto"/>
          <w:color w:val="0000FF"/>
        </w:rPr>
        <w:t xml:space="preserve">SECTION 8.05. </w:t>
      </w:r>
      <w:r>
        <w:rPr>
          <w:rFonts w:ascii="Arial" w:cs="Arial" w:eastAsia="Arial" w:hAnsi="Arial"/>
          <w:sz w:val="21"/>
          <w:szCs w:val="21"/>
          <w:i w:val="1"/>
          <w:iCs w:val="1"/>
          <w:u w:val="single" w:color="auto"/>
          <w:color w:val="0000FF"/>
        </w:rPr>
        <w:t>Base Rate Loans Substituted for Affected</w:t>
      </w:r>
      <w:r>
        <w:rPr>
          <w:rFonts w:ascii="Arial" w:cs="Arial" w:eastAsia="Arial" w:hAnsi="Arial"/>
          <w:sz w:val="21"/>
          <w:szCs w:val="21"/>
          <w:u w:val="single" w:color="auto"/>
          <w:color w:val="0000FF"/>
        </w:rPr>
        <w:t xml:space="preserve"> </w:t>
      </w:r>
      <w:r>
        <w:rPr>
          <w:rFonts w:ascii="Arial" w:cs="Arial" w:eastAsia="Arial" w:hAnsi="Arial"/>
          <w:sz w:val="21"/>
          <w:szCs w:val="21"/>
          <w:i w:val="1"/>
          <w:iCs w:val="1"/>
          <w:u w:val="single" w:color="auto"/>
          <w:color w:val="FF0000"/>
          <w:strike w:val="1"/>
        </w:rPr>
        <w:t>Euro-Dollar Rate</w:t>
      </w:r>
      <w:r>
        <w:rPr>
          <w:sz w:val="20"/>
          <w:szCs w:val="20"/>
          <w:color w:val="auto"/>
        </w:rPr>
        <w:tab/>
      </w:r>
      <w:r>
        <w:rPr>
          <w:rFonts w:ascii="Arial" w:cs="Arial" w:eastAsia="Arial" w:hAnsi="Arial"/>
          <w:sz w:val="21"/>
          <w:szCs w:val="21"/>
          <w:color w:val="FF0000"/>
          <w:strike w:val="1"/>
        </w:rPr>
        <w:t>77</w:t>
      </w:r>
      <w:r>
        <w:rPr>
          <w:rFonts w:ascii="Arial" w:cs="Arial" w:eastAsia="Arial" w:hAnsi="Arial"/>
          <w:sz w:val="21"/>
          <w:szCs w:val="21"/>
          <w:i w:val="1"/>
          <w:iCs w:val="1"/>
          <w:u w:val="single" w:color="auto"/>
          <w:color w:val="0000FF"/>
          <w:strike w:val="1"/>
        </w:rPr>
        <w:t>Loans</w:t>
      </w:r>
      <w:r>
        <w:rPr>
          <w:sz w:val="20"/>
          <w:szCs w:val="20"/>
          <w:color w:val="auto"/>
        </w:rPr>
        <w:tab/>
      </w:r>
      <w:r>
        <w:rPr>
          <w:rFonts w:ascii="Arial" w:cs="Arial" w:eastAsia="Arial" w:hAnsi="Arial"/>
          <w:sz w:val="17"/>
          <w:szCs w:val="17"/>
          <w:u w:val="single" w:color="auto"/>
          <w:color w:val="0000FF"/>
        </w:rPr>
        <w:t>78</w:t>
      </w:r>
    </w:p>
    <w:p>
      <w:pPr>
        <w:spacing w:after="0" w:line="153" w:lineRule="exact"/>
        <w:rPr>
          <w:sz w:val="20"/>
          <w:szCs w:val="20"/>
          <w:color w:val="auto"/>
        </w:rPr>
      </w:pPr>
    </w:p>
    <w:p>
      <w:pPr>
        <w:ind w:left="5100"/>
        <w:spacing w:after="0"/>
        <w:rPr>
          <w:sz w:val="20"/>
          <w:szCs w:val="20"/>
          <w:color w:val="auto"/>
        </w:rPr>
      </w:pPr>
      <w:r>
        <w:rPr>
          <w:rFonts w:ascii="Arial" w:cs="Arial" w:eastAsia="Arial" w:hAnsi="Arial"/>
          <w:sz w:val="21"/>
          <w:szCs w:val="21"/>
          <w:u w:val="single" w:color="auto"/>
          <w:color w:val="0000FF"/>
        </w:rPr>
        <w:t>ARTICLE 9</w:t>
      </w:r>
    </w:p>
    <w:p>
      <w:pPr>
        <w:ind w:left="3260"/>
        <w:spacing w:after="0"/>
        <w:rPr>
          <w:sz w:val="20"/>
          <w:szCs w:val="20"/>
          <w:color w:val="auto"/>
        </w:rPr>
      </w:pPr>
      <w:r>
        <w:rPr>
          <w:rFonts w:ascii="Arial" w:cs="Arial" w:eastAsia="Arial" w:hAnsi="Arial"/>
          <w:sz w:val="21"/>
          <w:szCs w:val="21"/>
          <w:u w:val="single" w:color="auto"/>
          <w:color w:val="0000FF"/>
        </w:rPr>
        <w:t>Representations and Warranties of Eligible Subsidiaries</w:t>
      </w:r>
    </w:p>
    <w:p>
      <w:pPr>
        <w:spacing w:after="0" w:line="153" w:lineRule="exact"/>
        <w:rPr>
          <w:sz w:val="20"/>
          <w:szCs w:val="20"/>
          <w:color w:val="auto"/>
        </w:rPr>
      </w:pPr>
    </w:p>
    <w:p>
      <w:pPr>
        <w:spacing w:after="0"/>
        <w:tabs>
          <w:tab w:leader="none" w:pos="4760" w:val="left"/>
        </w:tabs>
        <w:rPr>
          <w:sz w:val="20"/>
          <w:szCs w:val="20"/>
          <w:color w:val="auto"/>
        </w:rPr>
      </w:pPr>
      <w:r>
        <w:rPr>
          <w:rFonts w:ascii="Arial" w:cs="Arial" w:eastAsia="Arial" w:hAnsi="Arial"/>
          <w:sz w:val="21"/>
          <w:szCs w:val="21"/>
          <w:u w:val="single" w:color="auto"/>
          <w:color w:val="0000FF"/>
        </w:rPr>
        <w:t xml:space="preserve">SECTION 9.01. </w:t>
      </w:r>
      <w:r>
        <w:rPr>
          <w:rFonts w:ascii="Arial" w:cs="Arial" w:eastAsia="Arial" w:hAnsi="Arial"/>
          <w:sz w:val="21"/>
          <w:szCs w:val="21"/>
          <w:i w:val="1"/>
          <w:iCs w:val="1"/>
          <w:u w:val="single" w:color="auto"/>
          <w:color w:val="0000FF"/>
        </w:rPr>
        <w:t>Organizational Existence and Power</w:t>
      </w:r>
      <w:r>
        <w:rPr>
          <w:sz w:val="20"/>
          <w:szCs w:val="20"/>
          <w:color w:val="auto"/>
        </w:rPr>
        <w:tab/>
      </w:r>
      <w:r>
        <w:rPr>
          <w:rFonts w:ascii="Arial" w:cs="Arial" w:eastAsia="Arial" w:hAnsi="Arial"/>
          <w:sz w:val="18"/>
          <w:szCs w:val="18"/>
          <w:color w:val="FF0000"/>
          <w:strike w:val="1"/>
        </w:rPr>
        <w:t>78</w:t>
      </w:r>
      <w:r>
        <w:rPr>
          <w:rFonts w:ascii="Arial" w:cs="Arial" w:eastAsia="Arial" w:hAnsi="Arial"/>
          <w:sz w:val="18"/>
          <w:szCs w:val="18"/>
          <w:u w:val="single" w:color="auto"/>
          <w:color w:val="0000FF"/>
          <w:strike w:val="1"/>
        </w:rPr>
        <w:t>79</w:t>
      </w:r>
    </w:p>
    <w:p>
      <w:pPr>
        <w:spacing w:after="0" w:line="234" w:lineRule="auto"/>
        <w:tabs>
          <w:tab w:leader="none" w:pos="7460" w:val="left"/>
        </w:tabs>
        <w:rPr>
          <w:sz w:val="20"/>
          <w:szCs w:val="20"/>
          <w:color w:val="auto"/>
        </w:rPr>
      </w:pPr>
      <w:r>
        <w:rPr>
          <w:rFonts w:ascii="Arial" w:cs="Arial" w:eastAsia="Arial" w:hAnsi="Arial"/>
          <w:sz w:val="21"/>
          <w:szCs w:val="21"/>
          <w:color w:val="0000FF"/>
        </w:rPr>
        <w:t xml:space="preserve">SECTION 9.02. </w:t>
      </w:r>
      <w:r>
        <w:rPr>
          <w:rFonts w:ascii="Arial" w:cs="Arial" w:eastAsia="Arial" w:hAnsi="Arial"/>
          <w:sz w:val="21"/>
          <w:szCs w:val="21"/>
          <w:i w:val="1"/>
          <w:iCs w:val="1"/>
          <w:color w:val="0000FF"/>
        </w:rPr>
        <w:t>Organizational and Governmental Authorization; No Contravention</w:t>
      </w:r>
      <w:r>
        <w:rPr>
          <w:rFonts w:ascii="Arial" w:cs="Arial" w:eastAsia="Arial" w:hAnsi="Arial"/>
          <w:sz w:val="21"/>
          <w:szCs w:val="21"/>
          <w:color w:val="0000FF"/>
        </w:rPr>
        <w:t>.</w:t>
      </w:r>
      <w:r>
        <w:rPr>
          <w:sz w:val="20"/>
          <w:szCs w:val="20"/>
          <w:color w:val="auto"/>
        </w:rPr>
        <w:tab/>
      </w:r>
      <w:r>
        <w:rPr>
          <w:rFonts w:ascii="Arial" w:cs="Arial" w:eastAsia="Arial" w:hAnsi="Arial"/>
          <w:sz w:val="18"/>
          <w:szCs w:val="18"/>
          <w:color w:val="FF0000"/>
          <w:strike w:val="1"/>
        </w:rPr>
        <w:t>78</w:t>
      </w:r>
      <w:r>
        <w:rPr>
          <w:rFonts w:ascii="Arial" w:cs="Arial" w:eastAsia="Arial" w:hAnsi="Arial"/>
          <w:sz w:val="18"/>
          <w:szCs w:val="18"/>
          <w:u w:val="single" w:color="auto"/>
          <w:color w:val="0000FF"/>
          <w:strike w:val="1"/>
        </w:rPr>
        <w:t>79</w:t>
      </w:r>
    </w:p>
    <w:tbl>
      <w:tblPr>
        <w:tblLayout w:type="fixed"/>
        <w:tblInd w:w="0" w:type="dxa"/>
        <w:tblCellMar>
          <w:top w:w="0" w:type="dxa"/>
          <w:left w:w="0" w:type="dxa"/>
          <w:bottom w:w="0" w:type="dxa"/>
          <w:right w:w="0" w:type="dxa"/>
        </w:tblCellMar>
      </w:tblPr>
      <w:tr>
        <w:trPr>
          <w:trHeight w:val="192"/>
        </w:trPr>
        <w:tc>
          <w:tcPr>
            <w:tcW w:w="2860" w:type="dxa"/>
            <w:vAlign w:val="bottom"/>
            <w:tcBorders>
              <w:top w:val="single" w:sz="8" w:color="0000FF"/>
            </w:tcBorders>
            <w:gridSpan w:val="6"/>
          </w:tcPr>
          <w:p>
            <w:pPr>
              <w:spacing w:after="0" w:line="192" w:lineRule="exact"/>
              <w:rPr>
                <w:sz w:val="20"/>
                <w:szCs w:val="20"/>
                <w:color w:val="auto"/>
              </w:rPr>
            </w:pPr>
            <w:r>
              <w:rPr>
                <w:rFonts w:ascii="Arial" w:cs="Arial" w:eastAsia="Arial" w:hAnsi="Arial"/>
                <w:sz w:val="21"/>
                <w:szCs w:val="21"/>
                <w:color w:val="0000FF"/>
              </w:rPr>
              <w:t xml:space="preserve">SECTION 9.03. </w:t>
            </w:r>
            <w:r>
              <w:rPr>
                <w:rFonts w:ascii="Arial" w:cs="Arial" w:eastAsia="Arial" w:hAnsi="Arial"/>
                <w:sz w:val="21"/>
                <w:szCs w:val="21"/>
                <w:i w:val="1"/>
                <w:iCs w:val="1"/>
                <w:color w:val="0000FF"/>
              </w:rPr>
              <w:t>Binding Effect</w:t>
            </w:r>
          </w:p>
        </w:tc>
        <w:tc>
          <w:tcPr>
            <w:tcW w:w="220" w:type="dxa"/>
            <w:vAlign w:val="bottom"/>
            <w:tcBorders>
              <w:top w:val="single" w:sz="8" w:color="0000FF"/>
            </w:tcBorders>
          </w:tcPr>
          <w:p>
            <w:pPr>
              <w:jc w:val="right"/>
              <w:spacing w:after="0" w:line="192" w:lineRule="exact"/>
              <w:rPr>
                <w:sz w:val="20"/>
                <w:szCs w:val="20"/>
                <w:color w:val="auto"/>
              </w:rPr>
            </w:pPr>
            <w:r>
              <w:rPr>
                <w:rFonts w:ascii="Arial" w:cs="Arial" w:eastAsia="Arial" w:hAnsi="Arial"/>
                <w:sz w:val="21"/>
                <w:szCs w:val="21"/>
                <w:color w:val="FF0000"/>
                <w:strike w:val="1"/>
                <w:w w:val="85"/>
              </w:rPr>
              <w:t>78</w:t>
            </w:r>
          </w:p>
        </w:tc>
        <w:tc>
          <w:tcPr>
            <w:tcW w:w="1980" w:type="dxa"/>
            <w:vAlign w:val="bottom"/>
            <w:tcBorders>
              <w:top w:val="single" w:sz="8" w:color="0000FF"/>
            </w:tcBorders>
            <w:gridSpan w:val="3"/>
          </w:tcPr>
          <w:p>
            <w:pPr>
              <w:jc w:val="right"/>
              <w:ind w:right="1780"/>
              <w:spacing w:after="0" w:line="192" w:lineRule="exact"/>
              <w:rPr>
                <w:sz w:val="20"/>
                <w:szCs w:val="20"/>
                <w:color w:val="auto"/>
              </w:rPr>
            </w:pPr>
            <w:r>
              <w:rPr>
                <w:rFonts w:ascii="Arial" w:cs="Arial" w:eastAsia="Arial" w:hAnsi="Arial"/>
                <w:sz w:val="21"/>
                <w:szCs w:val="21"/>
                <w:color w:val="0000FF"/>
                <w:w w:val="76"/>
              </w:rPr>
              <w:t>79</w:t>
            </w:r>
          </w:p>
        </w:tc>
        <w:tc>
          <w:tcPr>
            <w:tcW w:w="16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08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tcBorders>
              <w:top w:val="single" w:sz="8" w:color="0000FF"/>
            </w:tcBorders>
            <w:gridSpan w:val="2"/>
          </w:tcPr>
          <w:p>
            <w:pPr>
              <w:spacing w:after="0" w:line="192" w:lineRule="exact"/>
              <w:rPr>
                <w:sz w:val="20"/>
                <w:szCs w:val="20"/>
                <w:color w:val="auto"/>
              </w:rPr>
            </w:pPr>
            <w:r>
              <w:rPr>
                <w:rFonts w:ascii="Arial" w:cs="Arial" w:eastAsia="Arial" w:hAnsi="Arial"/>
                <w:sz w:val="21"/>
                <w:szCs w:val="21"/>
                <w:color w:val="0000FF"/>
              </w:rPr>
              <w:t xml:space="preserve">SECTION 9.04. </w:t>
            </w:r>
            <w:r>
              <w:rPr>
                <w:rFonts w:ascii="Arial" w:cs="Arial" w:eastAsia="Arial" w:hAnsi="Arial"/>
                <w:sz w:val="21"/>
                <w:szCs w:val="21"/>
                <w:i w:val="1"/>
                <w:iCs w:val="1"/>
                <w:color w:val="0000FF"/>
              </w:rPr>
              <w:t>Taxes</w:t>
            </w:r>
          </w:p>
        </w:tc>
        <w:tc>
          <w:tcPr>
            <w:tcW w:w="220" w:type="dxa"/>
            <w:vAlign w:val="bottom"/>
            <w:tcBorders>
              <w:top w:val="single" w:sz="8" w:color="0000FF"/>
            </w:tcBorders>
          </w:tcPr>
          <w:p>
            <w:pPr>
              <w:jc w:val="right"/>
              <w:spacing w:after="0" w:line="192" w:lineRule="exact"/>
              <w:rPr>
                <w:sz w:val="20"/>
                <w:szCs w:val="20"/>
                <w:color w:val="auto"/>
              </w:rPr>
            </w:pPr>
            <w:r>
              <w:rPr>
                <w:rFonts w:ascii="Arial" w:cs="Arial" w:eastAsia="Arial" w:hAnsi="Arial"/>
                <w:sz w:val="21"/>
                <w:szCs w:val="21"/>
                <w:color w:val="FF0000"/>
                <w:strike w:val="1"/>
                <w:w w:val="85"/>
              </w:rPr>
              <w:t>78</w:t>
            </w:r>
          </w:p>
        </w:tc>
        <w:tc>
          <w:tcPr>
            <w:tcW w:w="300" w:type="dxa"/>
            <w:vAlign w:val="bottom"/>
            <w:tcBorders>
              <w:top w:val="single" w:sz="8" w:color="0000FF"/>
            </w:tcBorders>
            <w:gridSpan w:val="2"/>
          </w:tcPr>
          <w:p>
            <w:pPr>
              <w:jc w:val="right"/>
              <w:ind w:right="100"/>
              <w:spacing w:after="0" w:line="192" w:lineRule="exact"/>
              <w:rPr>
                <w:sz w:val="20"/>
                <w:szCs w:val="20"/>
                <w:color w:val="auto"/>
              </w:rPr>
            </w:pPr>
            <w:r>
              <w:rPr>
                <w:rFonts w:ascii="Arial" w:cs="Arial" w:eastAsia="Arial" w:hAnsi="Arial"/>
                <w:sz w:val="21"/>
                <w:szCs w:val="21"/>
                <w:color w:val="0000FF"/>
                <w:w w:val="76"/>
              </w:rPr>
              <w:t>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780" w:type="dxa"/>
            <w:vAlign w:val="bottom"/>
          </w:tcPr>
          <w:p>
            <w:pPr>
              <w:spacing w:after="0"/>
              <w:rPr>
                <w:sz w:val="16"/>
                <w:szCs w:val="16"/>
                <w:color w:val="auto"/>
              </w:rPr>
            </w:pPr>
          </w:p>
        </w:tc>
        <w:tc>
          <w:tcPr>
            <w:tcW w:w="2220" w:type="dxa"/>
            <w:vAlign w:val="bottom"/>
            <w:gridSpan w:val="4"/>
            <w:vMerge w:val="restart"/>
          </w:tcPr>
          <w:p>
            <w:pPr>
              <w:jc w:val="center"/>
              <w:ind w:right="1080"/>
              <w:spacing w:after="0"/>
              <w:rPr>
                <w:sz w:val="20"/>
                <w:szCs w:val="20"/>
                <w:color w:val="auto"/>
              </w:rPr>
            </w:pPr>
            <w:r>
              <w:rPr>
                <w:rFonts w:ascii="Arial" w:cs="Arial" w:eastAsia="Arial" w:hAnsi="Arial"/>
                <w:sz w:val="21"/>
                <w:szCs w:val="21"/>
                <w:color w:val="0000FF"/>
                <w:w w:val="96"/>
              </w:rPr>
              <w:t>ARTICLE 10</w:t>
            </w:r>
          </w:p>
        </w:tc>
        <w:tc>
          <w:tcPr>
            <w:tcW w:w="0" w:type="dxa"/>
            <w:vAlign w:val="bottom"/>
          </w:tcPr>
          <w:p>
            <w:pPr>
              <w:spacing w:after="0"/>
              <w:rPr>
                <w:sz w:val="1"/>
                <w:szCs w:val="1"/>
                <w:color w:val="auto"/>
              </w:rPr>
            </w:pPr>
          </w:p>
        </w:tc>
      </w:tr>
      <w:tr>
        <w:trPr>
          <w:trHeight w:val="404"/>
        </w:trPr>
        <w:tc>
          <w:tcPr>
            <w:tcW w:w="19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Borders>
              <w:top w:val="single" w:sz="8" w:color="0000FF"/>
            </w:tcBorders>
            <w:gridSpan w:val="3"/>
          </w:tcPr>
          <w:p>
            <w:pPr>
              <w:jc w:val="center"/>
              <w:ind w:right="20"/>
              <w:spacing w:after="0" w:line="192" w:lineRule="exact"/>
              <w:rPr>
                <w:sz w:val="20"/>
                <w:szCs w:val="20"/>
                <w:color w:val="auto"/>
              </w:rPr>
            </w:pPr>
            <w:r>
              <w:rPr>
                <w:rFonts w:ascii="Arial" w:cs="Arial" w:eastAsia="Arial" w:hAnsi="Arial"/>
                <w:sz w:val="21"/>
                <w:szCs w:val="21"/>
                <w:color w:val="0000FF"/>
                <w:w w:val="92"/>
              </w:rPr>
              <w:t>Guaranty</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5"/>
        </w:trPr>
        <w:tc>
          <w:tcPr>
            <w:tcW w:w="2860" w:type="dxa"/>
            <w:vAlign w:val="bottom"/>
            <w:gridSpan w:val="6"/>
          </w:tcPr>
          <w:p>
            <w:pPr>
              <w:spacing w:after="0"/>
              <w:rPr>
                <w:sz w:val="20"/>
                <w:szCs w:val="20"/>
                <w:color w:val="auto"/>
              </w:rPr>
            </w:pPr>
            <w:r>
              <w:rPr>
                <w:rFonts w:ascii="Arial" w:cs="Arial" w:eastAsia="Arial" w:hAnsi="Arial"/>
                <w:sz w:val="21"/>
                <w:szCs w:val="21"/>
                <w:u w:val="single" w:color="auto"/>
                <w:color w:val="0000FF"/>
                <w:w w:val="97"/>
              </w:rPr>
              <w:t>SECTION 10.01</w:t>
            </w:r>
            <w:r>
              <w:rPr>
                <w:rFonts w:ascii="Arial" w:cs="Arial" w:eastAsia="Arial" w:hAnsi="Arial"/>
                <w:sz w:val="21"/>
                <w:szCs w:val="21"/>
                <w:i w:val="1"/>
                <w:iCs w:val="1"/>
                <w:u w:val="single" w:color="auto"/>
                <w:color w:val="0000FF"/>
                <w:w w:val="97"/>
              </w:rPr>
              <w:t>. The Guaranty</w:t>
            </w:r>
          </w:p>
        </w:tc>
        <w:tc>
          <w:tcPr>
            <w:tcW w:w="280" w:type="dxa"/>
            <w:vAlign w:val="bottom"/>
            <w:gridSpan w:val="2"/>
          </w:tcPr>
          <w:p>
            <w:pPr>
              <w:jc w:val="right"/>
              <w:spacing w:after="0"/>
              <w:rPr>
                <w:sz w:val="20"/>
                <w:szCs w:val="20"/>
                <w:color w:val="auto"/>
              </w:rPr>
            </w:pPr>
            <w:r>
              <w:rPr>
                <w:rFonts w:ascii="Arial" w:cs="Arial" w:eastAsia="Arial" w:hAnsi="Arial"/>
                <w:sz w:val="21"/>
                <w:szCs w:val="21"/>
                <w:color w:val="FF0000"/>
                <w:strike w:val="1"/>
              </w:rPr>
              <w:t>78</w:t>
            </w:r>
          </w:p>
        </w:tc>
        <w:tc>
          <w:tcPr>
            <w:tcW w:w="1920" w:type="dxa"/>
            <w:vAlign w:val="bottom"/>
            <w:gridSpan w:val="2"/>
          </w:tcPr>
          <w:p>
            <w:pPr>
              <w:jc w:val="right"/>
              <w:ind w:right="1700"/>
              <w:spacing w:after="0"/>
              <w:rPr>
                <w:sz w:val="20"/>
                <w:szCs w:val="20"/>
                <w:color w:val="auto"/>
              </w:rPr>
            </w:pPr>
            <w:r>
              <w:rPr>
                <w:rFonts w:ascii="Arial" w:cs="Arial" w:eastAsia="Arial" w:hAnsi="Arial"/>
                <w:sz w:val="21"/>
                <w:szCs w:val="21"/>
                <w:u w:val="single" w:color="auto"/>
                <w:color w:val="0000FF"/>
                <w:w w:val="85"/>
              </w:rPr>
              <w:t>79</w:t>
            </w:r>
          </w:p>
        </w:tc>
        <w:tc>
          <w:tcPr>
            <w:tcW w:w="16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tabs>
          <w:tab w:leader="none" w:pos="8520" w:val="left"/>
        </w:tabs>
        <w:rPr>
          <w:sz w:val="20"/>
          <w:szCs w:val="20"/>
          <w:color w:val="auto"/>
        </w:rPr>
      </w:pPr>
      <w:r>
        <w:rPr>
          <w:rFonts w:ascii="Arial" w:cs="Arial" w:eastAsia="Arial" w:hAnsi="Arial"/>
          <w:sz w:val="20"/>
          <w:szCs w:val="20"/>
          <w:color w:val="0000FF"/>
        </w:rPr>
        <w:t xml:space="preserve">SECTION 10.03. </w:t>
      </w:r>
      <w:r>
        <w:rPr>
          <w:rFonts w:ascii="Arial" w:cs="Arial" w:eastAsia="Arial" w:hAnsi="Arial"/>
          <w:sz w:val="20"/>
          <w:szCs w:val="20"/>
          <w:i w:val="1"/>
          <w:iCs w:val="1"/>
          <w:color w:val="0000FF"/>
        </w:rPr>
        <w:t>Discharge Only upon Payment in Full; Reinstatement in Certain Circumstances</w:t>
      </w:r>
      <w:r>
        <w:rPr>
          <w:sz w:val="20"/>
          <w:szCs w:val="20"/>
          <w:color w:val="auto"/>
        </w:rPr>
        <w:tab/>
      </w:r>
      <w:r>
        <w:rPr>
          <w:rFonts w:ascii="Arial" w:cs="Arial" w:eastAsia="Arial" w:hAnsi="Arial"/>
          <w:sz w:val="18"/>
          <w:szCs w:val="18"/>
          <w:color w:val="FF0000"/>
          <w:strike w:val="1"/>
        </w:rPr>
        <w:t>79</w:t>
      </w:r>
      <w:r>
        <w:rPr>
          <w:rFonts w:ascii="Arial" w:cs="Arial" w:eastAsia="Arial" w:hAnsi="Arial"/>
          <w:sz w:val="18"/>
          <w:szCs w:val="18"/>
          <w:u w:val="single" w:color="auto"/>
          <w:color w:val="0000FF"/>
          <w:strike w:val="1"/>
        </w:rPr>
        <w:t>80</w:t>
      </w:r>
    </w:p>
    <w:tbl>
      <w:tblPr>
        <w:tblLayout w:type="fixed"/>
        <w:tblInd w:w="0" w:type="dxa"/>
        <w:tblCellMar>
          <w:top w:w="0" w:type="dxa"/>
          <w:left w:w="0" w:type="dxa"/>
          <w:bottom w:w="0" w:type="dxa"/>
          <w:right w:w="0" w:type="dxa"/>
        </w:tblCellMar>
      </w:tblPr>
      <w:tr>
        <w:trPr>
          <w:trHeight w:val="192"/>
        </w:trPr>
        <w:tc>
          <w:tcPr>
            <w:tcW w:w="3780" w:type="dxa"/>
            <w:vAlign w:val="bottom"/>
            <w:tcBorders>
              <w:top w:val="single" w:sz="8" w:color="0000FF"/>
            </w:tcBorders>
            <w:gridSpan w:val="23"/>
          </w:tcPr>
          <w:p>
            <w:pPr>
              <w:spacing w:after="0" w:line="192" w:lineRule="exact"/>
              <w:rPr>
                <w:sz w:val="20"/>
                <w:szCs w:val="20"/>
                <w:color w:val="auto"/>
              </w:rPr>
            </w:pPr>
            <w:r>
              <w:rPr>
                <w:rFonts w:ascii="Arial" w:cs="Arial" w:eastAsia="Arial" w:hAnsi="Arial"/>
                <w:sz w:val="21"/>
                <w:szCs w:val="21"/>
                <w:color w:val="0000FF"/>
                <w:w w:val="97"/>
              </w:rPr>
              <w:t xml:space="preserve">SECTION 10.04. </w:t>
            </w:r>
            <w:r>
              <w:rPr>
                <w:rFonts w:ascii="Arial" w:cs="Arial" w:eastAsia="Arial" w:hAnsi="Arial"/>
                <w:sz w:val="21"/>
                <w:szCs w:val="21"/>
                <w:i w:val="1"/>
                <w:iCs w:val="1"/>
                <w:color w:val="0000FF"/>
                <w:w w:val="97"/>
              </w:rPr>
              <w:t>Waiver by the Company</w:t>
            </w:r>
          </w:p>
        </w:tc>
        <w:tc>
          <w:tcPr>
            <w:tcW w:w="200" w:type="dxa"/>
            <w:vAlign w:val="bottom"/>
            <w:tcBorders>
              <w:top w:val="single" w:sz="8" w:color="0000FF"/>
            </w:tcBorders>
            <w:gridSpan w:val="4"/>
          </w:tcPr>
          <w:p>
            <w:pPr>
              <w:jc w:val="right"/>
              <w:spacing w:after="0" w:line="192" w:lineRule="exact"/>
              <w:rPr>
                <w:sz w:val="20"/>
                <w:szCs w:val="20"/>
                <w:color w:val="auto"/>
              </w:rPr>
            </w:pPr>
            <w:r>
              <w:rPr>
                <w:rFonts w:ascii="Arial" w:cs="Arial" w:eastAsia="Arial" w:hAnsi="Arial"/>
                <w:sz w:val="21"/>
                <w:szCs w:val="21"/>
                <w:color w:val="FF0000"/>
                <w:strike w:val="1"/>
                <w:w w:val="76"/>
              </w:rPr>
              <w:t>79</w:t>
            </w:r>
          </w:p>
        </w:tc>
        <w:tc>
          <w:tcPr>
            <w:tcW w:w="360" w:type="dxa"/>
            <w:vAlign w:val="bottom"/>
            <w:tcBorders>
              <w:top w:val="single" w:sz="8" w:color="0000FF"/>
            </w:tcBorders>
            <w:gridSpan w:val="3"/>
          </w:tcPr>
          <w:p>
            <w:pPr>
              <w:spacing w:after="0" w:line="192" w:lineRule="exact"/>
              <w:rPr>
                <w:sz w:val="20"/>
                <w:szCs w:val="20"/>
                <w:color w:val="auto"/>
              </w:rPr>
            </w:pPr>
            <w:r>
              <w:rPr>
                <w:rFonts w:ascii="Arial" w:cs="Arial" w:eastAsia="Arial" w:hAnsi="Arial"/>
                <w:sz w:val="21"/>
                <w:szCs w:val="21"/>
                <w:color w:val="0000FF"/>
              </w:rPr>
              <w:t>81</w:t>
            </w:r>
          </w:p>
        </w:tc>
        <w:tc>
          <w:tcPr>
            <w:tcW w:w="6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80" w:type="dxa"/>
            <w:vAlign w:val="bottom"/>
            <w:tcBorders>
              <w:bottom w:val="single" w:sz="8" w:color="0000FF"/>
            </w:tcBorders>
            <w:gridSpan w:val="5"/>
          </w:tcPr>
          <w:p>
            <w:pPr>
              <w:spacing w:after="0" w:line="192" w:lineRule="exact"/>
              <w:rPr>
                <w:sz w:val="20"/>
                <w:szCs w:val="20"/>
                <w:color w:val="auto"/>
              </w:rPr>
            </w:pPr>
            <w:r>
              <w:rPr>
                <w:rFonts w:ascii="Arial" w:cs="Arial" w:eastAsia="Arial" w:hAnsi="Arial"/>
                <w:sz w:val="21"/>
                <w:szCs w:val="21"/>
                <w:color w:val="0000FF"/>
                <w:w w:val="92"/>
              </w:rPr>
              <w:t xml:space="preserve">SECTION 10.05. </w:t>
            </w:r>
            <w:r>
              <w:rPr>
                <w:rFonts w:ascii="Arial" w:cs="Arial" w:eastAsia="Arial" w:hAnsi="Arial"/>
                <w:sz w:val="21"/>
                <w:szCs w:val="21"/>
                <w:i w:val="1"/>
                <w:iCs w:val="1"/>
                <w:color w:val="0000FF"/>
                <w:w w:val="92"/>
              </w:rPr>
              <w:t>Subrogation</w:t>
            </w:r>
          </w:p>
        </w:tc>
        <w:tc>
          <w:tcPr>
            <w:tcW w:w="420" w:type="dxa"/>
            <w:vAlign w:val="bottom"/>
            <w:gridSpan w:val="4"/>
          </w:tcPr>
          <w:p>
            <w:pPr>
              <w:jc w:val="right"/>
              <w:spacing w:after="0" w:line="192" w:lineRule="exact"/>
              <w:rPr>
                <w:sz w:val="20"/>
                <w:szCs w:val="20"/>
                <w:color w:val="auto"/>
              </w:rPr>
            </w:pPr>
            <w:r>
              <w:rPr>
                <w:rFonts w:ascii="Arial" w:cs="Arial" w:eastAsia="Arial" w:hAnsi="Arial"/>
                <w:sz w:val="21"/>
                <w:szCs w:val="21"/>
                <w:color w:val="FF0000"/>
                <w:strike w:val="1"/>
              </w:rPr>
              <w:t>79</w:t>
            </w:r>
          </w:p>
        </w:tc>
        <w:tc>
          <w:tcPr>
            <w:tcW w:w="220" w:type="dxa"/>
            <w:vAlign w:val="bottom"/>
            <w:tcBorders>
              <w:bottom w:val="single" w:sz="8" w:color="0000FF"/>
            </w:tcBorders>
            <w:gridSpan w:val="3"/>
          </w:tcPr>
          <w:p>
            <w:pPr>
              <w:jc w:val="right"/>
              <w:spacing w:after="0" w:line="192" w:lineRule="exact"/>
              <w:rPr>
                <w:sz w:val="20"/>
                <w:szCs w:val="20"/>
                <w:color w:val="auto"/>
              </w:rPr>
            </w:pPr>
            <w:r>
              <w:rPr>
                <w:rFonts w:ascii="Arial" w:cs="Arial" w:eastAsia="Arial" w:hAnsi="Arial"/>
                <w:sz w:val="21"/>
                <w:szCs w:val="21"/>
                <w:color w:val="0000FF"/>
                <w:w w:val="85"/>
              </w:rPr>
              <w:t>81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color w:val="FF0000"/>
                <w:strike w:val="1"/>
                <w:w w:val="85"/>
              </w:rPr>
              <w:t>80</w:t>
            </w:r>
          </w:p>
        </w:tc>
        <w:tc>
          <w:tcPr>
            <w:tcW w:w="200" w:type="dxa"/>
            <w:vAlign w:val="bottom"/>
            <w:gridSpan w:val="5"/>
            <w:vMerge w:val="restart"/>
          </w:tcPr>
          <w:p>
            <w:pPr>
              <w:jc w:val="right"/>
              <w:spacing w:after="0"/>
              <w:rPr>
                <w:sz w:val="20"/>
                <w:szCs w:val="20"/>
                <w:color w:val="auto"/>
              </w:rPr>
            </w:pPr>
            <w:r>
              <w:rPr>
                <w:rFonts w:ascii="Arial" w:cs="Arial" w:eastAsia="Arial" w:hAnsi="Arial"/>
                <w:sz w:val="21"/>
                <w:szCs w:val="21"/>
                <w:color w:val="0000FF"/>
                <w:w w:val="76"/>
              </w:rPr>
              <w:t>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15"/>
          </w:tcPr>
          <w:p>
            <w:pPr>
              <w:spacing w:after="0" w:line="192" w:lineRule="exact"/>
              <w:rPr>
                <w:sz w:val="20"/>
                <w:szCs w:val="20"/>
                <w:color w:val="auto"/>
              </w:rPr>
            </w:pPr>
            <w:r>
              <w:rPr>
                <w:rFonts w:ascii="Arial" w:cs="Arial" w:eastAsia="Arial" w:hAnsi="Arial"/>
                <w:sz w:val="21"/>
                <w:szCs w:val="21"/>
                <w:color w:val="0000FF"/>
                <w:w w:val="94"/>
              </w:rPr>
              <w:t xml:space="preserve">SECTION 10.06. </w:t>
            </w:r>
            <w:r>
              <w:rPr>
                <w:rFonts w:ascii="Arial" w:cs="Arial" w:eastAsia="Arial" w:hAnsi="Arial"/>
                <w:sz w:val="21"/>
                <w:szCs w:val="21"/>
                <w:i w:val="1"/>
                <w:iCs w:val="1"/>
                <w:color w:val="0000FF"/>
                <w:w w:val="94"/>
              </w:rPr>
              <w:t>Stay of Acceleration</w:t>
            </w:r>
          </w:p>
        </w:tc>
        <w:tc>
          <w:tcPr>
            <w:tcW w:w="140" w:type="dxa"/>
            <w:vAlign w:val="bottom"/>
          </w:tcPr>
          <w:p>
            <w:pPr>
              <w:spacing w:after="0"/>
              <w:rPr>
                <w:sz w:val="16"/>
                <w:szCs w:val="16"/>
                <w:color w:val="auto"/>
              </w:rPr>
            </w:pPr>
          </w:p>
        </w:tc>
        <w:tc>
          <w:tcPr>
            <w:tcW w:w="220" w:type="dxa"/>
            <w:vAlign w:val="bottom"/>
            <w:gridSpan w:val="4"/>
            <w:vMerge w:val="continue"/>
          </w:tcPr>
          <w:p>
            <w:pPr>
              <w:spacing w:after="0"/>
              <w:rPr>
                <w:sz w:val="16"/>
                <w:szCs w:val="16"/>
                <w:color w:val="auto"/>
              </w:rPr>
            </w:pPr>
          </w:p>
        </w:tc>
        <w:tc>
          <w:tcPr>
            <w:tcW w:w="20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60" w:type="dxa"/>
            <w:vAlign w:val="bottom"/>
            <w:gridSpan w:val="14"/>
            <w:vMerge w:val="restart"/>
          </w:tcPr>
          <w:p>
            <w:pPr>
              <w:jc w:val="right"/>
              <w:ind w:right="2120"/>
              <w:spacing w:after="0"/>
              <w:rPr>
                <w:sz w:val="20"/>
                <w:szCs w:val="20"/>
                <w:color w:val="auto"/>
              </w:rPr>
            </w:pPr>
            <w:r>
              <w:rPr>
                <w:rFonts w:ascii="Arial" w:cs="Arial" w:eastAsia="Arial" w:hAnsi="Arial"/>
                <w:sz w:val="21"/>
                <w:szCs w:val="21"/>
                <w:color w:val="0000FF"/>
                <w:w w:val="94"/>
              </w:rPr>
              <w:t>ARTICLE 11</w:t>
            </w:r>
          </w:p>
        </w:tc>
        <w:tc>
          <w:tcPr>
            <w:tcW w:w="0" w:type="dxa"/>
            <w:vAlign w:val="bottom"/>
          </w:tcPr>
          <w:p>
            <w:pPr>
              <w:spacing w:after="0"/>
              <w:rPr>
                <w:sz w:val="1"/>
                <w:szCs w:val="1"/>
                <w:color w:val="auto"/>
              </w:rPr>
            </w:pPr>
          </w:p>
        </w:tc>
      </w:tr>
      <w:tr>
        <w:trPr>
          <w:trHeight w:val="404"/>
        </w:trPr>
        <w:tc>
          <w:tcPr>
            <w:tcW w:w="2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gridSpan w:val="1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Borders>
              <w:bottom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7"/>
          </w:tcPr>
          <w:p>
            <w:pPr>
              <w:jc w:val="right"/>
              <w:spacing w:after="0" w:line="192" w:lineRule="exact"/>
              <w:rPr>
                <w:sz w:val="20"/>
                <w:szCs w:val="20"/>
                <w:color w:val="auto"/>
              </w:rPr>
            </w:pPr>
            <w:r>
              <w:rPr>
                <w:rFonts w:ascii="Arial" w:cs="Arial" w:eastAsia="Arial" w:hAnsi="Arial"/>
                <w:sz w:val="21"/>
                <w:szCs w:val="21"/>
                <w:color w:val="0000FF"/>
                <w:w w:val="84"/>
              </w:rPr>
              <w:t>Miscellaneous</w:t>
            </w:r>
          </w:p>
        </w:tc>
        <w:tc>
          <w:tcPr>
            <w:tcW w:w="40" w:type="dxa"/>
            <w:vAlign w:val="bottom"/>
            <w:tcBorders>
              <w:bottom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380" w:type="dxa"/>
            <w:vAlign w:val="bottom"/>
            <w:gridSpan w:val="2"/>
          </w:tcPr>
          <w:p>
            <w:pPr>
              <w:spacing w:after="0"/>
              <w:rPr>
                <w:sz w:val="20"/>
                <w:szCs w:val="20"/>
                <w:color w:val="auto"/>
              </w:rPr>
            </w:pPr>
            <w:r>
              <w:rPr>
                <w:rFonts w:ascii="Arial" w:cs="Arial" w:eastAsia="Arial" w:hAnsi="Arial"/>
                <w:sz w:val="21"/>
                <w:szCs w:val="21"/>
                <w:color w:val="0000FF"/>
              </w:rPr>
              <w:t>SECTION 11.01</w:t>
            </w:r>
            <w:r>
              <w:rPr>
                <w:rFonts w:ascii="Arial" w:cs="Arial" w:eastAsia="Arial" w:hAnsi="Arial"/>
                <w:sz w:val="21"/>
                <w:szCs w:val="21"/>
                <w:i w:val="1"/>
                <w:iCs w:val="1"/>
                <w:color w:val="0000FF"/>
              </w:rPr>
              <w:t>. Notices</w:t>
            </w:r>
          </w:p>
        </w:tc>
        <w:tc>
          <w:tcPr>
            <w:tcW w:w="200" w:type="dxa"/>
            <w:vAlign w:val="bottom"/>
            <w:gridSpan w:val="3"/>
          </w:tcPr>
          <w:p>
            <w:pPr>
              <w:jc w:val="right"/>
              <w:spacing w:after="0"/>
              <w:rPr>
                <w:sz w:val="20"/>
                <w:szCs w:val="20"/>
                <w:color w:val="auto"/>
              </w:rPr>
            </w:pPr>
            <w:r>
              <w:rPr>
                <w:rFonts w:ascii="Arial" w:cs="Arial" w:eastAsia="Arial" w:hAnsi="Arial"/>
                <w:sz w:val="21"/>
                <w:szCs w:val="21"/>
                <w:color w:val="FF0000"/>
                <w:strike w:val="1"/>
                <w:w w:val="76"/>
              </w:rPr>
              <w:t>80</w:t>
            </w:r>
          </w:p>
        </w:tc>
        <w:tc>
          <w:tcPr>
            <w:tcW w:w="240" w:type="dxa"/>
            <w:vAlign w:val="bottom"/>
            <w:gridSpan w:val="2"/>
          </w:tcPr>
          <w:p>
            <w:pPr>
              <w:jc w:val="right"/>
              <w:ind w:right="20"/>
              <w:spacing w:after="0"/>
              <w:rPr>
                <w:sz w:val="20"/>
                <w:szCs w:val="20"/>
                <w:color w:val="auto"/>
              </w:rPr>
            </w:pPr>
            <w:r>
              <w:rPr>
                <w:rFonts w:ascii="Arial" w:cs="Arial" w:eastAsia="Arial" w:hAnsi="Arial"/>
                <w:sz w:val="21"/>
                <w:szCs w:val="21"/>
                <w:color w:val="0000FF"/>
                <w:w w:val="85"/>
              </w:rPr>
              <w:t>81</w:t>
            </w:r>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80" w:type="dxa"/>
            <w:vAlign w:val="bottom"/>
            <w:gridSpan w:val="5"/>
          </w:tcPr>
          <w:p>
            <w:pPr>
              <w:spacing w:after="0" w:line="192" w:lineRule="exact"/>
              <w:rPr>
                <w:sz w:val="20"/>
                <w:szCs w:val="20"/>
                <w:color w:val="auto"/>
              </w:rPr>
            </w:pPr>
            <w:r>
              <w:rPr>
                <w:rFonts w:ascii="Arial" w:cs="Arial" w:eastAsia="Arial" w:hAnsi="Arial"/>
                <w:sz w:val="21"/>
                <w:szCs w:val="21"/>
                <w:color w:val="0000FF"/>
                <w:w w:val="94"/>
              </w:rPr>
              <w:t>SECTION 11.02</w:t>
            </w:r>
            <w:r>
              <w:rPr>
                <w:rFonts w:ascii="Arial" w:cs="Arial" w:eastAsia="Arial" w:hAnsi="Arial"/>
                <w:sz w:val="21"/>
                <w:szCs w:val="21"/>
                <w:i w:val="1"/>
                <w:iCs w:val="1"/>
                <w:color w:val="0000FF"/>
                <w:w w:val="94"/>
              </w:rPr>
              <w:t>. No Waivers</w:t>
            </w:r>
          </w:p>
        </w:tc>
        <w:tc>
          <w:tcPr>
            <w:tcW w:w="340" w:type="dxa"/>
            <w:vAlign w:val="bottom"/>
            <w:gridSpan w:val="3"/>
          </w:tcPr>
          <w:p>
            <w:pPr>
              <w:jc w:val="right"/>
              <w:spacing w:after="0" w:line="192" w:lineRule="exact"/>
              <w:rPr>
                <w:sz w:val="20"/>
                <w:szCs w:val="20"/>
                <w:color w:val="auto"/>
              </w:rPr>
            </w:pPr>
            <w:r>
              <w:rPr>
                <w:rFonts w:ascii="Arial" w:cs="Arial" w:eastAsia="Arial" w:hAnsi="Arial"/>
                <w:sz w:val="21"/>
                <w:szCs w:val="21"/>
                <w:color w:val="FF0000"/>
                <w:strike w:val="1"/>
              </w:rPr>
              <w:t>80</w:t>
            </w:r>
          </w:p>
        </w:tc>
        <w:tc>
          <w:tcPr>
            <w:tcW w:w="220" w:type="dxa"/>
            <w:vAlign w:val="bottom"/>
            <w:gridSpan w:val="3"/>
          </w:tcPr>
          <w:p>
            <w:pPr>
              <w:jc w:val="right"/>
              <w:spacing w:after="0" w:line="192" w:lineRule="exact"/>
              <w:rPr>
                <w:sz w:val="20"/>
                <w:szCs w:val="20"/>
                <w:color w:val="auto"/>
              </w:rPr>
            </w:pPr>
            <w:r>
              <w:rPr>
                <w:rFonts w:ascii="Arial" w:cs="Arial" w:eastAsia="Arial" w:hAnsi="Arial"/>
                <w:sz w:val="21"/>
                <w:szCs w:val="21"/>
                <w:color w:val="0000FF"/>
                <w:w w:val="85"/>
              </w:rPr>
              <w:t>81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80" w:type="dxa"/>
            <w:vAlign w:val="bottom"/>
            <w:gridSpan w:val="24"/>
            <w:vMerge w:val="restart"/>
          </w:tcPr>
          <w:p>
            <w:pPr>
              <w:jc w:val="right"/>
              <w:ind w:right="114"/>
              <w:spacing w:after="0"/>
              <w:rPr>
                <w:sz w:val="20"/>
                <w:szCs w:val="20"/>
                <w:color w:val="auto"/>
              </w:rPr>
            </w:pPr>
            <w:r>
              <w:rPr>
                <w:rFonts w:ascii="Arial" w:cs="Arial" w:eastAsia="Arial" w:hAnsi="Arial"/>
                <w:sz w:val="21"/>
                <w:szCs w:val="21"/>
                <w:i w:val="1"/>
                <w:iCs w:val="1"/>
                <w:color w:val="0000FF"/>
                <w:w w:val="99"/>
              </w:rPr>
              <w:t>of Liability; Indemnification</w:t>
            </w:r>
          </w:p>
        </w:tc>
        <w:tc>
          <w:tcPr>
            <w:tcW w:w="200" w:type="dxa"/>
            <w:vAlign w:val="bottom"/>
            <w:vMerge w:val="restart"/>
          </w:tcPr>
          <w:p>
            <w:pPr>
              <w:jc w:val="right"/>
              <w:spacing w:after="0"/>
              <w:rPr>
                <w:sz w:val="20"/>
                <w:szCs w:val="20"/>
                <w:color w:val="auto"/>
              </w:rPr>
            </w:pPr>
            <w:r>
              <w:rPr>
                <w:rFonts w:ascii="Arial" w:cs="Arial" w:eastAsia="Arial" w:hAnsi="Arial"/>
                <w:sz w:val="21"/>
                <w:szCs w:val="21"/>
                <w:color w:val="FF0000"/>
                <w:strike w:val="1"/>
                <w:w w:val="76"/>
              </w:rPr>
              <w:t>80</w:t>
            </w:r>
          </w:p>
        </w:tc>
        <w:tc>
          <w:tcPr>
            <w:tcW w:w="660" w:type="dxa"/>
            <w:vAlign w:val="bottom"/>
            <w:gridSpan w:val="3"/>
            <w:vMerge w:val="restart"/>
          </w:tcPr>
          <w:p>
            <w:pPr>
              <w:jc w:val="right"/>
              <w:ind w:right="440"/>
              <w:spacing w:after="0"/>
              <w:rPr>
                <w:sz w:val="20"/>
                <w:szCs w:val="20"/>
                <w:color w:val="auto"/>
              </w:rPr>
            </w:pPr>
            <w:r>
              <w:rPr>
                <w:rFonts w:ascii="Arial" w:cs="Arial" w:eastAsia="Arial" w:hAnsi="Arial"/>
                <w:sz w:val="21"/>
                <w:szCs w:val="21"/>
                <w:color w:val="0000FF"/>
                <w:w w:val="85"/>
              </w:rPr>
              <w:t>82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680" w:type="dxa"/>
            <w:vAlign w:val="bottom"/>
            <w:gridSpan w:val="24"/>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00" w:type="dxa"/>
            <w:vAlign w:val="bottom"/>
            <w:gridSpan w:val="4"/>
          </w:tcPr>
          <w:p>
            <w:pPr>
              <w:spacing w:after="0" w:line="192" w:lineRule="exact"/>
              <w:rPr>
                <w:sz w:val="20"/>
                <w:szCs w:val="20"/>
                <w:color w:val="auto"/>
              </w:rPr>
            </w:pPr>
            <w:r>
              <w:rPr>
                <w:rFonts w:ascii="Arial" w:cs="Arial" w:eastAsia="Arial" w:hAnsi="Arial"/>
                <w:sz w:val="21"/>
                <w:szCs w:val="21"/>
                <w:color w:val="0000FF"/>
                <w:w w:val="94"/>
              </w:rPr>
              <w:t>SECTION 11.03</w:t>
            </w:r>
            <w:r>
              <w:rPr>
                <w:rFonts w:ascii="Arial" w:cs="Arial" w:eastAsia="Arial" w:hAnsi="Arial"/>
                <w:sz w:val="21"/>
                <w:szCs w:val="21"/>
                <w:i w:val="1"/>
                <w:iCs w:val="1"/>
                <w:color w:val="0000FF"/>
                <w:w w:val="94"/>
              </w:rPr>
              <w:t>. Expenses;</w:t>
            </w:r>
          </w:p>
        </w:tc>
        <w:tc>
          <w:tcPr>
            <w:tcW w:w="640" w:type="dxa"/>
            <w:vAlign w:val="bottom"/>
            <w:gridSpan w:val="7"/>
          </w:tcPr>
          <w:p>
            <w:pPr>
              <w:jc w:val="right"/>
              <w:spacing w:after="0" w:line="192" w:lineRule="exact"/>
              <w:rPr>
                <w:sz w:val="20"/>
                <w:szCs w:val="20"/>
                <w:color w:val="auto"/>
              </w:rPr>
            </w:pPr>
            <w:r>
              <w:rPr>
                <w:rFonts w:ascii="Arial" w:cs="Arial" w:eastAsia="Arial" w:hAnsi="Arial"/>
                <w:sz w:val="20"/>
                <w:szCs w:val="20"/>
                <w:i w:val="1"/>
                <w:iCs w:val="1"/>
                <w:color w:val="0000FF"/>
                <w:w w:val="72"/>
              </w:rPr>
              <w:t>Limitation</w:t>
            </w:r>
          </w:p>
        </w:tc>
        <w:tc>
          <w:tcPr>
            <w:tcW w:w="100" w:type="dxa"/>
            <w:vAlign w:val="bottom"/>
            <w:gridSpan w:val="2"/>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2680" w:type="dxa"/>
            <w:vAlign w:val="bottom"/>
            <w:gridSpan w:val="24"/>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tcBorders>
              <w:top w:val="single" w:sz="8" w:color="0000FF"/>
            </w:tcBorders>
            <w:gridSpan w:val="15"/>
          </w:tcPr>
          <w:p>
            <w:pPr>
              <w:spacing w:after="0" w:line="192" w:lineRule="exact"/>
              <w:rPr>
                <w:sz w:val="20"/>
                <w:szCs w:val="20"/>
                <w:color w:val="auto"/>
              </w:rPr>
            </w:pPr>
            <w:r>
              <w:rPr>
                <w:rFonts w:ascii="Arial" w:cs="Arial" w:eastAsia="Arial" w:hAnsi="Arial"/>
                <w:sz w:val="21"/>
                <w:szCs w:val="21"/>
                <w:color w:val="0000FF"/>
                <w:w w:val="97"/>
              </w:rPr>
              <w:t>SECTION 11.04</w:t>
            </w:r>
            <w:r>
              <w:rPr>
                <w:rFonts w:ascii="Arial" w:cs="Arial" w:eastAsia="Arial" w:hAnsi="Arial"/>
                <w:sz w:val="21"/>
                <w:szCs w:val="21"/>
                <w:i w:val="1"/>
                <w:iCs w:val="1"/>
                <w:color w:val="0000FF"/>
                <w:w w:val="97"/>
              </w:rPr>
              <w:t>. Sharing of Set-offs</w:t>
            </w:r>
          </w:p>
        </w:tc>
        <w:tc>
          <w:tcPr>
            <w:tcW w:w="240" w:type="dxa"/>
            <w:vAlign w:val="bottom"/>
            <w:tcBorders>
              <w:top w:val="single" w:sz="8" w:color="0000FF"/>
            </w:tcBorders>
            <w:gridSpan w:val="3"/>
          </w:tcPr>
          <w:p>
            <w:pPr>
              <w:jc w:val="center"/>
              <w:ind w:right="20"/>
              <w:spacing w:after="0" w:line="192" w:lineRule="exact"/>
              <w:rPr>
                <w:sz w:val="20"/>
                <w:szCs w:val="20"/>
                <w:color w:val="auto"/>
              </w:rPr>
            </w:pPr>
            <w:r>
              <w:rPr>
                <w:rFonts w:ascii="Arial" w:cs="Arial" w:eastAsia="Arial" w:hAnsi="Arial"/>
                <w:sz w:val="21"/>
                <w:szCs w:val="21"/>
                <w:color w:val="FF0000"/>
                <w:strike w:val="1"/>
                <w:w w:val="93"/>
              </w:rPr>
              <w:t>82</w:t>
            </w:r>
          </w:p>
        </w:tc>
        <w:tc>
          <w:tcPr>
            <w:tcW w:w="200" w:type="dxa"/>
            <w:vAlign w:val="bottom"/>
            <w:tcBorders>
              <w:top w:val="single" w:sz="8" w:color="0000FF"/>
            </w:tcBorders>
            <w:gridSpan w:val="4"/>
          </w:tcPr>
          <w:p>
            <w:pPr>
              <w:jc w:val="right"/>
              <w:spacing w:after="0" w:line="192" w:lineRule="exact"/>
              <w:rPr>
                <w:sz w:val="20"/>
                <w:szCs w:val="20"/>
                <w:color w:val="auto"/>
              </w:rPr>
            </w:pPr>
            <w:r>
              <w:rPr>
                <w:rFonts w:ascii="Arial" w:cs="Arial" w:eastAsia="Arial" w:hAnsi="Arial"/>
                <w:sz w:val="20"/>
                <w:szCs w:val="20"/>
                <w:color w:val="0000FF"/>
                <w:w w:val="71"/>
              </w:rPr>
              <w:t>83</w:t>
            </w: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21"/>
                <w:szCs w:val="21"/>
                <w:color w:val="FF0000"/>
                <w:strike w:val="1"/>
                <w:w w:val="85"/>
              </w:rPr>
              <w:t>83</w:t>
            </w:r>
          </w:p>
        </w:tc>
        <w:tc>
          <w:tcPr>
            <w:tcW w:w="240" w:type="dxa"/>
            <w:vAlign w:val="bottom"/>
            <w:tcBorders>
              <w:top w:val="single" w:sz="8" w:color="0000FF"/>
            </w:tcBorders>
            <w:gridSpan w:val="3"/>
            <w:vMerge w:val="restart"/>
          </w:tcPr>
          <w:p>
            <w:pPr>
              <w:jc w:val="right"/>
              <w:ind w:right="60"/>
              <w:spacing w:after="0"/>
              <w:rPr>
                <w:sz w:val="20"/>
                <w:szCs w:val="20"/>
                <w:color w:val="auto"/>
              </w:rPr>
            </w:pPr>
            <w:r>
              <w:rPr>
                <w:rFonts w:ascii="Arial" w:cs="Arial" w:eastAsia="Arial" w:hAnsi="Arial"/>
                <w:sz w:val="20"/>
                <w:szCs w:val="20"/>
                <w:color w:val="0000FF"/>
                <w:w w:val="71"/>
              </w:rPr>
              <w:t>84</w:t>
            </w:r>
          </w:p>
        </w:tc>
        <w:tc>
          <w:tcPr>
            <w:tcW w:w="6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00" w:type="dxa"/>
            <w:vAlign w:val="bottom"/>
            <w:gridSpan w:val="10"/>
          </w:tcPr>
          <w:p>
            <w:pPr>
              <w:spacing w:after="0" w:line="192" w:lineRule="exact"/>
              <w:rPr>
                <w:sz w:val="20"/>
                <w:szCs w:val="20"/>
                <w:color w:val="auto"/>
              </w:rPr>
            </w:pPr>
            <w:r>
              <w:rPr>
                <w:rFonts w:ascii="Arial" w:cs="Arial" w:eastAsia="Arial" w:hAnsi="Arial"/>
                <w:sz w:val="21"/>
                <w:szCs w:val="21"/>
                <w:color w:val="0000FF"/>
                <w:w w:val="93"/>
              </w:rPr>
              <w:t>SECTION 11.05</w:t>
            </w:r>
            <w:r>
              <w:rPr>
                <w:rFonts w:ascii="Arial" w:cs="Arial" w:eastAsia="Arial" w:hAnsi="Arial"/>
                <w:sz w:val="21"/>
                <w:szCs w:val="21"/>
                <w:i w:val="1"/>
                <w:iCs w:val="1"/>
                <w:color w:val="0000FF"/>
                <w:w w:val="93"/>
              </w:rPr>
              <w:t>. Amendments and</w:t>
            </w:r>
          </w:p>
        </w:tc>
        <w:tc>
          <w:tcPr>
            <w:tcW w:w="640" w:type="dxa"/>
            <w:vAlign w:val="bottom"/>
            <w:gridSpan w:val="11"/>
          </w:tcPr>
          <w:p>
            <w:pPr>
              <w:jc w:val="center"/>
              <w:spacing w:after="0" w:line="192" w:lineRule="exact"/>
              <w:rPr>
                <w:sz w:val="20"/>
                <w:szCs w:val="20"/>
                <w:color w:val="auto"/>
              </w:rPr>
            </w:pPr>
            <w:r>
              <w:rPr>
                <w:rFonts w:ascii="Arial" w:cs="Arial" w:eastAsia="Arial" w:hAnsi="Arial"/>
                <w:sz w:val="21"/>
                <w:szCs w:val="21"/>
                <w:i w:val="1"/>
                <w:iCs w:val="1"/>
                <w:color w:val="0000FF"/>
                <w:w w:val="79"/>
              </w:rPr>
              <w:t>Waivers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top w:val="single" w:sz="8" w:color="0000FF"/>
            </w:tcBorders>
            <w:gridSpan w:val="21"/>
          </w:tcPr>
          <w:p>
            <w:pPr>
              <w:spacing w:after="0" w:line="192" w:lineRule="exact"/>
              <w:rPr>
                <w:sz w:val="20"/>
                <w:szCs w:val="20"/>
                <w:color w:val="auto"/>
              </w:rPr>
            </w:pPr>
            <w:r>
              <w:rPr>
                <w:rFonts w:ascii="Arial" w:cs="Arial" w:eastAsia="Arial" w:hAnsi="Arial"/>
                <w:sz w:val="21"/>
                <w:szCs w:val="21"/>
                <w:color w:val="0000FF"/>
                <w:w w:val="94"/>
              </w:rPr>
              <w:t>SECTION 11.06</w:t>
            </w:r>
            <w:r>
              <w:rPr>
                <w:rFonts w:ascii="Arial" w:cs="Arial" w:eastAsia="Arial" w:hAnsi="Arial"/>
                <w:sz w:val="21"/>
                <w:szCs w:val="21"/>
                <w:i w:val="1"/>
                <w:iCs w:val="1"/>
                <w:color w:val="0000FF"/>
                <w:w w:val="94"/>
              </w:rPr>
              <w:t>. Successors and Assigns</w:t>
            </w:r>
          </w:p>
        </w:tc>
        <w:tc>
          <w:tcPr>
            <w:tcW w:w="240" w:type="dxa"/>
            <w:vAlign w:val="bottom"/>
            <w:gridSpan w:val="6"/>
          </w:tcPr>
          <w:p>
            <w:pPr>
              <w:jc w:val="right"/>
              <w:spacing w:after="0" w:line="192" w:lineRule="exact"/>
              <w:rPr>
                <w:sz w:val="20"/>
                <w:szCs w:val="20"/>
                <w:color w:val="auto"/>
              </w:rPr>
            </w:pPr>
            <w:r>
              <w:rPr>
                <w:rFonts w:ascii="Arial" w:cs="Arial" w:eastAsia="Arial" w:hAnsi="Arial"/>
                <w:sz w:val="21"/>
                <w:szCs w:val="21"/>
                <w:color w:val="FF0000"/>
                <w:strike w:val="1"/>
                <w:w w:val="85"/>
              </w:rPr>
              <w:t>84</w:t>
            </w:r>
          </w:p>
        </w:tc>
        <w:tc>
          <w:tcPr>
            <w:tcW w:w="180" w:type="dxa"/>
            <w:vAlign w:val="bottom"/>
          </w:tcPr>
          <w:p>
            <w:pPr>
              <w:spacing w:after="0" w:line="192" w:lineRule="exact"/>
              <w:rPr>
                <w:sz w:val="20"/>
                <w:szCs w:val="20"/>
                <w:color w:val="auto"/>
              </w:rPr>
            </w:pPr>
            <w:r>
              <w:rPr>
                <w:rFonts w:ascii="Arial" w:cs="Arial" w:eastAsia="Arial" w:hAnsi="Arial"/>
                <w:sz w:val="17"/>
                <w:szCs w:val="17"/>
                <w:color w:val="0000FF"/>
                <w:w w:val="73"/>
              </w:rPr>
              <w:t>85</w:t>
            </w: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15"/>
          </w:tcPr>
          <w:p>
            <w:pPr>
              <w:spacing w:after="0" w:line="192" w:lineRule="exact"/>
              <w:rPr>
                <w:sz w:val="20"/>
                <w:szCs w:val="20"/>
                <w:color w:val="auto"/>
              </w:rPr>
            </w:pPr>
            <w:r>
              <w:rPr>
                <w:rFonts w:ascii="Arial" w:cs="Arial" w:eastAsia="Arial" w:hAnsi="Arial"/>
                <w:sz w:val="21"/>
                <w:szCs w:val="21"/>
                <w:color w:val="0000FF"/>
                <w:w w:val="93"/>
              </w:rPr>
              <w:t>SECTION 11.07</w:t>
            </w:r>
            <w:r>
              <w:rPr>
                <w:rFonts w:ascii="Arial" w:cs="Arial" w:eastAsia="Arial" w:hAnsi="Arial"/>
                <w:sz w:val="21"/>
                <w:szCs w:val="21"/>
                <w:i w:val="1"/>
                <w:iCs w:val="1"/>
                <w:color w:val="0000FF"/>
                <w:w w:val="93"/>
              </w:rPr>
              <w:t>. Designated Lenders</w:t>
            </w:r>
          </w:p>
        </w:tc>
        <w:tc>
          <w:tcPr>
            <w:tcW w:w="340" w:type="dxa"/>
            <w:vAlign w:val="bottom"/>
            <w:gridSpan w:val="4"/>
          </w:tcPr>
          <w:p>
            <w:pPr>
              <w:jc w:val="right"/>
              <w:spacing w:after="0" w:line="192" w:lineRule="exact"/>
              <w:rPr>
                <w:sz w:val="20"/>
                <w:szCs w:val="20"/>
                <w:color w:val="auto"/>
              </w:rPr>
            </w:pPr>
            <w:r>
              <w:rPr>
                <w:rFonts w:ascii="Arial" w:cs="Arial" w:eastAsia="Arial" w:hAnsi="Arial"/>
                <w:sz w:val="21"/>
                <w:szCs w:val="21"/>
                <w:color w:val="FF0000"/>
                <w:strike w:val="1"/>
              </w:rPr>
              <w:t>86</w:t>
            </w:r>
          </w:p>
        </w:tc>
        <w:tc>
          <w:tcPr>
            <w:tcW w:w="220" w:type="dxa"/>
            <w:vAlign w:val="bottom"/>
            <w:gridSpan w:val="6"/>
          </w:tcPr>
          <w:p>
            <w:pPr>
              <w:jc w:val="right"/>
              <w:ind w:right="20"/>
              <w:spacing w:after="0" w:line="192" w:lineRule="exact"/>
              <w:rPr>
                <w:sz w:val="20"/>
                <w:szCs w:val="20"/>
                <w:color w:val="auto"/>
              </w:rPr>
            </w:pPr>
            <w:r>
              <w:rPr>
                <w:rFonts w:ascii="Arial" w:cs="Arial" w:eastAsia="Arial" w:hAnsi="Arial"/>
                <w:sz w:val="21"/>
                <w:szCs w:val="21"/>
                <w:color w:val="0000FF"/>
                <w:w w:val="76"/>
              </w:rPr>
              <w:t>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80" w:type="dxa"/>
            <w:vAlign w:val="bottom"/>
            <w:tcBorders>
              <w:top w:val="single" w:sz="8" w:color="0000FF"/>
            </w:tcBorders>
            <w:gridSpan w:val="5"/>
          </w:tcPr>
          <w:p>
            <w:pPr>
              <w:spacing w:after="0" w:line="172" w:lineRule="exact"/>
              <w:rPr>
                <w:sz w:val="20"/>
                <w:szCs w:val="20"/>
                <w:color w:val="auto"/>
              </w:rPr>
            </w:pPr>
            <w:r>
              <w:rPr>
                <w:rFonts w:ascii="Arial" w:cs="Arial" w:eastAsia="Arial" w:hAnsi="Arial"/>
                <w:sz w:val="19"/>
                <w:szCs w:val="19"/>
                <w:color w:val="0000FF"/>
              </w:rPr>
              <w:t>SECTION 11.08</w:t>
            </w:r>
            <w:r>
              <w:rPr>
                <w:rFonts w:ascii="Arial" w:cs="Arial" w:eastAsia="Arial" w:hAnsi="Arial"/>
                <w:sz w:val="19"/>
                <w:szCs w:val="19"/>
                <w:i w:val="1"/>
                <w:iCs w:val="1"/>
                <w:color w:val="0000FF"/>
              </w:rPr>
              <w:t>. Collateral</w:t>
            </w:r>
          </w:p>
        </w:tc>
        <w:tc>
          <w:tcPr>
            <w:tcW w:w="240" w:type="dxa"/>
            <w:vAlign w:val="bottom"/>
            <w:tcBorders>
              <w:top w:val="single" w:sz="8" w:color="0000FF"/>
            </w:tcBorders>
            <w:gridSpan w:val="2"/>
          </w:tcPr>
          <w:p>
            <w:pPr>
              <w:jc w:val="right"/>
              <w:spacing w:after="0" w:line="172" w:lineRule="exact"/>
              <w:rPr>
                <w:sz w:val="20"/>
                <w:szCs w:val="20"/>
                <w:color w:val="auto"/>
              </w:rPr>
            </w:pPr>
            <w:r>
              <w:rPr>
                <w:rFonts w:ascii="Arial" w:cs="Arial" w:eastAsia="Arial" w:hAnsi="Arial"/>
                <w:sz w:val="19"/>
                <w:szCs w:val="19"/>
                <w:color w:val="FF0000"/>
                <w:strike w:val="1"/>
              </w:rPr>
              <w:t>87</w:t>
            </w:r>
          </w:p>
        </w:tc>
        <w:tc>
          <w:tcPr>
            <w:tcW w:w="280" w:type="dxa"/>
            <w:vAlign w:val="bottom"/>
            <w:tcBorders>
              <w:top w:val="single" w:sz="8" w:color="0000FF"/>
            </w:tcBorders>
            <w:gridSpan w:val="3"/>
          </w:tcPr>
          <w:p>
            <w:pPr>
              <w:jc w:val="right"/>
              <w:spacing w:after="0" w:line="172" w:lineRule="exact"/>
              <w:rPr>
                <w:sz w:val="20"/>
                <w:szCs w:val="20"/>
                <w:color w:val="auto"/>
              </w:rPr>
            </w:pPr>
            <w:r>
              <w:rPr>
                <w:rFonts w:ascii="Arial" w:cs="Arial" w:eastAsia="Arial" w:hAnsi="Arial"/>
                <w:sz w:val="19"/>
                <w:szCs w:val="19"/>
                <w:color w:val="0000FF"/>
                <w:w w:val="94"/>
              </w:rPr>
              <w:t>88</w:t>
            </w: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00" w:type="dxa"/>
            <w:vAlign w:val="bottom"/>
            <w:tcBorders>
              <w:top w:val="single" w:sz="8" w:color="0000FF"/>
            </w:tcBorders>
            <w:gridSpan w:val="3"/>
          </w:tcPr>
          <w:p>
            <w:pPr>
              <w:spacing w:after="0" w:line="192" w:lineRule="exact"/>
              <w:rPr>
                <w:sz w:val="20"/>
                <w:szCs w:val="20"/>
                <w:color w:val="auto"/>
              </w:rPr>
            </w:pPr>
            <w:r>
              <w:rPr>
                <w:rFonts w:ascii="Arial" w:cs="Arial" w:eastAsia="Arial" w:hAnsi="Arial"/>
                <w:sz w:val="21"/>
                <w:szCs w:val="21"/>
                <w:color w:val="0000FF"/>
                <w:w w:val="91"/>
              </w:rPr>
              <w:t>SECTION 11.09</w:t>
            </w:r>
            <w:r>
              <w:rPr>
                <w:rFonts w:ascii="Arial" w:cs="Arial" w:eastAsia="Arial" w:hAnsi="Arial"/>
                <w:sz w:val="21"/>
                <w:szCs w:val="21"/>
                <w:i w:val="1"/>
                <w:iCs w:val="1"/>
                <w:color w:val="0000FF"/>
                <w:w w:val="91"/>
              </w:rPr>
              <w:t>. Governing</w:t>
            </w:r>
          </w:p>
        </w:tc>
        <w:tc>
          <w:tcPr>
            <w:tcW w:w="420" w:type="dxa"/>
            <w:vAlign w:val="bottom"/>
            <w:gridSpan w:val="4"/>
          </w:tcPr>
          <w:p>
            <w:pPr>
              <w:jc w:val="right"/>
              <w:spacing w:after="0" w:line="192" w:lineRule="exact"/>
              <w:rPr>
                <w:sz w:val="20"/>
                <w:szCs w:val="20"/>
                <w:color w:val="auto"/>
              </w:rPr>
            </w:pPr>
            <w:r>
              <w:rPr>
                <w:rFonts w:ascii="Arial" w:cs="Arial" w:eastAsia="Arial" w:hAnsi="Arial"/>
                <w:sz w:val="21"/>
                <w:szCs w:val="21"/>
                <w:i w:val="1"/>
                <w:iCs w:val="1"/>
                <w:color w:val="0000FF"/>
                <w:w w:val="90"/>
              </w:rPr>
              <w:t>Law;</w:t>
            </w: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340" w:type="dxa"/>
            <w:vAlign w:val="bottom"/>
            <w:gridSpan w:val="25"/>
          </w:tcPr>
          <w:p>
            <w:pPr>
              <w:spacing w:after="0" w:line="192" w:lineRule="exact"/>
              <w:rPr>
                <w:sz w:val="20"/>
                <w:szCs w:val="20"/>
                <w:color w:val="auto"/>
              </w:rPr>
            </w:pPr>
            <w:r>
              <w:rPr>
                <w:rFonts w:ascii="Arial" w:cs="Arial" w:eastAsia="Arial" w:hAnsi="Arial"/>
                <w:sz w:val="21"/>
                <w:szCs w:val="21"/>
                <w:i w:val="1"/>
                <w:iCs w:val="1"/>
                <w:color w:val="0000FF"/>
                <w:w w:val="95"/>
              </w:rPr>
              <w:t>Submission to Jurisdiction</w:t>
            </w:r>
          </w:p>
        </w:tc>
        <w:tc>
          <w:tcPr>
            <w:tcW w:w="220" w:type="dxa"/>
            <w:vAlign w:val="bottom"/>
          </w:tcPr>
          <w:p>
            <w:pPr>
              <w:jc w:val="right"/>
              <w:spacing w:after="0" w:line="192" w:lineRule="exact"/>
              <w:rPr>
                <w:sz w:val="20"/>
                <w:szCs w:val="20"/>
                <w:color w:val="auto"/>
              </w:rPr>
            </w:pPr>
            <w:r>
              <w:rPr>
                <w:rFonts w:ascii="Arial" w:cs="Arial" w:eastAsia="Arial" w:hAnsi="Arial"/>
                <w:sz w:val="21"/>
                <w:szCs w:val="21"/>
                <w:color w:val="FF0000"/>
                <w:strike w:val="1"/>
                <w:w w:val="85"/>
              </w:rPr>
              <w:t>87</w:t>
            </w:r>
          </w:p>
        </w:tc>
        <w:tc>
          <w:tcPr>
            <w:tcW w:w="1200" w:type="dxa"/>
            <w:vAlign w:val="bottom"/>
            <w:gridSpan w:val="7"/>
          </w:tcPr>
          <w:p>
            <w:pPr>
              <w:jc w:val="right"/>
              <w:ind w:right="1000"/>
              <w:spacing w:after="0" w:line="192" w:lineRule="exact"/>
              <w:rPr>
                <w:sz w:val="20"/>
                <w:szCs w:val="20"/>
                <w:color w:val="auto"/>
              </w:rPr>
            </w:pPr>
            <w:r>
              <w:rPr>
                <w:rFonts w:ascii="Arial" w:cs="Arial" w:eastAsia="Arial" w:hAnsi="Arial"/>
                <w:sz w:val="21"/>
                <w:szCs w:val="21"/>
                <w:color w:val="0000FF"/>
                <w:w w:val="76"/>
              </w:rPr>
              <w:t>88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40" w:type="dxa"/>
            <w:vAlign w:val="bottom"/>
            <w:gridSpan w:val="7"/>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20" w:type="dxa"/>
            <w:vAlign w:val="bottom"/>
            <w:gridSpan w:val="6"/>
            <w:vMerge w:val="restart"/>
          </w:tcPr>
          <w:p>
            <w:pPr>
              <w:ind w:left="160"/>
              <w:spacing w:after="0" w:line="212" w:lineRule="exact"/>
              <w:rPr>
                <w:sz w:val="20"/>
                <w:szCs w:val="20"/>
                <w:color w:val="auto"/>
              </w:rPr>
            </w:pPr>
            <w:r>
              <w:rPr>
                <w:rFonts w:ascii="Arial" w:cs="Arial" w:eastAsia="Arial" w:hAnsi="Arial"/>
                <w:sz w:val="21"/>
                <w:szCs w:val="21"/>
                <w:i w:val="1"/>
                <w:iCs w:val="1"/>
                <w:color w:val="0000FF"/>
              </w:rPr>
              <w:t>Execution</w:t>
            </w:r>
          </w:p>
        </w:tc>
        <w:tc>
          <w:tcPr>
            <w:tcW w:w="220" w:type="dxa"/>
            <w:vAlign w:val="bottom"/>
            <w:vMerge w:val="restart"/>
          </w:tcPr>
          <w:p>
            <w:pPr>
              <w:jc w:val="right"/>
              <w:spacing w:after="0" w:line="212" w:lineRule="exact"/>
              <w:rPr>
                <w:sz w:val="20"/>
                <w:szCs w:val="20"/>
                <w:color w:val="auto"/>
              </w:rPr>
            </w:pPr>
            <w:r>
              <w:rPr>
                <w:rFonts w:ascii="Arial" w:cs="Arial" w:eastAsia="Arial" w:hAnsi="Arial"/>
                <w:sz w:val="21"/>
                <w:szCs w:val="21"/>
                <w:color w:val="FF0000"/>
                <w:strike w:val="1"/>
                <w:w w:val="85"/>
              </w:rPr>
              <w:t>87</w:t>
            </w:r>
          </w:p>
        </w:tc>
        <w:tc>
          <w:tcPr>
            <w:tcW w:w="200" w:type="dxa"/>
            <w:vAlign w:val="bottom"/>
            <w:vMerge w:val="restart"/>
          </w:tcPr>
          <w:p>
            <w:pPr>
              <w:jc w:val="right"/>
              <w:spacing w:after="0" w:line="212" w:lineRule="exact"/>
              <w:rPr>
                <w:sz w:val="20"/>
                <w:szCs w:val="20"/>
                <w:color w:val="auto"/>
              </w:rPr>
            </w:pPr>
            <w:r>
              <w:rPr>
                <w:rFonts w:ascii="Arial" w:cs="Arial" w:eastAsia="Arial" w:hAnsi="Arial"/>
                <w:sz w:val="21"/>
                <w:szCs w:val="21"/>
                <w:color w:val="0000FF"/>
                <w:w w:val="76"/>
              </w:rPr>
              <w:t>89</w:t>
            </w:r>
          </w:p>
        </w:tc>
        <w:tc>
          <w:tcPr>
            <w:tcW w:w="8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gridSpan w:val="34"/>
          </w:tcPr>
          <w:p>
            <w:pPr>
              <w:spacing w:after="0" w:line="192" w:lineRule="exact"/>
              <w:rPr>
                <w:sz w:val="20"/>
                <w:szCs w:val="20"/>
                <w:color w:val="auto"/>
              </w:rPr>
            </w:pPr>
            <w:r>
              <w:rPr>
                <w:rFonts w:ascii="Arial" w:cs="Arial" w:eastAsia="Arial" w:hAnsi="Arial"/>
                <w:sz w:val="21"/>
                <w:szCs w:val="21"/>
                <w:color w:val="0000FF"/>
                <w:w w:val="96"/>
              </w:rPr>
              <w:t>SECTION 11.10</w:t>
            </w:r>
            <w:r>
              <w:rPr>
                <w:rFonts w:ascii="Arial" w:cs="Arial" w:eastAsia="Arial" w:hAnsi="Arial"/>
                <w:sz w:val="21"/>
                <w:szCs w:val="21"/>
                <w:i w:val="1"/>
                <w:iCs w:val="1"/>
                <w:color w:val="0000FF"/>
                <w:w w:val="96"/>
              </w:rPr>
              <w:t>. Counterparts; Integration; Effectiveness;</w:t>
            </w:r>
          </w:p>
        </w:tc>
        <w:tc>
          <w:tcPr>
            <w:tcW w:w="640" w:type="dxa"/>
            <w:vAlign w:val="bottom"/>
            <w:gridSpan w:val="4"/>
          </w:tcPr>
          <w:p>
            <w:pPr>
              <w:jc w:val="right"/>
              <w:spacing w:after="0" w:line="192" w:lineRule="exact"/>
              <w:rPr>
                <w:sz w:val="20"/>
                <w:szCs w:val="20"/>
                <w:color w:val="auto"/>
              </w:rPr>
            </w:pPr>
            <w:r>
              <w:rPr>
                <w:rFonts w:ascii="Arial" w:cs="Arial" w:eastAsia="Arial" w:hAnsi="Arial"/>
                <w:sz w:val="20"/>
                <w:szCs w:val="20"/>
                <w:i w:val="1"/>
                <w:iCs w:val="1"/>
                <w:color w:val="0000FF"/>
                <w:w w:val="70"/>
              </w:rPr>
              <w:t>Electronic</w:t>
            </w:r>
          </w:p>
        </w:tc>
        <w:tc>
          <w:tcPr>
            <w:tcW w:w="1220" w:type="dxa"/>
            <w:vAlign w:val="bottom"/>
            <w:gridSpan w:val="6"/>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780" w:type="dxa"/>
            <w:vAlign w:val="bottom"/>
            <w:tcBorders>
              <w:top w:val="single" w:sz="8" w:color="0000FF"/>
            </w:tcBorders>
            <w:gridSpan w:val="23"/>
          </w:tcPr>
          <w:p>
            <w:pPr>
              <w:spacing w:after="0" w:line="172" w:lineRule="exact"/>
              <w:rPr>
                <w:sz w:val="20"/>
                <w:szCs w:val="20"/>
                <w:color w:val="auto"/>
              </w:rPr>
            </w:pPr>
            <w:r>
              <w:rPr>
                <w:rFonts w:ascii="Arial" w:cs="Arial" w:eastAsia="Arial" w:hAnsi="Arial"/>
                <w:sz w:val="19"/>
                <w:szCs w:val="19"/>
                <w:color w:val="0000FF"/>
              </w:rPr>
              <w:t>SECTION 11.11</w:t>
            </w:r>
            <w:r>
              <w:rPr>
                <w:rFonts w:ascii="Arial" w:cs="Arial" w:eastAsia="Arial" w:hAnsi="Arial"/>
                <w:sz w:val="19"/>
                <w:szCs w:val="19"/>
                <w:i w:val="1"/>
                <w:iCs w:val="1"/>
                <w:color w:val="0000FF"/>
              </w:rPr>
              <w:t>. WAIVER OF JURY TRIAL</w:t>
            </w:r>
          </w:p>
        </w:tc>
        <w:tc>
          <w:tcPr>
            <w:tcW w:w="200" w:type="dxa"/>
            <w:vAlign w:val="bottom"/>
            <w:tcBorders>
              <w:top w:val="single" w:sz="8" w:color="0000FF"/>
            </w:tcBorders>
            <w:gridSpan w:val="4"/>
          </w:tcPr>
          <w:p>
            <w:pPr>
              <w:spacing w:after="0"/>
              <w:rPr>
                <w:sz w:val="14"/>
                <w:szCs w:val="14"/>
                <w:color w:val="auto"/>
              </w:rPr>
            </w:pPr>
          </w:p>
        </w:tc>
        <w:tc>
          <w:tcPr>
            <w:tcW w:w="240" w:type="dxa"/>
            <w:vAlign w:val="bottom"/>
            <w:tcBorders>
              <w:top w:val="single" w:sz="8" w:color="0000FF"/>
            </w:tcBorders>
            <w:gridSpan w:val="2"/>
          </w:tcPr>
          <w:p>
            <w:pPr>
              <w:spacing w:after="0" w:line="172" w:lineRule="exact"/>
              <w:rPr>
                <w:sz w:val="20"/>
                <w:szCs w:val="20"/>
                <w:color w:val="auto"/>
              </w:rPr>
            </w:pPr>
            <w:r>
              <w:rPr>
                <w:rFonts w:ascii="Arial" w:cs="Arial" w:eastAsia="Arial" w:hAnsi="Arial"/>
                <w:sz w:val="19"/>
                <w:szCs w:val="19"/>
                <w:color w:val="FF0000"/>
                <w:strike w:val="1"/>
                <w:w w:val="94"/>
              </w:rPr>
              <w:t>89</w:t>
            </w:r>
          </w:p>
        </w:tc>
        <w:tc>
          <w:tcPr>
            <w:tcW w:w="180" w:type="dxa"/>
            <w:vAlign w:val="bottom"/>
            <w:tcBorders>
              <w:top w:val="single" w:sz="8" w:color="0000FF"/>
            </w:tcBorders>
            <w:gridSpan w:val="2"/>
          </w:tcPr>
          <w:p>
            <w:pPr>
              <w:jc w:val="right"/>
              <w:spacing w:after="0" w:line="172" w:lineRule="exact"/>
              <w:rPr>
                <w:sz w:val="20"/>
                <w:szCs w:val="20"/>
                <w:color w:val="auto"/>
              </w:rPr>
            </w:pPr>
            <w:r>
              <w:rPr>
                <w:rFonts w:ascii="Arial" w:cs="Arial" w:eastAsia="Arial" w:hAnsi="Arial"/>
                <w:sz w:val="19"/>
                <w:szCs w:val="19"/>
                <w:color w:val="0000FF"/>
                <w:w w:val="75"/>
              </w:rPr>
              <w:t>90</w:t>
            </w: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140" w:type="dxa"/>
            <w:vAlign w:val="bottom"/>
            <w:tcBorders>
              <w:top w:val="single" w:sz="8" w:color="0000FF"/>
            </w:tcBorders>
            <w:gridSpan w:val="11"/>
          </w:tcPr>
          <w:p>
            <w:pPr>
              <w:spacing w:after="0" w:line="202" w:lineRule="exact"/>
              <w:rPr>
                <w:sz w:val="20"/>
                <w:szCs w:val="20"/>
                <w:color w:val="auto"/>
              </w:rPr>
            </w:pPr>
            <w:r>
              <w:rPr>
                <w:rFonts w:ascii="Arial" w:cs="Arial" w:eastAsia="Arial" w:hAnsi="Arial"/>
                <w:sz w:val="21"/>
                <w:szCs w:val="21"/>
                <w:u w:val="single" w:color="auto"/>
                <w:color w:val="0000FF"/>
              </w:rPr>
              <w:t>SECTION 11.12</w:t>
            </w:r>
            <w:r>
              <w:rPr>
                <w:rFonts w:ascii="Arial" w:cs="Arial" w:eastAsia="Arial" w:hAnsi="Arial"/>
                <w:sz w:val="21"/>
                <w:szCs w:val="21"/>
                <w:i w:val="1"/>
                <w:iCs w:val="1"/>
                <w:u w:val="single" w:color="auto"/>
                <w:color w:val="0000FF"/>
              </w:rPr>
              <w:t>. USA Patriot Act</w:t>
            </w:r>
          </w:p>
        </w:tc>
        <w:tc>
          <w:tcPr>
            <w:tcW w:w="180" w:type="dxa"/>
            <w:vAlign w:val="bottom"/>
            <w:tcBorders>
              <w:top w:val="single" w:sz="8" w:color="0000FF"/>
            </w:tcBorders>
            <w:gridSpan w:val="4"/>
          </w:tcPr>
          <w:p>
            <w:pPr>
              <w:jc w:val="right"/>
              <w:spacing w:after="0" w:line="202" w:lineRule="exact"/>
              <w:rPr>
                <w:sz w:val="20"/>
                <w:szCs w:val="20"/>
                <w:color w:val="auto"/>
              </w:rPr>
            </w:pPr>
            <w:r>
              <w:rPr>
                <w:rFonts w:ascii="Arial" w:cs="Arial" w:eastAsia="Arial" w:hAnsi="Arial"/>
                <w:sz w:val="20"/>
                <w:szCs w:val="20"/>
                <w:color w:val="FF0000"/>
                <w:strike w:val="1"/>
                <w:w w:val="71"/>
              </w:rPr>
              <w:t>89</w:t>
            </w:r>
          </w:p>
        </w:tc>
        <w:tc>
          <w:tcPr>
            <w:tcW w:w="440" w:type="dxa"/>
            <w:vAlign w:val="bottom"/>
            <w:tcBorders>
              <w:top w:val="single" w:sz="8" w:color="0000FF"/>
            </w:tcBorders>
            <w:gridSpan w:val="7"/>
          </w:tcPr>
          <w:p>
            <w:pPr>
              <w:jc w:val="center"/>
              <w:ind w:right="114"/>
              <w:spacing w:after="0" w:line="202" w:lineRule="exact"/>
              <w:rPr>
                <w:sz w:val="20"/>
                <w:szCs w:val="20"/>
                <w:color w:val="auto"/>
              </w:rPr>
            </w:pPr>
            <w:r>
              <w:rPr>
                <w:rFonts w:ascii="Arial" w:cs="Arial" w:eastAsia="Arial" w:hAnsi="Arial"/>
                <w:sz w:val="21"/>
                <w:szCs w:val="21"/>
                <w:u w:val="single" w:color="auto"/>
                <w:color w:val="0000FF"/>
                <w:w w:val="93"/>
              </w:rPr>
              <w:t>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5140" w:val="left"/>
        </w:tabs>
        <w:rPr>
          <w:sz w:val="20"/>
          <w:szCs w:val="20"/>
          <w:color w:val="auto"/>
        </w:rPr>
      </w:pPr>
      <w:r>
        <w:rPr>
          <w:rFonts w:ascii="Arial" w:cs="Arial" w:eastAsia="Arial" w:hAnsi="Arial"/>
          <w:sz w:val="21"/>
          <w:szCs w:val="21"/>
          <w:u w:val="single" w:color="auto"/>
          <w:color w:val="0000FF"/>
        </w:rPr>
        <w:t>SECTION 11.13</w:t>
      </w:r>
      <w:r>
        <w:rPr>
          <w:rFonts w:ascii="Arial" w:cs="Arial" w:eastAsia="Arial" w:hAnsi="Arial"/>
          <w:sz w:val="21"/>
          <w:szCs w:val="21"/>
          <w:i w:val="1"/>
          <w:iCs w:val="1"/>
          <w:u w:val="single" w:color="auto"/>
          <w:color w:val="0000FF"/>
        </w:rPr>
        <w:t>. No Fiduciary Duty; Obligations Several</w:t>
      </w:r>
      <w:r>
        <w:rPr>
          <w:sz w:val="20"/>
          <w:szCs w:val="20"/>
          <w:color w:val="auto"/>
        </w:rPr>
        <w:tab/>
      </w:r>
      <w:r>
        <w:rPr>
          <w:rFonts w:ascii="Arial" w:cs="Arial" w:eastAsia="Arial" w:hAnsi="Arial"/>
          <w:sz w:val="18"/>
          <w:szCs w:val="18"/>
          <w:color w:val="FF0000"/>
          <w:strike w:val="1"/>
        </w:rPr>
        <w:t>89</w:t>
      </w:r>
      <w:r>
        <w:rPr>
          <w:rFonts w:ascii="Arial" w:cs="Arial" w:eastAsia="Arial" w:hAnsi="Arial"/>
          <w:sz w:val="18"/>
          <w:szCs w:val="18"/>
          <w:u w:val="single" w:color="auto"/>
          <w:color w:val="0000FF"/>
          <w:strike w:val="1"/>
        </w:rPr>
        <w:t>90</w:t>
      </w:r>
    </w:p>
    <w:p>
      <w:pPr>
        <w:spacing w:after="0" w:line="1" w:lineRule="exact"/>
        <w:rPr>
          <w:sz w:val="20"/>
          <w:szCs w:val="20"/>
          <w:color w:val="auto"/>
        </w:rPr>
      </w:pPr>
    </w:p>
    <w:p>
      <w:pPr>
        <w:ind w:right="1599"/>
        <w:spacing w:after="0" w:line="224" w:lineRule="auto"/>
        <w:rPr>
          <w:sz w:val="20"/>
          <w:szCs w:val="20"/>
          <w:color w:val="auto"/>
        </w:rPr>
      </w:pPr>
      <w:r>
        <w:rPr>
          <w:rFonts w:ascii="Arial" w:cs="Arial" w:eastAsia="Arial" w:hAnsi="Arial"/>
          <w:sz w:val="21"/>
          <w:szCs w:val="21"/>
          <w:u w:val="single" w:color="auto"/>
          <w:color w:val="0000FF"/>
        </w:rPr>
        <w:t>SECTION 11.14</w:t>
      </w:r>
      <w:r>
        <w:rPr>
          <w:rFonts w:ascii="Arial" w:cs="Arial" w:eastAsia="Arial" w:hAnsi="Arial"/>
          <w:sz w:val="21"/>
          <w:szCs w:val="21"/>
          <w:i w:val="1"/>
          <w:iCs w:val="1"/>
          <w:u w:val="single" w:color="auto"/>
          <w:color w:val="0000FF"/>
        </w:rPr>
        <w:t>. Acknowledgement and Consent to Bail-In of Affected Financial Institutions</w:t>
      </w:r>
      <w:r>
        <w:rPr>
          <w:rFonts w:ascii="Arial" w:cs="Arial" w:eastAsia="Arial" w:hAnsi="Arial"/>
          <w:sz w:val="21"/>
          <w:szCs w:val="21"/>
          <w:u w:val="single" w:color="auto"/>
          <w:color w:val="0000FF"/>
        </w:rPr>
        <w:t xml:space="preserve"> </w:t>
      </w:r>
      <w:r>
        <w:rPr>
          <w:rFonts w:ascii="Arial" w:cs="Arial" w:eastAsia="Arial" w:hAnsi="Arial"/>
          <w:sz w:val="21"/>
          <w:szCs w:val="21"/>
          <w:color w:val="FF0000"/>
          <w:strike w:val="1"/>
        </w:rPr>
        <w:t>89</w:t>
      </w:r>
      <w:r>
        <w:rPr>
          <w:rFonts w:ascii="Arial" w:cs="Arial" w:eastAsia="Arial" w:hAnsi="Arial"/>
          <w:sz w:val="21"/>
          <w:szCs w:val="21"/>
          <w:u w:val="single" w:color="auto"/>
          <w:color w:val="0000FF"/>
        </w:rPr>
        <w:t>90 SECTION 11.15</w:t>
      </w:r>
      <w:r>
        <w:rPr>
          <w:rFonts w:ascii="Arial" w:cs="Arial" w:eastAsia="Arial" w:hAnsi="Arial"/>
          <w:sz w:val="21"/>
          <w:szCs w:val="21"/>
          <w:i w:val="1"/>
          <w:iCs w:val="1"/>
          <w:u w:val="single" w:color="auto"/>
          <w:color w:val="0000FF"/>
        </w:rPr>
        <w:t>. Acknowledgement Regarding Any Supported QFCs</w:t>
      </w:r>
      <w:r>
        <w:rPr>
          <w:rFonts w:ascii="Arial" w:cs="Arial" w:eastAsia="Arial" w:hAnsi="Arial"/>
          <w:sz w:val="21"/>
          <w:szCs w:val="21"/>
          <w:u w:val="single" w:color="auto"/>
          <w:color w:val="0000FF"/>
        </w:rPr>
        <w:t xml:space="preserve"> </w:t>
      </w:r>
      <w:r>
        <w:rPr>
          <w:rFonts w:ascii="Arial" w:cs="Arial" w:eastAsia="Arial" w:hAnsi="Arial"/>
          <w:sz w:val="21"/>
          <w:szCs w:val="21"/>
          <w:color w:val="FF0000"/>
          <w:strike w:val="1"/>
        </w:rPr>
        <w:t>90</w:t>
      </w:r>
      <w:r>
        <w:rPr>
          <w:rFonts w:ascii="Arial" w:cs="Arial" w:eastAsia="Arial" w:hAnsi="Arial"/>
          <w:sz w:val="21"/>
          <w:szCs w:val="21"/>
          <w:u w:val="single" w:color="auto"/>
          <w:color w:val="0000FF"/>
        </w:rPr>
        <w:t>91 SECTION 11.16</w:t>
      </w:r>
      <w:r>
        <w:rPr>
          <w:rFonts w:ascii="Arial" w:cs="Arial" w:eastAsia="Arial" w:hAnsi="Arial"/>
          <w:sz w:val="21"/>
          <w:szCs w:val="21"/>
          <w:i w:val="1"/>
          <w:iCs w:val="1"/>
          <w:u w:val="single" w:color="auto"/>
          <w:color w:val="0000FF"/>
        </w:rPr>
        <w:t>. Confidentiality</w:t>
      </w:r>
      <w:r>
        <w:rPr>
          <w:rFonts w:ascii="Arial" w:cs="Arial" w:eastAsia="Arial" w:hAnsi="Arial"/>
          <w:sz w:val="21"/>
          <w:szCs w:val="21"/>
          <w:u w:val="single" w:color="auto"/>
          <w:color w:val="0000FF"/>
        </w:rPr>
        <w:t xml:space="preserve"> </w:t>
      </w:r>
      <w:r>
        <w:rPr>
          <w:rFonts w:ascii="Arial" w:cs="Arial" w:eastAsia="Arial" w:hAnsi="Arial"/>
          <w:sz w:val="21"/>
          <w:szCs w:val="21"/>
          <w:color w:val="FF0000"/>
          <w:strike w:val="1"/>
        </w:rPr>
        <w:t>90</w:t>
      </w:r>
      <w:r>
        <w:rPr>
          <w:rFonts w:ascii="Arial" w:cs="Arial" w:eastAsia="Arial" w:hAnsi="Arial"/>
          <w:sz w:val="21"/>
          <w:szCs w:val="21"/>
          <w:u w:val="single" w:color="auto"/>
          <w:color w:val="0000FF"/>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iii</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0139"/>
          </w:cols>
          <w:pgMar w:left="320" w:top="1440" w:right="1440" w:bottom="1440" w:gutter="0" w:footer="0" w:header="0"/>
        </w:sectPr>
      </w:pPr>
    </w:p>
    <w:bookmarkStart w:id="47" w:name="page48"/>
    <w:bookmarkEnd w:id="47"/>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COMMITMENT SCHEDULE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PRICING SCHEDULE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SCHEDULE 2.18 - EXISTING LETTERS OF CREDIT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21"/>
                <w:szCs w:val="21"/>
                <w:color w:val="auto"/>
              </w:rPr>
              <w:t>EXHIBIT A</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3560" w:type="dxa"/>
            <w:vAlign w:val="bottom"/>
          </w:tcPr>
          <w:p>
            <w:pPr>
              <w:ind w:left="120"/>
              <w:spacing w:after="0"/>
              <w:rPr>
                <w:sz w:val="20"/>
                <w:szCs w:val="20"/>
                <w:color w:val="auto"/>
              </w:rPr>
            </w:pPr>
            <w:r>
              <w:rPr>
                <w:rFonts w:ascii="Arial" w:cs="Arial" w:eastAsia="Arial" w:hAnsi="Arial"/>
                <w:sz w:val="21"/>
                <w:szCs w:val="21"/>
                <w:color w:val="auto"/>
              </w:rPr>
              <w:t>Note</w:t>
            </w:r>
          </w:p>
        </w:tc>
      </w:tr>
      <w:tr>
        <w:trPr>
          <w:trHeight w:val="212"/>
        </w:trPr>
        <w:tc>
          <w:tcPr>
            <w:tcW w:w="1140" w:type="dxa"/>
            <w:vAlign w:val="bottom"/>
          </w:tcPr>
          <w:p>
            <w:pPr>
              <w:spacing w:after="0" w:line="212" w:lineRule="exact"/>
              <w:rPr>
                <w:sz w:val="20"/>
                <w:szCs w:val="20"/>
                <w:color w:val="auto"/>
              </w:rPr>
            </w:pPr>
            <w:r>
              <w:rPr>
                <w:rFonts w:ascii="Arial" w:cs="Arial" w:eastAsia="Arial" w:hAnsi="Arial"/>
                <w:sz w:val="21"/>
                <w:szCs w:val="21"/>
                <w:color w:val="auto"/>
              </w:rPr>
              <w:t>EXHIBIT B</w:t>
            </w:r>
          </w:p>
        </w:tc>
        <w:tc>
          <w:tcPr>
            <w:tcW w:w="280" w:type="dxa"/>
            <w:vAlign w:val="bottom"/>
          </w:tcPr>
          <w:p>
            <w:pPr>
              <w:jc w:val="right"/>
              <w:spacing w:after="0" w:line="212" w:lineRule="exact"/>
              <w:rPr>
                <w:sz w:val="20"/>
                <w:szCs w:val="20"/>
                <w:color w:val="auto"/>
              </w:rPr>
            </w:pPr>
            <w:r>
              <w:rPr>
                <w:rFonts w:ascii="Arial" w:cs="Arial" w:eastAsia="Arial" w:hAnsi="Arial"/>
                <w:sz w:val="21"/>
                <w:szCs w:val="21"/>
                <w:color w:val="auto"/>
              </w:rPr>
              <w:t>-</w:t>
            </w:r>
          </w:p>
        </w:tc>
        <w:tc>
          <w:tcPr>
            <w:tcW w:w="3560" w:type="dxa"/>
            <w:vAlign w:val="bottom"/>
          </w:tcPr>
          <w:p>
            <w:pPr>
              <w:ind w:left="120"/>
              <w:spacing w:after="0" w:line="212" w:lineRule="exact"/>
              <w:rPr>
                <w:sz w:val="20"/>
                <w:szCs w:val="20"/>
                <w:color w:val="auto"/>
              </w:rPr>
            </w:pPr>
            <w:r>
              <w:rPr>
                <w:rFonts w:ascii="Arial" w:cs="Arial" w:eastAsia="Arial" w:hAnsi="Arial"/>
                <w:sz w:val="21"/>
                <w:szCs w:val="21"/>
                <w:color w:val="auto"/>
              </w:rPr>
              <w:t>Election to Participate</w:t>
            </w:r>
          </w:p>
        </w:tc>
      </w:tr>
      <w:tr>
        <w:trPr>
          <w:trHeight w:val="212"/>
        </w:trPr>
        <w:tc>
          <w:tcPr>
            <w:tcW w:w="1140" w:type="dxa"/>
            <w:vAlign w:val="bottom"/>
          </w:tcPr>
          <w:p>
            <w:pPr>
              <w:spacing w:after="0" w:line="212" w:lineRule="exact"/>
              <w:rPr>
                <w:sz w:val="20"/>
                <w:szCs w:val="20"/>
                <w:color w:val="auto"/>
              </w:rPr>
            </w:pPr>
            <w:r>
              <w:rPr>
                <w:rFonts w:ascii="Arial" w:cs="Arial" w:eastAsia="Arial" w:hAnsi="Arial"/>
                <w:sz w:val="21"/>
                <w:szCs w:val="21"/>
                <w:color w:val="auto"/>
              </w:rPr>
              <w:t>EXHIBIT C</w:t>
            </w:r>
          </w:p>
        </w:tc>
        <w:tc>
          <w:tcPr>
            <w:tcW w:w="280" w:type="dxa"/>
            <w:vAlign w:val="bottom"/>
          </w:tcPr>
          <w:p>
            <w:pPr>
              <w:jc w:val="right"/>
              <w:spacing w:after="0" w:line="212" w:lineRule="exact"/>
              <w:rPr>
                <w:sz w:val="20"/>
                <w:szCs w:val="20"/>
                <w:color w:val="auto"/>
              </w:rPr>
            </w:pPr>
            <w:r>
              <w:rPr>
                <w:rFonts w:ascii="Arial" w:cs="Arial" w:eastAsia="Arial" w:hAnsi="Arial"/>
                <w:sz w:val="21"/>
                <w:szCs w:val="21"/>
                <w:color w:val="auto"/>
              </w:rPr>
              <w:t>-</w:t>
            </w:r>
          </w:p>
        </w:tc>
        <w:tc>
          <w:tcPr>
            <w:tcW w:w="3560" w:type="dxa"/>
            <w:vAlign w:val="bottom"/>
          </w:tcPr>
          <w:p>
            <w:pPr>
              <w:ind w:left="120"/>
              <w:spacing w:after="0" w:line="212" w:lineRule="exact"/>
              <w:rPr>
                <w:sz w:val="20"/>
                <w:szCs w:val="20"/>
                <w:color w:val="auto"/>
              </w:rPr>
            </w:pPr>
            <w:r>
              <w:rPr>
                <w:rFonts w:ascii="Arial" w:cs="Arial" w:eastAsia="Arial" w:hAnsi="Arial"/>
                <w:sz w:val="21"/>
                <w:szCs w:val="21"/>
                <w:color w:val="auto"/>
              </w:rPr>
              <w:t>Election to Terminate</w:t>
            </w:r>
          </w:p>
        </w:tc>
      </w:tr>
      <w:tr>
        <w:trPr>
          <w:trHeight w:val="212"/>
        </w:trPr>
        <w:tc>
          <w:tcPr>
            <w:tcW w:w="1140" w:type="dxa"/>
            <w:vAlign w:val="bottom"/>
          </w:tcPr>
          <w:p>
            <w:pPr>
              <w:spacing w:after="0" w:line="212" w:lineRule="exact"/>
              <w:rPr>
                <w:sz w:val="20"/>
                <w:szCs w:val="20"/>
                <w:color w:val="auto"/>
              </w:rPr>
            </w:pPr>
            <w:r>
              <w:rPr>
                <w:rFonts w:ascii="Arial" w:cs="Arial" w:eastAsia="Arial" w:hAnsi="Arial"/>
                <w:sz w:val="21"/>
                <w:szCs w:val="21"/>
                <w:color w:val="auto"/>
              </w:rPr>
              <w:t>EXHIBIT D</w:t>
            </w:r>
          </w:p>
        </w:tc>
        <w:tc>
          <w:tcPr>
            <w:tcW w:w="280" w:type="dxa"/>
            <w:vAlign w:val="bottom"/>
          </w:tcPr>
          <w:p>
            <w:pPr>
              <w:jc w:val="right"/>
              <w:spacing w:after="0" w:line="212" w:lineRule="exact"/>
              <w:rPr>
                <w:sz w:val="20"/>
                <w:szCs w:val="20"/>
                <w:color w:val="auto"/>
              </w:rPr>
            </w:pPr>
            <w:r>
              <w:rPr>
                <w:rFonts w:ascii="Arial" w:cs="Arial" w:eastAsia="Arial" w:hAnsi="Arial"/>
                <w:sz w:val="21"/>
                <w:szCs w:val="21"/>
                <w:color w:val="auto"/>
              </w:rPr>
              <w:t>-</w:t>
            </w:r>
          </w:p>
        </w:tc>
        <w:tc>
          <w:tcPr>
            <w:tcW w:w="3560" w:type="dxa"/>
            <w:vAlign w:val="bottom"/>
          </w:tcPr>
          <w:p>
            <w:pPr>
              <w:ind w:left="140"/>
              <w:spacing w:after="0" w:line="212" w:lineRule="exact"/>
              <w:rPr>
                <w:sz w:val="20"/>
                <w:szCs w:val="20"/>
                <w:color w:val="auto"/>
              </w:rPr>
            </w:pPr>
            <w:r>
              <w:rPr>
                <w:rFonts w:ascii="Arial" w:cs="Arial" w:eastAsia="Arial" w:hAnsi="Arial"/>
                <w:sz w:val="21"/>
                <w:szCs w:val="21"/>
                <w:color w:val="auto"/>
                <w:w w:val="90"/>
              </w:rPr>
              <w:t>Assignment and Assumption Agreement</w:t>
            </w:r>
          </w:p>
        </w:tc>
      </w:tr>
      <w:tr>
        <w:trPr>
          <w:trHeight w:val="212"/>
        </w:trPr>
        <w:tc>
          <w:tcPr>
            <w:tcW w:w="1140" w:type="dxa"/>
            <w:vAlign w:val="bottom"/>
          </w:tcPr>
          <w:p>
            <w:pPr>
              <w:spacing w:after="0" w:line="212" w:lineRule="exact"/>
              <w:rPr>
                <w:sz w:val="20"/>
                <w:szCs w:val="20"/>
                <w:color w:val="auto"/>
              </w:rPr>
            </w:pPr>
            <w:r>
              <w:rPr>
                <w:rFonts w:ascii="Arial" w:cs="Arial" w:eastAsia="Arial" w:hAnsi="Arial"/>
                <w:sz w:val="21"/>
                <w:szCs w:val="21"/>
                <w:color w:val="auto"/>
              </w:rPr>
              <w:t>EXHIBIT E</w:t>
            </w:r>
          </w:p>
        </w:tc>
        <w:tc>
          <w:tcPr>
            <w:tcW w:w="280" w:type="dxa"/>
            <w:vAlign w:val="bottom"/>
          </w:tcPr>
          <w:p>
            <w:pPr>
              <w:jc w:val="right"/>
              <w:spacing w:after="0" w:line="212" w:lineRule="exact"/>
              <w:rPr>
                <w:sz w:val="20"/>
                <w:szCs w:val="20"/>
                <w:color w:val="auto"/>
              </w:rPr>
            </w:pPr>
            <w:r>
              <w:rPr>
                <w:rFonts w:ascii="Arial" w:cs="Arial" w:eastAsia="Arial" w:hAnsi="Arial"/>
                <w:sz w:val="21"/>
                <w:szCs w:val="21"/>
                <w:color w:val="auto"/>
              </w:rPr>
              <w:t>-</w:t>
            </w:r>
          </w:p>
        </w:tc>
        <w:tc>
          <w:tcPr>
            <w:tcW w:w="3560" w:type="dxa"/>
            <w:vAlign w:val="bottom"/>
          </w:tcPr>
          <w:p>
            <w:pPr>
              <w:ind w:left="100"/>
              <w:spacing w:after="0" w:line="212" w:lineRule="exact"/>
              <w:rPr>
                <w:sz w:val="20"/>
                <w:szCs w:val="20"/>
                <w:color w:val="auto"/>
              </w:rPr>
            </w:pPr>
            <w:r>
              <w:rPr>
                <w:rFonts w:ascii="Arial" w:cs="Arial" w:eastAsia="Arial" w:hAnsi="Arial"/>
                <w:sz w:val="21"/>
                <w:szCs w:val="21"/>
                <w:color w:val="auto"/>
              </w:rPr>
              <w:t>Designation Agreement</w:t>
            </w:r>
          </w:p>
        </w:tc>
      </w:tr>
      <w:tr>
        <w:trPr>
          <w:trHeight w:val="271"/>
        </w:trPr>
        <w:tc>
          <w:tcPr>
            <w:tcW w:w="1140" w:type="dxa"/>
            <w:vAlign w:val="bottom"/>
          </w:tcPr>
          <w:p>
            <w:pPr>
              <w:spacing w:after="0"/>
              <w:rPr>
                <w:sz w:val="20"/>
                <w:szCs w:val="20"/>
                <w:color w:val="auto"/>
              </w:rPr>
            </w:pPr>
            <w:r>
              <w:rPr>
                <w:rFonts w:ascii="Arial" w:cs="Arial" w:eastAsia="Arial" w:hAnsi="Arial"/>
                <w:sz w:val="21"/>
                <w:szCs w:val="21"/>
                <w:color w:val="auto"/>
              </w:rPr>
              <w:t>EXHIBIT F</w:t>
            </w:r>
          </w:p>
        </w:tc>
        <w:tc>
          <w:tcPr>
            <w:tcW w:w="280" w:type="dxa"/>
            <w:vAlign w:val="bottom"/>
          </w:tcPr>
          <w:p>
            <w:pPr>
              <w:jc w:val="right"/>
              <w:ind w:right="14"/>
              <w:spacing w:after="0"/>
              <w:rPr>
                <w:sz w:val="20"/>
                <w:szCs w:val="20"/>
                <w:color w:val="auto"/>
              </w:rPr>
            </w:pPr>
            <w:r>
              <w:rPr>
                <w:rFonts w:ascii="Arial" w:cs="Arial" w:eastAsia="Arial" w:hAnsi="Arial"/>
                <w:sz w:val="21"/>
                <w:szCs w:val="21"/>
                <w:color w:val="auto"/>
              </w:rPr>
              <w:t>-</w:t>
            </w:r>
          </w:p>
        </w:tc>
        <w:tc>
          <w:tcPr>
            <w:tcW w:w="3560" w:type="dxa"/>
            <w:vAlign w:val="bottom"/>
          </w:tcPr>
          <w:p>
            <w:pPr>
              <w:ind w:left="100"/>
              <w:spacing w:after="0"/>
              <w:rPr>
                <w:sz w:val="20"/>
                <w:szCs w:val="20"/>
                <w:color w:val="auto"/>
              </w:rPr>
            </w:pPr>
            <w:r>
              <w:rPr>
                <w:rFonts w:ascii="Arial" w:cs="Arial" w:eastAsia="Arial" w:hAnsi="Arial"/>
                <w:sz w:val="21"/>
                <w:szCs w:val="21"/>
                <w:color w:val="auto"/>
              </w:rPr>
              <w:t>Extension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iv</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0139"/>
          </w:cols>
          <w:pgMar w:left="320" w:top="1440" w:right="1440" w:bottom="1440" w:gutter="0" w:footer="0" w:header="0"/>
        </w:sectPr>
      </w:pPr>
    </w:p>
    <w:bookmarkStart w:id="48" w:name="page49"/>
    <w:bookmarkEnd w:id="48"/>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FIVE-YEAR CREDIT AGREEMENT</w:t>
      </w:r>
    </w:p>
    <w:p>
      <w:pPr>
        <w:spacing w:after="0" w:line="18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FIVE-YEAR CREDIT AGREEMENT dated as of September 27, 2021 among CAMPBELL SOUP COMPANY, the ELIGIBLE SUBSIDIARIES referred to herein, the LENDERS party hereto and JPMORGAN CHASE BANK, N.A., as Administrative Agent.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parties hereto agree as follows:</w:t>
      </w:r>
    </w:p>
    <w:p>
      <w:pPr>
        <w:spacing w:after="0" w:line="277" w:lineRule="exact"/>
        <w:rPr>
          <w:sz w:val="20"/>
          <w:szCs w:val="20"/>
          <w:color w:val="auto"/>
        </w:rPr>
      </w:pPr>
    </w:p>
    <w:p>
      <w:pPr>
        <w:jc w:val="right"/>
        <w:ind w:right="5200"/>
        <w:spacing w:after="0"/>
        <w:rPr>
          <w:sz w:val="20"/>
          <w:szCs w:val="20"/>
          <w:color w:val="auto"/>
        </w:rPr>
      </w:pPr>
      <w:r>
        <w:rPr>
          <w:rFonts w:ascii="Arial" w:cs="Arial" w:eastAsia="Arial" w:hAnsi="Arial"/>
          <w:sz w:val="21"/>
          <w:szCs w:val="21"/>
          <w:color w:val="auto"/>
        </w:rPr>
        <w:t>ARTICLE 1</w:t>
      </w:r>
    </w:p>
    <w:p>
      <w:pPr>
        <w:jc w:val="right"/>
        <w:ind w:right="5140"/>
        <w:spacing w:after="0"/>
        <w:rPr>
          <w:sz w:val="20"/>
          <w:szCs w:val="20"/>
          <w:color w:val="auto"/>
        </w:rPr>
      </w:pPr>
      <w:r>
        <w:rPr>
          <w:rFonts w:ascii="Arial" w:cs="Arial" w:eastAsia="Arial" w:hAnsi="Arial"/>
          <w:sz w:val="21"/>
          <w:szCs w:val="21"/>
          <w:color w:val="auto"/>
        </w:rPr>
        <w:t>Definitions</w:t>
      </w:r>
    </w:p>
    <w:p>
      <w:pPr>
        <w:spacing w:after="0" w:line="165" w:lineRule="exact"/>
        <w:rPr>
          <w:sz w:val="20"/>
          <w:szCs w:val="20"/>
          <w:color w:val="auto"/>
        </w:rPr>
      </w:pPr>
    </w:p>
    <w:p>
      <w:pPr>
        <w:ind w:left="960"/>
        <w:spacing w:after="0"/>
        <w:rPr>
          <w:sz w:val="20"/>
          <w:szCs w:val="20"/>
          <w:color w:val="auto"/>
        </w:rPr>
      </w:pPr>
      <w:r>
        <w:rPr>
          <w:rFonts w:ascii="Arial" w:cs="Arial" w:eastAsia="Arial" w:hAnsi="Arial"/>
          <w:sz w:val="21"/>
          <w:szCs w:val="21"/>
          <w:color w:val="auto"/>
        </w:rPr>
        <w:t>SECTION 1.01</w:t>
      </w:r>
      <w:r>
        <w:rPr>
          <w:rFonts w:ascii="Arial" w:cs="Arial" w:eastAsia="Arial" w:hAnsi="Arial"/>
          <w:sz w:val="21"/>
          <w:szCs w:val="21"/>
          <w:i w:val="1"/>
          <w:iCs w:val="1"/>
          <w:color w:val="auto"/>
        </w:rPr>
        <w:t>. Definitions.</w:t>
      </w:r>
      <w:r>
        <w:rPr>
          <w:rFonts w:ascii="Arial" w:cs="Arial" w:eastAsia="Arial" w:hAnsi="Arial"/>
          <w:sz w:val="21"/>
          <w:szCs w:val="21"/>
          <w:color w:val="auto"/>
        </w:rPr>
        <w:t xml:space="preserve"> The following terms, as used herein, have the following meanings: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w:t>
      </w:r>
      <w:r>
        <w:rPr>
          <w:rFonts w:ascii="Arial" w:cs="Arial" w:eastAsia="Arial" w:hAnsi="Arial"/>
          <w:sz w:val="19"/>
          <w:szCs w:val="19"/>
          <w:color w:val="auto"/>
        </w:rPr>
        <w:t>” has the meaning set forth in Section 2.20.</w:t>
      </w:r>
    </w:p>
    <w:p>
      <w:pPr>
        <w:spacing w:after="0" w:line="174"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Agent</w:t>
      </w:r>
      <w:r>
        <w:rPr>
          <w:rFonts w:ascii="Arial" w:cs="Arial" w:eastAsia="Arial" w:hAnsi="Arial"/>
          <w:sz w:val="21"/>
          <w:szCs w:val="21"/>
          <w:color w:val="auto"/>
        </w:rPr>
        <w:t>” means JPMorgan Chase Bank, N.A. in its capacity as administrative agent for the Lenders hereunder, and its successors in such capacity.</w:t>
      </w:r>
    </w:p>
    <w:p>
      <w:pPr>
        <w:spacing w:after="0" w:line="143" w:lineRule="exact"/>
        <w:rPr>
          <w:sz w:val="20"/>
          <w:szCs w:val="20"/>
          <w:color w:val="auto"/>
        </w:rPr>
      </w:pPr>
    </w:p>
    <w:p>
      <w:pPr>
        <w:ind w:right="80" w:firstLine="636"/>
        <w:spacing w:after="0" w:line="232"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Adjusted Daily Simple SOFR</w:t>
      </w:r>
      <w:r>
        <w:rPr>
          <w:rFonts w:ascii="Arial" w:cs="Arial" w:eastAsia="Arial" w:hAnsi="Arial"/>
          <w:sz w:val="21"/>
          <w:szCs w:val="21"/>
          <w:u w:val="single" w:color="auto"/>
          <w:color w:val="0000FF"/>
        </w:rPr>
        <w:t xml:space="preserve">” means an interest rate per annum equal to (a) the Daily Simple SOFR, plus (b) 0.11448%; provided that if Adjusted Daily Simple SOFR Rate as so determined would </w:t>
      </w:r>
      <w:r>
        <w:rPr>
          <w:rFonts w:ascii="Arial" w:cs="Arial" w:eastAsia="Arial" w:hAnsi="Arial"/>
          <w:sz w:val="21"/>
          <w:szCs w:val="21"/>
          <w:u w:val="single" w:color="auto"/>
          <w:color w:val="008000"/>
        </w:rPr>
        <w:t>be less than 0%, such rate shall be deemed to be</w:t>
      </w:r>
      <w:r>
        <w:rPr>
          <w:rFonts w:ascii="Arial" w:cs="Arial" w:eastAsia="Arial" w:hAnsi="Arial"/>
          <w:sz w:val="21"/>
          <w:szCs w:val="21"/>
          <w:u w:val="single" w:color="auto"/>
          <w:color w:val="0000FF"/>
        </w:rPr>
        <w:t xml:space="preserve"> equal to 0% for the </w:t>
      </w:r>
      <w:r>
        <w:rPr>
          <w:rFonts w:ascii="Arial" w:cs="Arial" w:eastAsia="Arial" w:hAnsi="Arial"/>
          <w:sz w:val="21"/>
          <w:szCs w:val="21"/>
          <w:u w:val="single" w:color="auto"/>
          <w:color w:val="008000"/>
        </w:rPr>
        <w:t>purposes of this Agreement.</w:t>
      </w:r>
    </w:p>
    <w:p>
      <w:pPr>
        <w:spacing w:after="0" w:line="148" w:lineRule="exact"/>
        <w:rPr>
          <w:sz w:val="20"/>
          <w:szCs w:val="20"/>
          <w:color w:val="auto"/>
        </w:rPr>
      </w:pPr>
    </w:p>
    <w:p>
      <w:pPr>
        <w:ind w:right="40" w:firstLine="636"/>
        <w:spacing w:after="0" w:line="254"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Adjusted Term SOFR Rate</w:t>
      </w:r>
      <w:r>
        <w:rPr>
          <w:rFonts w:ascii="Arial" w:cs="Arial" w:eastAsia="Arial" w:hAnsi="Arial"/>
          <w:sz w:val="19"/>
          <w:szCs w:val="19"/>
          <w:u w:val="single" w:color="auto"/>
          <w:color w:val="0000FF"/>
        </w:rPr>
        <w:t xml:space="preserve">” means, </w:t>
      </w:r>
      <w:r>
        <w:rPr>
          <w:rFonts w:ascii="Arial" w:cs="Arial" w:eastAsia="Arial" w:hAnsi="Arial"/>
          <w:sz w:val="19"/>
          <w:szCs w:val="19"/>
          <w:u w:val="single" w:color="auto"/>
          <w:color w:val="008000"/>
        </w:rPr>
        <w:t>for any Interest Period,</w:t>
      </w:r>
      <w:r>
        <w:rPr>
          <w:rFonts w:ascii="Arial" w:cs="Arial" w:eastAsia="Arial" w:hAnsi="Arial"/>
          <w:sz w:val="19"/>
          <w:szCs w:val="19"/>
          <w:u w:val="single" w:color="auto"/>
          <w:color w:val="0000FF"/>
        </w:rPr>
        <w:t xml:space="preserve"> an interest rate per annum equal to (a) the Term SOFR Rate </w:t>
      </w:r>
      <w:r>
        <w:rPr>
          <w:rFonts w:ascii="Arial" w:cs="Arial" w:eastAsia="Arial" w:hAnsi="Arial"/>
          <w:sz w:val="19"/>
          <w:szCs w:val="19"/>
          <w:u w:val="single" w:color="auto"/>
          <w:color w:val="008000"/>
        </w:rPr>
        <w:t>for such Interest Period</w:t>
      </w:r>
      <w:r>
        <w:rPr>
          <w:rFonts w:ascii="Arial" w:cs="Arial" w:eastAsia="Arial" w:hAnsi="Arial"/>
          <w:sz w:val="19"/>
          <w:szCs w:val="19"/>
          <w:u w:val="single" w:color="auto"/>
          <w:color w:val="0000FF"/>
        </w:rPr>
        <w:t xml:space="preserve">, plus (b) 0.11448% for an Interest Period of one-month’s duration, 0.26161% for an Interest Period of three-months’ duration, and 0.42826% for an Interest Period of six-months’ duration; provided that if the Adjusted Term SOFR Rate as so determined would be less than the 0%, such rate shall be deemed </w:t>
      </w:r>
      <w:r>
        <w:rPr>
          <w:rFonts w:ascii="Arial" w:cs="Arial" w:eastAsia="Arial" w:hAnsi="Arial"/>
          <w:sz w:val="19"/>
          <w:szCs w:val="19"/>
          <w:u w:val="single" w:color="auto"/>
          <w:color w:val="008000"/>
        </w:rPr>
        <w:t>to be equal to the</w:t>
      </w:r>
      <w:r>
        <w:rPr>
          <w:rFonts w:ascii="Arial" w:cs="Arial" w:eastAsia="Arial" w:hAnsi="Arial"/>
          <w:sz w:val="19"/>
          <w:szCs w:val="19"/>
          <w:u w:val="single" w:color="auto"/>
          <w:color w:val="0000FF"/>
        </w:rPr>
        <w:t xml:space="preserve"> 0% for the purposes of this Agreement.</w:t>
      </w:r>
    </w:p>
    <w:p>
      <w:pPr>
        <w:spacing w:after="0" w:line="135"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Questionnaire</w:t>
      </w:r>
      <w:r>
        <w:rPr>
          <w:rFonts w:ascii="Arial" w:cs="Arial" w:eastAsia="Arial" w:hAnsi="Arial"/>
          <w:sz w:val="21"/>
          <w:szCs w:val="21"/>
          <w:color w:val="auto"/>
        </w:rPr>
        <w:t>” means, with respect to each Lender, an administrative questionnaire in the form prepared by the Administrative Agent and submitted to the Administrative Agent (with a copy to the Company) duly completed by such Lender.</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Agent-Related Person</w:t>
      </w:r>
      <w:r>
        <w:rPr>
          <w:rFonts w:ascii="Arial" w:cs="Arial" w:eastAsia="Arial" w:hAnsi="Arial"/>
          <w:sz w:val="21"/>
          <w:szCs w:val="21"/>
          <w:color w:val="auto"/>
        </w:rPr>
        <w:t>” has the meaning set forth in Section 11.03(d).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Agents</w:t>
      </w:r>
      <w:r>
        <w:rPr>
          <w:rFonts w:ascii="Arial" w:cs="Arial" w:eastAsia="Arial" w:hAnsi="Arial"/>
          <w:sz w:val="21"/>
          <w:szCs w:val="21"/>
          <w:color w:val="auto"/>
        </w:rPr>
        <w:t>” means the Administrative Agent and the Syndication Agents.</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means this Five-Year Credit Agreement, as the same may at any time be amended, restated, amended and restated, supplemented or otherwise modified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57"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Amendment No. 1</w:t>
      </w:r>
      <w:r>
        <w:rPr>
          <w:rFonts w:ascii="Arial" w:cs="Arial" w:eastAsia="Arial" w:hAnsi="Arial"/>
          <w:sz w:val="21"/>
          <w:szCs w:val="21"/>
          <w:u w:val="single" w:color="auto"/>
          <w:color w:val="0000FF"/>
        </w:rPr>
        <w:t>” shall mean Amendment No. 1, dated as of April 4, 2023 between Campbell Soup Company and JPMorgan Chase Bank, N.A., as Administrative Agent.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Amendment No. 1 Effective Date</w:t>
      </w:r>
      <w:r>
        <w:rPr>
          <w:rFonts w:ascii="Arial" w:cs="Arial" w:eastAsia="Arial" w:hAnsi="Arial"/>
          <w:sz w:val="21"/>
          <w:szCs w:val="21"/>
          <w:u w:val="single" w:color="auto"/>
          <w:color w:val="0000FF"/>
        </w:rPr>
        <w:t>” shall have the meaning assigned to such term in Amendment No. 1.</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Ancillary Document</w:t>
      </w:r>
      <w:r>
        <w:rPr>
          <w:rFonts w:ascii="Arial" w:cs="Arial" w:eastAsia="Arial" w:hAnsi="Arial"/>
          <w:sz w:val="21"/>
          <w:szCs w:val="21"/>
          <w:color w:val="auto"/>
        </w:rPr>
        <w:t>” has the meaning set forth in Section 11.10(b).</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Anti-Corruption Laws</w:t>
      </w:r>
      <w:r>
        <w:rPr>
          <w:rFonts w:ascii="Arial" w:cs="Arial" w:eastAsia="Arial" w:hAnsi="Arial"/>
          <w:sz w:val="21"/>
          <w:szCs w:val="21"/>
          <w:color w:val="auto"/>
        </w:rPr>
        <w:t>” means all laws, rules, and regulations of any jurisdiction applicable to the Company or its Subsidiaries from time to time concerning or relating to bribery or corruption.</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Lending Office</w:t>
      </w:r>
      <w:r>
        <w:rPr>
          <w:rFonts w:ascii="Arial" w:cs="Arial" w:eastAsia="Arial" w:hAnsi="Arial"/>
          <w:sz w:val="21"/>
          <w:szCs w:val="21"/>
          <w:color w:val="auto"/>
        </w:rPr>
        <w:t xml:space="preserve">” means, with respect to any Lender, </w:t>
      </w:r>
      <w:r>
        <w:rPr>
          <w:rFonts w:ascii="Arial" w:cs="Arial" w:eastAsia="Arial" w:hAnsi="Arial"/>
          <w:sz w:val="21"/>
          <w:szCs w:val="21"/>
          <w:color w:val="FF0000"/>
          <w:strike w:val="1"/>
        </w:rPr>
        <w:t>(i) in the case of its Base Rate Loans,</w:t>
      </w:r>
      <w:r>
        <w:rPr>
          <w:rFonts w:ascii="Arial" w:cs="Arial" w:eastAsia="Arial" w:hAnsi="Arial"/>
          <w:sz w:val="21"/>
          <w:szCs w:val="21"/>
          <w:color w:val="auto"/>
        </w:rPr>
        <w:t xml:space="preserve"> its Domestic Lending Office </w:t>
      </w:r>
      <w:r>
        <w:rPr>
          <w:rFonts w:ascii="Arial" w:cs="Arial" w:eastAsia="Arial" w:hAnsi="Arial"/>
          <w:sz w:val="21"/>
          <w:szCs w:val="21"/>
          <w:color w:val="FF0000"/>
        </w:rPr>
        <w:t>and (ii) in the case of its Euro-Dollar Loans, its Euro-Dollar Lending Office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-84455</wp:posOffset>
            </wp:positionV>
            <wp:extent cx="41173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117340" cy="8255"/>
                    </a:xfrm>
                    <a:prstGeom prst="rect">
                      <a:avLst/>
                    </a:prstGeom>
                    <a:noFill/>
                  </pic:spPr>
                </pic:pic>
              </a:graphicData>
            </a:graphic>
          </wp:anchor>
        </w:drawing>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Electronic Platform</w:t>
      </w:r>
      <w:r>
        <w:rPr>
          <w:rFonts w:ascii="Arial" w:cs="Arial" w:eastAsia="Arial" w:hAnsi="Arial"/>
          <w:sz w:val="21"/>
          <w:szCs w:val="21"/>
          <w:color w:val="auto"/>
        </w:rPr>
        <w:t>” has the meaning set forth in Section 7.04(a).</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Fund</w:t>
      </w:r>
      <w:r>
        <w:rPr>
          <w:rFonts w:ascii="Arial" w:cs="Arial" w:eastAsia="Arial" w:hAnsi="Arial"/>
          <w:sz w:val="21"/>
          <w:szCs w:val="21"/>
          <w:color w:val="auto"/>
        </w:rPr>
        <w:t xml:space="preserve"> ” means any Fund that is administered or managed by (i) a Lender, (ii) an affiliate of a Lender or (iii) an entity or an affiliate of an entity that administers or manages a Lender.</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Assignee</w:t>
      </w:r>
      <w:r>
        <w:rPr>
          <w:rFonts w:ascii="Arial" w:cs="Arial" w:eastAsia="Arial" w:hAnsi="Arial"/>
          <w:sz w:val="21"/>
          <w:szCs w:val="21"/>
          <w:color w:val="auto"/>
        </w:rPr>
        <w:t>” has the meaning set forth in Section 11.06(c).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w:t>
      </w:r>
      <w:r>
        <w:rPr>
          <w:rFonts w:ascii="Arial" w:cs="Arial" w:eastAsia="Arial" w:hAnsi="Arial"/>
          <w:sz w:val="21"/>
          <w:szCs w:val="21"/>
          <w:color w:val="auto"/>
        </w:rPr>
        <w:t>” has the meaning set forth in Section 11.06(c).</w:t>
      </w:r>
    </w:p>
    <w:p>
      <w:pPr>
        <w:spacing w:after="0" w:line="18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Tenor</w:t>
      </w:r>
      <w:r>
        <w:rPr>
          <w:rFonts w:ascii="Arial" w:cs="Arial" w:eastAsia="Arial" w:hAnsi="Arial"/>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8.01.</w:t>
      </w:r>
    </w:p>
    <w:p>
      <w:pPr>
        <w:spacing w:after="0" w:line="154"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3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Event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means, with respect to any Person, such Person becomes the subject of a bankruptcy or insolvency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proceeding, or has had a receiver, conservator, trustee, administrator, custodian, assignee for the benefit of creditors or similar Person charged with the reorganization or liquidation of its business appointed for it, or, in the good faith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u w:val="single" w:color="auto"/>
          <w:color w:val="0000FF"/>
        </w:rPr>
        <w:t>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45"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Base Rate</w:t>
      </w:r>
      <w:r>
        <w:rPr>
          <w:rFonts w:ascii="Arial" w:cs="Arial" w:eastAsia="Arial" w:hAnsi="Arial"/>
          <w:sz w:val="19"/>
          <w:szCs w:val="19"/>
          <w:color w:val="auto"/>
        </w:rPr>
        <w:t xml:space="preserve">” means, for any day, a rate per annum equal to the highest of (a) the Prime Rate in effect on such day, (b) the NYFRB Rate in effect on such day plus ½ of 1% and (c) the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Rate for a one month Interest Period </w:t>
      </w:r>
      <w:r>
        <w:rPr>
          <w:rFonts w:ascii="Arial" w:cs="Arial" w:eastAsia="Arial" w:hAnsi="Arial"/>
          <w:sz w:val="19"/>
          <w:szCs w:val="19"/>
          <w:color w:val="FF0000"/>
          <w:strike w:val="1"/>
        </w:rPr>
        <w:t>on</w:t>
      </w:r>
      <w:r>
        <w:rPr>
          <w:rFonts w:ascii="Arial" w:cs="Arial" w:eastAsia="Arial" w:hAnsi="Arial"/>
          <w:sz w:val="19"/>
          <w:szCs w:val="19"/>
          <w:u w:val="single" w:color="auto"/>
          <w:color w:val="0000FF"/>
        </w:rPr>
        <w:t>as published two U.S. Government Securities Business Days prior to</w:t>
      </w:r>
      <w:r>
        <w:rPr>
          <w:rFonts w:ascii="Arial" w:cs="Arial" w:eastAsia="Arial" w:hAnsi="Arial"/>
          <w:sz w:val="19"/>
          <w:szCs w:val="19"/>
          <w:color w:val="FF0000"/>
        </w:rPr>
        <w:t xml:space="preserve"> </w:t>
      </w:r>
      <w:r>
        <w:rPr>
          <w:rFonts w:ascii="Arial" w:cs="Arial" w:eastAsia="Arial" w:hAnsi="Arial"/>
          <w:sz w:val="19"/>
          <w:szCs w:val="19"/>
          <w:color w:val="000000"/>
        </w:rPr>
        <w:t>such day (or if such day is not a</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U.S. Government Securities</w:t>
      </w:r>
      <w:r>
        <w:rPr>
          <w:rFonts w:ascii="Arial" w:cs="Arial" w:eastAsia="Arial" w:hAnsi="Arial"/>
          <w:sz w:val="19"/>
          <w:szCs w:val="19"/>
          <w:color w:val="FF0000"/>
        </w:rPr>
        <w:t xml:space="preserve"> </w:t>
      </w:r>
      <w:r>
        <w:rPr>
          <w:rFonts w:ascii="Arial" w:cs="Arial" w:eastAsia="Arial" w:hAnsi="Arial"/>
          <w:sz w:val="19"/>
          <w:szCs w:val="19"/>
          <w:color w:val="000000"/>
        </w:rPr>
        <w:t xml:space="preserve">Business Day, the immediately preceding </w:t>
      </w:r>
      <w:r>
        <w:rPr>
          <w:rFonts w:ascii="Arial" w:cs="Arial" w:eastAsia="Arial" w:hAnsi="Arial"/>
          <w:sz w:val="19"/>
          <w:szCs w:val="19"/>
          <w:u w:val="single" w:color="auto"/>
          <w:color w:val="0000FF"/>
        </w:rPr>
        <w:t>U.S. Government Securities</w:t>
      </w:r>
      <w:r>
        <w:rPr>
          <w:rFonts w:ascii="Arial" w:cs="Arial" w:eastAsia="Arial" w:hAnsi="Arial"/>
          <w:sz w:val="19"/>
          <w:szCs w:val="19"/>
          <w:color w:val="000000"/>
        </w:rPr>
        <w:t xml:space="preserve"> Business Day) plus 1%;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for the purpose of this definition, the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Adjusted Term SOFR</w:t>
      </w:r>
      <w:r>
        <w:rPr>
          <w:rFonts w:ascii="Arial" w:cs="Arial" w:eastAsia="Arial" w:hAnsi="Arial"/>
          <w:sz w:val="19"/>
          <w:szCs w:val="19"/>
          <w:color w:val="000000"/>
        </w:rPr>
        <w:t xml:space="preserve"> Rate for any day shall be based on the </w:t>
      </w:r>
      <w:r>
        <w:rPr>
          <w:rFonts w:ascii="Arial" w:cs="Arial" w:eastAsia="Arial" w:hAnsi="Arial"/>
          <w:sz w:val="19"/>
          <w:szCs w:val="19"/>
          <w:color w:val="FF0000"/>
          <w:strike w:val="1"/>
        </w:rPr>
        <w:t>Euro-Dollar Screen Rate (or, if the Euro-Dollar Screen Rate is not available for such one month Interest Period, the Interpolated Rate)</w:t>
      </w:r>
      <w:r>
        <w:rPr>
          <w:rFonts w:ascii="Arial" w:cs="Arial" w:eastAsia="Arial" w:hAnsi="Arial"/>
          <w:sz w:val="19"/>
          <w:szCs w:val="19"/>
          <w:u w:val="single" w:color="auto"/>
          <w:color w:val="0000FF"/>
        </w:rPr>
        <w:t>Term SOFR Reference Rate</w:t>
      </w:r>
      <w:r>
        <w:rPr>
          <w:rFonts w:ascii="Arial" w:cs="Arial" w:eastAsia="Arial" w:hAnsi="Arial"/>
          <w:sz w:val="19"/>
          <w:szCs w:val="19"/>
          <w:color w:val="FF0000"/>
        </w:rPr>
        <w:t xml:space="preserve"> </w:t>
      </w:r>
      <w:r>
        <w:rPr>
          <w:rFonts w:ascii="Arial" w:cs="Arial" w:eastAsia="Arial" w:hAnsi="Arial"/>
          <w:sz w:val="19"/>
          <w:szCs w:val="19"/>
          <w:color w:val="000000"/>
        </w:rPr>
        <w:t>at</w:t>
      </w:r>
      <w:r>
        <w:rPr>
          <w:rFonts w:ascii="Arial" w:cs="Arial" w:eastAsia="Arial" w:hAnsi="Arial"/>
          <w:sz w:val="19"/>
          <w:szCs w:val="19"/>
          <w:color w:val="FF0000"/>
        </w:rPr>
        <w:t xml:space="preserve"> </w:t>
      </w:r>
      <w:r>
        <w:rPr>
          <w:rFonts w:ascii="Arial" w:cs="Arial" w:eastAsia="Arial" w:hAnsi="Arial"/>
          <w:sz w:val="19"/>
          <w:szCs w:val="19"/>
          <w:color w:val="000000"/>
        </w:rPr>
        <w:t xml:space="preserve">approximately </w:t>
      </w:r>
      <w:r>
        <w:rPr>
          <w:rFonts w:ascii="Arial" w:cs="Arial" w:eastAsia="Arial" w:hAnsi="Arial"/>
          <w:sz w:val="19"/>
          <w:szCs w:val="19"/>
          <w:color w:val="FF0000"/>
          <w:strike w:val="1"/>
        </w:rPr>
        <w:t>11:00 A.M. London</w:t>
      </w:r>
      <w:r>
        <w:rPr>
          <w:rFonts w:ascii="Arial" w:cs="Arial" w:eastAsia="Arial" w:hAnsi="Arial"/>
          <w:sz w:val="19"/>
          <w:szCs w:val="19"/>
          <w:u w:val="single" w:color="auto"/>
          <w:color w:val="0000FF"/>
        </w:rPr>
        <w:t>5:00 a.m. Chicago</w:t>
      </w:r>
      <w:r>
        <w:rPr>
          <w:rFonts w:ascii="Arial" w:cs="Arial" w:eastAsia="Arial" w:hAnsi="Arial"/>
          <w:sz w:val="19"/>
          <w:szCs w:val="19"/>
          <w:color w:val="000000"/>
        </w:rPr>
        <w:t xml:space="preserve"> time on such day </w:t>
      </w:r>
      <w:r>
        <w:rPr>
          <w:rFonts w:ascii="Arial" w:cs="Arial" w:eastAsia="Arial" w:hAnsi="Arial"/>
          <w:sz w:val="19"/>
          <w:szCs w:val="19"/>
          <w:color w:val="0000FF"/>
        </w:rPr>
        <w:t>(or any amended publication time for the Term SOFR</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w:t>
      </w:r>
      <w:r>
        <w:rPr>
          <w:rFonts w:ascii="Arial" w:cs="Arial" w:eastAsia="Arial" w:hAnsi="Arial"/>
          <w:sz w:val="19"/>
          <w:szCs w:val="19"/>
          <w:color w:val="000000"/>
        </w:rPr>
        <w:t>. If</w:t>
      </w:r>
      <w:r>
        <w:rPr>
          <w:rFonts w:ascii="Arial" w:cs="Arial" w:eastAsia="Arial" w:hAnsi="Arial"/>
          <w:sz w:val="19"/>
          <w:szCs w:val="19"/>
          <w:color w:val="0000FF"/>
        </w:rPr>
        <w:t xml:space="preserve"> </w:t>
      </w:r>
      <w:r>
        <w:rPr>
          <w:rFonts w:ascii="Arial" w:cs="Arial" w:eastAsia="Arial" w:hAnsi="Arial"/>
          <w:sz w:val="19"/>
          <w:szCs w:val="19"/>
          <w:color w:val="000000"/>
        </w:rPr>
        <w:t>the Base Rate is being used as an alternate rate of interest pursuant to Section 8.01 (for the avoidance of doubt, only until the Benchmark Replacement has been determined pursuant to Section 8.01(b)), then the Base Rate shall be the greater of clauses (a) and (b) above and shall be determined without reference to clause (c) above. For the avoidance of doubt, if the Base Rate as determined pursuant to the foregoing would be less than 1.00%, such rate shall be deemed to be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-965835</wp:posOffset>
            </wp:positionV>
            <wp:extent cx="31222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139"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 Loan</w:t>
      </w:r>
      <w:r>
        <w:rPr>
          <w:rFonts w:ascii="Arial" w:cs="Arial" w:eastAsia="Arial" w:hAnsi="Arial"/>
          <w:sz w:val="21"/>
          <w:szCs w:val="21"/>
          <w:color w:val="auto"/>
        </w:rPr>
        <w:t>” means (i) a Loan which bears interest at the Base Rate pursuant to the applicable Notice of Borrowing or Notice of Interest Rate Election or the provisions of Article 8 or (ii) an overdue amount which was a Base Rate Loan immediately before it became overdue.</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 Margin</w:t>
      </w:r>
      <w:r>
        <w:rPr>
          <w:rFonts w:ascii="Arial" w:cs="Arial" w:eastAsia="Arial" w:hAnsi="Arial"/>
          <w:sz w:val="21"/>
          <w:szCs w:val="21"/>
          <w:color w:val="auto"/>
        </w:rPr>
        <w:t>” has the meaning set forth in the Pricing Schedule.</w:t>
      </w:r>
    </w:p>
    <w:p>
      <w:pPr>
        <w:spacing w:after="0" w:line="18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w:t>
      </w:r>
      <w:r>
        <w:rPr>
          <w:rFonts w:ascii="Arial" w:cs="Arial" w:eastAsia="Arial" w:hAnsi="Arial"/>
          <w:sz w:val="21"/>
          <w:szCs w:val="21"/>
          <w:color w:val="auto"/>
        </w:rPr>
        <w:t xml:space="preserve">” means, initially,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with respect to any (i) RFR Loan, the Daily Simple SOFR or (ii) Term</w:t>
      </w:r>
      <w:r>
        <w:rPr>
          <w:rFonts w:ascii="Arial" w:cs="Arial" w:eastAsia="Arial" w:hAnsi="Arial"/>
          <w:sz w:val="21"/>
          <w:szCs w:val="21"/>
          <w:color w:val="auto"/>
        </w:rPr>
        <w:t xml:space="preserve"> </w:t>
      </w:r>
      <w:r>
        <w:rPr>
          <w:rFonts w:ascii="Arial" w:cs="Arial" w:eastAsia="Arial" w:hAnsi="Arial"/>
          <w:sz w:val="21"/>
          <w:szCs w:val="21"/>
          <w:u w:val="single" w:color="auto"/>
          <w:color w:val="0000FF"/>
        </w:rPr>
        <w:t>Benchmark Loan, the Term SOFR</w:t>
      </w:r>
      <w:r>
        <w:rPr>
          <w:rFonts w:ascii="Arial" w:cs="Arial" w:eastAsia="Arial" w:hAnsi="Arial"/>
          <w:sz w:val="21"/>
          <w:szCs w:val="21"/>
          <w:color w:val="0000FF"/>
        </w:rPr>
        <w:t xml:space="preserve"> </w:t>
      </w:r>
      <w:r>
        <w:rPr>
          <w:rFonts w:ascii="Arial" w:cs="Arial" w:eastAsia="Arial" w:hAnsi="Arial"/>
          <w:sz w:val="21"/>
          <w:szCs w:val="21"/>
          <w:color w:val="000000"/>
        </w:rPr>
        <w:t>Rate; provided that if a Benchmark Transition Event,</w:t>
      </w:r>
      <w:r>
        <w:rPr>
          <w:rFonts w:ascii="Arial" w:cs="Arial" w:eastAsia="Arial" w:hAnsi="Arial"/>
          <w:sz w:val="21"/>
          <w:szCs w:val="21"/>
          <w:color w:val="0000FF"/>
        </w:rPr>
        <w:t xml:space="preserve"> </w:t>
      </w:r>
      <w:r>
        <w:rPr>
          <w:rFonts w:ascii="Arial" w:cs="Arial" w:eastAsia="Arial" w:hAnsi="Arial"/>
          <w:sz w:val="21"/>
          <w:szCs w:val="21"/>
          <w:color w:val="FF0000"/>
          <w:strike w:val="1"/>
        </w:rPr>
        <w:t>a Term SOFR Transition Event, an Early</w:t>
      </w:r>
      <w:r>
        <w:rPr>
          <w:rFonts w:ascii="Arial" w:cs="Arial" w:eastAsia="Arial" w:hAnsi="Arial"/>
          <w:sz w:val="21"/>
          <w:szCs w:val="21"/>
          <w:color w:val="0000FF"/>
        </w:rPr>
        <w:t xml:space="preserve"> </w:t>
      </w:r>
      <w:r>
        <w:rPr>
          <w:rFonts w:ascii="Arial" w:cs="Arial" w:eastAsia="Arial" w:hAnsi="Arial"/>
          <w:sz w:val="21"/>
          <w:szCs w:val="21"/>
          <w:color w:val="FF0000"/>
          <w:strike w:val="1"/>
        </w:rPr>
        <w:t>Opt-in Election or an Other Benchmark Rate Election, as applicable, and its</w:t>
      </w:r>
      <w:r>
        <w:rPr>
          <w:rFonts w:ascii="Arial" w:cs="Arial" w:eastAsia="Arial" w:hAnsi="Arial"/>
          <w:sz w:val="21"/>
          <w:szCs w:val="21"/>
          <w:u w:val="single" w:color="auto"/>
          <w:color w:val="0000FF"/>
        </w:rPr>
        <w:t>and the</w:t>
      </w:r>
      <w:r>
        <w:rPr>
          <w:rFonts w:ascii="Arial" w:cs="Arial" w:eastAsia="Arial" w:hAnsi="Arial"/>
          <w:sz w:val="21"/>
          <w:szCs w:val="21"/>
          <w:color w:val="FF0000"/>
        </w:rPr>
        <w:t xml:space="preserve"> </w:t>
      </w:r>
      <w:r>
        <w:rPr>
          <w:rFonts w:ascii="Arial" w:cs="Arial" w:eastAsia="Arial" w:hAnsi="Arial"/>
          <w:sz w:val="21"/>
          <w:szCs w:val="21"/>
          <w:color w:val="000000"/>
        </w:rPr>
        <w:t>related Benchmark Replacement Date have</w:t>
      </w:r>
      <w:r>
        <w:rPr>
          <w:rFonts w:ascii="Arial" w:cs="Arial" w:eastAsia="Arial" w:hAnsi="Arial"/>
          <w:sz w:val="21"/>
          <w:szCs w:val="21"/>
          <w:color w:val="FF0000"/>
        </w:rPr>
        <w:t xml:space="preserve"> </w:t>
      </w:r>
      <w:r>
        <w:rPr>
          <w:rFonts w:ascii="Arial" w:cs="Arial" w:eastAsia="Arial" w:hAnsi="Arial"/>
          <w:sz w:val="21"/>
          <w:szCs w:val="21"/>
          <w:color w:val="000000"/>
        </w:rPr>
        <w:t xml:space="preserve">occurred with respect to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the Daily Simple SOFR or Term SOFR</w:t>
      </w:r>
      <w:r>
        <w:rPr>
          <w:rFonts w:ascii="Arial" w:cs="Arial" w:eastAsia="Arial" w:hAnsi="Arial"/>
          <w:sz w:val="21"/>
          <w:szCs w:val="21"/>
          <w:color w:val="000000"/>
        </w:rPr>
        <w:t xml:space="preserve"> Rate</w:t>
      </w:r>
      <w:r>
        <w:rPr>
          <w:rFonts w:ascii="Arial" w:cs="Arial" w:eastAsia="Arial" w:hAnsi="Arial"/>
          <w:sz w:val="21"/>
          <w:szCs w:val="21"/>
          <w:u w:val="single" w:color="auto"/>
          <w:color w:val="0000FF"/>
        </w:rPr>
        <w:t>, as applicable,</w:t>
      </w:r>
      <w:r>
        <w:rPr>
          <w:rFonts w:ascii="Arial" w:cs="Arial" w:eastAsia="Arial" w:hAnsi="Arial"/>
          <w:sz w:val="21"/>
          <w:szCs w:val="21"/>
          <w:color w:val="000000"/>
        </w:rPr>
        <w:t xml:space="preserve"> or the then-current Benchmark, then “Benchmark” means the applicable Benchmark Replacement to the extent that such Benchmark Replacement has replaced such prior benchmark rate pursuant to clause (b) </w:t>
      </w:r>
      <w:r>
        <w:rPr>
          <w:rFonts w:ascii="Arial" w:cs="Arial" w:eastAsia="Arial" w:hAnsi="Arial"/>
          <w:sz w:val="21"/>
          <w:szCs w:val="21"/>
          <w:color w:val="FF0000"/>
          <w:strike w:val="1"/>
        </w:rPr>
        <w:t>or clause (c)</w:t>
      </w:r>
      <w:r>
        <w:rPr>
          <w:rFonts w:ascii="Arial" w:cs="Arial" w:eastAsia="Arial" w:hAnsi="Arial"/>
          <w:sz w:val="21"/>
          <w:szCs w:val="21"/>
          <w:color w:val="000000"/>
        </w:rPr>
        <w:t xml:space="preserve"> of Section 8.01.</w:t>
      </w:r>
    </w:p>
    <w:p>
      <w:pPr>
        <w:spacing w:after="0" w:line="150" w:lineRule="exact"/>
        <w:rPr>
          <w:sz w:val="20"/>
          <w:szCs w:val="20"/>
          <w:color w:val="auto"/>
        </w:rPr>
      </w:pPr>
    </w:p>
    <w:p>
      <w:pPr>
        <w:jc w:val="both"/>
        <w:ind w:left="680" w:right="120" w:firstLine="8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w:t>
      </w:r>
      <w:r>
        <w:rPr>
          <w:rFonts w:ascii="Arial" w:cs="Arial" w:eastAsia="Arial" w:hAnsi="Arial"/>
          <w:sz w:val="19"/>
          <w:szCs w:val="19"/>
          <w:color w:val="auto"/>
        </w:rPr>
        <w:t>” means, for any Available Tenor, the first alternative set forth in the order below that can be determined by the Administrative Agent for the applicable Benchmark Replacement Date</w:t>
      </w:r>
      <w:r>
        <w:rPr>
          <w:rFonts w:ascii="Arial" w:cs="Arial" w:eastAsia="Arial" w:hAnsi="Arial"/>
          <w:sz w:val="19"/>
          <w:szCs w:val="19"/>
          <w:color w:val="FF0000"/>
          <w:strike w:val="1"/>
        </w:rPr>
        <w:t>; provided that, in the case</w:t>
      </w:r>
      <w:r>
        <w:rPr>
          <w:rFonts w:ascii="Arial" w:cs="Arial" w:eastAsia="Arial" w:hAnsi="Arial"/>
          <w:sz w:val="19"/>
          <w:szCs w:val="19"/>
          <w:color w:val="auto"/>
        </w:rPr>
        <w:t xml:space="preserve"> </w:t>
      </w:r>
      <w:r>
        <w:rPr>
          <w:rFonts w:ascii="Arial" w:cs="Arial" w:eastAsia="Arial" w:hAnsi="Arial"/>
          <w:sz w:val="19"/>
          <w:szCs w:val="19"/>
          <w:color w:val="FF0000"/>
          <w:strike w:val="1"/>
        </w:rPr>
        <w:t>of an Other Benchmark Rate Election, “Benchmark Replacement” shall mean the alternative set forth in (3) below</w:t>
      </w:r>
      <w:r>
        <w:rPr>
          <w:rFonts w:ascii="Arial" w:cs="Arial" w:eastAsia="Arial" w:hAnsi="Arial"/>
          <w:sz w:val="19"/>
          <w:szCs w:val="19"/>
          <w:color w:val="000000"/>
        </w:rPr>
        <w: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1"/>
          <w:szCs w:val="21"/>
          <w:color w:val="FF0000"/>
          <w:strike w:val="1"/>
        </w:rPr>
        <w:t>(1) the sum of: (a) Term SOFR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67" w:lineRule="exact"/>
        <w:rPr>
          <w:sz w:val="20"/>
          <w:szCs w:val="20"/>
          <w:color w:val="auto"/>
        </w:rPr>
      </w:pPr>
    </w:p>
    <w:p>
      <w:pPr>
        <w:ind w:left="1280"/>
        <w:spacing w:after="0"/>
        <w:tabs>
          <w:tab w:leader="none" w:pos="2960" w:val="left"/>
        </w:tabs>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2</w:t>
      </w:r>
      <w:r>
        <w:rPr>
          <w:rFonts w:ascii="Arial" w:cs="Arial" w:eastAsia="Arial" w:hAnsi="Arial"/>
          <w:sz w:val="19"/>
          <w:szCs w:val="19"/>
          <w:u w:val="single" w:color="auto"/>
          <w:color w:val="0000FF"/>
        </w:rPr>
        <w:t>1</w:t>
      </w:r>
      <w:r>
        <w:rPr>
          <w:rFonts w:ascii="Arial" w:cs="Arial" w:eastAsia="Arial" w:hAnsi="Arial"/>
          <w:sz w:val="19"/>
          <w:szCs w:val="19"/>
          <w:color w:val="auto"/>
        </w:rPr>
        <w:t xml:space="preserve">) </w:t>
      </w:r>
      <w:r>
        <w:rPr>
          <w:rFonts w:ascii="Arial" w:cs="Arial" w:eastAsia="Arial" w:hAnsi="Arial"/>
          <w:sz w:val="19"/>
          <w:szCs w:val="19"/>
          <w:color w:val="FF0000"/>
        </w:rPr>
        <w:t>the sum of: (a)</w:t>
      </w:r>
      <w:r>
        <w:rPr>
          <w:sz w:val="20"/>
          <w:szCs w:val="20"/>
          <w:color w:val="auto"/>
        </w:rPr>
        <w:tab/>
      </w:r>
      <w:r>
        <w:rPr>
          <w:rFonts w:ascii="Arial" w:cs="Arial" w:eastAsia="Arial" w:hAnsi="Arial"/>
          <w:sz w:val="17"/>
          <w:szCs w:val="17"/>
          <w:u w:val="single" w:color="auto"/>
          <w:color w:val="0000FF"/>
        </w:rPr>
        <w:t xml:space="preserve">Adjusted </w:t>
      </w:r>
      <w:r>
        <w:rPr>
          <w:rFonts w:ascii="Arial" w:cs="Arial" w:eastAsia="Arial" w:hAnsi="Arial"/>
          <w:sz w:val="17"/>
          <w:szCs w:val="17"/>
          <w:color w:val="000000"/>
        </w:rPr>
        <w:t>Daily Simple SOFR</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and</w:t>
      </w:r>
      <w:r>
        <w:rPr>
          <w:rFonts w:ascii="Arial" w:cs="Arial" w:eastAsia="Arial" w:hAnsi="Arial"/>
          <w:sz w:val="17"/>
          <w:szCs w:val="17"/>
          <w:u w:val="single" w:color="auto"/>
          <w:color w:val="0000FF"/>
        </w:rPr>
        <w:t xml:space="preserve"> </w:t>
      </w:r>
      <w:r>
        <w:rPr>
          <w:rFonts w:ascii="Arial" w:cs="Arial" w:eastAsia="Arial" w:hAnsi="Arial"/>
          <w:sz w:val="17"/>
          <w:szCs w:val="17"/>
          <w:color w:val="FF0000"/>
        </w:rPr>
        <w:t>(b)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-60325</wp:posOffset>
            </wp:positionV>
            <wp:extent cx="753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5311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-60325</wp:posOffset>
            </wp:positionV>
            <wp:extent cx="26295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69" w:lineRule="exact"/>
        <w:rPr>
          <w:sz w:val="20"/>
          <w:szCs w:val="20"/>
          <w:color w:val="auto"/>
        </w:rPr>
      </w:pPr>
    </w:p>
    <w:p>
      <w:pPr>
        <w:ind w:left="1280"/>
        <w:spacing w:after="0"/>
        <w:tabs>
          <w:tab w:leader="none" w:pos="1780" w:val="left"/>
        </w:tabs>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3</w:t>
      </w:r>
      <w:r>
        <w:rPr>
          <w:rFonts w:ascii="Arial" w:cs="Arial" w:eastAsia="Arial" w:hAnsi="Arial"/>
          <w:sz w:val="19"/>
          <w:szCs w:val="19"/>
          <w:u w:val="single" w:color="auto"/>
          <w:color w:val="0000FF"/>
        </w:rPr>
        <w:t>2</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the sum of: (a) the alternate benchmark rate that has been selected by the Administrative Agent and the Company as the</w:t>
      </w:r>
    </w:p>
    <w:p>
      <w:pPr>
        <w:ind w:left="640" w:right="20"/>
        <w:spacing w:after="0" w:line="235" w:lineRule="auto"/>
        <w:rPr>
          <w:sz w:val="20"/>
          <w:szCs w:val="20"/>
          <w:color w:val="auto"/>
        </w:rPr>
      </w:pPr>
      <w:r>
        <w:rPr>
          <w:rFonts w:ascii="Arial" w:cs="Arial" w:eastAsia="Arial" w:hAnsi="Arial"/>
          <w:sz w:val="17"/>
          <w:szCs w:val="17"/>
          <w:color w:val="auto"/>
        </w:rPr>
        <w:t>replacement for the then-current Benchmark for the applicable Corresponding Tenor giving due consideration to (i) any selection or recommendation of a replacement benchmark rate or the mechanism for determining such a rate by the Relevant Governmental Body or</w:t>
      </w:r>
    </w:p>
    <w:p>
      <w:pPr>
        <w:spacing w:after="0" w:line="1" w:lineRule="exact"/>
        <w:rPr>
          <w:sz w:val="20"/>
          <w:szCs w:val="20"/>
          <w:color w:val="auto"/>
        </w:rPr>
      </w:pPr>
    </w:p>
    <w:p>
      <w:pPr>
        <w:jc w:val="both"/>
        <w:ind w:left="640" w:right="800" w:firstLine="2"/>
        <w:spacing w:after="0" w:line="225" w:lineRule="auto"/>
        <w:tabs>
          <w:tab w:leader="none" w:pos="92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any evolving or then-prevailing market convention for determining a benchmark rate as a replacement for the then-current Benchmark for dollar-denominated syndicated credit facilities at such time </w:t>
      </w:r>
      <w:r>
        <w:rPr>
          <w:rFonts w:ascii="Arial" w:cs="Arial" w:eastAsia="Arial" w:hAnsi="Arial"/>
          <w:sz w:val="19"/>
          <w:szCs w:val="19"/>
          <w:u w:val="single" w:color="auto"/>
          <w:color w:val="0000FF"/>
        </w:rPr>
        <w:t>in the United States</w:t>
      </w:r>
      <w:r>
        <w:rPr>
          <w:rFonts w:ascii="Arial" w:cs="Arial" w:eastAsia="Arial" w:hAnsi="Arial"/>
          <w:sz w:val="19"/>
          <w:szCs w:val="19"/>
          <w:color w:val="auto"/>
        </w:rPr>
        <w:t xml:space="preserve"> and (b) the related Benchmark Replacement Adjustment</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p>
    <w:p>
      <w:pPr>
        <w:spacing w:after="0" w:line="160" w:lineRule="exact"/>
        <w:rPr>
          <w:sz w:val="20"/>
          <w:szCs w:val="20"/>
          <w:color w:val="auto"/>
        </w:rPr>
      </w:pPr>
    </w:p>
    <w:p>
      <w:pPr>
        <w:ind w:right="180" w:firstLine="636"/>
        <w:spacing w:after="0" w:line="227" w:lineRule="auto"/>
        <w:rPr>
          <w:sz w:val="20"/>
          <w:szCs w:val="20"/>
          <w:color w:val="auto"/>
        </w:rPr>
      </w:pPr>
      <w:r>
        <w:rPr>
          <w:rFonts w:ascii="Arial" w:cs="Arial" w:eastAsia="Arial" w:hAnsi="Arial"/>
          <w:sz w:val="20"/>
          <w:szCs w:val="20"/>
          <w:u w:val="single" w:color="auto"/>
          <w:color w:val="FF0000"/>
          <w:strike w:val="1"/>
        </w:rPr>
        <w:t>provided that</w:t>
      </w:r>
      <w:r>
        <w:rPr>
          <w:rFonts w:ascii="Arial" w:cs="Arial" w:eastAsia="Arial" w:hAnsi="Arial"/>
          <w:sz w:val="20"/>
          <w:szCs w:val="20"/>
          <w:color w:val="FF0000"/>
          <w:strike w:val="1"/>
        </w:rPr>
        <w:t>, in the case of clause (1), such Unadjusted Benchmark Replacement is displayed on a screen or other</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 xml:space="preserve">information service that publishes such rate from time to time as selected by the Administrative Agent in its reasonable discretion; provided further that, in the case of clause (3), when such clause is used to determine the Benchmark Replacement in connection with the occurrence of an Other Benchmark Rate Election, the alternate benchmark rate selected by the Administrative Agent and the Company shall be the term benchmark rate that is used in lieu of a LIBOR-based rate in the relevant other Dollar-denominated syndicated credit facilities; </w:t>
      </w:r>
      <w:r>
        <w:rPr>
          <w:rFonts w:ascii="Arial" w:cs="Arial" w:eastAsia="Arial" w:hAnsi="Arial"/>
          <w:sz w:val="20"/>
          <w:szCs w:val="20"/>
          <w:u w:val="single" w:color="auto"/>
          <w:color w:val="FF0000"/>
          <w:strike w:val="1"/>
        </w:rPr>
        <w:t>provided further</w:t>
      </w:r>
      <w:r>
        <w:rPr>
          <w:rFonts w:ascii="Arial" w:cs="Arial" w:eastAsia="Arial" w:hAnsi="Arial"/>
          <w:sz w:val="20"/>
          <w:szCs w:val="20"/>
          <w:color w:val="FF0000"/>
          <w:strike w:val="1"/>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61" w:lineRule="exact"/>
        <w:rPr>
          <w:sz w:val="20"/>
          <w:szCs w:val="20"/>
          <w:color w:val="auto"/>
        </w:rPr>
      </w:pPr>
    </w:p>
    <w:p>
      <w:pPr>
        <w:ind w:right="280" w:firstLine="636"/>
        <w:spacing w:after="0" w:line="249" w:lineRule="auto"/>
        <w:rPr>
          <w:sz w:val="20"/>
          <w:szCs w:val="20"/>
          <w:color w:val="auto"/>
        </w:rPr>
      </w:pPr>
      <w:r>
        <w:rPr>
          <w:rFonts w:ascii="Arial" w:cs="Arial" w:eastAsia="Arial" w:hAnsi="Arial"/>
          <w:sz w:val="19"/>
          <w:szCs w:val="19"/>
          <w:color w:val="auto"/>
        </w:rPr>
        <w:t>If the Benchmark Replacement as determined pursuant to clause (1)</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(2</w:t>
      </w:r>
      <w:r>
        <w:rPr>
          <w:rFonts w:ascii="Arial" w:cs="Arial" w:eastAsia="Arial" w:hAnsi="Arial"/>
          <w:sz w:val="19"/>
          <w:szCs w:val="19"/>
          <w:color w:val="FF0000"/>
          <w:strike w:val="1"/>
        </w:rPr>
        <w:t>) or (3</w:t>
      </w:r>
      <w:r>
        <w:rPr>
          <w:rFonts w:ascii="Arial" w:cs="Arial" w:eastAsia="Arial" w:hAnsi="Arial"/>
          <w:sz w:val="19"/>
          <w:szCs w:val="19"/>
          <w:color w:val="auto"/>
        </w:rPr>
        <w:t>) above would be less than the Floor, the Benchmark Replacement will be deemed to be the Floor for the purposes of this Agreement and the other Loan Documents.</w:t>
      </w:r>
    </w:p>
    <w:p>
      <w:pPr>
        <w:spacing w:after="0" w:line="132"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for any applicable Interest Period and Available Tenor for any setting of such Unadjusted Benchmark Replacement</w:t>
      </w:r>
      <w:r>
        <w:rPr>
          <w:rFonts w:ascii="Arial" w:cs="Arial" w:eastAsia="Arial" w:hAnsi="Arial"/>
          <w:sz w:val="21"/>
          <w:szCs w:val="21"/>
          <w:color w:val="FF0000"/>
          <w:strike w:val="1"/>
        </w:rPr>
        <w:t>:</w:t>
      </w:r>
    </w:p>
    <w:p>
      <w:pPr>
        <w:spacing w:after="0" w:line="154" w:lineRule="exact"/>
        <w:rPr>
          <w:sz w:val="20"/>
          <w:szCs w:val="20"/>
          <w:color w:val="auto"/>
        </w:rPr>
      </w:pPr>
    </w:p>
    <w:p>
      <w:pPr>
        <w:jc w:val="both"/>
        <w:ind w:firstLine="642"/>
        <w:spacing w:after="0" w:line="242" w:lineRule="auto"/>
        <w:tabs>
          <w:tab w:leader="none" w:pos="775" w:val="left"/>
        </w:tabs>
        <w:numPr>
          <w:ilvl w:val="0"/>
          <w:numId w:val="36"/>
        </w:numPr>
        <w:rPr>
          <w:rFonts w:ascii="Arial" w:cs="Arial" w:eastAsia="Arial" w:hAnsi="Arial"/>
          <w:sz w:val="20"/>
          <w:szCs w:val="20"/>
          <w:u w:val="single" w:color="auto"/>
          <w:color w:val="0000FF"/>
        </w:rPr>
      </w:pPr>
      <w:r>
        <w:rPr>
          <w:rFonts w:ascii="Arial" w:cs="Arial" w:eastAsia="Arial" w:hAnsi="Arial"/>
          <w:sz w:val="20"/>
          <w:szCs w:val="20"/>
          <w:u w:val="single" w:color="auto"/>
          <w:color w:val="008000"/>
        </w:rPr>
        <w:t xml:space="preserve">the spread adjustment, or method for calculating or determining such spread adjustment, (which may be a positive or negative value or zero) that has been selected by </w:t>
      </w:r>
      <w:r>
        <w:rPr>
          <w:rFonts w:ascii="Arial" w:cs="Arial" w:eastAsia="Arial" w:hAnsi="Arial"/>
          <w:sz w:val="20"/>
          <w:szCs w:val="20"/>
          <w:color w:val="FF0000"/>
          <w:strike w:val="1"/>
        </w:rPr>
        <w:t>(1) for purposes of clauses (1) and (2) of the definition of “Benchmark</w:t>
      </w:r>
      <w:r>
        <w:rPr>
          <w:rFonts w:ascii="Arial" w:cs="Arial" w:eastAsia="Arial" w:hAnsi="Arial"/>
          <w:sz w:val="20"/>
          <w:szCs w:val="20"/>
          <w:u w:val="single" w:color="auto"/>
          <w:color w:val="008000"/>
        </w:rPr>
        <w:t xml:space="preserve"> </w:t>
      </w:r>
      <w:r>
        <w:rPr>
          <w:rFonts w:ascii="Arial" w:cs="Arial" w:eastAsia="Arial" w:hAnsi="Arial"/>
          <w:sz w:val="20"/>
          <w:szCs w:val="20"/>
          <w:color w:val="FF0000"/>
          <w:strike w:val="1"/>
        </w:rPr>
        <w:t>Replacement,” the first alternative set forth in the order below that can be determined by the Administrative Agent:</w:t>
      </w:r>
    </w:p>
    <w:p>
      <w:pPr>
        <w:spacing w:after="0" w:line="152" w:lineRule="exact"/>
        <w:rPr>
          <w:sz w:val="20"/>
          <w:szCs w:val="20"/>
          <w:color w:val="auto"/>
        </w:rPr>
      </w:pPr>
    </w:p>
    <w:p>
      <w:pPr>
        <w:jc w:val="both"/>
        <w:ind w:firstLine="642"/>
        <w:spacing w:after="0" w:line="225" w:lineRule="auto"/>
        <w:tabs>
          <w:tab w:leader="none" w:pos="947" w:val="left"/>
        </w:tabs>
        <w:numPr>
          <w:ilvl w:val="0"/>
          <w:numId w:val="37"/>
        </w:numPr>
        <w:rPr>
          <w:rFonts w:ascii="Arial" w:cs="Arial" w:eastAsia="Arial" w:hAnsi="Arial"/>
          <w:sz w:val="21"/>
          <w:szCs w:val="21"/>
          <w:color w:val="FF0000"/>
          <w:strike w:val="1"/>
        </w:rPr>
      </w:pPr>
      <w:r>
        <w:rPr>
          <w:rFonts w:ascii="Arial" w:cs="Arial" w:eastAsia="Arial" w:hAnsi="Arial"/>
          <w:sz w:val="21"/>
          <w:szCs w:val="21"/>
          <w:color w:val="FF0000"/>
          <w:strike w:val="1"/>
        </w:rPr>
        <w:t xml:space="preserve">the spread adjustment, or method for calculating or determining such spread adjustment, (which may be a positive or negative value or zero) as of the Reference Time such Benchmark Replacement is first set </w:t>
      </w:r>
      <w:r>
        <w:rPr>
          <w:rFonts w:ascii="Arial" w:cs="Arial" w:eastAsia="Arial" w:hAnsi="Arial"/>
          <w:sz w:val="21"/>
          <w:szCs w:val="21"/>
          <w:color w:val="008000"/>
          <w:strike w:val="1"/>
        </w:rPr>
        <w:t>for such Interest Period</w:t>
      </w:r>
      <w:r>
        <w:rPr>
          <w:rFonts w:ascii="Arial" w:cs="Arial" w:eastAsia="Arial" w:hAnsi="Arial"/>
          <w:sz w:val="21"/>
          <w:szCs w:val="21"/>
          <w:color w:val="FF0000"/>
          <w:strike w:val="1"/>
        </w:rPr>
        <w:t xml:space="preserve"> that has been selected or recommended by the Relevant Governmental Body for the replacement of such Benchmark with the applicable Unadjusted Benchmark Replacement for the applicable Corresponding Tenor;</w:t>
      </w:r>
    </w:p>
    <w:p>
      <w:pPr>
        <w:spacing w:after="0" w:line="154" w:lineRule="exact"/>
        <w:rPr>
          <w:rFonts w:ascii="Arial" w:cs="Arial" w:eastAsia="Arial" w:hAnsi="Arial"/>
          <w:sz w:val="21"/>
          <w:szCs w:val="21"/>
          <w:color w:val="FF0000"/>
          <w:strike w:val="1"/>
        </w:rPr>
      </w:pPr>
    </w:p>
    <w:p>
      <w:pPr>
        <w:jc w:val="both"/>
        <w:ind w:firstLine="642"/>
        <w:spacing w:after="0" w:line="225" w:lineRule="auto"/>
        <w:tabs>
          <w:tab w:leader="none" w:pos="956" w:val="left"/>
        </w:tabs>
        <w:numPr>
          <w:ilvl w:val="0"/>
          <w:numId w:val="37"/>
        </w:numPr>
        <w:rPr>
          <w:rFonts w:ascii="Arial" w:cs="Arial" w:eastAsia="Arial" w:hAnsi="Arial"/>
          <w:sz w:val="21"/>
          <w:szCs w:val="21"/>
          <w:color w:val="FF0000"/>
          <w:strike w:val="1"/>
        </w:rPr>
      </w:pPr>
      <w:r>
        <w:rPr>
          <w:rFonts w:ascii="Arial" w:cs="Arial" w:eastAsia="Arial" w:hAnsi="Arial"/>
          <w:sz w:val="21"/>
          <w:szCs w:val="21"/>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59" w:lineRule="exact"/>
        <w:rPr>
          <w:sz w:val="20"/>
          <w:szCs w:val="20"/>
          <w:color w:val="auto"/>
        </w:rPr>
      </w:pPr>
    </w:p>
    <w:p>
      <w:pPr>
        <w:ind w:right="580" w:firstLine="642"/>
        <w:spacing w:after="0" w:line="249" w:lineRule="auto"/>
        <w:tabs>
          <w:tab w:leader="none" w:pos="911" w:val="left"/>
        </w:tabs>
        <w:numPr>
          <w:ilvl w:val="0"/>
          <w:numId w:val="38"/>
        </w:numPr>
        <w:rPr>
          <w:rFonts w:ascii="Arial" w:cs="Arial" w:eastAsia="Arial" w:hAnsi="Arial"/>
          <w:sz w:val="19"/>
          <w:szCs w:val="19"/>
          <w:color w:val="FF0000"/>
          <w:strike w:val="1"/>
        </w:rPr>
      </w:pPr>
      <w:r>
        <w:rPr>
          <w:rFonts w:ascii="Arial" w:cs="Arial" w:eastAsia="Arial" w:hAnsi="Arial"/>
          <w:sz w:val="19"/>
          <w:szCs w:val="19"/>
          <w:color w:val="FF0000"/>
          <w:strike w:val="1"/>
        </w:rPr>
        <w:t xml:space="preserve">for purposes of clause (3) of the definition of “Benchmark Replacement,” </w:t>
      </w:r>
      <w:r>
        <w:rPr>
          <w:rFonts w:ascii="Arial" w:cs="Arial" w:eastAsia="Arial" w:hAnsi="Arial"/>
          <w:sz w:val="19"/>
          <w:szCs w:val="19"/>
          <w:color w:val="008000"/>
          <w:strike w:val="1"/>
        </w:rPr>
        <w:t>the spread adjustment, or method for calculating or</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determining such spread adjustment, (which may be a positive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008000"/>
          <w:strike w:val="1"/>
        </w:rPr>
        <w:t>negative value or zero) that has been selected by</w:t>
      </w:r>
      <w:r>
        <w:rPr>
          <w:rFonts w:ascii="Arial" w:cs="Arial" w:eastAsia="Arial" w:hAnsi="Arial"/>
          <w:sz w:val="17"/>
          <w:szCs w:val="17"/>
          <w:color w:val="008000"/>
        </w:rPr>
        <w:t xml:space="preserve">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the</w:t>
      </w:r>
      <w:r>
        <w:rPr>
          <w:rFonts w:ascii="Arial" w:cs="Arial" w:eastAsia="Arial" w:hAnsi="Arial"/>
          <w:sz w:val="17"/>
          <w:szCs w:val="17"/>
          <w:color w:val="008000"/>
        </w:rPr>
        <w:t xml:space="preserve"> </w:t>
      </w:r>
      <w:r>
        <w:rPr>
          <w:rFonts w:ascii="Arial" w:cs="Arial" w:eastAsia="Arial" w:hAnsi="Arial"/>
          <w:sz w:val="17"/>
          <w:szCs w:val="17"/>
          <w:color w:val="000000"/>
        </w:rPr>
        <w:t>Administrative Agent and the Company for the applicable Corresponding Tenor giving</w:t>
      </w:r>
      <w:r>
        <w:rPr>
          <w:rFonts w:ascii="Arial" w:cs="Arial" w:eastAsia="Arial" w:hAnsi="Arial"/>
          <w:sz w:val="17"/>
          <w:szCs w:val="17"/>
          <w:color w:val="008000"/>
        </w:rPr>
        <w:t xml:space="preserve"> </w:t>
      </w:r>
      <w:r>
        <w:rPr>
          <w:rFonts w:ascii="Arial" w:cs="Arial" w:eastAsia="Arial" w:hAnsi="Arial"/>
          <w:sz w:val="17"/>
          <w:szCs w:val="17"/>
          <w:color w:val="000000"/>
        </w:rPr>
        <w:t>due consideration to (i) any selection or recommendation of a spread adjustment, or method for calculating or determining such spread</w:t>
      </w:r>
    </w:p>
    <w:p>
      <w:pPr>
        <w:spacing w:after="0" w:line="1"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adjustment, for the replacement of such Benchmark with the applicable Unadjusted Benchmark Replacement by the Relevant Governmental Body on the applicable Benchmark Replacement Date and/or (ii) any evolving or then-prevailing market convention for determining a spread</w:t>
      </w:r>
    </w:p>
    <w:p>
      <w:pPr>
        <w:spacing w:after="0" w:line="1" w:lineRule="exact"/>
        <w:rPr>
          <w:sz w:val="20"/>
          <w:szCs w:val="20"/>
          <w:color w:val="auto"/>
        </w:rPr>
      </w:pPr>
    </w:p>
    <w:p>
      <w:pPr>
        <w:ind w:right="560"/>
        <w:spacing w:after="0" w:line="236" w:lineRule="auto"/>
        <w:rPr>
          <w:sz w:val="20"/>
          <w:szCs w:val="20"/>
          <w:color w:val="auto"/>
        </w:rPr>
      </w:pPr>
      <w:r>
        <w:rPr>
          <w:rFonts w:ascii="Arial" w:cs="Arial" w:eastAsia="Arial" w:hAnsi="Arial"/>
          <w:sz w:val="19"/>
          <w:szCs w:val="19"/>
          <w:color w:val="auto"/>
        </w:rPr>
        <w:t>adjustment, or method for calculating or determining such spread adjustment, for the replacement of such Benchmark with the applicable Unadjusted Benchmark Replacement for dollar-denominated syndicated credit facilities</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at such time.</w:t>
      </w:r>
    </w:p>
    <w:p>
      <w:pPr>
        <w:spacing w:after="0" w:line="14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u w:val="single" w:color="auto"/>
          <w:color w:val="FF0000"/>
          <w:strike w:val="1"/>
        </w:rPr>
        <w:t xml:space="preserve">provided </w:t>
      </w:r>
      <w:r>
        <w:rPr>
          <w:rFonts w:ascii="Arial" w:cs="Arial" w:eastAsia="Arial" w:hAnsi="Arial"/>
          <w:sz w:val="21"/>
          <w:szCs w:val="21"/>
          <w:color w:val="FF0000"/>
          <w:strike w:val="1"/>
        </w:rPr>
        <w:t>that, in the case of clause (1) above, such adjustment is displayed on a screen or other information service that</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publishes such Benchmark Replacement Adjustment from time to time as selected by the Administrative Agent in its reasonable discretion.</w:t>
      </w:r>
    </w:p>
    <w:p>
      <w:pPr>
        <w:spacing w:after="0" w:line="152"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Conforming Changes</w:t>
      </w:r>
      <w:r>
        <w:rPr>
          <w:rFonts w:ascii="Arial" w:cs="Arial" w:eastAsia="Arial" w:hAnsi="Arial"/>
          <w:sz w:val="17"/>
          <w:szCs w:val="17"/>
          <w:color w:val="auto"/>
        </w:rPr>
        <w:t xml:space="preserve">” means, with respect to any Benchmark Replacement </w:t>
      </w:r>
      <w:r>
        <w:rPr>
          <w:rFonts w:ascii="Arial" w:cs="Arial" w:eastAsia="Arial" w:hAnsi="Arial"/>
          <w:sz w:val="17"/>
          <w:szCs w:val="17"/>
          <w:u w:val="single" w:color="auto"/>
          <w:color w:val="0000FF"/>
        </w:rPr>
        <w:t>and/or any Term Benchmark</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Loan</w:t>
      </w:r>
      <w:r>
        <w:rPr>
          <w:rFonts w:ascii="Arial" w:cs="Arial" w:eastAsia="Arial" w:hAnsi="Arial"/>
          <w:sz w:val="17"/>
          <w:szCs w:val="17"/>
          <w:color w:val="000000"/>
        </w:rPr>
        <w:t>, any technical, administrative or operational changes (including changes to the definition of “Base Rate,” the definition of “</w:t>
      </w:r>
      <w:r>
        <w:rPr>
          <w:rFonts w:ascii="Arial" w:cs="Arial" w:eastAsia="Arial" w:hAnsi="Arial"/>
          <w:sz w:val="17"/>
          <w:szCs w:val="17"/>
          <w:u w:val="single" w:color="auto"/>
          <w:color w:val="0000FF"/>
        </w:rPr>
        <w:t>Business Day,”</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u w:val="single" w:color="auto"/>
          <w:color w:val="0000FF"/>
        </w:rPr>
        <w:t>the definition of “U.S. Government Securities</w:t>
      </w:r>
      <w:r>
        <w:rPr>
          <w:rFonts w:ascii="Arial" w:cs="Arial" w:eastAsia="Arial" w:hAnsi="Arial"/>
          <w:sz w:val="17"/>
          <w:szCs w:val="17"/>
          <w:color w:val="0000FF"/>
        </w:rPr>
        <w:t xml:space="preserve"> </w:t>
      </w:r>
      <w:r>
        <w:rPr>
          <w:rFonts w:ascii="Arial" w:cs="Arial" w:eastAsia="Arial" w:hAnsi="Arial"/>
          <w:sz w:val="17"/>
          <w:szCs w:val="17"/>
          <w:color w:val="000000"/>
        </w:rPr>
        <w:t>Business Day,” the definition of “Interest Period,” timing and frequency of determining rates and</w:t>
      </w:r>
      <w:r>
        <w:rPr>
          <w:rFonts w:ascii="Arial" w:cs="Arial" w:eastAsia="Arial" w:hAnsi="Arial"/>
          <w:sz w:val="17"/>
          <w:szCs w:val="17"/>
          <w:color w:val="0000FF"/>
        </w:rPr>
        <w:t xml:space="preserve"> </w:t>
      </w:r>
      <w:r>
        <w:rPr>
          <w:rFonts w:ascii="Arial" w:cs="Arial" w:eastAsia="Arial" w:hAnsi="Arial"/>
          <w:sz w:val="17"/>
          <w:szCs w:val="17"/>
          <w:color w:val="000000"/>
        </w:rPr>
        <w:t>making payments of interest, timing of borrowing requests or prepayment, conversion or continuation notices, length of lookback periods, the</w:t>
      </w:r>
    </w:p>
    <w:p>
      <w:pPr>
        <w:spacing w:after="0" w:line="1"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 xml:space="preserve">applicability of breakage provisions, and other technical, administrative or operational matters) that the Administrative Agent decides in its reasonable discretion may be appropriate to reflect the adoption and implementation of such Benchmark </w:t>
      </w:r>
      <w:r>
        <w:rPr>
          <w:rFonts w:ascii="Arial" w:cs="Arial" w:eastAsia="Arial" w:hAnsi="Arial"/>
          <w:sz w:val="17"/>
          <w:szCs w:val="17"/>
          <w:color w:val="FF0000"/>
          <w:strike w:val="1"/>
        </w:rPr>
        <w:t>Replacement</w:t>
      </w:r>
      <w:r>
        <w:rPr>
          <w:rFonts w:ascii="Arial" w:cs="Arial" w:eastAsia="Arial" w:hAnsi="Arial"/>
          <w:sz w:val="17"/>
          <w:szCs w:val="17"/>
          <w:color w:val="auto"/>
        </w:rPr>
        <w:t xml:space="preserve"> and to permit the</w:t>
      </w:r>
    </w:p>
    <w:p>
      <w:pPr>
        <w:spacing w:after="0" w:line="232" w:lineRule="auto"/>
        <w:rPr>
          <w:sz w:val="20"/>
          <w:szCs w:val="20"/>
          <w:color w:val="auto"/>
        </w:rPr>
      </w:pPr>
      <w:r>
        <w:rPr>
          <w:rFonts w:ascii="Arial" w:cs="Arial" w:eastAsia="Arial" w:hAnsi="Arial"/>
          <w:sz w:val="18"/>
          <w:szCs w:val="18"/>
          <w:color w:val="auto"/>
        </w:rPr>
        <w:t>administration thereof by the Administrative Agent in a manner substantially consistent with market practice (or, if the Administrative Agent</w:t>
      </w:r>
    </w:p>
    <w:p>
      <w:pPr>
        <w:ind w:right="280"/>
        <w:spacing w:after="0" w:line="235" w:lineRule="auto"/>
        <w:rPr>
          <w:sz w:val="20"/>
          <w:szCs w:val="20"/>
          <w:color w:val="auto"/>
        </w:rPr>
      </w:pPr>
      <w:r>
        <w:rPr>
          <w:rFonts w:ascii="Arial" w:cs="Arial" w:eastAsia="Arial" w:hAnsi="Arial"/>
          <w:sz w:val="17"/>
          <w:szCs w:val="17"/>
          <w:color w:val="auto"/>
        </w:rPr>
        <w:t xml:space="preserve">decides that adoption of any portion of such market practice is not administratively feasible or if the Administrative Agent determines that no market practice for the administration of such Benchmark </w:t>
      </w:r>
      <w:r>
        <w:rPr>
          <w:rFonts w:ascii="Arial" w:cs="Arial" w:eastAsia="Arial" w:hAnsi="Arial"/>
          <w:sz w:val="17"/>
          <w:szCs w:val="17"/>
          <w:color w:val="FF0000"/>
          <w:strike w:val="1"/>
        </w:rPr>
        <w:t>Replacement</w:t>
      </w:r>
      <w:r>
        <w:rPr>
          <w:rFonts w:ascii="Arial" w:cs="Arial" w:eastAsia="Arial" w:hAnsi="Arial"/>
          <w:sz w:val="17"/>
          <w:szCs w:val="17"/>
          <w:color w:val="auto"/>
        </w:rPr>
        <w:t xml:space="preserve"> exists, in such other manner of administration as the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Agent decides is reasonably necessary in connection with the administration of this Agreement and the other Loan Documents).</w:t>
      </w:r>
    </w:p>
    <w:p>
      <w:pPr>
        <w:spacing w:after="0" w:line="170" w:lineRule="exact"/>
        <w:rPr>
          <w:sz w:val="20"/>
          <w:szCs w:val="20"/>
          <w:color w:val="auto"/>
        </w:rPr>
      </w:pPr>
    </w:p>
    <w:p>
      <w:pPr>
        <w:ind w:right="180"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Date</w:t>
      </w:r>
      <w:r>
        <w:rPr>
          <w:rFonts w:ascii="Arial" w:cs="Arial" w:eastAsia="Arial" w:hAnsi="Arial"/>
          <w:sz w:val="19"/>
          <w:szCs w:val="19"/>
          <w:color w:val="auto"/>
        </w:rPr>
        <w:t>” means</w:t>
      </w:r>
      <w:r>
        <w:rPr>
          <w:rFonts w:ascii="Arial" w:cs="Arial" w:eastAsia="Arial" w:hAnsi="Arial"/>
          <w:sz w:val="19"/>
          <w:szCs w:val="19"/>
          <w:u w:val="single" w:color="auto"/>
          <w:color w:val="0000FF"/>
        </w:rPr>
        <w:t>, with respect to any Benchmark,</w:t>
      </w:r>
      <w:r>
        <w:rPr>
          <w:rFonts w:ascii="Arial" w:cs="Arial" w:eastAsia="Arial" w:hAnsi="Arial"/>
          <w:sz w:val="19"/>
          <w:szCs w:val="19"/>
          <w:color w:val="auto"/>
        </w:rPr>
        <w:t xml:space="preserve"> the earliest to occur of the following events with respect to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such</w:t>
      </w:r>
      <w:r>
        <w:rPr>
          <w:rFonts w:ascii="Arial" w:cs="Arial" w:eastAsia="Arial" w:hAnsi="Arial"/>
          <w:sz w:val="19"/>
          <w:szCs w:val="19"/>
          <w:color w:val="FF0000"/>
        </w:rPr>
        <w:t xml:space="preserve"> </w:t>
      </w:r>
      <w:r>
        <w:rPr>
          <w:rFonts w:ascii="Arial" w:cs="Arial" w:eastAsia="Arial" w:hAnsi="Arial"/>
          <w:sz w:val="19"/>
          <w:szCs w:val="19"/>
          <w:color w:val="000000"/>
        </w:rPr>
        <w:t>then-current Benchmark:</w:t>
      </w:r>
    </w:p>
    <w:p>
      <w:pPr>
        <w:spacing w:after="0" w:line="163" w:lineRule="exact"/>
        <w:rPr>
          <w:sz w:val="20"/>
          <w:szCs w:val="20"/>
          <w:color w:val="auto"/>
        </w:rPr>
      </w:pPr>
    </w:p>
    <w:p>
      <w:pPr>
        <w:ind w:left="640" w:right="360" w:firstLine="638"/>
        <w:spacing w:after="0" w:line="227" w:lineRule="auto"/>
        <w:tabs>
          <w:tab w:leader="none" w:pos="1697"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19"/>
          <w:szCs w:val="19"/>
          <w:color w:val="0000FF"/>
        </w:rPr>
        <w:t>or</w:t>
      </w:r>
    </w:p>
    <w:p>
      <w:pPr>
        <w:spacing w:after="0" w:line="167" w:lineRule="exact"/>
        <w:rPr>
          <w:rFonts w:ascii="Arial" w:cs="Arial" w:eastAsia="Arial" w:hAnsi="Arial"/>
          <w:sz w:val="19"/>
          <w:szCs w:val="19"/>
          <w:color w:val="auto"/>
        </w:rPr>
      </w:pPr>
    </w:p>
    <w:p>
      <w:pPr>
        <w:ind w:left="640" w:right="120" w:firstLine="638"/>
        <w:spacing w:after="0"/>
        <w:tabs>
          <w:tab w:leader="none" w:pos="1697"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w:t>
      </w:r>
      <w:r>
        <w:rPr>
          <w:rFonts w:ascii="Arial" w:cs="Arial" w:eastAsia="Arial" w:hAnsi="Arial"/>
          <w:sz w:val="17"/>
          <w:szCs w:val="17"/>
          <w:color w:val="FF0000"/>
          <w:strike w:val="1"/>
        </w:rPr>
        <w:t>of information</w:t>
      </w:r>
      <w:r>
        <w:rPr>
          <w:rFonts w:ascii="Arial" w:cs="Arial" w:eastAsia="Arial" w:hAnsi="Arial"/>
          <w:sz w:val="17"/>
          <w:szCs w:val="17"/>
          <w:color w:val="auto"/>
        </w:rPr>
        <w:t xml:space="preserve"> referenced in such clause</w:t>
      </w:r>
    </w:p>
    <w:p>
      <w:pPr>
        <w:spacing w:after="0" w:line="2" w:lineRule="exact"/>
        <w:rPr>
          <w:rFonts w:ascii="Arial" w:cs="Arial" w:eastAsia="Arial" w:hAnsi="Arial"/>
          <w:sz w:val="17"/>
          <w:szCs w:val="17"/>
          <w:color w:val="auto"/>
        </w:rPr>
      </w:pPr>
    </w:p>
    <w:p>
      <w:pPr>
        <w:ind w:left="920" w:hanging="278"/>
        <w:spacing w:after="0"/>
        <w:tabs>
          <w:tab w:leader="none" w:pos="9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and even if any Available Tenor of such Benchmark (or such component thereof) continues to be provided on such date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-768350</wp:posOffset>
            </wp:positionV>
            <wp:extent cx="1333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56" w:lineRule="exact"/>
        <w:rPr>
          <w:sz w:val="20"/>
          <w:szCs w:val="20"/>
          <w:color w:val="auto"/>
        </w:rPr>
      </w:pPr>
    </w:p>
    <w:p>
      <w:pPr>
        <w:ind w:firstLine="642"/>
        <w:spacing w:after="0" w:line="249" w:lineRule="auto"/>
        <w:tabs>
          <w:tab w:leader="none" w:pos="919" w:val="left"/>
        </w:tabs>
        <w:numPr>
          <w:ilvl w:val="0"/>
          <w:numId w:val="41"/>
        </w:numPr>
        <w:rPr>
          <w:rFonts w:ascii="Arial" w:cs="Arial" w:eastAsia="Arial" w:hAnsi="Arial"/>
          <w:sz w:val="19"/>
          <w:szCs w:val="19"/>
          <w:color w:val="FF0000"/>
          <w:strike w:val="1"/>
        </w:rPr>
      </w:pPr>
      <w:r>
        <w:rPr>
          <w:rFonts w:ascii="Arial" w:cs="Arial" w:eastAsia="Arial" w:hAnsi="Arial"/>
          <w:sz w:val="19"/>
          <w:szCs w:val="19"/>
          <w:color w:val="008000"/>
          <w:strike w:val="1"/>
        </w:rPr>
        <w:t xml:space="preserve">in the case of a Term </w:t>
      </w:r>
      <w:r>
        <w:rPr>
          <w:rFonts w:ascii="Arial" w:cs="Arial" w:eastAsia="Arial" w:hAnsi="Arial"/>
          <w:sz w:val="19"/>
          <w:szCs w:val="19"/>
          <w:color w:val="FF0000"/>
          <w:strike w:val="1"/>
        </w:rPr>
        <w:t>SOFR Transition Event, the date that is thirty (30) days after the date a Term SOFR Notice is provided to the</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Lenders and the Company pursuant to Section 8.01(c); or</w:t>
      </w:r>
    </w:p>
    <w:p>
      <w:pPr>
        <w:spacing w:after="0" w:line="138" w:lineRule="exact"/>
        <w:rPr>
          <w:rFonts w:ascii="Arial" w:cs="Arial" w:eastAsia="Arial" w:hAnsi="Arial"/>
          <w:sz w:val="19"/>
          <w:szCs w:val="19"/>
          <w:color w:val="FF0000"/>
          <w:strike w:val="1"/>
        </w:rPr>
      </w:pPr>
    </w:p>
    <w:p>
      <w:pPr>
        <w:jc w:val="both"/>
        <w:ind w:firstLine="642"/>
        <w:spacing w:after="0" w:line="247" w:lineRule="auto"/>
        <w:tabs>
          <w:tab w:leader="none" w:pos="942" w:val="left"/>
        </w:tabs>
        <w:numPr>
          <w:ilvl w:val="0"/>
          <w:numId w:val="41"/>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in the case of an Early Opt-in Election or an Other Benchmark Rate Election, the sixth (6th) Business Day after the date notice of such Early Opt-in Election or Other Benchmark Rate Election as applicable is provided to the Lenders, so long as the Administrative Agent has not received, by 5:00 p.m. </w:t>
      </w:r>
      <w:r>
        <w:rPr>
          <w:rFonts w:ascii="Arial" w:cs="Arial" w:eastAsia="Arial" w:hAnsi="Arial"/>
          <w:sz w:val="19"/>
          <w:szCs w:val="19"/>
          <w:color w:val="008000"/>
          <w:strike w:val="1"/>
        </w:rPr>
        <w:t>(New York City time) on</w:t>
      </w:r>
      <w:r>
        <w:rPr>
          <w:rFonts w:ascii="Arial" w:cs="Arial" w:eastAsia="Arial" w:hAnsi="Arial"/>
          <w:sz w:val="19"/>
          <w:szCs w:val="19"/>
          <w:color w:val="FF0000"/>
          <w:strike w:val="1"/>
        </w:rPr>
        <w:t xml:space="preserve"> the fifth (5th)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67" w:lineRule="exact"/>
        <w:rPr>
          <w:sz w:val="20"/>
          <w:szCs w:val="20"/>
          <w:color w:val="auto"/>
        </w:rPr>
      </w:pPr>
    </w:p>
    <w:p>
      <w:pPr>
        <w:ind w:right="140" w:firstLine="636"/>
        <w:spacing w:after="0" w:line="253"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Time for such determination and (ii) the “Benchmark Replacement Date” will be deemed to have occurred in the case of clause (1) or (2) with respect to any Benchmark upon the occurrence of the applicable event or events set forth therein with respect to all then-current Available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Tenors of such Benchmark (or the published component used in the calculation thereof).</w:t>
      </w:r>
    </w:p>
    <w:p>
      <w:pPr>
        <w:spacing w:after="0" w:line="170" w:lineRule="exact"/>
        <w:rPr>
          <w:sz w:val="20"/>
          <w:szCs w:val="20"/>
          <w:color w:val="auto"/>
        </w:rPr>
      </w:pPr>
    </w:p>
    <w:p>
      <w:pPr>
        <w:ind w:right="280"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Transition Event</w:t>
      </w:r>
      <w:r>
        <w:rPr>
          <w:rFonts w:ascii="Arial" w:cs="Arial" w:eastAsia="Arial" w:hAnsi="Arial"/>
          <w:sz w:val="19"/>
          <w:szCs w:val="19"/>
          <w:color w:val="auto"/>
        </w:rPr>
        <w:t>” means</w:t>
      </w:r>
      <w:r>
        <w:rPr>
          <w:rFonts w:ascii="Arial" w:cs="Arial" w:eastAsia="Arial" w:hAnsi="Arial"/>
          <w:sz w:val="19"/>
          <w:szCs w:val="19"/>
          <w:u w:val="single" w:color="auto"/>
          <w:color w:val="0000FF"/>
        </w:rPr>
        <w:t>, with respect to any Benchmark,</w:t>
      </w:r>
      <w:r>
        <w:rPr>
          <w:rFonts w:ascii="Arial" w:cs="Arial" w:eastAsia="Arial" w:hAnsi="Arial"/>
          <w:sz w:val="19"/>
          <w:szCs w:val="19"/>
          <w:color w:val="auto"/>
        </w:rPr>
        <w:t xml:space="preserve"> the occurrence of one or more of the following events with respect to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such</w:t>
      </w:r>
      <w:r>
        <w:rPr>
          <w:rFonts w:ascii="Arial" w:cs="Arial" w:eastAsia="Arial" w:hAnsi="Arial"/>
          <w:sz w:val="19"/>
          <w:szCs w:val="19"/>
          <w:color w:val="auto"/>
        </w:rPr>
        <w:t xml:space="preserve"> then-current Benchmark:</w:t>
      </w:r>
    </w:p>
    <w:p>
      <w:pPr>
        <w:spacing w:after="0" w:line="163" w:lineRule="exact"/>
        <w:rPr>
          <w:sz w:val="20"/>
          <w:szCs w:val="20"/>
          <w:color w:val="auto"/>
        </w:rPr>
      </w:pPr>
    </w:p>
    <w:p>
      <w:pPr>
        <w:ind w:left="640" w:right="160" w:firstLine="638"/>
        <w:spacing w:after="0" w:line="223" w:lineRule="auto"/>
        <w:tabs>
          <w:tab w:leader="none" w:pos="1551"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4" w:lineRule="exact"/>
        <w:rPr>
          <w:rFonts w:ascii="Arial" w:cs="Arial" w:eastAsia="Arial" w:hAnsi="Arial"/>
          <w:sz w:val="19"/>
          <w:szCs w:val="19"/>
          <w:color w:val="auto"/>
        </w:rPr>
      </w:pPr>
    </w:p>
    <w:p>
      <w:pPr>
        <w:ind w:left="640" w:right="40" w:firstLine="638"/>
        <w:spacing w:after="0" w:line="248" w:lineRule="auto"/>
        <w:tabs>
          <w:tab w:leader="none" w:pos="1551"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NYFRB, </w:t>
      </w:r>
      <w:r>
        <w:rPr>
          <w:rFonts w:ascii="Arial" w:cs="Arial" w:eastAsia="Arial" w:hAnsi="Arial"/>
          <w:sz w:val="17"/>
          <w:szCs w:val="17"/>
          <w:u w:val="single" w:color="auto"/>
          <w:color w:val="0000FF"/>
        </w:rPr>
        <w:t>the CME Term SOFR Administrator,</w:t>
      </w:r>
      <w:r>
        <w:rPr>
          <w:rFonts w:ascii="Arial" w:cs="Arial" w:eastAsia="Arial" w:hAnsi="Arial"/>
          <w:sz w:val="17"/>
          <w:szCs w:val="17"/>
          <w:color w:val="auto"/>
        </w:rPr>
        <w:t xml:space="preserv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t>
      </w:r>
      <w:r>
        <w:rPr>
          <w:rFonts w:ascii="Arial" w:cs="Arial" w:eastAsia="Arial" w:hAnsi="Arial"/>
          <w:sz w:val="17"/>
          <w:szCs w:val="17"/>
          <w:u w:val="single" w:color="auto"/>
          <w:color w:val="0000FF"/>
        </w:rPr>
        <w:t>in each case,</w:t>
      </w:r>
      <w:r>
        <w:rPr>
          <w:rFonts w:ascii="Arial" w:cs="Arial" w:eastAsia="Arial" w:hAnsi="Arial"/>
          <w:sz w:val="17"/>
          <w:szCs w:val="17"/>
          <w:color w:val="auto"/>
        </w:rPr>
        <w:t xml:space="preserve"> which states that the administrator of such Benchmark (or such component) has ceased or will cease to provide all Available Tenors of such Benchmark (or such component thereof) permanently or indefinitely</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46" w:lineRule="exact"/>
        <w:rPr>
          <w:rFonts w:ascii="Arial" w:cs="Arial" w:eastAsia="Arial" w:hAnsi="Arial"/>
          <w:sz w:val="17"/>
          <w:szCs w:val="17"/>
          <w:color w:val="auto"/>
        </w:rPr>
      </w:pPr>
    </w:p>
    <w:p>
      <w:pPr>
        <w:ind w:left="640" w:right="160" w:firstLine="638"/>
        <w:spacing w:after="0" w:line="236" w:lineRule="auto"/>
        <w:tabs>
          <w:tab w:leader="none" w:pos="1551"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0" w:lineRule="exact"/>
        <w:rPr>
          <w:sz w:val="20"/>
          <w:szCs w:val="20"/>
          <w:color w:val="auto"/>
        </w:rPr>
      </w:pPr>
    </w:p>
    <w:p>
      <w:pPr>
        <w:ind w:right="520" w:firstLine="636"/>
        <w:spacing w:after="0" w:line="236"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4"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means</w:t>
      </w:r>
      <w:r>
        <w:rPr>
          <w:rFonts w:ascii="Arial" w:cs="Arial" w:eastAsia="Arial" w:hAnsi="Arial"/>
          <w:sz w:val="18"/>
          <w:szCs w:val="18"/>
          <w:u w:val="single" w:color="auto"/>
          <w:color w:val="0000FF"/>
        </w:rPr>
        <w:t>, with respect to any Benchmark,</w:t>
      </w:r>
      <w:r>
        <w:rPr>
          <w:rFonts w:ascii="Arial" w:cs="Arial" w:eastAsia="Arial" w:hAnsi="Arial"/>
          <w:sz w:val="18"/>
          <w:szCs w:val="18"/>
          <w:color w:val="auto"/>
        </w:rPr>
        <w:t xml:space="preserve"> the period (if any) (x) beginning at the time that a Benchmark Replacement Date pursuant to clauses (1) or (2) of that definition has occurred if, at such time, no Benchmark Replacement has</w:t>
      </w:r>
    </w:p>
    <w:p>
      <w:pPr>
        <w:spacing w:after="0" w:line="235" w:lineRule="auto"/>
        <w:rPr>
          <w:sz w:val="20"/>
          <w:szCs w:val="20"/>
          <w:color w:val="auto"/>
        </w:rPr>
      </w:pPr>
      <w:r>
        <w:rPr>
          <w:rFonts w:ascii="Arial" w:cs="Arial" w:eastAsia="Arial" w:hAnsi="Arial"/>
          <w:sz w:val="17"/>
          <w:szCs w:val="17"/>
          <w:color w:val="auto"/>
        </w:rPr>
        <w:t xml:space="preserve">replaced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such</w:t>
      </w:r>
      <w:r>
        <w:rPr>
          <w:rFonts w:ascii="Arial" w:cs="Arial" w:eastAsia="Arial" w:hAnsi="Arial"/>
          <w:sz w:val="17"/>
          <w:szCs w:val="17"/>
          <w:color w:val="auto"/>
        </w:rPr>
        <w:t xml:space="preserve"> then-current Benchmark for all purposes hereunder and under any Loan Document in accordance with Section 8.01 and (y) ending at the time that a Benchmark Replacement has replaced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such</w:t>
      </w:r>
      <w:r>
        <w:rPr>
          <w:rFonts w:ascii="Arial" w:cs="Arial" w:eastAsia="Arial" w:hAnsi="Arial"/>
          <w:sz w:val="17"/>
          <w:szCs w:val="17"/>
          <w:color w:val="auto"/>
        </w:rPr>
        <w:t xml:space="preserve"> then-current Benchmark for all purposes hereunder and under any Loan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Document in accordance with Section 8.01.</w:t>
      </w:r>
    </w:p>
    <w:p>
      <w:pPr>
        <w:spacing w:after="0" w:line="170"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Ownership Certification</w:t>
      </w:r>
      <w:r>
        <w:rPr>
          <w:rFonts w:ascii="Arial" w:cs="Arial" w:eastAsia="Arial" w:hAnsi="Arial"/>
          <w:sz w:val="19"/>
          <w:szCs w:val="19"/>
          <w:color w:val="auto"/>
        </w:rPr>
        <w:t>” means a certification regarding beneficial ownership or control as required by the Beneficial Ownership Regulation.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Ownership Regulation</w:t>
      </w:r>
      <w:r>
        <w:rPr>
          <w:rFonts w:ascii="Arial" w:cs="Arial" w:eastAsia="Arial" w:hAnsi="Arial"/>
          <w:sz w:val="19"/>
          <w:szCs w:val="19"/>
          <w:color w:val="auto"/>
        </w:rPr>
        <w:t>” means 31 C.F.R. § 1010.230.</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of (a) an “employee benefit plan” (as defined in Section 3(3) of ERISA) that is subject to Title I of ERISA,</w:t>
      </w:r>
    </w:p>
    <w:p>
      <w:pPr>
        <w:spacing w:after="0" w:line="1" w:lineRule="exact"/>
        <w:rPr>
          <w:sz w:val="20"/>
          <w:szCs w:val="20"/>
          <w:color w:val="auto"/>
        </w:rPr>
      </w:pPr>
    </w:p>
    <w:p>
      <w:pPr>
        <w:ind w:firstLine="6"/>
        <w:spacing w:after="0" w:line="236" w:lineRule="auto"/>
        <w:tabs>
          <w:tab w:leader="none" w:pos="289"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“plan” as defined in Section 4975 of the Code to which Section 4975 of the Code applies, and (c) any Person whose assets include (for purposes of the Plan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6</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Regulations or otherwise for purposes of Title I of ERISA or Section 4975 of the Code) the assets of any such “employee benefit plan” or “plan”.</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1841(k)) of such party.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Directors</w:t>
      </w:r>
      <w:r>
        <w:rPr>
          <w:rFonts w:ascii="Arial" w:cs="Arial" w:eastAsia="Arial" w:hAnsi="Arial"/>
          <w:sz w:val="21"/>
          <w:szCs w:val="21"/>
          <w:color w:val="auto"/>
        </w:rPr>
        <w:t>” means the board of directors of the Company.</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w:t>
      </w:r>
      <w:r>
        <w:rPr>
          <w:rFonts w:ascii="Arial" w:cs="Arial" w:eastAsia="Arial" w:hAnsi="Arial"/>
          <w:sz w:val="21"/>
          <w:szCs w:val="21"/>
          <w:color w:val="auto"/>
        </w:rPr>
        <w:t>” means the Company or any Eligible Subsidiary, as the context may require, and their respective successors, and “</w:t>
      </w:r>
      <w:r>
        <w:rPr>
          <w:rFonts w:ascii="Arial" w:cs="Arial" w:eastAsia="Arial" w:hAnsi="Arial"/>
          <w:sz w:val="21"/>
          <w:szCs w:val="21"/>
          <w:b w:val="1"/>
          <w:bCs w:val="1"/>
          <w:color w:val="auto"/>
        </w:rPr>
        <w:t>Borrowers</w:t>
      </w:r>
      <w:r>
        <w:rPr>
          <w:rFonts w:ascii="Arial" w:cs="Arial" w:eastAsia="Arial" w:hAnsi="Arial"/>
          <w:sz w:val="21"/>
          <w:szCs w:val="21"/>
          <w:color w:val="auto"/>
        </w:rPr>
        <w:t>” means all of the foregoing. As of the Effective Date, the only Borrower is the Company.</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Borrowing</w:t>
      </w:r>
      <w:r>
        <w:rPr>
          <w:rFonts w:ascii="Arial" w:cs="Arial" w:eastAsia="Arial" w:hAnsi="Arial"/>
          <w:sz w:val="21"/>
          <w:szCs w:val="21"/>
          <w:color w:val="auto"/>
        </w:rPr>
        <w:t>” has the meaning set forth in Section 1.03.</w:t>
      </w:r>
    </w:p>
    <w:p>
      <w:pPr>
        <w:spacing w:after="0" w:line="18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provided that, </w:t>
      </w:r>
      <w:r>
        <w:rPr>
          <w:rFonts w:ascii="Arial" w:cs="Arial" w:eastAsia="Arial" w:hAnsi="Arial"/>
          <w:sz w:val="20"/>
          <w:szCs w:val="20"/>
          <w:color w:val="FF0000"/>
          <w:strike w:val="1"/>
        </w:rPr>
        <w:t>when used in connection with a Euro-Dollar Loan, the term</w:t>
      </w:r>
      <w:r>
        <w:rPr>
          <w:rFonts w:ascii="Arial" w:cs="Arial" w:eastAsia="Arial" w:hAnsi="Arial"/>
          <w:sz w:val="20"/>
          <w:szCs w:val="20"/>
          <w:color w:val="auto"/>
        </w:rPr>
        <w:t xml:space="preserve"> </w:t>
      </w:r>
      <w:r>
        <w:rPr>
          <w:rFonts w:ascii="Arial" w:cs="Arial" w:eastAsia="Arial" w:hAnsi="Arial"/>
          <w:sz w:val="20"/>
          <w:szCs w:val="20"/>
          <w:color w:val="FF0000"/>
          <w:strike w:val="1"/>
        </w:rPr>
        <w:t>“Business Day” shall also exclude any day on which banks are not open for dealings in dollar deposits in the London interbank market.</w:t>
      </w:r>
      <w:r>
        <w:rPr>
          <w:rFonts w:ascii="Arial" w:cs="Arial" w:eastAsia="Arial" w:hAnsi="Arial"/>
          <w:sz w:val="20"/>
          <w:szCs w:val="20"/>
          <w:u w:val="single" w:color="auto"/>
          <w:color w:val="0000FF"/>
          <w:strike w:val="1"/>
        </w:rPr>
        <w:t>in addition to the foregoing, a Business Day shall be (a) in relation to RFR Loans and any interest rate settings, fundings,</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also a U.S. Government Securities Business Day.</w:t>
      </w:r>
    </w:p>
    <w:p>
      <w:pPr>
        <w:spacing w:after="0" w:line="153"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the occurrence of any of the following:</w:t>
      </w:r>
    </w:p>
    <w:p>
      <w:pPr>
        <w:spacing w:after="0" w:line="189" w:lineRule="exact"/>
        <w:rPr>
          <w:sz w:val="20"/>
          <w:szCs w:val="20"/>
          <w:color w:val="auto"/>
        </w:rPr>
      </w:pPr>
    </w:p>
    <w:p>
      <w:pPr>
        <w:jc w:val="both"/>
        <w:ind w:firstLine="642"/>
        <w:spacing w:after="0" w:line="230" w:lineRule="auto"/>
        <w:tabs>
          <w:tab w:leader="none" w:pos="945"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sale, conveyance, transfer or lease of the Company’s properties and assets substantially as an entirety (other than by way of merger or consolidation) to any “person” (as that term is used in Section 13(d)(3) of the Securities Exchange Act of 1934, as amended), other than the Company or one of its Subsidiaries;</w:t>
      </w:r>
    </w:p>
    <w:p>
      <w:pPr>
        <w:spacing w:after="0" w:line="153" w:lineRule="exact"/>
        <w:rPr>
          <w:rFonts w:ascii="Arial" w:cs="Arial" w:eastAsia="Arial" w:hAnsi="Arial"/>
          <w:sz w:val="21"/>
          <w:szCs w:val="21"/>
          <w:color w:val="auto"/>
        </w:rPr>
      </w:pPr>
    </w:p>
    <w:p>
      <w:pPr>
        <w:ind w:left="940" w:hanging="298"/>
        <w:spacing w:after="0"/>
        <w:tabs>
          <w:tab w:leader="none" w:pos="9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first day on which a majority of the members of the Board of Directors are not Continuing Directors; or</w:t>
      </w:r>
    </w:p>
    <w:p>
      <w:pPr>
        <w:spacing w:after="0" w:line="182" w:lineRule="exact"/>
        <w:rPr>
          <w:rFonts w:ascii="Arial" w:cs="Arial" w:eastAsia="Arial" w:hAnsi="Arial"/>
          <w:sz w:val="21"/>
          <w:szCs w:val="21"/>
          <w:color w:val="auto"/>
        </w:rPr>
      </w:pPr>
    </w:p>
    <w:p>
      <w:pPr>
        <w:ind w:firstLine="642"/>
        <w:spacing w:after="0" w:line="239" w:lineRule="auto"/>
        <w:tabs>
          <w:tab w:leader="none" w:pos="976"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consummation of any transaction or series of related transactions (including, without limitation, any merger or consolidation) the result of which is that any “person” (as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7</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term is used in Section 13(d)(3) of the Securities Exchange Act of 1934, as amended), other than the Company or one of its Subsidiaries, becomes the beneficial owner, directly or indirectly, of more than 50% of the then outstanding shares of the Company’s Voting Stock, measured by voting power rather than number of shares;</w:t>
      </w:r>
    </w:p>
    <w:p>
      <w:pPr>
        <w:spacing w:after="0" w:line="15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consummation of any such transaction will not be considered to be a Change of Control if (a) the Company becomes a direct or indirect wholly-owned Subsidiary of a holding company and (b) immediately following such transaction, (x) the direct or indirect holders of the Voting Stock of the holding company are substantially the same as the holders of the Company’s Voting Stock immediately prior to such transaction or (y) no “person” (as that term is used in Section 13(d)(3) of the Securities Exchange Act of 1934, as amended) is the beneficial owner, directly or indirectly, of more than 50% of the Voting Stock of such holding company.</w:t>
      </w:r>
    </w:p>
    <w:p>
      <w:pPr>
        <w:spacing w:after="0" w:line="15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 Triggering Event</w:t>
      </w:r>
      <w:r>
        <w:rPr>
          <w:rFonts w:ascii="Arial" w:cs="Arial" w:eastAsia="Arial" w:hAnsi="Arial"/>
          <w:sz w:val="20"/>
          <w:szCs w:val="20"/>
          <w:color w:val="auto"/>
        </w:rPr>
        <w:t>” means (1) the Company’s Public Rating is downgraded by each of the Ratings Agencies during the 60-day period (the “</w:t>
      </w:r>
      <w:r>
        <w:rPr>
          <w:rFonts w:ascii="Arial" w:cs="Arial" w:eastAsia="Arial" w:hAnsi="Arial"/>
          <w:sz w:val="20"/>
          <w:szCs w:val="20"/>
          <w:b w:val="1"/>
          <w:bCs w:val="1"/>
          <w:color w:val="auto"/>
        </w:rPr>
        <w:t>Trigger Period</w:t>
      </w:r>
      <w:r>
        <w:rPr>
          <w:rFonts w:ascii="Arial" w:cs="Arial" w:eastAsia="Arial" w:hAnsi="Arial"/>
          <w:sz w:val="20"/>
          <w:szCs w:val="20"/>
          <w:color w:val="auto"/>
        </w:rPr>
        <w:t xml:space="preserve">”) commencing on the earlier of (i) the occurrence of a Change of Control or (ii) the first public announcement of the occurrence of a Change of Control or the Company’s intention to effect a Change of Control (which Trigger Period will be extended so long as the Company’s Public Rating is under publicly announced consideration for possible downgrade by any of the Ratings Agencies) and (2) the Company’s Public Rating is rated below an Investment Grade rating by each of the Ratings Agencies on any date during the Trigger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Change of Control Triggering Event will not be deemed to have occurred in respect of a particular Change of Control if each Ratings Agency does not publicly announce or confirm or inform the Administrative Agent, in writing at the Company’s request that the reduction was the result, in whole or in part, of any event or circumstance comprised of or arising as a result of, or in respect of, the Change of Control (whether or not the applicable Change of Control has occurred at the time of the Change of Control Triggering Event). Notwithstanding the foregoing, no Change of Control Triggering Event will be deemed to have occurred in connection with any particular Change of Control unless and until such Change of Control has actually been consummated.</w:t>
      </w:r>
    </w:p>
    <w:p>
      <w:pPr>
        <w:spacing w:after="0" w:line="162" w:lineRule="exact"/>
        <w:rPr>
          <w:sz w:val="20"/>
          <w:szCs w:val="20"/>
          <w:color w:val="auto"/>
        </w:rPr>
      </w:pPr>
    </w:p>
    <w:p>
      <w:pPr>
        <w:ind w:right="180" w:firstLine="636"/>
        <w:spacing w:after="0" w:line="256"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CME Term SOFR Administrator</w:t>
      </w:r>
      <w:r>
        <w:rPr>
          <w:rFonts w:ascii="Arial" w:cs="Arial" w:eastAsia="Arial" w:hAnsi="Arial"/>
          <w:sz w:val="19"/>
          <w:szCs w:val="19"/>
          <w:u w:val="single" w:color="auto"/>
          <w:color w:val="0000FF"/>
        </w:rPr>
        <w:t>” means CME Group Benchmark Administration Limited as administrator of the forward-looking term Secured Overnight Financing Rate (SOFR) (or a successor administrator).</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U.S. Internal Revenue Code of 1986, as amended.</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w:t>
      </w:r>
      <w:r>
        <w:rPr>
          <w:rFonts w:ascii="Arial" w:cs="Arial" w:eastAsia="Arial" w:hAnsi="Arial"/>
          <w:sz w:val="21"/>
          <w:szCs w:val="21"/>
          <w:color w:val="auto"/>
        </w:rPr>
        <w:t>” means (i) with respect to any Lender listed on the Commitment Schedule, the amount set forth therein opposite the name of such Lender under the heading “Commitment” and (ii) with respect to any Assignee or any financial institution which becomes a Lender pursuant to Section 11.06(c) or 2.20 the amount of the Commitment thereby assumed by it, in each case as such amount may from time to time be reduced pursuant to Section 2.08 or changed as a result of an assignment pursuant to Section 11.06(c).</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 Schedule</w:t>
      </w:r>
      <w:r>
        <w:rPr>
          <w:rFonts w:ascii="Arial" w:cs="Arial" w:eastAsia="Arial" w:hAnsi="Arial"/>
          <w:sz w:val="21"/>
          <w:szCs w:val="21"/>
          <w:color w:val="auto"/>
        </w:rPr>
        <w:t>” means the Commitment Schedule attached hereto.</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Communications</w:t>
      </w:r>
      <w:r>
        <w:rPr>
          <w:rFonts w:ascii="Arial" w:cs="Arial" w:eastAsia="Arial" w:hAnsi="Arial"/>
          <w:sz w:val="21"/>
          <w:szCs w:val="21"/>
          <w:color w:val="auto"/>
        </w:rPr>
        <w:t>” has the meaning set forth in Section 7.04(c).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means Campbell Soup Company, a New Jersey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8</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7"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Company’s 2021 Form 10-K</w:t>
      </w:r>
      <w:r>
        <w:rPr>
          <w:rFonts w:ascii="Arial" w:cs="Arial" w:eastAsia="Arial" w:hAnsi="Arial"/>
          <w:sz w:val="20"/>
          <w:szCs w:val="20"/>
          <w:color w:val="auto"/>
        </w:rPr>
        <w:t>” means the Company’s annual report on Form 10-K for its fiscal year ended August 1, 2021, as filed with the Securities and Exchange Commission pursuant to the Securities Exchange Act of 1934, as amended.</w:t>
      </w:r>
    </w:p>
    <w:p>
      <w:pPr>
        <w:spacing w:after="0" w:line="11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Company’s Public Rating</w:t>
      </w:r>
      <w:r>
        <w:rPr>
          <w:rFonts w:ascii="Arial" w:cs="Arial" w:eastAsia="Arial" w:hAnsi="Arial"/>
          <w:sz w:val="19"/>
          <w:szCs w:val="19"/>
          <w:color w:val="auto"/>
        </w:rPr>
        <w:t>” means, at any time, the rating assigned by each of the Ratings Agencies to the Company’s senior unsecured long-term indebtedness without third-party credit support (or, if no such indebtedness is outstanding and so rated at such time, then the Company’s corporate or corporate family rating, as applicable, from such Ratings Agencies).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Connection Income Taxes</w:t>
      </w:r>
      <w:r>
        <w:rPr>
          <w:rFonts w:ascii="Arial" w:cs="Arial" w:eastAsia="Arial" w:hAnsi="Arial"/>
          <w:sz w:val="19"/>
          <w:szCs w:val="19"/>
          <w:color w:val="auto"/>
        </w:rPr>
        <w:t>” means Other Connection Taxes that are imposed on net income, or that are franchise or similar</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taxes.</w:t>
      </w:r>
    </w:p>
    <w:p>
      <w:pPr>
        <w:spacing w:after="0" w:line="15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Adjusted EBITDA</w:t>
      </w:r>
      <w:r>
        <w:rPr>
          <w:rFonts w:ascii="Arial" w:cs="Arial" w:eastAsia="Arial" w:hAnsi="Arial"/>
          <w:sz w:val="21"/>
          <w:szCs w:val="21"/>
          <w:color w:val="auto"/>
        </w:rPr>
        <w:t>” means, for any period, an amount determined for the Company and its Subsidiaries on a consolidated basis equal to:</w:t>
      </w:r>
    </w:p>
    <w:p>
      <w:pPr>
        <w:spacing w:after="0" w:line="149" w:lineRule="exact"/>
        <w:rPr>
          <w:sz w:val="20"/>
          <w:szCs w:val="20"/>
          <w:color w:val="auto"/>
        </w:rPr>
      </w:pPr>
    </w:p>
    <w:p>
      <w:pPr>
        <w:ind w:left="1080" w:hanging="438"/>
        <w:spacing w:after="0"/>
        <w:tabs>
          <w:tab w:leader="none" w:pos="10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EBIT (and EBIT of any discontinued operations), </w:t>
      </w:r>
      <w:r>
        <w:rPr>
          <w:rFonts w:ascii="Arial" w:cs="Arial" w:eastAsia="Arial" w:hAnsi="Arial"/>
          <w:sz w:val="21"/>
          <w:szCs w:val="21"/>
          <w:u w:val="single" w:color="auto"/>
          <w:color w:val="auto"/>
        </w:rPr>
        <w:t>plus</w:t>
      </w:r>
    </w:p>
    <w:p>
      <w:pPr>
        <w:spacing w:after="0" w:line="182" w:lineRule="exact"/>
        <w:rPr>
          <w:rFonts w:ascii="Arial" w:cs="Arial" w:eastAsia="Arial" w:hAnsi="Arial"/>
          <w:sz w:val="21"/>
          <w:szCs w:val="21"/>
          <w:color w:val="auto"/>
        </w:rPr>
      </w:pPr>
    </w:p>
    <w:p>
      <w:pPr>
        <w:ind w:firstLine="642"/>
        <w:spacing w:after="0" w:line="235" w:lineRule="auto"/>
        <w:tabs>
          <w:tab w:leader="none" w:pos="1095"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without duplication and, other than with respect to clause (xi) below, solely to the extent deducted in calculating EBIT (and EBIT of any discontinued operations), the sum of (i) all amounts and expenses attributable to depreciation and amortization for such period, (ii) losses from dispositions of assets or liabilities outside of the ordinary course of business, (iii) any extraordinary, unusual or non-recurring charges or losses for such period, (iv) all costs, fees and expenses during such period related to any restructuring related costs (including, without limitation, any implementation costs, restructuring charges, related severance costs, retention bonuses, relocation expenses, expenses related to the closure of facilities and similar costs and expenses) and/or any costs, fees and expenses during such period related to any issuance of equity, recapitalization, reorganization, asset disposition, divestiture, sale of any business or division thereof, acquisition or Debt, (v) actual integration costs in relation to any consummated acquisition and all costs, fees and expenses incurred in connection with any consummated acquisition, (vi) any pension, post-retirement and similar plan actuarial mark-to-market losses and/or curtailment or settlement charges, (vii) any loss on foreign exchange, Swap Agreements or similar forward contracts, in each case, relating to any acquisition or disposition, (viii) the effects of purchase accounting adjustments made in relation to any consummated acquisition, (ix) any impairment charges or asset write-offs, including impairment charges or asset write-offs related to intangible assets (including goodwill) and long-lived assets, (x) any amortization expense related to notes discounts, (xi) non-cash charges, expenses and losses including, without limitation, in respect of impairments of goodwill and non-cash compensation charges incurred during such period arising from the grant of or the issuance of stock or stock equivalents and any equity incentive plans, arrangements or programs, (xii) earn outs and other contingent obligations in connection with any acquisition or investment, (xiii) for any period of four consecutive fiscal quarters, the amount of cost savings and synergies projected by the Company in good faith to be realized, net of realized gains, in connection with any acquisition or investment within 12 months of the closing date thereof, which cost savings and synergies shall be deemed to have been realized on the first day of such period;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(1) such cost savings and synergies are reasonably identifiable, reasonably attributable to such acquisition or investment, reasonably supportable and certified by a Financial Officer of the Company in writing to the Administrative Agent and (2) the Company has initiated, or will initiate within a period of time following the closing date of such acquisition or investment that is reasonably anticipated to permit such cost savings and synergies to be realized, within 12 months of such closing date appropriate actions to realize such cost savings and synergies;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aggregate amount added pursuant to this subclause (xiii) shall not exceed for any period of four consecutive fiscal quarters the lesser of (X) 10.0% of Consolidated Adjusted EBITDA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63" w:lineRule="exact"/>
        <w:rPr>
          <w:sz w:val="20"/>
          <w:szCs w:val="20"/>
          <w:color w:val="auto"/>
        </w:rPr>
      </w:pPr>
    </w:p>
    <w:p>
      <w:pPr>
        <w:ind w:right="740"/>
        <w:spacing w:after="0" w:line="225" w:lineRule="auto"/>
        <w:rPr>
          <w:sz w:val="20"/>
          <w:szCs w:val="20"/>
          <w:color w:val="auto"/>
        </w:rPr>
      </w:pPr>
      <w:r>
        <w:rPr>
          <w:rFonts w:ascii="Arial" w:cs="Arial" w:eastAsia="Arial" w:hAnsi="Arial"/>
          <w:sz w:val="21"/>
          <w:szCs w:val="21"/>
          <w:color w:val="auto"/>
        </w:rPr>
        <w:t xml:space="preserve">such period (calculated prior to giving effect to any such addback) and (Y) $125,000,000, (xiv) costs attributable to the implementation of any cost savings initiatives referred to in the preceding clause (xiii), (xv) any non-cash loss related to the implementation of accounting or tax legislative changes and (xvi) any unrealized mark-to-market losses with respect to any outstanding commodity hedges and </w:t>
      </w:r>
      <w:r>
        <w:rPr>
          <w:rFonts w:ascii="Arial" w:cs="Arial" w:eastAsia="Arial" w:hAnsi="Arial"/>
          <w:sz w:val="21"/>
          <w:szCs w:val="21"/>
          <w:u w:val="single" w:color="auto"/>
          <w:color w:val="auto"/>
        </w:rPr>
        <w:t>minus</w:t>
      </w:r>
    </w:p>
    <w:p>
      <w:pPr>
        <w:spacing w:after="0" w:line="154" w:lineRule="exact"/>
        <w:rPr>
          <w:sz w:val="20"/>
          <w:szCs w:val="20"/>
          <w:color w:val="auto"/>
        </w:rPr>
      </w:pPr>
    </w:p>
    <w:p>
      <w:pPr>
        <w:ind w:right="40" w:firstLine="642"/>
        <w:spacing w:after="0" w:line="219" w:lineRule="auto"/>
        <w:tabs>
          <w:tab w:leader="none" w:pos="1083" w:val="left"/>
        </w:tabs>
        <w:numPr>
          <w:ilvl w:val="0"/>
          <w:numId w:val="46"/>
        </w:numPr>
        <w:rPr>
          <w:rFonts w:ascii="Arial" w:cs="Arial" w:eastAsia="Arial" w:hAnsi="Arial"/>
          <w:sz w:val="21"/>
          <w:szCs w:val="21"/>
          <w:color w:val="auto"/>
        </w:rPr>
      </w:pPr>
      <w:r>
        <w:rPr>
          <w:rFonts w:ascii="Arial" w:cs="Arial" w:eastAsia="Arial" w:hAnsi="Arial"/>
          <w:sz w:val="21"/>
          <w:szCs w:val="21"/>
          <w:color w:val="auto"/>
        </w:rPr>
        <w:t>without duplication, solely to the extent added in calculating EBIT (and EBIT of any discontinued operations), the sum of (i) gains from dispositions of assets or liabilities outside of the ordinary course of business for such period, (ii) any pension, post-retirement and similar plan actuarial mark-to-market gains and/or curtailment or settlement gains, (iii) any gain on foreign exchange, Swap Agreements or similar forward contracts, in each case, relating to any acquisition or disposition, (iv) any restructuring gains, (v) any extraordinary, unusual or non-recurring income or gains (vi) any unrealized mark-to-market gains with respect to any outstanding commodity hedges and (vii) any non-cash gains related to the implementation of accounting or tax legislative changes, in each case, for such period.</w:t>
      </w:r>
    </w:p>
    <w:p>
      <w:pPr>
        <w:spacing w:after="0" w:line="152"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Coverage Ratio</w:t>
      </w:r>
      <w:r>
        <w:rPr>
          <w:rFonts w:ascii="Arial" w:cs="Arial" w:eastAsia="Arial" w:hAnsi="Arial"/>
          <w:sz w:val="18"/>
          <w:szCs w:val="18"/>
          <w:color w:val="auto"/>
        </w:rPr>
        <w:t xml:space="preserve">” means, as of any Test Date, the ratio of (a) Consolidated Adjusted EBITDA for the Related Test Period to (b) Consolidated Interest Expense for such Related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Pre-Acquisition Debt (including without</w:t>
      </w:r>
    </w:p>
    <w:p>
      <w:pPr>
        <w:jc w:val="both"/>
        <w:spacing w:after="0" w:line="271" w:lineRule="auto"/>
        <w:rPr>
          <w:sz w:val="20"/>
          <w:szCs w:val="20"/>
          <w:color w:val="auto"/>
        </w:rPr>
      </w:pPr>
      <w:r>
        <w:rPr>
          <w:rFonts w:ascii="Arial" w:cs="Arial" w:eastAsia="Arial" w:hAnsi="Arial"/>
          <w:sz w:val="17"/>
          <w:szCs w:val="17"/>
          <w:color w:val="auto"/>
        </w:rPr>
        <w:t>limitation interest expense or income related thereto) shall be excluded from the calculation of the Consolidated Interest Coverage Ratio solely for the period from the incurrence thereof until (but excluding) the date of consummation (or termination) of the related Material Acquisition.</w:t>
      </w:r>
    </w:p>
    <w:p>
      <w:pPr>
        <w:spacing w:after="0" w:line="115"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Interest Expense</w:t>
      </w:r>
      <w:r>
        <w:rPr>
          <w:rFonts w:ascii="Arial" w:cs="Arial" w:eastAsia="Arial" w:hAnsi="Arial"/>
          <w:sz w:val="21"/>
          <w:szCs w:val="21"/>
          <w:color w:val="auto"/>
        </w:rPr>
        <w:t xml:space="preserve">” means, as of any Test Date, the amount of interest expense (net of any interest income) of the Company and its Subsidiaries on a consolidated basis for the Related Test Period, as reflected on the consolidated statement of income for such Related Test Period in conformity with generally accepted accounting principles;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Consolidated Interest Expense shall not include (a) any upfront fees and similar amounts to the extent such amounts would constitute interest expense in conformity with generally accepted accounting principles, (b) gains and losses with respect to termination or settlement of derivative transactions, (c) any premium in connection with early repayment or redemption of Debt and (d) fees and expenses paid in connection with this Agreement.</w:t>
      </w:r>
    </w:p>
    <w:p>
      <w:pPr>
        <w:spacing w:after="0" w:line="154" w:lineRule="exact"/>
        <w:rPr>
          <w:sz w:val="20"/>
          <w:szCs w:val="20"/>
          <w:color w:val="auto"/>
        </w:rPr>
      </w:pPr>
    </w:p>
    <w:p>
      <w:pPr>
        <w:jc w:val="both"/>
        <w:ind w:firstLine="63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Subsidiary</w:t>
      </w:r>
      <w:r>
        <w:rPr>
          <w:rFonts w:ascii="Arial" w:cs="Arial" w:eastAsia="Arial" w:hAnsi="Arial"/>
          <w:sz w:val="19"/>
          <w:szCs w:val="19"/>
          <w:color w:val="auto"/>
        </w:rPr>
        <w:t>” means at any date any Subsidiary or other entity the accounts of which would be consolidated with those of the Company in its consolidated financial statements if such statements were prepared as of such date.</w:t>
      </w:r>
    </w:p>
    <w:p>
      <w:pPr>
        <w:spacing w:after="0" w:line="95"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Net Assets</w:t>
      </w:r>
      <w:r>
        <w:rPr>
          <w:rFonts w:ascii="Arial" w:cs="Arial" w:eastAsia="Arial" w:hAnsi="Arial"/>
          <w:sz w:val="21"/>
          <w:szCs w:val="21"/>
          <w:color w:val="auto"/>
        </w:rPr>
        <w:t>” means the total assets of the Company and its Consolidated Subsidiaries after deducting therefrom all current liabilities.</w:t>
      </w:r>
    </w:p>
    <w:p>
      <w:pPr>
        <w:spacing w:after="0" w:line="14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Continuing Directors</w:t>
      </w:r>
      <w:r>
        <w:rPr>
          <w:rFonts w:ascii="Arial" w:cs="Arial" w:eastAsia="Arial" w:hAnsi="Arial"/>
          <w:sz w:val="21"/>
          <w:szCs w:val="21"/>
          <w:color w:val="auto"/>
        </w:rPr>
        <w:t>” means, as of any date of determination, any member of the Board of Directors who (1) was a member of such Board of Directors on the Effective Date; or (2) was nominated or approved for election or elected to such Board of Directors with the approval of a majority of the Continuing Directors who were members of such Board of Directors at the time of such nomination, approval or election (either by a specific vote or by approval of the Company’s proxy statement in which such member was named as a nominee for election as a director).</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10</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61" w:lineRule="exact"/>
        <w:rPr>
          <w:sz w:val="20"/>
          <w:szCs w:val="20"/>
          <w:color w:val="auto"/>
        </w:rPr>
      </w:pPr>
    </w:p>
    <w:p>
      <w:pPr>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Entity</w:t>
      </w:r>
      <w:r>
        <w:rPr>
          <w:rFonts w:ascii="Arial" w:cs="Arial" w:eastAsia="Arial" w:hAnsi="Arial"/>
          <w:sz w:val="21"/>
          <w:szCs w:val="21"/>
          <w:color w:val="auto"/>
        </w:rPr>
        <w:t>” means any of the following:</w:t>
      </w:r>
    </w:p>
    <w:p>
      <w:pPr>
        <w:ind w:left="1280" w:hanging="638"/>
        <w:spacing w:after="0"/>
        <w:tabs>
          <w:tab w:leader="none" w:pos="12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164" w:lineRule="exact"/>
        <w:rPr>
          <w:rFonts w:ascii="Arial" w:cs="Arial" w:eastAsia="Arial" w:hAnsi="Arial"/>
          <w:sz w:val="21"/>
          <w:szCs w:val="21"/>
          <w:color w:val="auto"/>
        </w:rPr>
      </w:pPr>
    </w:p>
    <w:p>
      <w:pPr>
        <w:ind w:left="1280" w:hanging="638"/>
        <w:spacing w:after="0"/>
        <w:tabs>
          <w:tab w:leader="none" w:pos="12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 47.3(b); or</w:t>
      </w:r>
    </w:p>
    <w:p>
      <w:pPr>
        <w:spacing w:after="0" w:line="182" w:lineRule="exact"/>
        <w:rPr>
          <w:rFonts w:ascii="Arial" w:cs="Arial" w:eastAsia="Arial" w:hAnsi="Arial"/>
          <w:sz w:val="21"/>
          <w:szCs w:val="21"/>
          <w:color w:val="auto"/>
        </w:rPr>
      </w:pPr>
    </w:p>
    <w:p>
      <w:pPr>
        <w:ind w:left="1280" w:hanging="638"/>
        <w:spacing w:after="0"/>
        <w:tabs>
          <w:tab w:leader="none" w:pos="12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Party</w:t>
      </w:r>
      <w:r>
        <w:rPr>
          <w:rFonts w:ascii="Arial" w:cs="Arial" w:eastAsia="Arial" w:hAnsi="Arial"/>
          <w:sz w:val="21"/>
          <w:szCs w:val="21"/>
          <w:color w:val="auto"/>
        </w:rPr>
        <w:t>” has the meaning set forth in Section 11.15.</w:t>
      </w:r>
    </w:p>
    <w:p>
      <w:pPr>
        <w:jc w:val="both"/>
        <w:ind w:firstLine="636"/>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Exposure</w:t>
      </w:r>
      <w:r>
        <w:rPr>
          <w:rFonts w:ascii="Arial" w:cs="Arial" w:eastAsia="Arial" w:hAnsi="Arial"/>
          <w:sz w:val="20"/>
          <w:szCs w:val="20"/>
          <w:color w:val="auto"/>
        </w:rPr>
        <w:t>” means, with respect to any Lender at any time, (i) the amount of its Commitment (whether used or unused) at such time or (ii) if the Commitments have terminated in their entirety, the sum of the aggregate outstanding principal amount of its Loans at such time plus the aggregate amount of its Letter of Credit Liabilities at such time.</w:t>
      </w:r>
    </w:p>
    <w:p>
      <w:pPr>
        <w:spacing w:after="0" w:line="148"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SOFR</w:t>
      </w:r>
      <w:r>
        <w:rPr>
          <w:rFonts w:ascii="Arial" w:cs="Arial" w:eastAsia="Arial" w:hAnsi="Arial"/>
          <w:sz w:val="19"/>
          <w:szCs w:val="19"/>
          <w:color w:val="auto"/>
        </w:rPr>
        <w:t>” means, for any day</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 “</w:t>
      </w:r>
      <w:r>
        <w:rPr>
          <w:rFonts w:ascii="Arial" w:cs="Arial" w:eastAsia="Arial" w:hAnsi="Arial"/>
          <w:sz w:val="19"/>
          <w:szCs w:val="19"/>
          <w:b w:val="1"/>
          <w:bCs w:val="1"/>
          <w:color w:val="auto"/>
        </w:rPr>
        <w:t>SOFR</w:t>
      </w:r>
      <w:r>
        <w:rPr>
          <w:rFonts w:ascii="Arial" w:cs="Arial" w:eastAsia="Arial" w:hAnsi="Arial"/>
          <w:sz w:val="19"/>
          <w:szCs w:val="19"/>
          <w:color w:val="FF0000"/>
          <w:strike w:val="1"/>
        </w:rPr>
        <w:t>, with the conventions for this rate (which will include a lookback)</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 </w:t>
      </w:r>
      <w:r>
        <w:rPr>
          <w:rFonts w:ascii="Arial" w:cs="Arial" w:eastAsia="Arial" w:hAnsi="Arial"/>
          <w:sz w:val="19"/>
          <w:szCs w:val="19"/>
          <w:b w:val="1"/>
          <w:bCs w:val="1"/>
          <w:u w:val="single" w:color="auto"/>
          <w:color w:val="0000FF"/>
          <w:strike w:val="1"/>
        </w:rPr>
        <w:t>Rate Day</w:t>
      </w:r>
      <w:r>
        <w:rPr>
          <w:rFonts w:ascii="Arial" w:cs="Arial" w:eastAsia="Arial" w:hAnsi="Arial"/>
          <w:sz w:val="19"/>
          <w:szCs w:val="19"/>
          <w:u w:val="single" w:color="auto"/>
          <w:color w:val="0000FF"/>
          <w:strike w:val="1"/>
        </w:rPr>
        <w: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a rate per annum</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equal SOFR for the day (such day “</w:t>
      </w:r>
      <w:r>
        <w:rPr>
          <w:rFonts w:ascii="Arial" w:cs="Arial" w:eastAsia="Arial" w:hAnsi="Arial"/>
          <w:sz w:val="19"/>
          <w:szCs w:val="19"/>
          <w:b w:val="1"/>
          <w:bCs w:val="1"/>
          <w:u w:val="single" w:color="auto"/>
          <w:color w:val="0000FF"/>
          <w:strike w:val="1"/>
        </w:rPr>
        <w:t>SOFR</w:t>
      </w:r>
      <w:r>
        <w:rPr>
          <w:rFonts w:ascii="Arial" w:cs="Arial" w:eastAsia="Arial" w:hAnsi="Arial"/>
          <w:sz w:val="19"/>
          <w:szCs w:val="19"/>
          <w:color w:val="FF0000"/>
          <w:strike w:val="1"/>
        </w:rPr>
        <w:t xml:space="preserve"> </w:t>
      </w:r>
      <w:r>
        <w:rPr>
          <w:rFonts w:ascii="Arial" w:cs="Arial" w:eastAsia="Arial" w:hAnsi="Arial"/>
          <w:sz w:val="19"/>
          <w:szCs w:val="19"/>
          <w:b w:val="1"/>
          <w:bCs w:val="1"/>
          <w:u w:val="single" w:color="auto"/>
          <w:color w:val="0000FF"/>
          <w:strike w:val="1"/>
        </w:rPr>
        <w:t>Determination Date</w:t>
      </w:r>
      <w:r>
        <w:rPr>
          <w:rFonts w:ascii="Arial" w:cs="Arial" w:eastAsia="Arial" w:hAnsi="Arial"/>
          <w:sz w:val="19"/>
          <w:szCs w:val="19"/>
          <w:u w:val="single" w:color="auto"/>
          <w:color w:val="0000FF"/>
          <w:strike w:val="1"/>
        </w:rPr>
        <w:t>”) that is five (5) U.S. Government Securities</w:t>
      </w:r>
      <w:r>
        <w:rPr>
          <w:rFonts w:ascii="Arial" w:cs="Arial" w:eastAsia="Arial" w:hAnsi="Arial"/>
          <w:sz w:val="19"/>
          <w:szCs w:val="19"/>
          <w:b w:val="1"/>
          <w:bCs w:val="1"/>
          <w:u w:val="single" w:color="auto"/>
          <w:color w:val="0000FF"/>
          <w:strike w:val="1"/>
        </w:rPr>
        <w:t xml:space="preserve"> </w:t>
      </w:r>
      <w:r>
        <w:rPr>
          <w:rFonts w:ascii="Arial" w:cs="Arial" w:eastAsia="Arial" w:hAnsi="Arial"/>
          <w:sz w:val="19"/>
          <w:szCs w:val="19"/>
          <w:u w:val="single" w:color="auto"/>
          <w:color w:val="008000"/>
          <w:strike w:val="1"/>
        </w:rPr>
        <w:t>Business Days prior to</w:t>
      </w:r>
      <w:r>
        <w:rPr>
          <w:rFonts w:ascii="Arial" w:cs="Arial" w:eastAsia="Arial" w:hAnsi="Arial"/>
          <w:sz w:val="19"/>
          <w:szCs w:val="19"/>
          <w:b w:val="1"/>
          <w:bCs w:val="1"/>
          <w:u w:val="single" w:color="auto"/>
          <w:color w:val="0000FF"/>
          <w:strike w:val="1"/>
        </w:rPr>
        <w:t xml:space="preserve"> </w:t>
      </w:r>
      <w:r>
        <w:rPr>
          <w:rFonts w:ascii="Arial" w:cs="Arial" w:eastAsia="Arial" w:hAnsi="Arial"/>
          <w:sz w:val="19"/>
          <w:szCs w:val="19"/>
          <w:u w:val="single" w:color="auto"/>
          <w:color w:val="0000FF"/>
          <w:strike w:val="1"/>
        </w:rPr>
        <w:t>(i) if such SOFR Rate Day is a U.S.</w:t>
      </w:r>
      <w:r>
        <w:rPr>
          <w:rFonts w:ascii="Arial" w:cs="Arial" w:eastAsia="Arial" w:hAnsi="Arial"/>
          <w:sz w:val="19"/>
          <w:szCs w:val="19"/>
          <w:b w:val="1"/>
          <w:bCs w:val="1"/>
          <w:u w:val="single" w:color="auto"/>
          <w:color w:val="0000FF"/>
          <w:strike w:val="1"/>
        </w:rPr>
        <w:t xml:space="preserve"> </w:t>
      </w:r>
      <w:r>
        <w:rPr>
          <w:rFonts w:ascii="Arial" w:cs="Arial" w:eastAsia="Arial" w:hAnsi="Arial"/>
          <w:sz w:val="19"/>
          <w:szCs w:val="19"/>
          <w:u w:val="single" w:color="auto"/>
          <w:color w:val="0000FF"/>
          <w:strike w:val="1"/>
        </w:rPr>
        <w:t xml:space="preserve">Government Securities Business Day, such SOFR Rate Day or (ii) if such SOFR Rate Day is not a U.S. Government Securities Business Day, the U.S. Government Securities Business Day immediately preceding such SOFR Rate Day, in each case, as such SOFR is published by the SOFR Administrator </w:t>
      </w:r>
      <w:r>
        <w:rPr>
          <w:rFonts w:ascii="Arial" w:cs="Arial" w:eastAsia="Arial" w:hAnsi="Arial"/>
          <w:sz w:val="19"/>
          <w:szCs w:val="19"/>
          <w:u w:val="single" w:color="auto"/>
          <w:color w:val="008000"/>
          <w:strike w:val="1"/>
        </w:rPr>
        <w:t>on the SOFR Administrator’s Website</w:t>
      </w:r>
      <w:r>
        <w:rPr>
          <w:rFonts w:ascii="Arial" w:cs="Arial" w:eastAsia="Arial" w:hAnsi="Arial"/>
          <w:sz w:val="19"/>
          <w:szCs w:val="19"/>
          <w:u w:val="single" w:color="auto"/>
          <w:color w:val="0000FF"/>
          <w:strike w:val="1"/>
        </w:rPr>
        <w:t>. Any change in Daily Simple SOFR due to a change in SOFR shall be effective from and including the effective date of such change in SOFR without notice to the Company.</w:t>
      </w:r>
    </w:p>
    <w:p>
      <w:pPr>
        <w:spacing w:after="0" w:line="147"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w:t>
      </w:r>
      <w:r>
        <w:rPr>
          <w:rFonts w:ascii="Arial" w:cs="Arial" w:eastAsia="Arial" w:hAnsi="Arial"/>
          <w:sz w:val="19"/>
          <w:szCs w:val="19"/>
          <w:color w:val="auto"/>
        </w:rPr>
        <w:t>”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which are capitalized in accordance with generally accepted accounting principles, (v) all obligations (including all contingent obligations) of such Person to reimburse any bank or other Person in respect of amounts paid under a letter of credit or similar instrument, (vi) all Debt of others secured by a Lien on any asset of such Person, whether or not such Debt is assumed by such Person and (vii) all Debt of others Guaranteed by such Person.</w:t>
      </w:r>
    </w:p>
    <w:p>
      <w:pPr>
        <w:spacing w:after="0" w:line="147"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any condition or event which constitutes an Event of Default or which with the giving of notice or lapse of time or both would, unless cured or waived, become an Event of Default.</w:t>
      </w:r>
    </w:p>
    <w:p>
      <w:pPr>
        <w:spacing w:after="0" w:line="148"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u w:val="single" w:color="auto"/>
          <w:color w:val="0000FF"/>
        </w:rPr>
        <w:t>Defaulting Lender</w:t>
      </w:r>
      <w:r>
        <w:rPr>
          <w:rFonts w:ascii="Arial" w:cs="Arial" w:eastAsia="Arial" w:hAnsi="Arial"/>
          <w:sz w:val="20"/>
          <w:szCs w:val="20"/>
          <w:u w:val="single" w:color="auto"/>
          <w:color w:val="0000FF"/>
        </w:rPr>
        <w:t>” means any Lender that (a) has failed to (i) fund any portion of its Loans within two</w:t>
      </w:r>
      <w:r>
        <w:rPr>
          <w:rFonts w:ascii="Arial" w:cs="Arial" w:eastAsia="Arial" w:hAnsi="Arial"/>
          <w:sz w:val="20"/>
          <w:szCs w:val="20"/>
          <w:color w:val="0000FF"/>
        </w:rPr>
        <w:t xml:space="preserve"> </w:t>
      </w:r>
      <w:r>
        <w:rPr>
          <w:rFonts w:ascii="Arial" w:cs="Arial" w:eastAsia="Arial" w:hAnsi="Arial"/>
          <w:sz w:val="20"/>
          <w:szCs w:val="20"/>
          <w:color w:val="000000"/>
        </w:rPr>
        <w:t>Domestic</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Business Days of the date required to be funded, (ii) fund any portion of its participations in Letters of Credit required to be funded by it hereunder or (iii) pay over to any Lender Party any other amount required to be paid by it hereunder within two</w:t>
      </w:r>
      <w:r>
        <w:rPr>
          <w:rFonts w:ascii="Arial" w:cs="Arial" w:eastAsia="Arial" w:hAnsi="Arial"/>
          <w:sz w:val="20"/>
          <w:szCs w:val="20"/>
          <w:color w:val="0000FF"/>
        </w:rPr>
        <w:t xml:space="preserve"> </w:t>
      </w:r>
      <w:r>
        <w:rPr>
          <w:rFonts w:ascii="Arial" w:cs="Arial" w:eastAsia="Arial" w:hAnsi="Arial"/>
          <w:sz w:val="20"/>
          <w:szCs w:val="20"/>
          <w:color w:val="000000"/>
        </w:rPr>
        <w:t>Domestic</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Business Days of the date required to be paid, unless, in the case of clause (i) or (iii) above, such Lender notifies the Administrative Agent in writing that such failure is the result of such Lender’s good faith determination that a condition precedent to funding (specifically identified and including the</w:t>
      </w:r>
      <w:r>
        <w:rPr>
          <w:rFonts w:ascii="Arial" w:cs="Arial" w:eastAsia="Arial" w:hAnsi="Arial"/>
          <w:sz w:val="20"/>
          <w:szCs w:val="20"/>
          <w:color w:val="0000FF"/>
        </w:rPr>
        <w:t xml:space="preserve"> </w:t>
      </w:r>
      <w:r>
        <w:rPr>
          <w:rFonts w:ascii="Arial" w:cs="Arial" w:eastAsia="Arial" w:hAnsi="Arial"/>
          <w:sz w:val="20"/>
          <w:szCs w:val="20"/>
          <w:color w:val="000000"/>
        </w:rPr>
        <w:t>particular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default, if any) has not been satisfied, (b) has notified the Company or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under this Agreement cannot be satisfied) or generally under other agreements in which it commits to extend credit, (c) has failed, within three</w:t>
      </w:r>
      <w:r>
        <w:rPr>
          <w:rFonts w:ascii="Arial" w:cs="Arial" w:eastAsia="Arial" w:hAnsi="Arial"/>
          <w:sz w:val="20"/>
          <w:szCs w:val="20"/>
          <w:color w:val="0000FF"/>
        </w:rPr>
        <w:t xml:space="preserve"> </w:t>
      </w:r>
      <w:r>
        <w:rPr>
          <w:rFonts w:ascii="Arial" w:cs="Arial" w:eastAsia="Arial" w:hAnsi="Arial"/>
          <w:sz w:val="20"/>
          <w:szCs w:val="20"/>
          <w:color w:val="000000"/>
        </w:rPr>
        <w:t>Domestic</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Business Days after request by the Administrative Agent, acting in good faith, to provide a</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the Administrative Agent’s receipt of such certification in form and substance satisfactory to it, or (d) has become (or has a Parent that has become) the subject of (i) a Bankruptcy Event or (ii) a Bail-In Action.</w:t>
      </w:r>
    </w:p>
    <w:p>
      <w:pPr>
        <w:spacing w:after="0" w:line="154"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Lender</w:t>
      </w:r>
      <w:r>
        <w:rPr>
          <w:rFonts w:ascii="Arial" w:cs="Arial" w:eastAsia="Arial" w:hAnsi="Arial"/>
          <w:sz w:val="21"/>
          <w:szCs w:val="21"/>
          <w:color w:val="auto"/>
        </w:rPr>
        <w:t>” means, with respect to any Designating Lender, an Approved Fund designated by it pursuant to Section 11.07(a) as a Designated Lender for purposes of this Agreement.</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Designating Lender</w:t>
      </w:r>
      <w:r>
        <w:rPr>
          <w:rFonts w:ascii="Arial" w:cs="Arial" w:eastAsia="Arial" w:hAnsi="Arial"/>
          <w:sz w:val="21"/>
          <w:szCs w:val="21"/>
          <w:color w:val="auto"/>
        </w:rPr>
        <w:t>” means, with respect to each Designated Lender, the Lender that designated such Designated Lender pursuant to Section 11.07(a).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Designation Agreement</w:t>
      </w:r>
      <w:r>
        <w:rPr>
          <w:rFonts w:ascii="Arial" w:cs="Arial" w:eastAsia="Arial" w:hAnsi="Arial"/>
          <w:sz w:val="21"/>
          <w:szCs w:val="21"/>
          <w:color w:val="auto"/>
        </w:rPr>
        <w:t>” has the meaning set forth in Section 11.07.</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Dollars</w:t>
      </w:r>
      <w:r>
        <w:rPr>
          <w:rFonts w:ascii="Arial" w:cs="Arial" w:eastAsia="Arial" w:hAnsi="Arial"/>
          <w:sz w:val="21"/>
          <w:szCs w:val="21"/>
          <w:color w:val="auto"/>
        </w:rPr>
        <w:t>”, “</w:t>
      </w:r>
      <w:r>
        <w:rPr>
          <w:rFonts w:ascii="Arial" w:cs="Arial" w:eastAsia="Arial" w:hAnsi="Arial"/>
          <w:sz w:val="21"/>
          <w:szCs w:val="21"/>
          <w:b w:val="1"/>
          <w:bCs w:val="1"/>
          <w:color w:val="auto"/>
        </w:rPr>
        <w:t>dollars”</w:t>
      </w:r>
      <w:r>
        <w:rPr>
          <w:rFonts w:ascii="Arial" w:cs="Arial" w:eastAsia="Arial" w:hAnsi="Arial"/>
          <w:sz w:val="21"/>
          <w:szCs w:val="21"/>
          <w:color w:val="auto"/>
        </w:rPr>
        <w:t xml:space="preserve"> or “</w:t>
      </w:r>
      <w:r>
        <w:rPr>
          <w:rFonts w:ascii="Arial" w:cs="Arial" w:eastAsia="Arial" w:hAnsi="Arial"/>
          <w:sz w:val="21"/>
          <w:szCs w:val="21"/>
          <w:b w:val="1"/>
          <w:bCs w:val="1"/>
          <w:color w:val="auto"/>
        </w:rPr>
        <w:t>$</w:t>
      </w:r>
      <w:r>
        <w:rPr>
          <w:rFonts w:ascii="Arial" w:cs="Arial" w:eastAsia="Arial" w:hAnsi="Arial"/>
          <w:sz w:val="21"/>
          <w:szCs w:val="21"/>
          <w:color w:val="auto"/>
        </w:rPr>
        <w:t>” refers to lawful money of the United States of America.</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Domestic Business Day</w:t>
      </w:r>
      <w:r>
        <w:rPr>
          <w:rFonts w:ascii="Arial" w:cs="Arial" w:eastAsia="Arial" w:hAnsi="Arial"/>
          <w:sz w:val="21"/>
          <w:szCs w:val="21"/>
          <w:color w:val="auto"/>
        </w:rPr>
        <w:t>” means any day except a Saturday, Sunday or other day on which commercial banks in New York City are authorized by law to close.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Inventory</w:t>
      </w:r>
      <w:r>
        <w:rPr>
          <w:rFonts w:ascii="Arial" w:cs="Arial" w:eastAsia="Arial" w:hAnsi="Arial"/>
          <w:sz w:val="20"/>
          <w:szCs w:val="20"/>
          <w:color w:val="auto"/>
        </w:rPr>
        <w:t>” means inventory owned by the Company or any Subsidiary and located in the United States.</w:t>
      </w:r>
    </w:p>
    <w:p>
      <w:pPr>
        <w:spacing w:after="0" w:line="194"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Lending Office</w:t>
      </w:r>
      <w:r>
        <w:rPr>
          <w:rFonts w:ascii="Arial" w:cs="Arial" w:eastAsia="Arial" w:hAnsi="Arial"/>
          <w:sz w:val="20"/>
          <w:szCs w:val="20"/>
          <w:color w:val="auto"/>
        </w:rPr>
        <w:t>” means, as to each Lender, its office located at its address set forth in its Administrative Questionnaire (or identified in its Administrative Questionnaire as its Domestic Lending Office) or such other office as such Lender may hereafter designate as its Domestic Lending Office by notice to the Company and the Administrative Agent.</w:t>
      </w:r>
    </w:p>
    <w:p>
      <w:pPr>
        <w:spacing w:after="0" w:line="144"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Domestic Receivables</w:t>
      </w:r>
      <w:r>
        <w:rPr>
          <w:rFonts w:ascii="Arial" w:cs="Arial" w:eastAsia="Arial" w:hAnsi="Arial"/>
          <w:sz w:val="21"/>
          <w:szCs w:val="21"/>
          <w:color w:val="auto"/>
        </w:rPr>
        <w:t>” means receivables of the Company or any Subsidiary which in the ordinary course of business are payable in the United States.</w:t>
      </w:r>
    </w:p>
    <w:p>
      <w:pPr>
        <w:spacing w:after="0" w:line="14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Division</w:t>
      </w:r>
      <w:r>
        <w:rPr>
          <w:rFonts w:ascii="Arial" w:cs="Arial" w:eastAsia="Arial" w:hAnsi="Arial"/>
          <w:sz w:val="21"/>
          <w:szCs w:val="21"/>
          <w:color w:val="auto"/>
        </w:rPr>
        <w:t>” means the division of the assets, liabilities and/or obligations of a Person (the “</w:t>
      </w:r>
      <w:r>
        <w:rPr>
          <w:rFonts w:ascii="Arial" w:cs="Arial" w:eastAsia="Arial" w:hAnsi="Arial"/>
          <w:sz w:val="21"/>
          <w:szCs w:val="21"/>
          <w:b w:val="1"/>
          <w:bCs w:val="1"/>
          <w:color w:val="auto"/>
        </w:rPr>
        <w:t>Dividing Person</w:t>
      </w:r>
      <w:r>
        <w:rPr>
          <w:rFonts w:ascii="Arial" w:cs="Arial" w:eastAsia="Arial" w:hAnsi="Arial"/>
          <w:sz w:val="21"/>
          <w:szCs w:val="21"/>
          <w:color w:val="auto"/>
        </w:rPr>
        <w:t>”) among two or more Persons (whether pursuant to a “plan of division” or similar arrangement), which may or may not include the Dividing Person and pursuant to which the Dividing Person may or may not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Early Opt-in Election</w:t>
      </w:r>
      <w:r>
        <w:rPr>
          <w:rFonts w:ascii="Arial" w:cs="Arial" w:eastAsia="Arial" w:hAnsi="Arial"/>
          <w:sz w:val="19"/>
          <w:szCs w:val="19"/>
          <w:color w:val="FF0000"/>
          <w:strike w:val="1"/>
        </w:rPr>
        <w:t>” means, if the then-current Benchmark is Euro-Dollar Rate, the occurrence of:</w:t>
      </w:r>
    </w:p>
    <w:p>
      <w:pPr>
        <w:spacing w:after="0" w:line="194" w:lineRule="exact"/>
        <w:rPr>
          <w:sz w:val="20"/>
          <w:szCs w:val="20"/>
          <w:color w:val="auto"/>
        </w:rPr>
      </w:pPr>
    </w:p>
    <w:p>
      <w:pPr>
        <w:jc w:val="both"/>
        <w:ind w:left="960" w:hanging="318"/>
        <w:spacing w:after="0" w:line="214" w:lineRule="auto"/>
        <w:tabs>
          <w:tab w:leader="none" w:pos="946" w:val="left"/>
        </w:tabs>
        <w:numPr>
          <w:ilvl w:val="0"/>
          <w:numId w:val="48"/>
        </w:numPr>
        <w:rPr>
          <w:rFonts w:ascii="Arial" w:cs="Arial" w:eastAsia="Arial" w:hAnsi="Arial"/>
          <w:sz w:val="21"/>
          <w:szCs w:val="21"/>
          <w:color w:val="FF0000"/>
          <w:strike w:val="1"/>
        </w:rPr>
      </w:pPr>
      <w:r>
        <w:rPr>
          <w:rFonts w:ascii="Arial" w:cs="Arial" w:eastAsia="Arial" w:hAnsi="Arial"/>
          <w:sz w:val="21"/>
          <w:szCs w:val="21"/>
          <w:color w:val="FF0000"/>
          <w:strike w:val="1"/>
        </w:rPr>
        <w:t xml:space="preserve">a notification </w:t>
      </w:r>
      <w:r>
        <w:rPr>
          <w:rFonts w:ascii="Arial" w:cs="Arial" w:eastAsia="Arial" w:hAnsi="Arial"/>
          <w:sz w:val="21"/>
          <w:szCs w:val="21"/>
          <w:color w:val="008000"/>
          <w:strike w:val="1"/>
        </w:rPr>
        <w:t>by the Administrative Agent to</w:t>
      </w:r>
      <w:r>
        <w:rPr>
          <w:rFonts w:ascii="Arial" w:cs="Arial" w:eastAsia="Arial" w:hAnsi="Arial"/>
          <w:sz w:val="21"/>
          <w:szCs w:val="21"/>
          <w:color w:val="FF0000"/>
          <w:strike w:val="1"/>
        </w:rPr>
        <w:t xml:space="preserve"> (or the request by the Company to </w:t>
      </w:r>
      <w:r>
        <w:rPr>
          <w:rFonts w:ascii="Arial" w:cs="Arial" w:eastAsia="Arial" w:hAnsi="Arial"/>
          <w:sz w:val="21"/>
          <w:szCs w:val="21"/>
          <w:color w:val="008000"/>
          <w:strike w:val="1"/>
        </w:rPr>
        <w:t>the Administrative Agent to</w:t>
      </w:r>
      <w:r>
        <w:rPr>
          <w:rFonts w:ascii="Arial" w:cs="Arial" w:eastAsia="Arial" w:hAnsi="Arial"/>
          <w:sz w:val="21"/>
          <w:szCs w:val="21"/>
          <w:color w:val="FF0000"/>
          <w:strike w:val="1"/>
        </w:rPr>
        <w:t xml:space="preserve">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 w:lineRule="exact"/>
        <w:rPr>
          <w:rFonts w:ascii="Arial" w:cs="Arial" w:eastAsia="Arial" w:hAnsi="Arial"/>
          <w:sz w:val="21"/>
          <w:szCs w:val="21"/>
          <w:color w:val="FF0000"/>
          <w:strike w:val="1"/>
        </w:rPr>
      </w:pPr>
    </w:p>
    <w:p>
      <w:pPr>
        <w:jc w:val="both"/>
        <w:ind w:left="960" w:hanging="318"/>
        <w:spacing w:after="0" w:line="270" w:lineRule="auto"/>
        <w:tabs>
          <w:tab w:leader="none" w:pos="969" w:val="left"/>
        </w:tabs>
        <w:numPr>
          <w:ilvl w:val="0"/>
          <w:numId w:val="48"/>
        </w:numPr>
        <w:rPr>
          <w:rFonts w:ascii="Arial" w:cs="Arial" w:eastAsia="Arial" w:hAnsi="Arial"/>
          <w:sz w:val="19"/>
          <w:szCs w:val="19"/>
          <w:color w:val="FF0000"/>
          <w:strike w:val="1"/>
        </w:rPr>
      </w:pPr>
      <w:r>
        <w:rPr>
          <w:rFonts w:ascii="Arial" w:cs="Arial" w:eastAsia="Arial" w:hAnsi="Arial"/>
          <w:sz w:val="19"/>
          <w:szCs w:val="19"/>
          <w:color w:val="FF0000"/>
          <w:strike w:val="1"/>
        </w:rPr>
        <w:t>the joint election by the Administrative Agent and the Company to trigger a fallback from Euro-Dollar Rate and the provision, as applicable, by the Administrative Agent of written notice of such election to the Company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-814070</wp:posOffset>
            </wp:positionV>
            <wp:extent cx="29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9210" cy="8255"/>
                    </a:xfrm>
                    <a:prstGeom prst="rect">
                      <a:avLst/>
                    </a:prstGeom>
                    <a:noFill/>
                  </pic:spPr>
                </pic:pic>
              </a:graphicData>
            </a:graphic>
          </wp:anchor>
        </w:drawing>
      </w:r>
    </w:p>
    <w:p>
      <w:pPr>
        <w:spacing w:after="0" w:line="10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EBIT</w:t>
      </w:r>
      <w:r>
        <w:rPr>
          <w:rFonts w:ascii="Arial" w:cs="Arial" w:eastAsia="Arial" w:hAnsi="Arial"/>
          <w:sz w:val="19"/>
          <w:szCs w:val="19"/>
          <w:color w:val="auto"/>
        </w:rPr>
        <w:t>” means earnings before interest and taxes of the Company and its Subsidiaries on a consolidated basis as reported by the Company on a quarterly basis determined in a manner in conformity with generally accepted accounting principles.</w:t>
      </w:r>
    </w:p>
    <w:p>
      <w:pPr>
        <w:spacing w:after="0" w:line="130"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w:t>
      </w:r>
    </w:p>
    <w:p>
      <w:pPr>
        <w:jc w:val="both"/>
        <w:spacing w:after="0" w:line="228" w:lineRule="auto"/>
        <w:rPr>
          <w:sz w:val="20"/>
          <w:szCs w:val="20"/>
          <w:color w:val="auto"/>
        </w:rPr>
      </w:pPr>
      <w:r>
        <w:rPr>
          <w:rFonts w:ascii="Arial" w:cs="Arial" w:eastAsia="Arial" w:hAnsi="Arial"/>
          <w:sz w:val="19"/>
          <w:szCs w:val="19"/>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161"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means the date the Commitments become effective in accordance with Section 3.01.</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Election to Participate</w:t>
      </w:r>
      <w:r>
        <w:rPr>
          <w:rFonts w:ascii="Arial" w:cs="Arial" w:eastAsia="Arial" w:hAnsi="Arial"/>
          <w:sz w:val="21"/>
          <w:szCs w:val="21"/>
          <w:color w:val="auto"/>
        </w:rPr>
        <w:t>” means an Election to Participate substantially in the form of Exhibit B hereto.</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Election to Terminate</w:t>
      </w:r>
      <w:r>
        <w:rPr>
          <w:rFonts w:ascii="Arial" w:cs="Arial" w:eastAsia="Arial" w:hAnsi="Arial"/>
          <w:sz w:val="21"/>
          <w:szCs w:val="21"/>
          <w:color w:val="auto"/>
        </w:rPr>
        <w:t>” means an Election to Terminate substantially in the form of Exhibit C hereto.</w:t>
      </w:r>
    </w:p>
    <w:p>
      <w:pPr>
        <w:spacing w:after="0" w:line="183"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Subsidiary</w:t>
      </w:r>
      <w:r>
        <w:rPr>
          <w:rFonts w:ascii="Arial" w:cs="Arial" w:eastAsia="Arial" w:hAnsi="Arial"/>
          <w:sz w:val="19"/>
          <w:szCs w:val="19"/>
          <w:color w:val="auto"/>
        </w:rPr>
        <w:t>” means any Wholly-Owned Principal Subsidiary as to which an Election to Participate shall have been delivered to the Administrative Agent and as to which an Election to Terminate with respect to such Election to Participate shall not have been delivered to the Administrative Agent. Each such Election to Participate and Election to Terminate shall be duly executed on behalf of such Wholly-Owned Principal Subsidiary and the Company in such number of copies as the Administrative Agent may request. If at any time a Subsidiary theretofore designated as an Eligible Subsidiary no longer qualifies as a Wholly-Owned Principal Subsidiary, the Company shall cause to be delivered to the Administrative Agent an Election to Terminate terminating the status of such Subsidiary as an Eligible Subsidiary. Until such an Election to Terminate is so delivered, such Subsidiary shall be deemed to be both an Eligible Subsidiary and a Principal Subsidiary for purposes hereof. The delivery of an Election to Terminate shall not affect any obligation of an Eligible Subsidiary theretofore incurred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Company’s guaranty thereof. The Administrative Agent shall promptly give notice to the Lenders of the receipt of any Election to Participate or Election to Terminate.</w:t>
      </w:r>
    </w:p>
    <w:p>
      <w:pPr>
        <w:spacing w:after="0" w:line="14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43"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Laws</w:t>
      </w:r>
      <w:r>
        <w:rPr>
          <w:rFonts w:ascii="Arial" w:cs="Arial" w:eastAsia="Arial" w:hAnsi="Arial"/>
          <w:sz w:val="21"/>
          <w:szCs w:val="21"/>
          <w:color w:val="auto"/>
        </w:rPr>
        <w:t>” means any and all federal, state, local and foreign statutes, laws, judicial decisions, regulations, ordinances, rules, judgments, orders, decrees, plans, injunctions, permits, concessions, grants, franchises, licenses, agreements and other governmental restrictions relating to the environment, the effect of the environment on human health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w:t>
      </w:r>
    </w:p>
    <w:p>
      <w:pPr>
        <w:spacing w:after="0" w:line="154"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Interests</w:t>
      </w:r>
      <w:r>
        <w:rPr>
          <w:rFonts w:ascii="Arial" w:cs="Arial" w:eastAsia="Arial" w:hAnsi="Arial"/>
          <w:sz w:val="21"/>
          <w:szCs w:val="21"/>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means the Employee Retirement Income Security Act of 1974, as amended, or any successor statute, and the rules and regulations promulgated thereunder.</w:t>
      </w:r>
    </w:p>
    <w:p>
      <w:pPr>
        <w:spacing w:after="0" w:line="14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 Group</w:t>
      </w:r>
      <w:r>
        <w:rPr>
          <w:rFonts w:ascii="Arial" w:cs="Arial" w:eastAsia="Arial" w:hAnsi="Arial"/>
          <w:sz w:val="21"/>
          <w:szCs w:val="21"/>
          <w:color w:val="auto"/>
        </w:rPr>
        <w:t>” means all members of a controlled group of corporations and all trades or businesses (whether or not incorporated) under common control which, together with the Company, are treated as a single employer under Section 414 of the Code. For the avoidance of doubt, when any provision of this Agreement relates to a past event or period of time, the term “ERISA Group” includes any Person who was, as to the time of such past event or period of time, a member of the “ERISA Group” within the meaning of the preceding sentence.</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w:t>
      </w:r>
      <w:r>
        <w:rPr>
          <w:rFonts w:ascii="Arial" w:cs="Arial" w:eastAsia="Arial" w:hAnsi="Arial"/>
          <w:sz w:val="21"/>
          <w:szCs w:val="21"/>
          <w:color w:val="FF0000"/>
          <w:strike w:val="1"/>
        </w:rPr>
        <w:t xml:space="preserve"> </w:t>
      </w:r>
      <w:r>
        <w:rPr>
          <w:rFonts w:ascii="Arial" w:cs="Arial" w:eastAsia="Arial" w:hAnsi="Arial"/>
          <w:sz w:val="21"/>
          <w:szCs w:val="21"/>
          <w:b w:val="1"/>
          <w:bCs w:val="1"/>
          <w:color w:val="008000"/>
          <w:strike w:val="1"/>
        </w:rPr>
        <w:t>Business Day</w:t>
      </w:r>
      <w:r>
        <w:rPr>
          <w:rFonts w:ascii="Arial" w:cs="Arial" w:eastAsia="Arial" w:hAnsi="Arial"/>
          <w:sz w:val="21"/>
          <w:szCs w:val="21"/>
          <w:color w:val="008000"/>
          <w:strike w:val="1"/>
        </w:rPr>
        <w:t>” means any</w:t>
      </w:r>
      <w:r>
        <w:rPr>
          <w:rFonts w:ascii="Arial" w:cs="Arial" w:eastAsia="Arial" w:hAnsi="Arial"/>
          <w:sz w:val="21"/>
          <w:szCs w:val="21"/>
          <w:color w:val="FF0000"/>
          <w:strike w:val="1"/>
        </w:rPr>
        <w:t xml:space="preserve"> Domestic Business Day on which commercial banks are open for international business (including dealings in dollar deposits) in London.</w:t>
      </w:r>
    </w:p>
    <w:p>
      <w:pPr>
        <w:spacing w:after="0" w:line="14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 Lending Office</w:t>
      </w:r>
      <w:r>
        <w:rPr>
          <w:rFonts w:ascii="Arial" w:cs="Arial" w:eastAsia="Arial" w:hAnsi="Arial"/>
          <w:sz w:val="21"/>
          <w:szCs w:val="21"/>
          <w:color w:val="FF0000"/>
          <w:strike w:val="1"/>
        </w:rPr>
        <w:t>” means, as to each Lender, its office, branch or affiliate located at its address set forth in its Administrative Questionnaire (or identified in its Administrative Questionnaire as its Euro-Dollar Lending Office) or such other office, branch or affiliate of such Lender as it may hereafter designate as its Euro-Dollar Lending Office by notice to the Company and the Administrative Agent.</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 Loan</w:t>
      </w:r>
      <w:r>
        <w:rPr>
          <w:rFonts w:ascii="Arial" w:cs="Arial" w:eastAsia="Arial" w:hAnsi="Arial"/>
          <w:sz w:val="21"/>
          <w:szCs w:val="21"/>
          <w:color w:val="FF0000"/>
          <w:strike w:val="1"/>
        </w:rPr>
        <w:t xml:space="preserve">” means (i) a Loan which bears interest at the Euro-Dollar Rate pursuant to the applicable Notice of Borrowing or Notice of </w:t>
      </w:r>
      <w:r>
        <w:rPr>
          <w:rFonts w:ascii="Arial" w:cs="Arial" w:eastAsia="Arial" w:hAnsi="Arial"/>
          <w:sz w:val="21"/>
          <w:szCs w:val="21"/>
          <w:color w:val="008000"/>
          <w:strike w:val="1"/>
        </w:rPr>
        <w:t>Interest Rate Election or</w:t>
      </w:r>
      <w:r>
        <w:rPr>
          <w:rFonts w:ascii="Arial" w:cs="Arial" w:eastAsia="Arial" w:hAnsi="Arial"/>
          <w:sz w:val="21"/>
          <w:szCs w:val="21"/>
          <w:color w:val="FF0000"/>
          <w:strike w:val="1"/>
        </w:rPr>
        <w:t xml:space="preserve"> (ii) an overdue amount which was a Euro-Dollar Loan immediately before it became overdue.</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w:t>
      </w:r>
      <w:r>
        <w:rPr>
          <w:rFonts w:ascii="Arial" w:cs="Arial" w:eastAsia="Arial" w:hAnsi="Arial"/>
          <w:sz w:val="21"/>
          <w:szCs w:val="21"/>
          <w:color w:val="FF0000"/>
          <w:strike w:val="1"/>
        </w:rPr>
        <w:t xml:space="preserve"> </w:t>
      </w:r>
      <w:r>
        <w:rPr>
          <w:rFonts w:ascii="Arial" w:cs="Arial" w:eastAsia="Arial" w:hAnsi="Arial"/>
          <w:sz w:val="21"/>
          <w:szCs w:val="21"/>
          <w:b w:val="1"/>
          <w:bCs w:val="1"/>
          <w:color w:val="008000"/>
          <w:strike w:val="1"/>
        </w:rPr>
        <w:t>Margin</w:t>
      </w:r>
      <w:r>
        <w:rPr>
          <w:rFonts w:ascii="Arial" w:cs="Arial" w:eastAsia="Arial" w:hAnsi="Arial"/>
          <w:sz w:val="21"/>
          <w:szCs w:val="21"/>
          <w:color w:val="008000"/>
          <w:strike w:val="1"/>
        </w:rPr>
        <w:t>” has the meaning set forth in the Pricing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color w:val="auto"/>
        </w:rPr>
        <w:t>14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 Rate</w:t>
      </w:r>
      <w:r>
        <w:rPr>
          <w:rFonts w:ascii="Arial" w:cs="Arial" w:eastAsia="Arial" w:hAnsi="Arial"/>
          <w:sz w:val="21"/>
          <w:szCs w:val="21"/>
          <w:color w:val="FF0000"/>
          <w:strike w:val="1"/>
        </w:rPr>
        <w:t xml:space="preserve">” means, with respect to any Euro-Dollar Borrowing for any Interest Period or any determination of the Base Rate pursuant to clause (c) of the definition thereof, the Euro-Dollar Screen Rate at approximately 11:00 a.m., London time, two </w:t>
      </w:r>
      <w:r>
        <w:rPr>
          <w:rFonts w:ascii="Arial" w:cs="Arial" w:eastAsia="Arial" w:hAnsi="Arial"/>
          <w:sz w:val="21"/>
          <w:szCs w:val="21"/>
          <w:color w:val="008000"/>
          <w:strike w:val="1"/>
        </w:rPr>
        <w:t>Business Days prior to the commencement of such</w:t>
      </w:r>
      <w:r>
        <w:rPr>
          <w:rFonts w:ascii="Arial" w:cs="Arial" w:eastAsia="Arial" w:hAnsi="Arial"/>
          <w:sz w:val="21"/>
          <w:szCs w:val="21"/>
          <w:color w:val="FF0000"/>
          <w:strike w:val="1"/>
        </w:rPr>
        <w:t xml:space="preserve"> Interest Period;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if the Euro-Dollar Screen Rate shall not be available at such time for such Interest Period (an “</w:t>
      </w:r>
      <w:r>
        <w:rPr>
          <w:rFonts w:ascii="Arial" w:cs="Arial" w:eastAsia="Arial" w:hAnsi="Arial"/>
          <w:sz w:val="21"/>
          <w:szCs w:val="21"/>
          <w:b w:val="1"/>
          <w:bCs w:val="1"/>
          <w:color w:val="FF0000"/>
          <w:strike w:val="1"/>
        </w:rPr>
        <w:t>Impacted Interest Period</w:t>
      </w:r>
      <w:r>
        <w:rPr>
          <w:rFonts w:ascii="Arial" w:cs="Arial" w:eastAsia="Arial" w:hAnsi="Arial"/>
          <w:sz w:val="21"/>
          <w:szCs w:val="21"/>
          <w:color w:val="FF0000"/>
          <w:strike w:val="1"/>
        </w:rPr>
        <w:t xml:space="preserve"> ”) then the Euro-Dollar Rate shall be the Interpolated Rate;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FF0000"/>
          <w:strike w:val="1"/>
        </w:rPr>
        <w:t>further</w:t>
      </w:r>
      <w:r>
        <w:rPr>
          <w:rFonts w:ascii="Arial" w:cs="Arial" w:eastAsia="Arial" w:hAnsi="Arial"/>
          <w:sz w:val="21"/>
          <w:szCs w:val="21"/>
          <w:color w:val="FF0000"/>
          <w:strike w:val="1"/>
        </w:rPr>
        <w:t xml:space="preserve"> that if the Euro-Dollar Rate determined in accordance with the foregoing would otherwise </w:t>
      </w:r>
      <w:r>
        <w:rPr>
          <w:rFonts w:ascii="Arial" w:cs="Arial" w:eastAsia="Arial" w:hAnsi="Arial"/>
          <w:sz w:val="21"/>
          <w:szCs w:val="21"/>
          <w:color w:val="008000"/>
          <w:strike w:val="1"/>
        </w:rPr>
        <w:t>be less than 0%,</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such rate shall be deemed to be </w:t>
      </w:r>
      <w:r>
        <w:rPr>
          <w:rFonts w:ascii="Arial" w:cs="Arial" w:eastAsia="Arial" w:hAnsi="Arial"/>
          <w:sz w:val="21"/>
          <w:szCs w:val="21"/>
          <w:color w:val="FF0000"/>
          <w:strike w:val="1"/>
        </w:rPr>
        <w:t>0% for</w:t>
      </w:r>
      <w:r>
        <w:rPr>
          <w:rFonts w:ascii="Arial" w:cs="Arial" w:eastAsia="Arial" w:hAnsi="Arial"/>
          <w:sz w:val="21"/>
          <w:szCs w:val="21"/>
          <w:color w:val="008000"/>
          <w:strike w:val="1"/>
        </w:rPr>
        <w:t xml:space="preserve"> purposes of this Agreement.</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 Reserve Percentage</w:t>
      </w:r>
      <w:r>
        <w:rPr>
          <w:rFonts w:ascii="Arial" w:cs="Arial" w:eastAsia="Arial" w:hAnsi="Arial"/>
          <w:sz w:val="21"/>
          <w:szCs w:val="21"/>
          <w:color w:val="FF0000"/>
          <w:strike w:val="1"/>
        </w:rPr>
        <w:t>” has the meaning set forth in Section 2.17.</w:t>
      </w:r>
    </w:p>
    <w:p>
      <w:pPr>
        <w:spacing w:after="0" w:line="183"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Euro-Dollar Screen</w:t>
      </w:r>
      <w:r>
        <w:rPr>
          <w:rFonts w:ascii="Arial" w:cs="Arial" w:eastAsia="Arial" w:hAnsi="Arial"/>
          <w:sz w:val="19"/>
          <w:szCs w:val="19"/>
          <w:color w:val="FF0000"/>
          <w:strike w:val="1"/>
        </w:rPr>
        <w:t xml:space="preserve"> </w:t>
      </w:r>
      <w:r>
        <w:rPr>
          <w:rFonts w:ascii="Arial" w:cs="Arial" w:eastAsia="Arial" w:hAnsi="Arial"/>
          <w:sz w:val="19"/>
          <w:szCs w:val="19"/>
          <w:b w:val="1"/>
          <w:bCs w:val="1"/>
          <w:color w:val="008000"/>
          <w:strike w:val="1"/>
        </w:rPr>
        <w:t>Rate</w:t>
      </w:r>
      <w:r>
        <w:rPr>
          <w:rFonts w:ascii="Arial" w:cs="Arial" w:eastAsia="Arial" w:hAnsi="Arial"/>
          <w:sz w:val="19"/>
          <w:szCs w:val="19"/>
          <w:color w:val="008000"/>
          <w:strike w:val="1"/>
        </w:rPr>
        <w:t>” means, for any day and time, with respect to any</w:t>
      </w:r>
      <w:r>
        <w:rPr>
          <w:rFonts w:ascii="Arial" w:cs="Arial" w:eastAsia="Arial" w:hAnsi="Arial"/>
          <w:sz w:val="19"/>
          <w:szCs w:val="19"/>
          <w:color w:val="FF0000"/>
          <w:strike w:val="1"/>
        </w:rPr>
        <w:t xml:space="preserve"> Euro-Dollar Borrowing for any Interest Period or any determination of the Base Rate pursuant to clause (c) of the definition thereof,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the Euro-Dollar Screen Rate determined pursuant to the foregoing shall be less than 0%, such rate shall be deemed to be 0% for purposes of this Agreement.</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 has the meaning set forth in Section 6.01.</w:t>
      </w:r>
    </w:p>
    <w:p>
      <w:pPr>
        <w:spacing w:after="0" w:line="18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means the Three Year Credit Agreement dated as of November 2, 2020 among the Company, the Eligible Subsidiaries referred to therein, the lenders from time to time party thereto and JPMorgan Chase Bank, N.A., as administrative agent, as amended, restated, amended and restated, supplemented or otherwise modified prior to the Effective Date.</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Letters of Credit</w:t>
      </w:r>
      <w:r>
        <w:rPr>
          <w:rFonts w:ascii="Arial" w:cs="Arial" w:eastAsia="Arial" w:hAnsi="Arial"/>
          <w:sz w:val="21"/>
          <w:szCs w:val="21"/>
          <w:color w:val="auto"/>
        </w:rPr>
        <w:t>” shall mean the letters of credit listed on Schedule 2.18.</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Fee Rate</w:t>
      </w:r>
      <w:r>
        <w:rPr>
          <w:rFonts w:ascii="Arial" w:cs="Arial" w:eastAsia="Arial" w:hAnsi="Arial"/>
          <w:sz w:val="21"/>
          <w:szCs w:val="21"/>
          <w:color w:val="auto"/>
        </w:rPr>
        <w:t>” means the applicable rate per annum determined in accordance with the Pricing Schedule.</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FCA</w:t>
      </w:r>
      <w:r>
        <w:rPr>
          <w:rFonts w:ascii="Arial" w:cs="Arial" w:eastAsia="Arial" w:hAnsi="Arial"/>
          <w:sz w:val="21"/>
          <w:szCs w:val="21"/>
          <w:color w:val="auto"/>
        </w:rPr>
        <w:t>” has the meaning set forth in Section 1.05.</w:t>
      </w:r>
    </w:p>
    <w:p>
      <w:pPr>
        <w:spacing w:after="0" w:line="18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set forth on the NYFRB’s Website from time to time) and 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Funds Rate determined in accordance with the foregoing would otherwise be less than 0%, such rate shall be deemed to be 0% for purposes of this Agreement.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Fitch</w:t>
      </w:r>
      <w:r>
        <w:rPr>
          <w:rFonts w:ascii="Arial" w:cs="Arial" w:eastAsia="Arial" w:hAnsi="Arial"/>
          <w:sz w:val="21"/>
          <w:szCs w:val="21"/>
          <w:color w:val="auto"/>
        </w:rPr>
        <w:t>” means Fitch Ratings Inc., and its successors.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008000"/>
          <w:strike w:val="1"/>
        </w:rPr>
        <w:t>“</w:t>
      </w:r>
      <w:r>
        <w:rPr>
          <w:rFonts w:ascii="Arial" w:cs="Arial" w:eastAsia="Arial" w:hAnsi="Arial"/>
          <w:sz w:val="21"/>
          <w:szCs w:val="21"/>
          <w:b w:val="1"/>
          <w:bCs w:val="1"/>
          <w:color w:val="008000"/>
          <w:strike w:val="1"/>
        </w:rPr>
        <w:t>Foreign Subsidiary Borrower</w:t>
      </w:r>
      <w:r>
        <w:rPr>
          <w:rFonts w:ascii="Arial" w:cs="Arial" w:eastAsia="Arial" w:hAnsi="Arial"/>
          <w:sz w:val="21"/>
          <w:szCs w:val="21"/>
          <w:color w:val="008000"/>
          <w:strike w:val="1"/>
        </w:rPr>
        <w:t>” has the meaning specified in Section 2.16.</w:t>
      </w:r>
    </w:p>
    <w:p>
      <w:pPr>
        <w:spacing w:after="0" w:line="187" w:lineRule="exact"/>
        <w:rPr>
          <w:sz w:val="20"/>
          <w:szCs w:val="20"/>
          <w:color w:val="auto"/>
        </w:rPr>
      </w:pPr>
    </w:p>
    <w:p>
      <w:pPr>
        <w:ind w:right="640" w:firstLine="636"/>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w:t>
      </w:r>
      <w:r>
        <w:rPr>
          <w:rFonts w:ascii="Arial" w:cs="Arial" w:eastAsia="Arial" w:hAnsi="Arial"/>
          <w:sz w:val="17"/>
          <w:szCs w:val="17"/>
          <w:color w:val="auto"/>
        </w:rPr>
        <w:t xml:space="preserve">” means the benchmark rate floor, if any, provided in this Agreement initially (as of the execution of this Agreement, the modification, amendment or renewal of this Agreement or otherwise) with respect to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the Adjusted Term SOFR Rate or</w:t>
      </w:r>
    </w:p>
    <w:p>
      <w:pPr>
        <w:spacing w:after="0" w:line="1" w:lineRule="exact"/>
        <w:rPr>
          <w:sz w:val="20"/>
          <w:szCs w:val="20"/>
          <w:color w:val="auto"/>
        </w:rPr>
      </w:pPr>
    </w:p>
    <w:p>
      <w:pPr>
        <w:ind w:right="740"/>
        <w:spacing w:after="0" w:line="236" w:lineRule="auto"/>
        <w:rPr>
          <w:sz w:val="20"/>
          <w:szCs w:val="20"/>
          <w:color w:val="auto"/>
        </w:rPr>
      </w:pPr>
      <w:r>
        <w:rPr>
          <w:rFonts w:ascii="Arial" w:cs="Arial" w:eastAsia="Arial" w:hAnsi="Arial"/>
          <w:sz w:val="19"/>
          <w:szCs w:val="19"/>
          <w:u w:val="single" w:color="auto"/>
          <w:color w:val="0000FF"/>
        </w:rPr>
        <w:t>Adjusted Daily Simple SOFR, as applicable</w:t>
      </w:r>
      <w:r>
        <w:rPr>
          <w:rFonts w:ascii="Arial" w:cs="Arial" w:eastAsia="Arial" w:hAnsi="Arial"/>
          <w:sz w:val="19"/>
          <w:szCs w:val="19"/>
          <w:u w:val="single" w:color="auto"/>
          <w:color w:val="008000"/>
        </w:rPr>
        <w:t>. For the avoidance of doubt</w:t>
      </w:r>
      <w:r>
        <w:rPr>
          <w:rFonts w:ascii="Arial" w:cs="Arial" w:eastAsia="Arial" w:hAnsi="Arial"/>
          <w:sz w:val="19"/>
          <w:szCs w:val="19"/>
          <w:u w:val="single" w:color="auto"/>
          <w:color w:val="0000FF"/>
        </w:rPr>
        <w:t xml:space="preserve"> the initial Floor for each of the Adjusted Term SOFR Rate and Adjusted Daily Simple SOFR shall be 0.00%.</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8000"/>
        </w:rPr>
        <w:t>“</w:t>
      </w:r>
      <w:r>
        <w:rPr>
          <w:rFonts w:ascii="Arial" w:cs="Arial" w:eastAsia="Arial" w:hAnsi="Arial"/>
          <w:sz w:val="21"/>
          <w:szCs w:val="21"/>
          <w:b w:val="1"/>
          <w:bCs w:val="1"/>
          <w:u w:val="single" w:color="auto"/>
          <w:color w:val="008000"/>
        </w:rPr>
        <w:t>Foreign Subsidiary Borrower</w:t>
      </w:r>
      <w:r>
        <w:rPr>
          <w:rFonts w:ascii="Arial" w:cs="Arial" w:eastAsia="Arial" w:hAnsi="Arial"/>
          <w:sz w:val="21"/>
          <w:szCs w:val="21"/>
          <w:u w:val="single" w:color="auto"/>
          <w:color w:val="008000"/>
        </w:rPr>
        <w:t>” has the meaning specified in Section 2.16.</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43"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54"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of Loans</w:t>
      </w:r>
      <w:r>
        <w:rPr>
          <w:rFonts w:ascii="Arial" w:cs="Arial" w:eastAsia="Arial" w:hAnsi="Arial"/>
          <w:sz w:val="20"/>
          <w:szCs w:val="20"/>
          <w:color w:val="auto"/>
        </w:rPr>
        <w:t>” or “</w:t>
      </w:r>
      <w:r>
        <w:rPr>
          <w:rFonts w:ascii="Arial" w:cs="Arial" w:eastAsia="Arial" w:hAnsi="Arial"/>
          <w:sz w:val="20"/>
          <w:szCs w:val="20"/>
          <w:b w:val="1"/>
          <w:bCs w:val="1"/>
          <w:color w:val="auto"/>
        </w:rPr>
        <w:t>Group</w:t>
      </w:r>
      <w:r>
        <w:rPr>
          <w:rFonts w:ascii="Arial" w:cs="Arial" w:eastAsia="Arial" w:hAnsi="Arial"/>
          <w:sz w:val="20"/>
          <w:szCs w:val="20"/>
          <w:color w:val="auto"/>
        </w:rPr>
        <w:t xml:space="preserve">” means at any time a group of Loans consisting of (i) all Loans to a single Borrower which are Base Rate Loans at such time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auto"/>
        </w:rPr>
        <w:t xml:space="preserve"> (ii) all </w:t>
      </w:r>
      <w:r>
        <w:rPr>
          <w:rFonts w:ascii="Arial" w:cs="Arial" w:eastAsia="Arial" w:hAnsi="Arial"/>
          <w:sz w:val="20"/>
          <w:szCs w:val="20"/>
          <w:color w:val="FF0000"/>
          <w:strike w:val="1"/>
        </w:rPr>
        <w:t>Euro-Dollar</w:t>
      </w:r>
      <w:r>
        <w:rPr>
          <w:rFonts w:ascii="Arial" w:cs="Arial" w:eastAsia="Arial" w:hAnsi="Arial"/>
          <w:sz w:val="20"/>
          <w:szCs w:val="20"/>
          <w:color w:val="auto"/>
        </w:rPr>
        <w:t xml:space="preserve"> Loans to a single </w:t>
      </w:r>
      <w:r>
        <w:rPr>
          <w:rFonts w:ascii="Arial" w:cs="Arial" w:eastAsia="Arial" w:hAnsi="Arial"/>
          <w:sz w:val="20"/>
          <w:szCs w:val="20"/>
          <w:u w:val="single" w:color="auto"/>
          <w:color w:val="0000FF"/>
        </w:rPr>
        <w:t>Borrower which are RFR Loans at such time or (iii) all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Term Benchmark Loans to a single</w:t>
      </w:r>
      <w:r>
        <w:rPr>
          <w:rFonts w:ascii="Arial" w:cs="Arial" w:eastAsia="Arial" w:hAnsi="Arial"/>
          <w:sz w:val="20"/>
          <w:szCs w:val="20"/>
          <w:color w:val="0000FF"/>
        </w:rPr>
        <w:t xml:space="preserve"> </w:t>
      </w:r>
      <w:r>
        <w:rPr>
          <w:rFonts w:ascii="Arial" w:cs="Arial" w:eastAsia="Arial" w:hAnsi="Arial"/>
          <w:sz w:val="20"/>
          <w:szCs w:val="20"/>
          <w:color w:val="000000"/>
        </w:rPr>
        <w:t>Borrower having the same Interest Period at such time;</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0000FF"/>
        </w:rPr>
        <w:t xml:space="preserve"> </w:t>
      </w:r>
      <w:r>
        <w:rPr>
          <w:rFonts w:ascii="Arial" w:cs="Arial" w:eastAsia="Arial" w:hAnsi="Arial"/>
          <w:sz w:val="20"/>
          <w:szCs w:val="20"/>
          <w:color w:val="000000"/>
        </w:rPr>
        <w:t>that, if a Loan of any particular</w:t>
      </w:r>
      <w:r>
        <w:rPr>
          <w:rFonts w:ascii="Arial" w:cs="Arial" w:eastAsia="Arial" w:hAnsi="Arial"/>
          <w:sz w:val="20"/>
          <w:szCs w:val="20"/>
          <w:color w:val="0000FF"/>
        </w:rPr>
        <w:t xml:space="preserve"> </w:t>
      </w:r>
      <w:r>
        <w:rPr>
          <w:rFonts w:ascii="Arial" w:cs="Arial" w:eastAsia="Arial" w:hAnsi="Arial"/>
          <w:sz w:val="20"/>
          <w:szCs w:val="20"/>
          <w:color w:val="000000"/>
        </w:rPr>
        <w:t>Lender is converted to or made as a Base Rate Loan pursuant to Article 8, such Loan shall be included in the same Group or Groups of Loans from time to time as it would have been in if it had not been so converted or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-483870</wp:posOffset>
            </wp:positionV>
            <wp:extent cx="147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7320" cy="8255"/>
                    </a:xfrm>
                    <a:prstGeom prst="rect">
                      <a:avLst/>
                    </a:prstGeom>
                    <a:noFill/>
                  </pic:spPr>
                </pic:pic>
              </a:graphicData>
            </a:graphic>
          </wp:anchor>
        </w:drawing>
      </w:r>
    </w:p>
    <w:p>
      <w:pPr>
        <w:spacing w:after="0" w:line="13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w:t>
      </w:r>
      <w:r>
        <w:rPr>
          <w:rFonts w:ascii="Arial" w:cs="Arial" w:eastAsia="Arial" w:hAnsi="Arial"/>
          <w:sz w:val="20"/>
          <w:szCs w:val="20"/>
          <w:color w:val="auto"/>
        </w:rPr>
        <w:t xml:space="preserve">” by any Person means any obligation, contingent or otherwise, of such Person directly or indirectly guaranteeing any Debt of any other Person and, without limiting the generality of the foregoing, any obligation, direct or indirect, contingent or otherwise, of such Person (i) to purchase or pay (or advance or supply funds for the purchase or payment of) such Debt (whether arising by virtue of partnership arrangements, by agreement to keep-well, to purchase assets, goods, securities or services, to take-or-pay, or to maintain financial statement conditions or otherwise) or (ii) entered into for the purpose of assuring in any other manner the holder of such Debt of the payment thereof or to protect such holder against loss in respect thereof (in whole or in part),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Guarantee shall not include endorsements for collection or deposit in the ordinary course of business. The term “Guarantee” used as a verb has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Substances</w:t>
      </w:r>
      <w:r>
        <w:rPr>
          <w:rFonts w:ascii="Arial" w:cs="Arial" w:eastAsia="Arial" w:hAnsi="Arial"/>
          <w:sz w:val="21"/>
          <w:szCs w:val="21"/>
          <w:color w:val="auto"/>
        </w:rPr>
        <w:t>” means any toxic, radioactive, caustic or otherwise hazardous substance, including petroleum, its derivatives, by-products and other hydrocarbons, or any substance having any constituent elements displaying any of the foregoing characteristics.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Impacted Interest Period</w:t>
      </w:r>
      <w:r>
        <w:rPr>
          <w:rFonts w:ascii="Arial" w:cs="Arial" w:eastAsia="Arial" w:hAnsi="Arial"/>
          <w:sz w:val="21"/>
          <w:szCs w:val="21"/>
          <w:color w:val="008000"/>
          <w:strike w:val="1"/>
        </w:rPr>
        <w:t>” has the meaning set forth in the</w:t>
      </w:r>
      <w:r>
        <w:rPr>
          <w:rFonts w:ascii="Arial" w:cs="Arial" w:eastAsia="Arial" w:hAnsi="Arial"/>
          <w:sz w:val="21"/>
          <w:szCs w:val="21"/>
          <w:color w:val="FF0000"/>
          <w:strike w:val="1"/>
        </w:rPr>
        <w:t xml:space="preserve"> definition of “Euro-Dollar Rate.”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Indemnitee</w:t>
      </w:r>
      <w:r>
        <w:rPr>
          <w:rFonts w:ascii="Arial" w:cs="Arial" w:eastAsia="Arial" w:hAnsi="Arial"/>
          <w:sz w:val="21"/>
          <w:szCs w:val="21"/>
          <w:color w:val="auto"/>
        </w:rPr>
        <w:t>” has the meaning set forth in Section 11.03(c).</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Information</w:t>
      </w:r>
      <w:r>
        <w:rPr>
          <w:rFonts w:ascii="Arial" w:cs="Arial" w:eastAsia="Arial" w:hAnsi="Arial"/>
          <w:sz w:val="19"/>
          <w:szCs w:val="19"/>
          <w:color w:val="auto"/>
        </w:rPr>
        <w:t>” has the meaning set forth in Section 11.16.</w:t>
      </w:r>
    </w:p>
    <w:p>
      <w:pPr>
        <w:spacing w:after="0" w:line="174"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Period</w:t>
      </w:r>
      <w:r>
        <w:rPr>
          <w:rFonts w:ascii="Arial" w:cs="Arial" w:eastAsia="Arial" w:hAnsi="Arial"/>
          <w:sz w:val="21"/>
          <w:szCs w:val="21"/>
          <w:color w:val="auto"/>
        </w:rPr>
        <w:t>” means</w:t>
      </w:r>
      <w:r>
        <w:rPr>
          <w:rFonts w:ascii="Arial" w:cs="Arial" w:eastAsia="Arial" w:hAnsi="Arial"/>
          <w:sz w:val="21"/>
          <w:szCs w:val="21"/>
          <w:color w:val="FF0000"/>
          <w:strike w:val="1"/>
        </w:rPr>
        <w:t>:</w:t>
      </w:r>
      <w:r>
        <w:rPr>
          <w:rFonts w:ascii="Arial" w:cs="Arial" w:eastAsia="Arial" w:hAnsi="Arial"/>
          <w:sz w:val="21"/>
          <w:szCs w:val="21"/>
          <w:color w:val="auto"/>
        </w:rPr>
        <w:t xml:space="preserve"> with respect to </w:t>
      </w:r>
      <w:r>
        <w:rPr>
          <w:rFonts w:ascii="Arial" w:cs="Arial" w:eastAsia="Arial" w:hAnsi="Arial"/>
          <w:sz w:val="21"/>
          <w:szCs w:val="21"/>
          <w:color w:val="FF0000"/>
          <w:strike w:val="1"/>
        </w:rPr>
        <w:t>each Euro-Dollar Loan</w:t>
      </w:r>
      <w:r>
        <w:rPr>
          <w:rFonts w:ascii="Arial" w:cs="Arial" w:eastAsia="Arial" w:hAnsi="Arial"/>
          <w:sz w:val="21"/>
          <w:szCs w:val="21"/>
          <w:u w:val="single" w:color="auto"/>
          <w:color w:val="0000FF"/>
        </w:rPr>
        <w:t>any Term Benchmark Borrowing</w:t>
      </w:r>
      <w:r>
        <w:rPr>
          <w:rFonts w:ascii="Arial" w:cs="Arial" w:eastAsia="Arial" w:hAnsi="Arial"/>
          <w:sz w:val="21"/>
          <w:szCs w:val="21"/>
          <w:color w:val="auto"/>
        </w:rPr>
        <w:t xml:space="preserve">, the period commencing on the date of </w:t>
      </w:r>
      <w:r>
        <w:rPr>
          <w:rFonts w:ascii="Arial" w:cs="Arial" w:eastAsia="Arial" w:hAnsi="Arial"/>
          <w:sz w:val="21"/>
          <w:szCs w:val="21"/>
          <w:u w:val="single" w:color="auto"/>
          <w:color w:val="0000FF"/>
        </w:rPr>
        <w:t>such</w:t>
      </w:r>
      <w:r>
        <w:rPr>
          <w:rFonts w:ascii="Arial" w:cs="Arial" w:eastAsia="Arial" w:hAnsi="Arial"/>
          <w:sz w:val="21"/>
          <w:szCs w:val="21"/>
          <w:color w:val="auto"/>
        </w:rPr>
        <w:t xml:space="preserve"> borrowing specified in the applicable Notice of Borrowing or on the date specified in the applicable Notice of Interest Rate Election and ending one, three or six months thereafter </w:t>
      </w:r>
      <w:r>
        <w:rPr>
          <w:rFonts w:ascii="Arial" w:cs="Arial" w:eastAsia="Arial" w:hAnsi="Arial"/>
          <w:sz w:val="21"/>
          <w:szCs w:val="21"/>
          <w:color w:val="0000FF"/>
        </w:rPr>
        <w:t>(in each case, subject to the availability for the Benchmark</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applicable to the relevant Loan or Commitment)</w:t>
      </w:r>
      <w:r>
        <w:rPr>
          <w:rFonts w:ascii="Arial" w:cs="Arial" w:eastAsia="Arial" w:hAnsi="Arial"/>
          <w:sz w:val="21"/>
          <w:szCs w:val="21"/>
          <w:color w:val="000000"/>
        </w:rPr>
        <w:t>, as the relevant Borrower may elect in the applicable Notice of Borrowing;</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-299085</wp:posOffset>
            </wp:positionV>
            <wp:extent cx="33280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28035" cy="8255"/>
                    </a:xfrm>
                    <a:prstGeom prst="rect">
                      <a:avLst/>
                    </a:prstGeom>
                    <a:noFill/>
                  </pic:spPr>
                </pic:pic>
              </a:graphicData>
            </a:graphic>
          </wp:anchor>
        </w:drawing>
      </w:r>
    </w:p>
    <w:p>
      <w:pPr>
        <w:spacing w:after="0" w:line="136" w:lineRule="exact"/>
        <w:rPr>
          <w:sz w:val="20"/>
          <w:szCs w:val="20"/>
          <w:color w:val="auto"/>
        </w:rPr>
      </w:pPr>
    </w:p>
    <w:p>
      <w:pPr>
        <w:jc w:val="both"/>
        <w:ind w:left="640" w:firstLine="638"/>
        <w:spacing w:after="0" w:line="242" w:lineRule="auto"/>
        <w:tabs>
          <w:tab w:leader="none" w:pos="1818"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any Interest Period which would otherwise end on a day which is not a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shall be extended to the next succeeding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unless such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falls in another calendar month, in which case such Interest Period shall end on the next preceding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w:t>
      </w:r>
    </w:p>
    <w:p>
      <w:pPr>
        <w:spacing w:after="0" w:line="152" w:lineRule="exact"/>
        <w:rPr>
          <w:rFonts w:ascii="Arial" w:cs="Arial" w:eastAsia="Arial" w:hAnsi="Arial"/>
          <w:sz w:val="20"/>
          <w:szCs w:val="20"/>
          <w:color w:val="auto"/>
        </w:rPr>
      </w:pPr>
    </w:p>
    <w:p>
      <w:pPr>
        <w:jc w:val="both"/>
        <w:ind w:left="640" w:firstLine="638"/>
        <w:spacing w:after="0" w:line="230" w:lineRule="auto"/>
        <w:tabs>
          <w:tab w:leader="none" w:pos="1804"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any Interest Period which begins on the last </w:t>
      </w:r>
      <w:r>
        <w:rPr>
          <w:rFonts w:ascii="Arial" w:cs="Arial" w:eastAsia="Arial" w:hAnsi="Arial"/>
          <w:sz w:val="21"/>
          <w:szCs w:val="21"/>
          <w:color w:val="FF0000"/>
          <w:strike w:val="1"/>
        </w:rPr>
        <w:t>Euro-Dollar</w:t>
      </w:r>
      <w:r>
        <w:rPr>
          <w:rFonts w:ascii="Arial" w:cs="Arial" w:eastAsia="Arial" w:hAnsi="Arial"/>
          <w:sz w:val="21"/>
          <w:szCs w:val="21"/>
          <w:color w:val="auto"/>
        </w:rPr>
        <w:t xml:space="preserve"> Business Day of a calendar month (or on a day for which there is no numerically corresponding day in the calendar month at the end of such Interest Period) shall, subject to clause (c) below, end on the last </w:t>
      </w:r>
      <w:r>
        <w:rPr>
          <w:rFonts w:ascii="Arial" w:cs="Arial" w:eastAsia="Arial" w:hAnsi="Arial"/>
          <w:sz w:val="21"/>
          <w:szCs w:val="21"/>
          <w:color w:val="FF0000"/>
          <w:strike w:val="1"/>
        </w:rPr>
        <w:t>Euro-Dollar</w:t>
      </w:r>
      <w:r>
        <w:rPr>
          <w:rFonts w:ascii="Arial" w:cs="Arial" w:eastAsia="Arial" w:hAnsi="Arial"/>
          <w:sz w:val="21"/>
          <w:szCs w:val="21"/>
          <w:color w:val="auto"/>
        </w:rPr>
        <w:t xml:space="preserve"> Business Day of a calendar month;</w:t>
      </w:r>
    </w:p>
    <w:p>
      <w:pPr>
        <w:spacing w:after="0" w:line="153" w:lineRule="exact"/>
        <w:rPr>
          <w:rFonts w:ascii="Arial" w:cs="Arial" w:eastAsia="Arial" w:hAnsi="Arial"/>
          <w:sz w:val="21"/>
          <w:szCs w:val="21"/>
          <w:color w:val="auto"/>
        </w:rPr>
      </w:pPr>
    </w:p>
    <w:p>
      <w:pPr>
        <w:ind w:left="1720" w:hanging="442"/>
        <w:spacing w:after="0"/>
        <w:tabs>
          <w:tab w:leader="none" w:pos="1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Interest Period which would otherwise end after the Termination Date shall end on the Termination Date;</w:t>
      </w:r>
    </w:p>
    <w:p>
      <w:pPr>
        <w:spacing w:after="0" w:line="1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164" w:lineRule="exact"/>
        <w:rPr>
          <w:rFonts w:ascii="Arial" w:cs="Arial" w:eastAsia="Arial" w:hAnsi="Arial"/>
          <w:sz w:val="19"/>
          <w:szCs w:val="19"/>
          <w:color w:val="auto"/>
        </w:rPr>
      </w:pPr>
    </w:p>
    <w:p>
      <w:pPr>
        <w:ind w:left="640" w:right="1000" w:firstLine="638"/>
        <w:spacing w:after="0" w:line="239" w:lineRule="auto"/>
        <w:tabs>
          <w:tab w:leader="none" w:pos="1735" w:val="left"/>
        </w:tabs>
        <w:numPr>
          <w:ilvl w:val="0"/>
          <w:numId w:val="49"/>
        </w:numPr>
        <w:rPr>
          <w:rFonts w:ascii="Arial" w:cs="Arial" w:eastAsia="Arial" w:hAnsi="Arial"/>
          <w:sz w:val="21"/>
          <w:szCs w:val="21"/>
          <w:color w:val="auto"/>
        </w:rPr>
      </w:pPr>
      <w:r>
        <w:rPr>
          <w:rFonts w:ascii="Arial" w:cs="Arial" w:eastAsia="Arial" w:hAnsi="Arial"/>
          <w:sz w:val="21"/>
          <w:szCs w:val="21"/>
          <w:color w:val="auto"/>
        </w:rPr>
        <w:t>no tenor that has been removed from this definition pursuant to Section 8.01(f) shall be available for specification in such Notice of Borrowing or Notice of Interest Rate Election.</w:t>
      </w:r>
    </w:p>
    <w:p>
      <w:pPr>
        <w:spacing w:after="0" w:line="14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Interpolated Rate</w:t>
      </w:r>
      <w:r>
        <w:rPr>
          <w:rFonts w:ascii="Arial" w:cs="Arial" w:eastAsia="Arial" w:hAnsi="Arial"/>
          <w:sz w:val="19"/>
          <w:szCs w:val="19"/>
          <w:color w:val="FF0000"/>
          <w:strike w:val="1"/>
        </w:rPr>
        <w:t xml:space="preserve">” means, at any time, </w:t>
      </w:r>
      <w:r>
        <w:rPr>
          <w:rFonts w:ascii="Arial" w:cs="Arial" w:eastAsia="Arial" w:hAnsi="Arial"/>
          <w:sz w:val="19"/>
          <w:szCs w:val="19"/>
          <w:color w:val="008000"/>
          <w:strike w:val="1"/>
        </w:rPr>
        <w:t>for any Interest Period,</w:t>
      </w:r>
      <w:r>
        <w:rPr>
          <w:rFonts w:ascii="Arial" w:cs="Arial" w:eastAsia="Arial" w:hAnsi="Arial"/>
          <w:sz w:val="19"/>
          <w:szCs w:val="19"/>
          <w:color w:val="FF0000"/>
          <w:strike w:val="1"/>
        </w:rPr>
        <w:t xml:space="preserve"> the rate per annum (rounded to the same number of decimal places as the Euro-Dollar Screen Rate) determined by the Administrative Agent </w:t>
      </w:r>
      <w:r>
        <w:rPr>
          <w:rFonts w:ascii="Arial" w:cs="Arial" w:eastAsia="Arial" w:hAnsi="Arial"/>
          <w:sz w:val="19"/>
          <w:szCs w:val="19"/>
          <w:color w:val="008000"/>
          <w:strike w:val="1"/>
        </w:rPr>
        <w:t>to be equal to the</w:t>
      </w:r>
      <w:r>
        <w:rPr>
          <w:rFonts w:ascii="Arial" w:cs="Arial" w:eastAsia="Arial" w:hAnsi="Arial"/>
          <w:sz w:val="19"/>
          <w:szCs w:val="19"/>
          <w:color w:val="FF0000"/>
          <w:strike w:val="1"/>
        </w:rPr>
        <w:t xml:space="preserve"> rate that results from interpolating on a linear basis between: (a) the Euro-Dollar Screen Rate for the longest period (for which the Euro-Dollar Screen Rate is available) that is shorter than the Impacted Interest Period; and (b) the Euro-Dollar Screen Rate for the shortest period (for which that Euro-Dollar Screen Rate is available) that exceeds the Impacted Interest Period, in each case, at such time.</w:t>
      </w:r>
    </w:p>
    <w:p>
      <w:pPr>
        <w:spacing w:after="0" w:line="14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 Grade</w:t>
      </w:r>
      <w:r>
        <w:rPr>
          <w:rFonts w:ascii="Arial" w:cs="Arial" w:eastAsia="Arial" w:hAnsi="Arial"/>
          <w:sz w:val="21"/>
          <w:szCs w:val="21"/>
          <w:color w:val="auto"/>
        </w:rPr>
        <w:t>” means a rating of Baa3 or better by Moody’s (or its equivalent under any successor rating category of Moody’s), a rating of BBB- or better by S&amp;P (or its equivalent under any successor rating category of S&amp;P), or an equivalent Investment Grade rating from any replacement Ratings Agency appointed by the Company.</w:t>
      </w:r>
    </w:p>
    <w:p>
      <w:pPr>
        <w:spacing w:after="0" w:line="152"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any successor definitional booklet for interest rate derivatives published from time to time by the International Swaps and Derivatives Association, Inc. or such successor thereto.</w:t>
      </w:r>
    </w:p>
    <w:p>
      <w:pPr>
        <w:spacing w:after="0" w:line="119"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Issuing Lender</w:t>
      </w:r>
      <w:r>
        <w:rPr>
          <w:rFonts w:ascii="Arial" w:cs="Arial" w:eastAsia="Arial" w:hAnsi="Arial"/>
          <w:sz w:val="21"/>
          <w:szCs w:val="21"/>
          <w:color w:val="auto"/>
        </w:rPr>
        <w:t xml:space="preserve">” means JPMorgan Chase Bank, N.A., Barclays Bank PLC, BNP Paribas, Bank of America, N.A. and any other Lender that may agree to issue Letters of Credit hereunder pursuant to an instrument in form reasonably satisfactory to the Administrative Agent, in each case as issuer of a letter of credit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Barclays Bank PLC shall have no obligation to issue any commercial letters of credit hereunder. Each of the issuing lenders listed on Schedule 2.18 is an Issuing Lender with respect to each of its Existing Letters of Credit.</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Joint Lead Arrangers and Joint Bookrunners</w:t>
      </w:r>
      <w:r>
        <w:rPr>
          <w:rFonts w:ascii="Arial" w:cs="Arial" w:eastAsia="Arial" w:hAnsi="Arial"/>
          <w:sz w:val="21"/>
          <w:szCs w:val="21"/>
          <w:color w:val="auto"/>
        </w:rPr>
        <w:t>” means JPMorgan Chase Bank, N.A., Barclays Bank PLC, BNP Paribas Securities Corp., and BofA Securities, Inc. in their respective capacities as joint lead arrangers and joint bookrunners in connection with this Agreement.</w:t>
      </w:r>
    </w:p>
    <w:p>
      <w:pPr>
        <w:spacing w:after="0" w:line="14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w:t>
      </w:r>
      <w:r>
        <w:rPr>
          <w:rFonts w:ascii="Arial" w:cs="Arial" w:eastAsia="Arial" w:hAnsi="Arial"/>
          <w:sz w:val="21"/>
          <w:szCs w:val="21"/>
          <w:color w:val="auto"/>
        </w:rPr>
        <w:t>” means (i) a Person listed on the Commitment Schedule as having a Commitment, (ii) an Assignee or (iii) a financial institution that becomes a Lender pursuant to Section 2.20.</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 Party</w:t>
      </w:r>
      <w:r>
        <w:rPr>
          <w:rFonts w:ascii="Arial" w:cs="Arial" w:eastAsia="Arial" w:hAnsi="Arial"/>
          <w:sz w:val="21"/>
          <w:szCs w:val="21"/>
          <w:color w:val="auto"/>
        </w:rPr>
        <w:t>” means the Administrative Agent, any Issuing Lender or any other Lender.</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w:t>
      </w:r>
      <w:r>
        <w:rPr>
          <w:rFonts w:ascii="Arial" w:cs="Arial" w:eastAsia="Arial" w:hAnsi="Arial"/>
          <w:sz w:val="21"/>
          <w:szCs w:val="21"/>
          <w:color w:val="auto"/>
        </w:rPr>
        <w:t>” means a letter of credit to be issued hereunder by an Issuing Lender and shall include each Existing Letter of Credit.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 Disbursement</w:t>
      </w:r>
      <w:r>
        <w:rPr>
          <w:rFonts w:ascii="Arial" w:cs="Arial" w:eastAsia="Arial" w:hAnsi="Arial"/>
          <w:sz w:val="21"/>
          <w:szCs w:val="21"/>
          <w:color w:val="auto"/>
        </w:rPr>
        <w:t>” means a payment made by an Issuing Lender pursuant to a Letter of Credit.</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Letter of Credit Liabilities</w:t>
      </w:r>
      <w:r>
        <w:rPr>
          <w:rFonts w:ascii="Arial" w:cs="Arial" w:eastAsia="Arial" w:hAnsi="Arial"/>
          <w:sz w:val="20"/>
          <w:szCs w:val="20"/>
          <w:color w:val="auto"/>
        </w:rPr>
        <w:t>” means, at any time, the sum of (x) the aggregate amount of all Letter of Credit Disbursements which have not yet been reimbursed by or on behalf of the Borrowers at such time and (y) the aggregate amount then available for drawing under all Letters of Credit. The Letter of Credit Liabilities of any Lender at any time shall be such Lender’s ratable participation, determined in accordance with its Percentage at such time (but subject, in the case of any reallocation upon any determination of any other Lender as being a Defaulting Lender, to Section 2.21(b)(i)), of the total Letter of Credit Liabilities.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Company and each Lender shall remain in full force and effect until the Issuing Lender and the Lenders shall have no further obligations to make any payments or disbursements under any circumstances with respect to any Letter of Credit.</w:t>
      </w:r>
    </w:p>
    <w:p>
      <w:pPr>
        <w:spacing w:after="0" w:line="14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 Sublimit</w:t>
      </w:r>
      <w:r>
        <w:rPr>
          <w:rFonts w:ascii="Arial" w:cs="Arial" w:eastAsia="Arial" w:hAnsi="Arial"/>
          <w:sz w:val="21"/>
          <w:szCs w:val="21"/>
          <w:color w:val="auto"/>
        </w:rPr>
        <w:t>” means (a) with respect to the Issuing Lenders taken as a whole, $50,000,000 (regardless of whether the sum of the Letter of Credit Sublimits provided in clause (b) below exceeds such amount) and (b) (i) with respect to JPMorgan Chase Bank, N.A., $12,500,000, (ii) with respect to Barclays Bank PLC, $12,500,000, (iii) with respect to BNP Paribas, $12,500,000, (iv) with respect to Bank of America, N.A., $12,500,000, or (v)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respect to any of JPMorgan Chase Bank, N.A., Barclays Bank PLC, BNP Paribas, Bank of America, N.A. or any other Issuing Lender, such other amounts as may be agreed from time to time among such Issuing Lender, the Company and the Administrative Agent.</w:t>
      </w:r>
    </w:p>
    <w:p>
      <w:pPr>
        <w:spacing w:after="0" w:line="14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 of Credit Termination Date</w:t>
      </w:r>
      <w:r>
        <w:rPr>
          <w:rFonts w:ascii="Arial" w:cs="Arial" w:eastAsia="Arial" w:hAnsi="Arial"/>
          <w:sz w:val="19"/>
          <w:szCs w:val="19"/>
          <w:color w:val="auto"/>
        </w:rPr>
        <w:t xml:space="preserve">” means the tenth Domestic Business Day prior to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Commitments of some but not all Lenders shall have been extended pursuant to Section 2.01(b), the Termination Date for this purpose shall be the latest Termination Date which is applicable to Commitments aggregating at least $50,000,000.</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Liabilities</w:t>
      </w:r>
      <w:r>
        <w:rPr>
          <w:rFonts w:ascii="Arial" w:cs="Arial" w:eastAsia="Arial" w:hAnsi="Arial"/>
          <w:sz w:val="21"/>
          <w:szCs w:val="21"/>
          <w:color w:val="auto"/>
        </w:rPr>
        <w:t>” means any losses, claims (including intraparty claims), demands, damages or liabilities of any kind.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LIBOR</w:t>
      </w:r>
      <w:r>
        <w:rPr>
          <w:rFonts w:ascii="Arial" w:cs="Arial" w:eastAsia="Arial" w:hAnsi="Arial"/>
          <w:sz w:val="21"/>
          <w:szCs w:val="21"/>
          <w:color w:val="FF0000"/>
          <w:strike w:val="1"/>
        </w:rPr>
        <w:t>” has the meaning set forth in Section 1.05.</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w:t>
      </w:r>
      <w:r>
        <w:rPr>
          <w:rFonts w:ascii="Arial" w:cs="Arial" w:eastAsia="Arial" w:hAnsi="Arial"/>
          <w:sz w:val="21"/>
          <w:szCs w:val="21"/>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this Agreement, the Company or any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15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w:t>
      </w:r>
      <w:r>
        <w:rPr>
          <w:rFonts w:ascii="Arial" w:cs="Arial" w:eastAsia="Arial" w:hAnsi="Arial"/>
          <w:sz w:val="21"/>
          <w:szCs w:val="21"/>
          <w:color w:val="auto"/>
        </w:rPr>
        <w:t xml:space="preserve">” means a loan made by a Lender pursuant to Section 2.01;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such loan or loans (or portions thereof) are combined or subdivided pursuant to a Notice of Interest Rate Election, the term “Loan” shall refer to the combined principal amount resulting from such combination or to each of the separate principal amounts resulting from such subdivision, as the case may be.</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Document</w:t>
      </w:r>
      <w:r>
        <w:rPr>
          <w:rFonts w:ascii="Arial" w:cs="Arial" w:eastAsia="Arial" w:hAnsi="Arial"/>
          <w:sz w:val="21"/>
          <w:szCs w:val="21"/>
          <w:color w:val="auto"/>
        </w:rPr>
        <w:t>” means this Agreement, including without limitation, schedules and exhibits hereto and any agreements entered into in connection herewith, including amendments, modifications or supplements thereto or waivers thereof, any Notes and any other documents prepared in connection with this Agreement.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Margin Stock</w:t>
      </w:r>
      <w:r>
        <w:rPr>
          <w:rFonts w:ascii="Arial" w:cs="Arial" w:eastAsia="Arial" w:hAnsi="Arial"/>
          <w:sz w:val="21"/>
          <w:szCs w:val="21"/>
          <w:color w:val="auto"/>
        </w:rPr>
        <w:t>” means margin stock within the meaning of Regulations T, U and X, as applicable.</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Acquisition</w:t>
      </w:r>
      <w:r>
        <w:rPr>
          <w:rFonts w:ascii="Arial" w:cs="Arial" w:eastAsia="Arial" w:hAnsi="Arial"/>
          <w:sz w:val="21"/>
          <w:szCs w:val="21"/>
          <w:color w:val="auto"/>
        </w:rPr>
        <w:t>” means any acquisition of all or substantially all of the Equity Interest in, or property or assets of, a Person, or of assets constituting a business unit, line of business or division of a Person for an aggregate amount of consideration greater than $500,000,000.</w:t>
      </w:r>
    </w:p>
    <w:p>
      <w:pPr>
        <w:spacing w:after="0" w:line="14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 material adverse effect on (a) the business, assets, operations or financial condition of the Company and its Subsidiaries taken as a whole, (b) the ability of the Company and each other Borrower hereunder, if any, when taken as a whole, to perform any of the payment obligations hereunder or (c) the rights of or benefits available to the Administrative Agent or the Lenders under any Loan Document.</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Debt</w:t>
      </w:r>
      <w:r>
        <w:rPr>
          <w:rFonts w:ascii="Arial" w:cs="Arial" w:eastAsia="Arial" w:hAnsi="Arial"/>
          <w:sz w:val="21"/>
          <w:szCs w:val="21"/>
          <w:color w:val="auto"/>
        </w:rPr>
        <w:t>” means Debt (other than Loans) of the Company or a Subsidiary, arising in a single transaction or a series of related transactions, in an aggregate principal amount of $150,000,000 or more.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Plan</w:t>
      </w:r>
      <w:r>
        <w:rPr>
          <w:rFonts w:ascii="Arial" w:cs="Arial" w:eastAsia="Arial" w:hAnsi="Arial"/>
          <w:sz w:val="20"/>
          <w:szCs w:val="20"/>
          <w:color w:val="auto"/>
        </w:rPr>
        <w:t>” means at any time a Plan or Plans having aggregate Unfunded Liabilities in excess of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Moody’s</w:t>
      </w:r>
      <w:r>
        <w:rPr>
          <w:rFonts w:ascii="Arial" w:cs="Arial" w:eastAsia="Arial" w:hAnsi="Arial"/>
          <w:sz w:val="21"/>
          <w:szCs w:val="21"/>
          <w:color w:val="auto"/>
        </w:rPr>
        <w:t>” means Moody’s Investors Service, Inc. and its successors.</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Multiemployer Plan</w:t>
      </w:r>
      <w:r>
        <w:rPr>
          <w:rFonts w:ascii="Arial" w:cs="Arial" w:eastAsia="Arial" w:hAnsi="Arial"/>
          <w:sz w:val="21"/>
          <w:szCs w:val="21"/>
          <w:color w:val="auto"/>
        </w:rPr>
        <w:t>” means at any time an employee pension benefit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 year period.</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Notes</w:t>
      </w:r>
      <w:r>
        <w:rPr>
          <w:rFonts w:ascii="Arial" w:cs="Arial" w:eastAsia="Arial" w:hAnsi="Arial"/>
          <w:sz w:val="21"/>
          <w:szCs w:val="21"/>
          <w:color w:val="auto"/>
        </w:rPr>
        <w:t>” means promissory notes of a Borrower, substantially in the form of Exhibit A hereto, evidencing the obligation of such Borrower to repay the Loans made to it pursuant to Article 2.</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Notice of Borrowing</w:t>
      </w:r>
      <w:r>
        <w:rPr>
          <w:rFonts w:ascii="Arial" w:cs="Arial" w:eastAsia="Arial" w:hAnsi="Arial"/>
          <w:sz w:val="21"/>
          <w:szCs w:val="21"/>
          <w:color w:val="auto"/>
        </w:rPr>
        <w:t>” has the meaning set forth in Section 2.02.</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Notice of Interest Rate Election</w:t>
      </w:r>
      <w:r>
        <w:rPr>
          <w:rFonts w:ascii="Arial" w:cs="Arial" w:eastAsia="Arial" w:hAnsi="Arial"/>
          <w:sz w:val="21"/>
          <w:szCs w:val="21"/>
          <w:color w:val="auto"/>
        </w:rPr>
        <w:t>” has the meaning set forth in Section 2.09(a).</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Notice of Issuance</w:t>
      </w:r>
      <w:r>
        <w:rPr>
          <w:rFonts w:ascii="Arial" w:cs="Arial" w:eastAsia="Arial" w:hAnsi="Arial"/>
          <w:sz w:val="21"/>
          <w:szCs w:val="21"/>
          <w:color w:val="auto"/>
        </w:rPr>
        <w:t>” has the meaning set forth in Section 2.18(b).</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w:t>
      </w:r>
      <w:r>
        <w:rPr>
          <w:rFonts w:ascii="Arial" w:cs="Arial" w:eastAsia="Arial" w:hAnsi="Arial"/>
          <w:sz w:val="21"/>
          <w:szCs w:val="21"/>
          <w:color w:val="auto"/>
        </w:rPr>
        <w:t>” means the Federal Reserve Bank of New York.</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NYFRB’s Website</w:t>
      </w:r>
      <w:r>
        <w:rPr>
          <w:rFonts w:ascii="Arial" w:cs="Arial" w:eastAsia="Arial" w:hAnsi="Arial"/>
          <w:sz w:val="21"/>
          <w:szCs w:val="21"/>
          <w:color w:val="auto"/>
        </w:rPr>
        <w:t>” means the website of the NYFRB at http://www.newyorkfed.org, or any successor source.</w:t>
      </w:r>
    </w:p>
    <w:p>
      <w:pPr>
        <w:spacing w:after="0" w:line="18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 Rate</w:t>
      </w:r>
      <w:r>
        <w:rPr>
          <w:rFonts w:ascii="Arial" w:cs="Arial" w:eastAsia="Arial" w:hAnsi="Arial"/>
          <w:sz w:val="21"/>
          <w:szCs w:val="21"/>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of the aforesaid rates shall be less than 0%, such rate shall be deemed to be 0% for purposes of this Agreement.</w:t>
      </w:r>
    </w:p>
    <w:p>
      <w:pPr>
        <w:spacing w:after="0" w:line="150"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means all advances to, and debts, liabilities, obligations, covenants and duties of, the Borrowers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Borrowers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Borrowers under any Loan Document and (b) the obligation of the Borrowers to reimburse any amount in respect of any of the foregoing that the Administrative Agent or any Lender, in each case in its sole discretion, may elect to pay or advance on behalf of the Borrowers.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Other Benchmark Rate Election</w:t>
      </w:r>
      <w:r>
        <w:rPr>
          <w:rFonts w:ascii="Arial" w:cs="Arial" w:eastAsia="Arial" w:hAnsi="Arial"/>
          <w:sz w:val="21"/>
          <w:szCs w:val="21"/>
          <w:color w:val="008000"/>
          <w:strike w:val="1"/>
        </w:rPr>
        <w:t>” means, with respect to any</w:t>
      </w:r>
      <w:r>
        <w:rPr>
          <w:rFonts w:ascii="Arial" w:cs="Arial" w:eastAsia="Arial" w:hAnsi="Arial"/>
          <w:sz w:val="21"/>
          <w:szCs w:val="21"/>
          <w:color w:val="FF0000"/>
          <w:strike w:val="1"/>
        </w:rPr>
        <w:t xml:space="preserve"> Loan denominated in Dollars, if the then-current</w:t>
      </w:r>
    </w:p>
    <w:p>
      <w:pPr>
        <w:spacing w:after="0"/>
        <w:rPr>
          <w:sz w:val="20"/>
          <w:szCs w:val="20"/>
          <w:color w:val="auto"/>
        </w:rPr>
      </w:pPr>
      <w:r>
        <w:rPr>
          <w:rFonts w:ascii="Arial" w:cs="Arial" w:eastAsia="Arial" w:hAnsi="Arial"/>
          <w:sz w:val="21"/>
          <w:szCs w:val="21"/>
          <w:color w:val="FF0000"/>
          <w:strike w:val="1"/>
        </w:rPr>
        <w:t>Benchmark is the Euro-Dollar Rate, the occurrence of:</w:t>
      </w:r>
    </w:p>
    <w:p>
      <w:pPr>
        <w:spacing w:after="0" w:line="165" w:lineRule="exact"/>
        <w:rPr>
          <w:sz w:val="20"/>
          <w:szCs w:val="20"/>
          <w:color w:val="auto"/>
        </w:rPr>
      </w:pPr>
    </w:p>
    <w:p>
      <w:pPr>
        <w:ind w:right="1140" w:firstLine="642"/>
        <w:spacing w:after="0" w:line="239" w:lineRule="auto"/>
        <w:tabs>
          <w:tab w:leader="none" w:pos="1083" w:val="left"/>
        </w:tabs>
        <w:numPr>
          <w:ilvl w:val="0"/>
          <w:numId w:val="50"/>
        </w:numPr>
        <w:rPr>
          <w:rFonts w:ascii="Arial" w:cs="Arial" w:eastAsia="Arial" w:hAnsi="Arial"/>
          <w:sz w:val="21"/>
          <w:szCs w:val="21"/>
          <w:color w:val="FF0000"/>
          <w:strike w:val="1"/>
        </w:rPr>
      </w:pPr>
      <w:r>
        <w:rPr>
          <w:rFonts w:ascii="Arial" w:cs="Arial" w:eastAsia="Arial" w:hAnsi="Arial"/>
          <w:sz w:val="21"/>
          <w:szCs w:val="21"/>
          <w:color w:val="FF0000"/>
          <w:strike w:val="1"/>
        </w:rPr>
        <w:t>a request by the Company to the Administrative Agent to notify each of the other parties hereto that, at the determination of the Company, Dollar-denominated syndicated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63"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FF0000"/>
          <w:strike w:val="1"/>
        </w:rPr>
        <w:t>facilities at such time contain (as a result of amendment or as originally executed), in lieu of a LIBOR-based rate, a term benchmark rate as a benchmark rate; and</w:t>
      </w:r>
    </w:p>
    <w:p>
      <w:pPr>
        <w:spacing w:after="0" w:line="155" w:lineRule="exact"/>
        <w:rPr>
          <w:sz w:val="20"/>
          <w:szCs w:val="20"/>
          <w:color w:val="auto"/>
        </w:rPr>
      </w:pPr>
    </w:p>
    <w:p>
      <w:pPr>
        <w:ind w:right="80" w:firstLine="642"/>
        <w:spacing w:after="0" w:line="230" w:lineRule="auto"/>
        <w:tabs>
          <w:tab w:leader="none" w:pos="1095" w:val="left"/>
        </w:tabs>
        <w:numPr>
          <w:ilvl w:val="0"/>
          <w:numId w:val="51"/>
        </w:numPr>
        <w:rPr>
          <w:rFonts w:ascii="Arial" w:cs="Arial" w:eastAsia="Arial" w:hAnsi="Arial"/>
          <w:sz w:val="21"/>
          <w:szCs w:val="21"/>
          <w:color w:val="FF0000"/>
          <w:strike w:val="1"/>
        </w:rPr>
      </w:pPr>
      <w:r>
        <w:rPr>
          <w:rFonts w:ascii="Arial" w:cs="Arial" w:eastAsia="Arial" w:hAnsi="Arial"/>
          <w:sz w:val="21"/>
          <w:szCs w:val="21"/>
          <w:color w:val="FF0000"/>
          <w:strike w:val="1"/>
        </w:rPr>
        <w:t>the Administrative Agent, in its sole discretion, and the Company jointly elect to trigger a fallback from the Euro-Dollar Rate and the provision, as applicable, by the Administrative Agent of written notice of such election to the Company and the Lenders.</w:t>
      </w:r>
    </w:p>
    <w:p>
      <w:pPr>
        <w:spacing w:after="0" w:line="148" w:lineRule="exact"/>
        <w:rPr>
          <w:sz w:val="20"/>
          <w:szCs w:val="20"/>
          <w:color w:val="auto"/>
        </w:rPr>
      </w:pPr>
    </w:p>
    <w:p>
      <w:pPr>
        <w:ind w:right="160"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Connection Taxes</w:t>
      </w:r>
      <w:r>
        <w:rPr>
          <w:rFonts w:ascii="Arial" w:cs="Arial" w:eastAsia="Arial" w:hAnsi="Arial"/>
          <w:sz w:val="21"/>
          <w:szCs w:val="21"/>
          <w:color w:val="auto"/>
        </w:rPr>
        <w:t>” means, in the case of each Lender and the Administrative Agent, taxes imposed as a result of a present or former connection between such Lender or the Administrative Agent (as the case may be) and the jurisdiction imposing such tax (other than connections arising from such Lender or the Administrative Agent (as the case may be) having executed, delivered, become a party to, performed its obligation under, received payments under, received or perfected a security interest under, engaged in any other transaction pursuant to or enforced any Loan Document, or sold or assigned an interest in any Loan or Loan Document).</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Taxes</w:t>
      </w:r>
      <w:r>
        <w:rPr>
          <w:rFonts w:ascii="Arial" w:cs="Arial" w:eastAsia="Arial" w:hAnsi="Arial"/>
          <w:sz w:val="21"/>
          <w:szCs w:val="21"/>
          <w:color w:val="auto"/>
        </w:rPr>
        <w:t>” has the meaning set forth in Section 8.04(a).</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Outstanding Amount</w:t>
      </w:r>
      <w:r>
        <w:rPr>
          <w:rFonts w:ascii="Arial" w:cs="Arial" w:eastAsia="Arial" w:hAnsi="Arial"/>
          <w:sz w:val="21"/>
          <w:szCs w:val="21"/>
          <w:color w:val="auto"/>
        </w:rPr>
        <w:t>” means, with respect to any Lender at any time, the sum of the aggregate outstanding principal amount of its Loans plus the aggregate amount of its Letter of Credit Liabilities at such time, determined at such time after giving effect to any prior assignments by or to such Lender pursuant to Section 11.06(c).</w:t>
      </w:r>
    </w:p>
    <w:p>
      <w:pPr>
        <w:spacing w:after="0" w:line="14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Overnight Bank Funding Rate</w:t>
      </w:r>
      <w:r>
        <w:rPr>
          <w:rFonts w:ascii="Arial" w:cs="Arial" w:eastAsia="Arial" w:hAnsi="Arial"/>
          <w:sz w:val="21"/>
          <w:szCs w:val="21"/>
          <w:color w:val="auto"/>
        </w:rPr>
        <w:t xml:space="preserve">” means, for any day, the rate comprised of both overnight federal funds and overnight </w:t>
      </w:r>
      <w:r>
        <w:rPr>
          <w:rFonts w:ascii="Arial" w:cs="Arial" w:eastAsia="Arial" w:hAnsi="Arial"/>
          <w:sz w:val="21"/>
          <w:szCs w:val="21"/>
          <w:color w:val="FF0000"/>
          <w:strike w:val="1"/>
        </w:rPr>
        <w:t>Euro-Dollar Borrowings</w:t>
      </w:r>
      <w:r>
        <w:rPr>
          <w:rFonts w:ascii="Arial" w:cs="Arial" w:eastAsia="Arial" w:hAnsi="Arial"/>
          <w:sz w:val="21"/>
          <w:szCs w:val="21"/>
          <w:u w:val="single" w:color="auto"/>
          <w:color w:val="0000FF"/>
        </w:rPr>
        <w:t>euro-dollar transactions denominated in Dollars</w:t>
      </w:r>
      <w:r>
        <w:rPr>
          <w:rFonts w:ascii="Arial" w:cs="Arial" w:eastAsia="Arial" w:hAnsi="Arial"/>
          <w:sz w:val="21"/>
          <w:szCs w:val="21"/>
          <w:color w:val="FF0000"/>
        </w:rPr>
        <w:t xml:space="preserve"> </w:t>
      </w:r>
      <w:r>
        <w:rPr>
          <w:rFonts w:ascii="Arial" w:cs="Arial" w:eastAsia="Arial" w:hAnsi="Arial"/>
          <w:sz w:val="21"/>
          <w:szCs w:val="21"/>
          <w:color w:val="000000"/>
        </w:rPr>
        <w:t>by U.S.-managed banking offices of depository institutions</w:t>
      </w:r>
      <w:r>
        <w:rPr>
          <w:rFonts w:ascii="Arial" w:cs="Arial" w:eastAsia="Arial" w:hAnsi="Arial"/>
          <w:sz w:val="21"/>
          <w:szCs w:val="21"/>
          <w:color w:val="FF0000"/>
        </w:rPr>
        <w:t xml:space="preserve"> </w:t>
      </w:r>
      <w:r>
        <w:rPr>
          <w:rFonts w:ascii="Arial" w:cs="Arial" w:eastAsia="Arial" w:hAnsi="Arial"/>
          <w:sz w:val="21"/>
          <w:szCs w:val="21"/>
          <w:color w:val="000000"/>
        </w:rPr>
        <w:t>(as such composite rate shall be determined by the NYFRB as set forth on the NYFRB’s Website from time to time) and published on the next succeeding Business Day by the NYFRB as an overnight bank funding rate.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Parent</w:t>
      </w:r>
      <w:r>
        <w:rPr>
          <w:rFonts w:ascii="Arial" w:cs="Arial" w:eastAsia="Arial" w:hAnsi="Arial"/>
          <w:sz w:val="21"/>
          <w:szCs w:val="21"/>
          <w:color w:val="auto"/>
        </w:rPr>
        <w:t>” means, with respect to any Lender, any Person controlling such Lender.</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has the meaning set forth in Section 11.06(b).</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 Register</w:t>
      </w:r>
      <w:r>
        <w:rPr>
          <w:rFonts w:ascii="Arial" w:cs="Arial" w:eastAsia="Arial" w:hAnsi="Arial"/>
          <w:sz w:val="21"/>
          <w:szCs w:val="21"/>
          <w:color w:val="auto"/>
        </w:rPr>
        <w:t>” has the meaning set forth in Section 11.06(f).</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Payment</w:t>
      </w:r>
      <w:r>
        <w:rPr>
          <w:rFonts w:ascii="Arial" w:cs="Arial" w:eastAsia="Arial" w:hAnsi="Arial"/>
          <w:sz w:val="21"/>
          <w:szCs w:val="21"/>
          <w:color w:val="auto"/>
        </w:rPr>
        <w:t>” has the meaning set forth in Section 7.08(c).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Payment Date</w:t>
      </w:r>
      <w:r>
        <w:rPr>
          <w:rFonts w:ascii="Arial" w:cs="Arial" w:eastAsia="Arial" w:hAnsi="Arial"/>
          <w:sz w:val="21"/>
          <w:szCs w:val="21"/>
          <w:color w:val="auto"/>
        </w:rPr>
        <w:t>” has the meaning set forth in Section 2.18(c).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Payment Notice</w:t>
      </w:r>
      <w:r>
        <w:rPr>
          <w:rFonts w:ascii="Arial" w:cs="Arial" w:eastAsia="Arial" w:hAnsi="Arial"/>
          <w:sz w:val="21"/>
          <w:szCs w:val="21"/>
          <w:color w:val="auto"/>
        </w:rPr>
        <w:t>” has the meaning set forth in Section 7.08(c).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Patriot Act</w:t>
      </w:r>
      <w:r>
        <w:rPr>
          <w:rFonts w:ascii="Arial" w:cs="Arial" w:eastAsia="Arial" w:hAnsi="Arial"/>
          <w:sz w:val="21"/>
          <w:szCs w:val="21"/>
          <w:color w:val="auto"/>
        </w:rPr>
        <w:t>” has the meaning set forth in Section 11.12.</w:t>
      </w:r>
    </w:p>
    <w:p>
      <w:pPr>
        <w:spacing w:after="0" w:line="183"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PBGC</w:t>
      </w:r>
      <w:r>
        <w:rPr>
          <w:rFonts w:ascii="Arial" w:cs="Arial" w:eastAsia="Arial" w:hAnsi="Arial"/>
          <w:sz w:val="21"/>
          <w:szCs w:val="21"/>
          <w:color w:val="auto"/>
        </w:rPr>
        <w:t>” means the Pension Benefit Guaranty Corporation or any entity succeeding to any or all of its functions under ERISA.</w:t>
      </w:r>
    </w:p>
    <w:p>
      <w:pPr>
        <w:spacing w:after="0" w:line="14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Percentage</w:t>
      </w:r>
      <w:r>
        <w:rPr>
          <w:rFonts w:ascii="Arial" w:cs="Arial" w:eastAsia="Arial" w:hAnsi="Arial"/>
          <w:sz w:val="21"/>
          <w:szCs w:val="21"/>
          <w:color w:val="auto"/>
        </w:rPr>
        <w:t xml:space="preserve">” means, with respect to any Lender at any time, the percentage which the amount of its Commitment at such time represents of the aggregate amount of all the Commitments at such time; </w:t>
      </w:r>
      <w:r>
        <w:rPr>
          <w:rFonts w:ascii="Arial" w:cs="Arial" w:eastAsia="Arial" w:hAnsi="Arial"/>
          <w:sz w:val="21"/>
          <w:szCs w:val="21"/>
          <w:u w:val="single" w:color="auto"/>
          <w:color w:val="0000FF"/>
        </w:rPr>
        <w:t>provided that in the case of Section 2.21 when a</w:t>
      </w:r>
      <w:r>
        <w:rPr>
          <w:rFonts w:ascii="Arial" w:cs="Arial" w:eastAsia="Arial" w:hAnsi="Arial"/>
          <w:sz w:val="21"/>
          <w:szCs w:val="21"/>
          <w:color w:val="auto"/>
        </w:rPr>
        <w:t xml:space="preserve"> </w:t>
      </w:r>
      <w:r>
        <w:rPr>
          <w:rFonts w:ascii="Arial" w:cs="Arial" w:eastAsia="Arial" w:hAnsi="Arial"/>
          <w:sz w:val="21"/>
          <w:szCs w:val="21"/>
          <w:u w:val="single" w:color="auto"/>
          <w:color w:val="0000FF"/>
        </w:rPr>
        <w:t>Defaulting Lender shall exist, “Percentage” shall mean the percentage of the total Commitments (disregarding any Defaulting Lender’s Commitment) represented by such Lender’s Commitment</w:t>
      </w:r>
      <w:r>
        <w:rPr>
          <w:rFonts w:ascii="Arial" w:cs="Arial" w:eastAsia="Arial" w:hAnsi="Arial"/>
          <w:sz w:val="21"/>
          <w:szCs w:val="21"/>
          <w:color w:val="000000"/>
        </w:rPr>
        <w:t>. At any time after the Commitments shall have terminated, the</w:t>
      </w:r>
      <w:r>
        <w:rPr>
          <w:rFonts w:ascii="Arial" w:cs="Arial" w:eastAsia="Arial" w:hAnsi="Arial"/>
          <w:sz w:val="21"/>
          <w:szCs w:val="21"/>
          <w:color w:val="0000FF"/>
        </w:rPr>
        <w:t xml:space="preserve"> </w:t>
      </w:r>
      <w:r>
        <w:rPr>
          <w:rFonts w:ascii="Arial" w:cs="Arial" w:eastAsia="Arial" w:hAnsi="Arial"/>
          <w:sz w:val="21"/>
          <w:szCs w:val="21"/>
          <w:color w:val="000000"/>
        </w:rPr>
        <w:t>term “Percentage” shall refer to a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Percentage immediately before such termination, adjusted to reflect any subsequent assignments pursuant to Section 11.06(c).</w:t>
      </w:r>
    </w:p>
    <w:p>
      <w:pPr>
        <w:spacing w:after="0" w:line="20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a corporation, a limited liability company, a partnership, an association, a trust or any other entity or organization, including a government or political subdivision or an agency or instrumentality thereof.</w:t>
      </w:r>
    </w:p>
    <w:p>
      <w:pPr>
        <w:spacing w:after="0" w:line="14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means at any time an employee pension benefit plan (other than a Multiemployer Plan) which is covered by Title IV of ERISA or subject to the minimum funding standards under Section 412 of the Code and either (i) is maintained, or contributed to, by any member of the ERISA Group or (ii) has at any time within the preceding six years been maintained, or contributed to, by any Person which was at such time a member of the ERISA Group.</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19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Pre-Acquisition Debt</w:t>
      </w:r>
      <w:r>
        <w:rPr>
          <w:rFonts w:ascii="Arial" w:cs="Arial" w:eastAsia="Arial" w:hAnsi="Arial"/>
          <w:sz w:val="19"/>
          <w:szCs w:val="19"/>
          <w:color w:val="auto"/>
        </w:rPr>
        <w:t xml:space="preserve">” means any Debt incurred by the Company or any of its Subsidiaries for the purpose of financing, in whole or in part, a Material Acquisition and any related transactions or series of related transactions (including for the purpose of refinancing or replacing all or a portion of any pre-existing Debt of the Company, any of its Subsidiaries or the person(s) or assets to be acquired) but prior to the consummation of such Material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release of the proceeds of such Debt to the Company and/or its Subsidiaries is contingent upon the consummation of such Material Acquisition and, pending such release, such proceeds are held in escrow (and, if the definitive documentation (or, in the case of a tender offer or similar transaction, the definitive offer document) for such acquisition is terminated prior to the consummation of such Material Acquisition or if such Material Acquisition is otherwise not consummated by the date specified in the definitive documentation relating to such Debt, such proceeds shall be promptly applied to satisfy and discharge all obligations of the Company and/or its Subsidiaries in respect of such Debt) and/or (b) such Debt contains a “special mandatory redemption” provision (or other similar provision) or otherwise requires such Debt to be redeemed or prepaid if such Material Acquisition is terminated or otherwise not consummated by the date specified in the definitive documentation relating to such Debt (and if the definitive documentation (or, in the case of a tender 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Debt, such Debt is so redeemed or prepaid within 90 days of such termination or such specified date, as the case may be).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Pricing Schedule</w:t>
      </w:r>
      <w:r>
        <w:rPr>
          <w:rFonts w:ascii="Arial" w:cs="Arial" w:eastAsia="Arial" w:hAnsi="Arial"/>
          <w:sz w:val="21"/>
          <w:szCs w:val="21"/>
          <w:color w:val="auto"/>
        </w:rPr>
        <w:t>” means the Pricing Schedule attached hereto.</w:t>
      </w:r>
    </w:p>
    <w:p>
      <w:pPr>
        <w:spacing w:after="0" w:line="18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Release H.15 (519) (Selected Interest Rates) as the “bank prime loan” rate or, if such rate is no longer quoted therein, any similar rate quoted</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therein (as determined by the Administrative Agent) or any similar release by the Federal Reserve Board (as determined by the Administrative Agent). Each change in the Prime Rate shall be effective from and including the date such change is publicly announced or quoted as being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effective.</w:t>
      </w:r>
    </w:p>
    <w:p>
      <w:pPr>
        <w:spacing w:after="0" w:line="139"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Principal Property</w:t>
      </w:r>
      <w:r>
        <w:rPr>
          <w:rFonts w:ascii="Arial" w:cs="Arial" w:eastAsia="Arial" w:hAnsi="Arial"/>
          <w:sz w:val="21"/>
          <w:szCs w:val="21"/>
          <w:color w:val="auto"/>
        </w:rPr>
        <w:t>” means any manufacturing or processing plant or warehouse (a) located in the United States, (b) owned by the Company or any Subsidiary and (c) having a gross book value (including related land and improvements therein and all machinery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included therein without deduction of any depreciation reserves) on the date as of which the determination is being made exceeding 2% of Consolidated Net Assets.</w:t>
      </w:r>
    </w:p>
    <w:p>
      <w:pPr>
        <w:spacing w:after="0" w:line="149"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Principal Subsidiary</w:t>
      </w:r>
      <w:r>
        <w:rPr>
          <w:rFonts w:ascii="Arial" w:cs="Arial" w:eastAsia="Arial" w:hAnsi="Arial"/>
          <w:sz w:val="21"/>
          <w:szCs w:val="21"/>
          <w:color w:val="auto"/>
        </w:rPr>
        <w:t>” means any Subsidiary which (a) owns a Principal Property, (b) owns Domestic Inventory and Domestic Receivables with a combined aggregate book value in excess of $30,000,000 or (c) owns (directly or indirectly) the stock of any Subsidiary which owns a Principal Property or has Domestic Inventory and Domestic Receivables with a combined aggregate book value in excess of $30,000,000.</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5390(c)(8)(D).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QFC Credit Support</w:t>
      </w:r>
      <w:r>
        <w:rPr>
          <w:rFonts w:ascii="Arial" w:cs="Arial" w:eastAsia="Arial" w:hAnsi="Arial"/>
          <w:sz w:val="19"/>
          <w:szCs w:val="19"/>
          <w:color w:val="auto"/>
        </w:rPr>
        <w:t>” has the meaning set forth in Section 11.15.</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Quarterly Payment Dates</w:t>
      </w:r>
      <w:r>
        <w:rPr>
          <w:rFonts w:ascii="Arial" w:cs="Arial" w:eastAsia="Arial" w:hAnsi="Arial"/>
          <w:sz w:val="21"/>
          <w:szCs w:val="21"/>
          <w:color w:val="auto"/>
        </w:rPr>
        <w:t>” means each March 31, June 30, September 30 and December 31.</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Ratings Agency</w:t>
      </w:r>
      <w:r>
        <w:rPr>
          <w:rFonts w:ascii="Arial" w:cs="Arial" w:eastAsia="Arial" w:hAnsi="Arial"/>
          <w:sz w:val="21"/>
          <w:szCs w:val="21"/>
          <w:color w:val="auto"/>
        </w:rPr>
        <w:t xml:space="preserve">” means each of Moody’s, S&amp;P and Fitch;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if any of Moody’s, S&amp;P or Fitch ceases to rate the Company’s senior unsecured long-term indebtedness or, if no such indebtedness is outstanding, the Company’s corporate or corporate family rating, then, in either case, the Company may appoint a replacement for such Ratings Agency that is a “nationally recognized statistical rating organization” within the meaning of Section 3(a)(62) of the Securities Exchange Act of 1934, as amended.</w:t>
      </w:r>
    </w:p>
    <w:p>
      <w:pPr>
        <w:spacing w:after="0" w:line="155" w:lineRule="exact"/>
        <w:rPr>
          <w:sz w:val="20"/>
          <w:szCs w:val="20"/>
          <w:color w:val="auto"/>
        </w:rPr>
      </w:pPr>
    </w:p>
    <w:p>
      <w:pPr>
        <w:ind w:right="140" w:firstLine="636"/>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Time</w:t>
      </w:r>
      <w:r>
        <w:rPr>
          <w:rFonts w:ascii="Arial" w:cs="Arial" w:eastAsia="Arial" w:hAnsi="Arial"/>
          <w:sz w:val="17"/>
          <w:szCs w:val="17"/>
          <w:color w:val="auto"/>
        </w:rPr>
        <w:t xml:space="preserve">” with respect to any setting of the then-current Benchmark means (1) if such Benchmark is </w:t>
      </w:r>
      <w:r>
        <w:rPr>
          <w:rFonts w:ascii="Arial" w:cs="Arial" w:eastAsia="Arial" w:hAnsi="Arial"/>
          <w:sz w:val="17"/>
          <w:szCs w:val="17"/>
          <w:color w:val="FF0000"/>
          <w:strike w:val="1"/>
        </w:rPr>
        <w:t>Euro-Dollar Rate, 11:00</w:t>
      </w:r>
      <w:r>
        <w:rPr>
          <w:rFonts w:ascii="Arial" w:cs="Arial" w:eastAsia="Arial" w:hAnsi="Arial"/>
          <w:sz w:val="17"/>
          <w:szCs w:val="17"/>
          <w:color w:val="auto"/>
        </w:rPr>
        <w:t xml:space="preserve"> </w:t>
      </w:r>
      <w:r>
        <w:rPr>
          <w:rFonts w:ascii="Arial" w:cs="Arial" w:eastAsia="Arial" w:hAnsi="Arial"/>
          <w:sz w:val="17"/>
          <w:szCs w:val="17"/>
          <w:color w:val="FF0000"/>
          <w:strike w:val="1"/>
        </w:rPr>
        <w:t>a.m. (London</w:t>
      </w:r>
      <w:r>
        <w:rPr>
          <w:rFonts w:ascii="Arial" w:cs="Arial" w:eastAsia="Arial" w:hAnsi="Arial"/>
          <w:sz w:val="17"/>
          <w:szCs w:val="17"/>
          <w:u w:val="single" w:color="auto"/>
          <w:color w:val="0000FF"/>
        </w:rPr>
        <w:t>the Term SOFR Rate, 5:00 a.m. (Chicago</w:t>
      </w:r>
      <w:r>
        <w:rPr>
          <w:rFonts w:ascii="Arial" w:cs="Arial" w:eastAsia="Arial" w:hAnsi="Arial"/>
          <w:sz w:val="17"/>
          <w:szCs w:val="17"/>
          <w:color w:val="FF0000"/>
        </w:rPr>
        <w:t xml:space="preserve"> </w:t>
      </w:r>
      <w:r>
        <w:rPr>
          <w:rFonts w:ascii="Arial" w:cs="Arial" w:eastAsia="Arial" w:hAnsi="Arial"/>
          <w:sz w:val="17"/>
          <w:szCs w:val="17"/>
          <w:color w:val="000000"/>
        </w:rPr>
        <w:t>time) on the day that is two</w:t>
      </w:r>
      <w:r>
        <w:rPr>
          <w:rFonts w:ascii="Arial" w:cs="Arial" w:eastAsia="Arial" w:hAnsi="Arial"/>
          <w:sz w:val="17"/>
          <w:szCs w:val="17"/>
          <w:color w:val="FF0000"/>
        </w:rPr>
        <w:t xml:space="preserve"> </w:t>
      </w:r>
      <w:r>
        <w:rPr>
          <w:rFonts w:ascii="Arial" w:cs="Arial" w:eastAsia="Arial" w:hAnsi="Arial"/>
          <w:sz w:val="17"/>
          <w:szCs w:val="17"/>
          <w:color w:val="FF0000"/>
          <w:strike w:val="1"/>
        </w:rPr>
        <w:t>London banking days</w:t>
      </w:r>
      <w:r>
        <w:rPr>
          <w:rFonts w:ascii="Arial" w:cs="Arial" w:eastAsia="Arial" w:hAnsi="Arial"/>
          <w:sz w:val="17"/>
          <w:szCs w:val="17"/>
          <w:u w:val="single" w:color="auto"/>
          <w:color w:val="0000FF"/>
        </w:rPr>
        <w:t>U.S. Government Securities Business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Days</w:t>
      </w:r>
      <w:r>
        <w:rPr>
          <w:rFonts w:ascii="Arial" w:cs="Arial" w:eastAsia="Arial" w:hAnsi="Arial"/>
          <w:sz w:val="17"/>
          <w:szCs w:val="17"/>
          <w:color w:val="0000FF"/>
        </w:rPr>
        <w:t xml:space="preserve"> </w:t>
      </w:r>
      <w:r>
        <w:rPr>
          <w:rFonts w:ascii="Arial" w:cs="Arial" w:eastAsia="Arial" w:hAnsi="Arial"/>
          <w:sz w:val="17"/>
          <w:szCs w:val="17"/>
          <w:color w:val="000000"/>
        </w:rPr>
        <w:t>preceding the date of such setting ,</w:t>
      </w:r>
      <w:r>
        <w:rPr>
          <w:rFonts w:ascii="Arial" w:cs="Arial" w:eastAsia="Arial" w:hAnsi="Arial"/>
          <w:sz w:val="17"/>
          <w:szCs w:val="17"/>
          <w:color w:val="0000FF"/>
        </w:rPr>
        <w:t xml:space="preserve"> </w:t>
      </w:r>
      <w:r>
        <w:rPr>
          <w:rFonts w:ascii="Arial" w:cs="Arial" w:eastAsia="Arial" w:hAnsi="Arial"/>
          <w:sz w:val="17"/>
          <w:szCs w:val="17"/>
          <w:color w:val="FF0000"/>
          <w:strike w:val="1"/>
        </w:rPr>
        <w:t>and</w:t>
      </w:r>
      <w:r>
        <w:rPr>
          <w:rFonts w:ascii="Arial" w:cs="Arial" w:eastAsia="Arial" w:hAnsi="Arial"/>
          <w:sz w:val="17"/>
          <w:szCs w:val="17"/>
          <w:color w:val="0000FF"/>
        </w:rPr>
        <w:t xml:space="preserve"> </w:t>
      </w:r>
      <w:r>
        <w:rPr>
          <w:rFonts w:ascii="Arial" w:cs="Arial" w:eastAsia="Arial" w:hAnsi="Arial"/>
          <w:sz w:val="17"/>
          <w:szCs w:val="17"/>
          <w:color w:val="000000"/>
        </w:rPr>
        <w:t>(2</w:t>
      </w:r>
      <w:r>
        <w:rPr>
          <w:rFonts w:ascii="Arial" w:cs="Arial" w:eastAsia="Arial" w:hAnsi="Arial"/>
          <w:sz w:val="17"/>
          <w:szCs w:val="17"/>
          <w:u w:val="single" w:color="auto"/>
          <w:color w:val="0000FF"/>
        </w:rPr>
        <w:t>) if the RFR for such Benchmark is Daily Simple SOFR, then four Business Days prior to such</w:t>
      </w:r>
    </w:p>
    <w:p>
      <w:pPr>
        <w:spacing w:after="0" w:line="3" w:lineRule="exact"/>
        <w:rPr>
          <w:sz w:val="20"/>
          <w:szCs w:val="20"/>
          <w:color w:val="auto"/>
        </w:rPr>
      </w:pPr>
    </w:p>
    <w:p>
      <w:pPr>
        <w:ind w:right="980"/>
        <w:spacing w:after="0" w:line="228" w:lineRule="auto"/>
        <w:rPr>
          <w:sz w:val="20"/>
          <w:szCs w:val="20"/>
          <w:color w:val="auto"/>
        </w:rPr>
      </w:pPr>
      <w:r>
        <w:rPr>
          <w:rFonts w:ascii="Arial" w:cs="Arial" w:eastAsia="Arial" w:hAnsi="Arial"/>
          <w:sz w:val="19"/>
          <w:szCs w:val="19"/>
          <w:u w:val="single" w:color="auto"/>
          <w:color w:val="0000FF"/>
        </w:rPr>
        <w:t>setting or (3</w:t>
      </w:r>
      <w:r>
        <w:rPr>
          <w:rFonts w:ascii="Arial" w:cs="Arial" w:eastAsia="Arial" w:hAnsi="Arial"/>
          <w:sz w:val="19"/>
          <w:szCs w:val="19"/>
          <w:color w:val="000000"/>
        </w:rPr>
        <w:t>) if such Benchmark is</w:t>
      </w:r>
      <w:r>
        <w:rPr>
          <w:rFonts w:ascii="Arial" w:cs="Arial" w:eastAsia="Arial" w:hAnsi="Arial"/>
          <w:sz w:val="19"/>
          <w:szCs w:val="19"/>
          <w:color w:val="0000FF"/>
        </w:rPr>
        <w:t xml:space="preserve"> </w:t>
      </w:r>
      <w:r>
        <w:rPr>
          <w:rFonts w:ascii="Arial" w:cs="Arial" w:eastAsia="Arial" w:hAnsi="Arial"/>
          <w:sz w:val="19"/>
          <w:szCs w:val="19"/>
          <w:color w:val="FF0000"/>
          <w:strike w:val="1"/>
        </w:rPr>
        <w:t>not Euro-Dollar</w:t>
      </w:r>
      <w:r>
        <w:rPr>
          <w:rFonts w:ascii="Arial" w:cs="Arial" w:eastAsia="Arial" w:hAnsi="Arial"/>
          <w:sz w:val="19"/>
          <w:szCs w:val="19"/>
          <w:u w:val="single" w:color="auto"/>
          <w:color w:val="0000FF"/>
        </w:rPr>
        <w:t>none of the Term SOFR</w:t>
      </w:r>
      <w:r>
        <w:rPr>
          <w:rFonts w:ascii="Arial" w:cs="Arial" w:eastAsia="Arial" w:hAnsi="Arial"/>
          <w:sz w:val="19"/>
          <w:szCs w:val="19"/>
          <w:color w:val="0000FF"/>
        </w:rPr>
        <w:t xml:space="preserve"> </w:t>
      </w:r>
      <w:r>
        <w:rPr>
          <w:rFonts w:ascii="Arial" w:cs="Arial" w:eastAsia="Arial" w:hAnsi="Arial"/>
          <w:sz w:val="19"/>
          <w:szCs w:val="19"/>
          <w:color w:val="000000"/>
        </w:rPr>
        <w:t>Rate</w:t>
      </w:r>
      <w:r>
        <w:rPr>
          <w:rFonts w:ascii="Arial" w:cs="Arial" w:eastAsia="Arial" w:hAnsi="Arial"/>
          <w:sz w:val="19"/>
          <w:szCs w:val="19"/>
          <w:color w:val="0000FF"/>
        </w:rPr>
        <w:t xml:space="preserve"> or Daily Simple SOFR</w:t>
      </w:r>
      <w:r>
        <w:rPr>
          <w:rFonts w:ascii="Arial" w:cs="Arial" w:eastAsia="Arial" w:hAnsi="Arial"/>
          <w:sz w:val="19"/>
          <w:szCs w:val="19"/>
          <w:color w:val="000000"/>
        </w:rPr>
        <w:t>, the time determined by the</w:t>
      </w:r>
      <w:r>
        <w:rPr>
          <w:rFonts w:ascii="Arial" w:cs="Arial" w:eastAsia="Arial" w:hAnsi="Arial"/>
          <w:sz w:val="19"/>
          <w:szCs w:val="19"/>
          <w:color w:val="0000FF"/>
        </w:rPr>
        <w:t xml:space="preserve"> </w:t>
      </w:r>
      <w:r>
        <w:rPr>
          <w:rFonts w:ascii="Arial" w:cs="Arial" w:eastAsia="Arial" w:hAnsi="Arial"/>
          <w:sz w:val="19"/>
          <w:szCs w:val="19"/>
          <w:color w:val="000000"/>
        </w:rPr>
        <w:t>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-144780</wp:posOffset>
            </wp:positionV>
            <wp:extent cx="11582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w:t>
      </w:r>
      <w:r>
        <w:rPr>
          <w:rFonts w:ascii="Arial" w:cs="Arial" w:eastAsia="Arial" w:hAnsi="Arial"/>
          <w:sz w:val="21"/>
          <w:szCs w:val="21"/>
          <w:color w:val="auto"/>
        </w:rPr>
        <w:t>” has the meaning specified in Section 2.04(a).</w:t>
      </w:r>
    </w:p>
    <w:p>
      <w:pPr>
        <w:spacing w:after="0" w:line="187"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D</w:t>
      </w:r>
      <w:r>
        <w:rPr>
          <w:rFonts w:ascii="Arial" w:cs="Arial" w:eastAsia="Arial" w:hAnsi="Arial"/>
          <w:sz w:val="19"/>
          <w:szCs w:val="19"/>
          <w:color w:val="auto"/>
        </w:rPr>
        <w:t>” means Regulation D of the Federal Reserve Board, as in effect from time to time and all official rulings and interpretations thereunder or thereof.</w:t>
      </w:r>
    </w:p>
    <w:p>
      <w:pPr>
        <w:spacing w:after="0" w:line="144"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T</w:t>
      </w:r>
      <w:r>
        <w:rPr>
          <w:rFonts w:ascii="Arial" w:cs="Arial" w:eastAsia="Arial" w:hAnsi="Arial"/>
          <w:sz w:val="19"/>
          <w:szCs w:val="19"/>
          <w:color w:val="auto"/>
        </w:rPr>
        <w:t>” means Regulation T of the Federal Reserve Board, as in effect from time to time and all official rulings and interpretations thereunder or thereof.</w:t>
      </w:r>
    </w:p>
    <w:p>
      <w:pPr>
        <w:spacing w:after="0" w:line="157" w:lineRule="exact"/>
        <w:rPr>
          <w:sz w:val="20"/>
          <w:szCs w:val="20"/>
          <w:color w:val="auto"/>
        </w:rPr>
      </w:pPr>
    </w:p>
    <w:p>
      <w:pPr>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U</w:t>
      </w:r>
      <w:r>
        <w:rPr>
          <w:rFonts w:ascii="Arial" w:cs="Arial" w:eastAsia="Arial" w:hAnsi="Arial"/>
          <w:sz w:val="19"/>
          <w:szCs w:val="19"/>
          <w:color w:val="auto"/>
        </w:rPr>
        <w:t>” means Regulation U of the Federal Reserve Board, as in effect from time to time and all official rulings and interpretations thereunder or thereof.</w:t>
      </w:r>
    </w:p>
    <w:p>
      <w:pPr>
        <w:spacing w:after="0" w:line="130" w:lineRule="exact"/>
        <w:rPr>
          <w:sz w:val="20"/>
          <w:szCs w:val="20"/>
          <w:color w:val="auto"/>
        </w:rPr>
      </w:pPr>
    </w:p>
    <w:p>
      <w:pPr>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X</w:t>
      </w:r>
      <w:r>
        <w:rPr>
          <w:rFonts w:ascii="Arial" w:cs="Arial" w:eastAsia="Arial" w:hAnsi="Arial"/>
          <w:sz w:val="19"/>
          <w:szCs w:val="19"/>
          <w:color w:val="auto"/>
        </w:rPr>
        <w:t>” means Regulation X of the Federal Reserve Board, as in effect from time to time and all official rulings and interpretations thereunder or thereof.</w:t>
      </w:r>
    </w:p>
    <w:p>
      <w:pPr>
        <w:spacing w:after="0" w:line="143"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Parties</w:t>
      </w:r>
      <w:r>
        <w:rPr>
          <w:rFonts w:ascii="Arial" w:cs="Arial" w:eastAsia="Arial" w:hAnsi="Arial"/>
          <w:sz w:val="19"/>
          <w:szCs w:val="19"/>
          <w:color w:val="auto"/>
        </w:rPr>
        <w:t>” means, with respect to any specified Person, such Person’s affiliates and the respective directors, officers, employees, agents and advisors of such Person and such Person’s affiliates.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Reimbursement Obligation</w:t>
      </w:r>
      <w:r>
        <w:rPr>
          <w:rFonts w:ascii="Arial" w:cs="Arial" w:eastAsia="Arial" w:hAnsi="Arial"/>
          <w:sz w:val="21"/>
          <w:szCs w:val="21"/>
          <w:color w:val="auto"/>
        </w:rPr>
        <w:t>” has the meaning specified in Section 2.18(c).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Test Period</w:t>
      </w:r>
      <w:r>
        <w:rPr>
          <w:rFonts w:ascii="Arial" w:cs="Arial" w:eastAsia="Arial" w:hAnsi="Arial"/>
          <w:sz w:val="19"/>
          <w:szCs w:val="19"/>
          <w:color w:val="auto"/>
        </w:rPr>
        <w:t>” means, as of any Test Date, the period of the four most recent fiscal quarters ended on such Test</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61"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Governmental Body</w:t>
      </w:r>
      <w:r>
        <w:rPr>
          <w:rFonts w:ascii="Arial" w:cs="Arial" w:eastAsia="Arial" w:hAnsi="Arial"/>
          <w:sz w:val="19"/>
          <w:szCs w:val="19"/>
          <w:color w:val="auto"/>
        </w:rPr>
        <w:t xml:space="preserve">” means the Federal Reserve Board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or the NYFRB, or a committee officially endorsed or convened by the Federal Reserve Board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or the NYFRB, or</w:t>
      </w:r>
      <w:r>
        <w:rPr>
          <w:rFonts w:ascii="Arial" w:cs="Arial" w:eastAsia="Arial" w:hAnsi="Arial"/>
          <w:sz w:val="19"/>
          <w:szCs w:val="19"/>
          <w:u w:val="single" w:color="auto"/>
          <w:color w:val="0000FF"/>
        </w:rPr>
        <w:t>, in each case,</w:t>
      </w:r>
      <w:r>
        <w:rPr>
          <w:rFonts w:ascii="Arial" w:cs="Arial" w:eastAsia="Arial" w:hAnsi="Arial"/>
          <w:sz w:val="19"/>
          <w:szCs w:val="19"/>
          <w:color w:val="auto"/>
        </w:rPr>
        <w:t xml:space="preserve"> any successor thereto.</w:t>
      </w:r>
    </w:p>
    <w:p>
      <w:pPr>
        <w:spacing w:after="0" w:line="117"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Relevant Rate</w:t>
      </w:r>
      <w:r>
        <w:rPr>
          <w:rFonts w:ascii="Arial" w:cs="Arial" w:eastAsia="Arial" w:hAnsi="Arial"/>
          <w:sz w:val="19"/>
          <w:szCs w:val="19"/>
          <w:u w:val="single" w:color="auto"/>
          <w:color w:val="0000FF"/>
        </w:rPr>
        <w:t xml:space="preserve">” means (i) </w:t>
      </w:r>
      <w:r>
        <w:rPr>
          <w:rFonts w:ascii="Arial" w:cs="Arial" w:eastAsia="Arial" w:hAnsi="Arial"/>
          <w:sz w:val="19"/>
          <w:szCs w:val="19"/>
          <w:u w:val="single" w:color="auto"/>
          <w:color w:val="008000"/>
        </w:rPr>
        <w:t>with respect to any</w:t>
      </w:r>
      <w:r>
        <w:rPr>
          <w:rFonts w:ascii="Arial" w:cs="Arial" w:eastAsia="Arial" w:hAnsi="Arial"/>
          <w:sz w:val="19"/>
          <w:szCs w:val="19"/>
          <w:u w:val="single" w:color="auto"/>
          <w:color w:val="0000FF"/>
        </w:rPr>
        <w:t xml:space="preserve"> Term Benchmark Borrowing, the Adjusted Term SOFR Rate or (ii) with respect to any RFR Borrowing, Adjusted Daily Simple SOFR, as applicable.</w:t>
      </w:r>
    </w:p>
    <w:p>
      <w:pPr>
        <w:spacing w:after="0" w:line="112"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Lenders</w:t>
      </w:r>
      <w:r>
        <w:rPr>
          <w:rFonts w:ascii="Arial" w:cs="Arial" w:eastAsia="Arial" w:hAnsi="Arial"/>
          <w:sz w:val="21"/>
          <w:szCs w:val="21"/>
          <w:color w:val="auto"/>
        </w:rPr>
        <w:t xml:space="preserve">” means at any time Lenders having more than 50% of the aggregate amount of the Credit Exposures at such time </w:t>
      </w:r>
      <w:r>
        <w:rPr>
          <w:rFonts w:ascii="Arial" w:cs="Arial" w:eastAsia="Arial" w:hAnsi="Arial"/>
          <w:sz w:val="21"/>
          <w:szCs w:val="21"/>
          <w:u w:val="single" w:color="auto"/>
          <w:color w:val="0000FF"/>
        </w:rPr>
        <w:t>(exclusive in each case of the Credit Exposure(s) of Defaulting Lenders)</w:t>
      </w:r>
      <w:r>
        <w:rPr>
          <w:rFonts w:ascii="Arial" w:cs="Arial" w:eastAsia="Arial" w:hAnsi="Arial"/>
          <w:sz w:val="21"/>
          <w:szCs w:val="21"/>
          <w:color w:val="auto"/>
        </w:rPr>
        <w:t>.</w:t>
      </w:r>
    </w:p>
    <w:p>
      <w:pPr>
        <w:spacing w:after="0" w:line="148"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chief financial officer, treasurer or other executive officer of the relevant Borrower, and solely for the purposes of Article II, any other officer of the relevant Borrower so designated by the foregoing officers.</w:t>
      </w:r>
    </w:p>
    <w:p>
      <w:pPr>
        <w:spacing w:after="0" w:line="9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Resolution Authority</w:t>
      </w:r>
      <w:r>
        <w:rPr>
          <w:rFonts w:ascii="Arial" w:cs="Arial" w:eastAsia="Arial" w:hAnsi="Arial"/>
          <w:sz w:val="19"/>
          <w:szCs w:val="19"/>
          <w:color w:val="auto"/>
        </w:rPr>
        <w:t>” means an EEA Resolution Authority or, with respect to any UK Financial Institution, a UK Resolution Authority.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Reuters</w:t>
      </w:r>
      <w:r>
        <w:rPr>
          <w:rFonts w:ascii="Arial" w:cs="Arial" w:eastAsia="Arial" w:hAnsi="Arial"/>
          <w:sz w:val="19"/>
          <w:szCs w:val="19"/>
          <w:color w:val="auto"/>
        </w:rPr>
        <w:t>” means, as applicable, Thomson Reuters Corp., Refinitiv, or any successor thereto.</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Period</w:t>
      </w:r>
      <w:r>
        <w:rPr>
          <w:rFonts w:ascii="Arial" w:cs="Arial" w:eastAsia="Arial" w:hAnsi="Arial"/>
          <w:sz w:val="20"/>
          <w:szCs w:val="20"/>
          <w:color w:val="auto"/>
        </w:rPr>
        <w:t>” means the period from and including the Effective Date to but not including the Termination</w:t>
      </w:r>
    </w:p>
    <w:p>
      <w:pPr>
        <w:spacing w:after="0"/>
        <w:rPr>
          <w:sz w:val="20"/>
          <w:szCs w:val="20"/>
          <w:color w:val="auto"/>
        </w:rPr>
      </w:pPr>
      <w:r>
        <w:rPr>
          <w:rFonts w:ascii="Arial" w:cs="Arial" w:eastAsia="Arial" w:hAnsi="Arial"/>
          <w:sz w:val="21"/>
          <w:szCs w:val="21"/>
          <w:color w:val="auto"/>
        </w:rPr>
        <w:t>Date.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RFR Borrowing</w:t>
      </w:r>
      <w:r>
        <w:rPr>
          <w:rFonts w:ascii="Arial" w:cs="Arial" w:eastAsia="Arial" w:hAnsi="Arial"/>
          <w:sz w:val="19"/>
          <w:szCs w:val="19"/>
          <w:u w:val="single" w:color="auto"/>
          <w:color w:val="0000FF"/>
        </w:rPr>
        <w:t>” means, as to any Borrowing, the RFR Loans comprising such Borrowing.</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RFR Loan</w:t>
      </w:r>
      <w:r>
        <w:rPr>
          <w:rFonts w:ascii="Arial" w:cs="Arial" w:eastAsia="Arial" w:hAnsi="Arial"/>
          <w:sz w:val="19"/>
          <w:szCs w:val="19"/>
          <w:u w:val="single" w:color="auto"/>
          <w:color w:val="0000FF"/>
        </w:rPr>
        <w:t>” means a Loan that bears interest at a rate based on Adjusted Daily Simple SOFR.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RFR</w:t>
      </w:r>
      <w:r>
        <w:rPr>
          <w:rFonts w:ascii="Arial" w:cs="Arial" w:eastAsia="Arial" w:hAnsi="Arial"/>
          <w:sz w:val="21"/>
          <w:szCs w:val="21"/>
          <w:u w:val="single" w:color="auto"/>
          <w:color w:val="0000FF"/>
        </w:rPr>
        <w:t xml:space="preserve"> </w:t>
      </w:r>
      <w:r>
        <w:rPr>
          <w:rFonts w:ascii="Arial" w:cs="Arial" w:eastAsia="Arial" w:hAnsi="Arial"/>
          <w:sz w:val="21"/>
          <w:szCs w:val="21"/>
          <w:b w:val="1"/>
          <w:bCs w:val="1"/>
          <w:u w:val="single" w:color="auto"/>
          <w:color w:val="008000"/>
        </w:rPr>
        <w:t>Margin</w:t>
      </w:r>
      <w:r>
        <w:rPr>
          <w:rFonts w:ascii="Arial" w:cs="Arial" w:eastAsia="Arial" w:hAnsi="Arial"/>
          <w:sz w:val="21"/>
          <w:szCs w:val="21"/>
          <w:u w:val="single" w:color="auto"/>
          <w:color w:val="008000"/>
        </w:rPr>
        <w:t>” has the meaning set forth in the Pricing Schedule.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Standard &amp; Poor’s Rating Services, a Standard &amp; Poor’s Financial Services LLC business, and its successors.</w:t>
      </w:r>
    </w:p>
    <w:p>
      <w:pPr>
        <w:spacing w:after="0" w:line="16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Sanctioned Country</w:t>
      </w:r>
      <w:r>
        <w:rPr>
          <w:rFonts w:ascii="Arial" w:cs="Arial" w:eastAsia="Arial" w:hAnsi="Arial"/>
          <w:sz w:val="21"/>
          <w:szCs w:val="21"/>
          <w:color w:val="auto"/>
        </w:rPr>
        <w:t>” means, at any time, a country or territory which is, or whose government is, the subject or target of any Sanctions.</w:t>
      </w:r>
    </w:p>
    <w:p>
      <w:pPr>
        <w:spacing w:after="0" w:line="14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Sanctioned Person</w:t>
      </w:r>
      <w:r>
        <w:rPr>
          <w:rFonts w:ascii="Arial" w:cs="Arial" w:eastAsia="Arial" w:hAnsi="Arial"/>
          <w:sz w:val="21"/>
          <w:szCs w:val="21"/>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w:t>
      </w:r>
      <w:r>
        <w:rPr>
          <w:rFonts w:ascii="Arial" w:cs="Arial" w:eastAsia="Arial" w:hAnsi="Arial"/>
          <w:sz w:val="21"/>
          <w:szCs w:val="21"/>
          <w:b w:val="1"/>
          <w:bCs w:val="1"/>
          <w:color w:val="auto"/>
        </w:rPr>
        <w:t>EU</w:t>
      </w:r>
      <w:r>
        <w:rPr>
          <w:rFonts w:ascii="Arial" w:cs="Arial" w:eastAsia="Arial" w:hAnsi="Arial"/>
          <w:sz w:val="21"/>
          <w:szCs w:val="21"/>
          <w:color w:val="auto"/>
        </w:rPr>
        <w:t>”) or any EU member state or Her Majesty’s Treasury of the United Kingdom, (b) any Person operating, organized or resident in a Sanctioned Country or (c) any Person owned 50 percent or more or controlled by any such Person or Persons.</w:t>
      </w:r>
    </w:p>
    <w:p>
      <w:pPr>
        <w:spacing w:after="0" w:line="15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Sanctions</w:t>
      </w:r>
      <w:r>
        <w:rPr>
          <w:rFonts w:ascii="Arial" w:cs="Arial" w:eastAsia="Arial" w:hAnsi="Arial"/>
          <w:sz w:val="21"/>
          <w:szCs w:val="21"/>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 or any EU member state or Her Majesty’s Treasury of the United Kingdom.</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w:t>
      </w:r>
      <w:r>
        <w:rPr>
          <w:rFonts w:ascii="Arial" w:cs="Arial" w:eastAsia="Arial" w:hAnsi="Arial"/>
          <w:sz w:val="21"/>
          <w:szCs w:val="21"/>
          <w:color w:val="auto"/>
        </w:rPr>
        <w:t>” means</w:t>
      </w:r>
      <w:r>
        <w:rPr>
          <w:rFonts w:ascii="Arial" w:cs="Arial" w:eastAsia="Arial" w:hAnsi="Arial"/>
          <w:sz w:val="21"/>
          <w:szCs w:val="21"/>
          <w:color w:val="FF0000"/>
          <w:strike w:val="1"/>
        </w:rPr>
        <w:t>, with respect to any Business Day,</w:t>
      </w:r>
      <w:r>
        <w:rPr>
          <w:rFonts w:ascii="Arial" w:cs="Arial" w:eastAsia="Arial" w:hAnsi="Arial"/>
          <w:sz w:val="21"/>
          <w:szCs w:val="21"/>
          <w:color w:val="auto"/>
        </w:rPr>
        <w:t xml:space="preserve"> a rate </w:t>
      </w:r>
      <w:r>
        <w:rPr>
          <w:rFonts w:ascii="Arial" w:cs="Arial" w:eastAsia="Arial" w:hAnsi="Arial"/>
          <w:sz w:val="21"/>
          <w:szCs w:val="21"/>
          <w:color w:val="FF0000"/>
          <w:strike w:val="1"/>
        </w:rPr>
        <w:t>per annum</w:t>
      </w:r>
      <w:r>
        <w:rPr>
          <w:rFonts w:ascii="Arial" w:cs="Arial" w:eastAsia="Arial" w:hAnsi="Arial"/>
          <w:sz w:val="21"/>
          <w:szCs w:val="21"/>
          <w:color w:val="auto"/>
        </w:rPr>
        <w:t xml:space="preserve"> equal to the secured overnight financing rate </w:t>
      </w:r>
      <w:r>
        <w:rPr>
          <w:rFonts w:ascii="Arial" w:cs="Arial" w:eastAsia="Arial" w:hAnsi="Arial"/>
          <w:sz w:val="21"/>
          <w:szCs w:val="21"/>
          <w:color w:val="FF0000"/>
          <w:strike w:val="1"/>
        </w:rPr>
        <w:t>for such</w:t>
      </w:r>
      <w:r>
        <w:rPr>
          <w:rFonts w:ascii="Arial" w:cs="Arial" w:eastAsia="Arial" w:hAnsi="Arial"/>
          <w:sz w:val="21"/>
          <w:szCs w:val="21"/>
          <w:color w:val="auto"/>
        </w:rPr>
        <w:t xml:space="preserve"> </w:t>
      </w:r>
      <w:r>
        <w:rPr>
          <w:rFonts w:ascii="Arial" w:cs="Arial" w:eastAsia="Arial" w:hAnsi="Arial"/>
          <w:sz w:val="21"/>
          <w:szCs w:val="21"/>
          <w:color w:val="FF0000"/>
          <w:strike w:val="1"/>
        </w:rPr>
        <w:t>Business Day published</w:t>
      </w:r>
      <w:r>
        <w:rPr>
          <w:rFonts w:ascii="Arial" w:cs="Arial" w:eastAsia="Arial" w:hAnsi="Arial"/>
          <w:sz w:val="21"/>
          <w:szCs w:val="21"/>
          <w:u w:val="single" w:color="auto"/>
          <w:color w:val="0000FF"/>
        </w:rPr>
        <w:t>as administered</w:t>
      </w:r>
      <w:r>
        <w:rPr>
          <w:rFonts w:ascii="Arial" w:cs="Arial" w:eastAsia="Arial" w:hAnsi="Arial"/>
          <w:sz w:val="21"/>
          <w:szCs w:val="21"/>
          <w:color w:val="FF0000"/>
        </w:rPr>
        <w:t xml:space="preserve"> </w:t>
      </w:r>
      <w:r>
        <w:rPr>
          <w:rFonts w:ascii="Arial" w:cs="Arial" w:eastAsia="Arial" w:hAnsi="Arial"/>
          <w:sz w:val="21"/>
          <w:szCs w:val="21"/>
          <w:color w:val="000000"/>
        </w:rPr>
        <w:t>by the SOFR Administrator</w:t>
      </w:r>
      <w:r>
        <w:rPr>
          <w:rFonts w:ascii="Arial" w:cs="Arial" w:eastAsia="Arial" w:hAnsi="Arial"/>
          <w:sz w:val="21"/>
          <w:szCs w:val="21"/>
          <w:color w:val="FF0000"/>
        </w:rPr>
        <w:t xml:space="preserve"> </w:t>
      </w:r>
      <w:r>
        <w:rPr>
          <w:rFonts w:ascii="Arial" w:cs="Arial" w:eastAsia="Arial" w:hAnsi="Arial"/>
          <w:sz w:val="21"/>
          <w:szCs w:val="21"/>
          <w:color w:val="008000"/>
          <w:strike w:val="1"/>
        </w:rPr>
        <w:t>on the SOFR Administrator’s Website</w:t>
      </w:r>
      <w:r>
        <w:rPr>
          <w:rFonts w:ascii="Arial" w:cs="Arial" w:eastAsia="Arial" w:hAnsi="Arial"/>
          <w:sz w:val="21"/>
          <w:szCs w:val="21"/>
          <w:color w:val="FF0000"/>
        </w:rPr>
        <w:t xml:space="preserve"> </w:t>
      </w:r>
      <w:r>
        <w:rPr>
          <w:rFonts w:ascii="Arial" w:cs="Arial" w:eastAsia="Arial" w:hAnsi="Arial"/>
          <w:sz w:val="21"/>
          <w:szCs w:val="21"/>
          <w:color w:val="FF0000"/>
          <w:strike w:val="1"/>
        </w:rPr>
        <w:t>on the immediately</w:t>
      </w:r>
      <w:r>
        <w:rPr>
          <w:rFonts w:ascii="Arial" w:cs="Arial" w:eastAsia="Arial" w:hAnsi="Arial"/>
          <w:sz w:val="21"/>
          <w:szCs w:val="21"/>
          <w:color w:val="FF0000"/>
        </w:rPr>
        <w:t xml:space="preserve"> </w:t>
      </w:r>
      <w:r>
        <w:rPr>
          <w:rFonts w:ascii="Arial" w:cs="Arial" w:eastAsia="Arial" w:hAnsi="Arial"/>
          <w:sz w:val="21"/>
          <w:szCs w:val="21"/>
          <w:color w:val="FF0000"/>
          <w:strike w:val="1"/>
        </w:rPr>
        <w:t>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183"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SOFR Determination Date</w:t>
      </w:r>
      <w:r>
        <w:rPr>
          <w:rFonts w:ascii="Arial" w:cs="Arial" w:eastAsia="Arial" w:hAnsi="Arial"/>
          <w:sz w:val="19"/>
          <w:szCs w:val="19"/>
          <w:u w:val="single" w:color="auto"/>
          <w:color w:val="0000FF"/>
        </w:rPr>
        <w:t xml:space="preserve">” has the meaning specified </w:t>
      </w:r>
      <w:r>
        <w:rPr>
          <w:rFonts w:ascii="Arial" w:cs="Arial" w:eastAsia="Arial" w:hAnsi="Arial"/>
          <w:sz w:val="19"/>
          <w:szCs w:val="19"/>
          <w:u w:val="single" w:color="auto"/>
          <w:color w:val="008000"/>
        </w:rPr>
        <w:t>in the definition of “</w:t>
      </w:r>
      <w:r>
        <w:rPr>
          <w:rFonts w:ascii="Arial" w:cs="Arial" w:eastAsia="Arial" w:hAnsi="Arial"/>
          <w:sz w:val="19"/>
          <w:szCs w:val="19"/>
          <w:u w:val="single" w:color="auto"/>
          <w:color w:val="0000FF"/>
        </w:rPr>
        <w:t>Daily Simple SOFR”.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SOFR Rate Day</w:t>
      </w:r>
      <w:r>
        <w:rPr>
          <w:rFonts w:ascii="Arial" w:cs="Arial" w:eastAsia="Arial" w:hAnsi="Arial"/>
          <w:sz w:val="19"/>
          <w:szCs w:val="19"/>
          <w:u w:val="single" w:color="auto"/>
          <w:color w:val="0000FF"/>
        </w:rPr>
        <w:t>” has the meaning specified in the definition of “Daily Simple SOFR”.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Stop Issuance Notice</w:t>
      </w:r>
      <w:r>
        <w:rPr>
          <w:rFonts w:ascii="Arial" w:cs="Arial" w:eastAsia="Arial" w:hAnsi="Arial"/>
          <w:sz w:val="21"/>
          <w:szCs w:val="21"/>
          <w:color w:val="auto"/>
        </w:rPr>
        <w:t>” has the meaning specified in Section 2.19.</w:t>
      </w:r>
    </w:p>
    <w:p>
      <w:pPr>
        <w:spacing w:after="0" w:line="18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as to any Person, any corporation or other entity of which securities or other ownership interests having ordinary voting power to elect a majority of the board of directors or other persons performing similar functions are at the time directly or indirectly owned by such Person; unless otherwise specified, “Subsidiary” means a Subsidiary of the Company.</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Supported QFC</w:t>
      </w:r>
      <w:r>
        <w:rPr>
          <w:rFonts w:ascii="Arial" w:cs="Arial" w:eastAsia="Arial" w:hAnsi="Arial"/>
          <w:sz w:val="21"/>
          <w:szCs w:val="21"/>
          <w:color w:val="auto"/>
        </w:rPr>
        <w:t>” has the meaning set forth in Section 11.15.</w:t>
      </w:r>
    </w:p>
    <w:p>
      <w:pPr>
        <w:spacing w:after="0" w:line="18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 Agreement</w:t>
      </w:r>
      <w:r>
        <w:rPr>
          <w:rFonts w:ascii="Arial" w:cs="Arial" w:eastAsia="Arial" w:hAnsi="Arial"/>
          <w:sz w:val="21"/>
          <w:szCs w:val="21"/>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the Subsidiaries shall be a Swap Agreement.</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Syndication Agents</w:t>
      </w:r>
      <w:r>
        <w:rPr>
          <w:rFonts w:ascii="Arial" w:cs="Arial" w:eastAsia="Arial" w:hAnsi="Arial"/>
          <w:sz w:val="21"/>
          <w:szCs w:val="21"/>
          <w:color w:val="auto"/>
        </w:rPr>
        <w:t>” means Barclays Bank PLC, BNP Paribas Securities Corp. and BofA Securities, Inc., in their respective capacities as syndication agents in connection with this Agreement.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has the meaning set forth in Section 8.04(a).</w:t>
      </w:r>
    </w:p>
    <w:p>
      <w:pPr>
        <w:spacing w:after="0" w:line="187" w:lineRule="exact"/>
        <w:rPr>
          <w:sz w:val="20"/>
          <w:szCs w:val="20"/>
          <w:color w:val="auto"/>
        </w:rPr>
      </w:pPr>
    </w:p>
    <w:p>
      <w:pPr>
        <w:ind w:right="380" w:firstLine="636"/>
        <w:spacing w:after="0" w:line="241"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Term Benchmark</w:t>
      </w:r>
      <w:r>
        <w:rPr>
          <w:rFonts w:ascii="Arial" w:cs="Arial" w:eastAsia="Arial" w:hAnsi="Arial"/>
          <w:sz w:val="19"/>
          <w:szCs w:val="19"/>
          <w:u w:val="single" w:color="auto"/>
          <w:color w:val="0000FF"/>
        </w:rPr>
        <w:t>” when used in reference to any Loan or Borrowing, refers to whether such Loan, or the Loans comprising such Borrowing, are bearing interest at a rate determined by reference to the Adjusted Term SOFR Rate.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u w:val="single" w:color="auto"/>
          <w:color w:val="0000FF"/>
        </w:rPr>
        <w:t>Term Benchmark Loan</w:t>
      </w:r>
      <w:r>
        <w:rPr>
          <w:rFonts w:ascii="Arial" w:cs="Arial" w:eastAsia="Arial" w:hAnsi="Arial"/>
          <w:sz w:val="20"/>
          <w:szCs w:val="20"/>
          <w:u w:val="single" w:color="auto"/>
          <w:color w:val="0000FF"/>
        </w:rPr>
        <w:t>” means any Loan in respect of which interest is computed on the basis of a Term SOFR Rate.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Term Benchmark Margin</w:t>
      </w:r>
      <w:r>
        <w:rPr>
          <w:rFonts w:ascii="Arial" w:cs="Arial" w:eastAsia="Arial" w:hAnsi="Arial"/>
          <w:sz w:val="21"/>
          <w:szCs w:val="21"/>
          <w:u w:val="single" w:color="auto"/>
          <w:color w:val="008000"/>
        </w:rPr>
        <w:t>” has the meaning set forth in the</w:t>
      </w:r>
      <w:r>
        <w:rPr>
          <w:rFonts w:ascii="Arial" w:cs="Arial" w:eastAsia="Arial" w:hAnsi="Arial"/>
          <w:sz w:val="21"/>
          <w:szCs w:val="21"/>
          <w:u w:val="single" w:color="auto"/>
          <w:color w:val="0000FF"/>
        </w:rPr>
        <w:t xml:space="preserve"> Pricing Schedule.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FF0000"/>
          <w:strike w:val="1"/>
        </w:rPr>
        <w:t>” means, for the applicable Corresponding Tenor as of the applicable Reference Time, the forward-looking term rate</w:t>
      </w:r>
    </w:p>
    <w:p>
      <w:pPr>
        <w:spacing w:after="0" w:line="14" w:lineRule="exact"/>
        <w:rPr>
          <w:sz w:val="20"/>
          <w:szCs w:val="20"/>
          <w:color w:val="auto"/>
        </w:rPr>
      </w:pPr>
    </w:p>
    <w:p>
      <w:pPr>
        <w:ind w:right="40"/>
        <w:spacing w:after="0" w:line="228" w:lineRule="auto"/>
        <w:rPr>
          <w:sz w:val="20"/>
          <w:szCs w:val="20"/>
          <w:color w:val="auto"/>
        </w:rPr>
      </w:pPr>
      <w:r>
        <w:rPr>
          <w:rFonts w:ascii="Arial" w:cs="Arial" w:eastAsia="Arial" w:hAnsi="Arial"/>
          <w:sz w:val="19"/>
          <w:szCs w:val="19"/>
          <w:color w:val="FF0000"/>
          <w:strike w:val="1"/>
        </w:rPr>
        <w:t xml:space="preserve">based on SOFR that has been selected or recommended by the Relevant Governmental Body. </w:t>
      </w:r>
      <w:r>
        <w:rPr>
          <w:rFonts w:ascii="Arial" w:cs="Arial" w:eastAsia="Arial" w:hAnsi="Arial"/>
          <w:sz w:val="19"/>
          <w:szCs w:val="19"/>
          <w:b w:val="1"/>
          <w:bCs w:val="1"/>
          <w:u w:val="single" w:color="auto"/>
          <w:color w:val="0000FF"/>
          <w:strike w:val="1"/>
        </w:rPr>
        <w:t>Determination Day</w:t>
      </w:r>
      <w:r>
        <w:rPr>
          <w:rFonts w:ascii="Arial" w:cs="Arial" w:eastAsia="Arial" w:hAnsi="Arial"/>
          <w:sz w:val="19"/>
          <w:szCs w:val="19"/>
          <w:u w:val="single" w:color="auto"/>
          <w:color w:val="0000FF"/>
          <w:strike w:val="1"/>
        </w:rPr>
        <w:t>” has the meaning assigned to</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it under the definition of Term SOFR Reference Rate.</w:t>
      </w:r>
    </w:p>
    <w:p>
      <w:pPr>
        <w:spacing w:after="0" w:line="159" w:lineRule="exact"/>
        <w:rPr>
          <w:sz w:val="20"/>
          <w:szCs w:val="20"/>
          <w:color w:val="auto"/>
        </w:rPr>
      </w:pPr>
    </w:p>
    <w:p>
      <w:pPr>
        <w:ind w:right="200" w:firstLine="63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Notice</w:t>
      </w:r>
      <w:r>
        <w:rPr>
          <w:rFonts w:ascii="Arial" w:cs="Arial" w:eastAsia="Arial" w:hAnsi="Arial"/>
          <w:sz w:val="19"/>
          <w:szCs w:val="19"/>
          <w:color w:val="FF0000"/>
          <w:strike w:val="1"/>
        </w:rPr>
        <w:t>” means a notification</w:t>
      </w:r>
      <w:r>
        <w:rPr>
          <w:rFonts w:ascii="Arial" w:cs="Arial" w:eastAsia="Arial" w:hAnsi="Arial"/>
          <w:sz w:val="19"/>
          <w:szCs w:val="19"/>
          <w:color w:val="auto"/>
        </w:rPr>
        <w:t xml:space="preserve"> </w:t>
      </w:r>
      <w:r>
        <w:rPr>
          <w:rFonts w:ascii="Arial" w:cs="Arial" w:eastAsia="Arial" w:hAnsi="Arial"/>
          <w:sz w:val="19"/>
          <w:szCs w:val="19"/>
          <w:color w:val="008000"/>
          <w:strike w:val="1"/>
        </w:rPr>
        <w:t>by the Administrative Agent to</w:t>
      </w:r>
      <w:r>
        <w:rPr>
          <w:rFonts w:ascii="Arial" w:cs="Arial" w:eastAsia="Arial" w:hAnsi="Arial"/>
          <w:sz w:val="19"/>
          <w:szCs w:val="19"/>
          <w:color w:val="auto"/>
        </w:rPr>
        <w:t xml:space="preserve"> </w:t>
      </w:r>
      <w:r>
        <w:rPr>
          <w:rFonts w:ascii="Arial" w:cs="Arial" w:eastAsia="Arial" w:hAnsi="Arial"/>
          <w:sz w:val="19"/>
          <w:szCs w:val="19"/>
          <w:color w:val="FF0000"/>
          <w:strike w:val="1"/>
        </w:rPr>
        <w:t>the Lenders and the Company of the occurrence of a Term</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SOFR Transition Event. </w:t>
      </w:r>
      <w:r>
        <w:rPr>
          <w:rFonts w:ascii="Arial" w:cs="Arial" w:eastAsia="Arial" w:hAnsi="Arial"/>
          <w:sz w:val="19"/>
          <w:szCs w:val="19"/>
          <w:b w:val="1"/>
          <w:bCs w:val="1"/>
          <w:u w:val="single" w:color="auto"/>
          <w:color w:val="0000FF"/>
          <w:strike w:val="1"/>
        </w:rPr>
        <w:t>Rate</w:t>
      </w:r>
      <w:r>
        <w:rPr>
          <w:rFonts w:ascii="Arial" w:cs="Arial" w:eastAsia="Arial" w:hAnsi="Arial"/>
          <w:sz w:val="19"/>
          <w:szCs w:val="19"/>
          <w:u w:val="single" w:color="auto"/>
          <w:color w:val="008000"/>
          <w:strike w:val="1"/>
        </w:rPr>
        <w:t>” means, with respect to any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67" w:lineRule="exact"/>
        <w:rPr>
          <w:sz w:val="20"/>
          <w:szCs w:val="20"/>
          <w:color w:val="auto"/>
        </w:rPr>
      </w:pPr>
    </w:p>
    <w:p>
      <w:pPr>
        <w:ind w:right="280"/>
        <w:spacing w:after="0" w:line="236" w:lineRule="auto"/>
        <w:rPr>
          <w:sz w:val="20"/>
          <w:szCs w:val="20"/>
          <w:color w:val="auto"/>
        </w:rPr>
      </w:pPr>
      <w:r>
        <w:rPr>
          <w:rFonts w:ascii="Arial" w:cs="Arial" w:eastAsia="Arial" w:hAnsi="Arial"/>
          <w:sz w:val="19"/>
          <w:szCs w:val="19"/>
          <w:u w:val="single" w:color="auto"/>
          <w:color w:val="0000FF"/>
        </w:rPr>
        <w:t xml:space="preserve">Benchmark Borrowing and for any tenor comparable to the applicable Interest Period, the Term SOFR Reference Rate at approximately 5:00 a.m., Chicago time, two U.S. Government Securities </w:t>
      </w:r>
      <w:r>
        <w:rPr>
          <w:rFonts w:ascii="Arial" w:cs="Arial" w:eastAsia="Arial" w:hAnsi="Arial"/>
          <w:sz w:val="19"/>
          <w:szCs w:val="19"/>
          <w:u w:val="single" w:color="auto"/>
          <w:color w:val="008000"/>
        </w:rPr>
        <w:t>Business Days prior to the commencement of such</w:t>
      </w:r>
      <w:r>
        <w:rPr>
          <w:rFonts w:ascii="Arial" w:cs="Arial" w:eastAsia="Arial" w:hAnsi="Arial"/>
          <w:sz w:val="19"/>
          <w:szCs w:val="19"/>
          <w:u w:val="single" w:color="auto"/>
          <w:color w:val="0000FF"/>
        </w:rPr>
        <w:t xml:space="preserve"> tenor comparable to the applicable Interest Period, as such rate is published by the CME Term SOFR Administrator.</w:t>
      </w:r>
    </w:p>
    <w:p>
      <w:pPr>
        <w:spacing w:after="0" w:line="144" w:lineRule="exact"/>
        <w:rPr>
          <w:sz w:val="20"/>
          <w:szCs w:val="20"/>
          <w:color w:val="auto"/>
        </w:rPr>
      </w:pPr>
    </w:p>
    <w:p>
      <w:pPr>
        <w:ind w:right="320" w:firstLine="636"/>
        <w:spacing w:after="0" w:line="257"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Term SOFR Reference</w:t>
      </w: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8000"/>
        </w:rPr>
        <w:t>Rate</w:t>
      </w:r>
      <w:r>
        <w:rPr>
          <w:rFonts w:ascii="Arial" w:cs="Arial" w:eastAsia="Arial" w:hAnsi="Arial"/>
          <w:sz w:val="17"/>
          <w:szCs w:val="17"/>
          <w:u w:val="single" w:color="auto"/>
          <w:color w:val="008000"/>
        </w:rPr>
        <w:t>” means, for any day and time</w:t>
      </w:r>
      <w:r>
        <w:rPr>
          <w:rFonts w:ascii="Arial" w:cs="Arial" w:eastAsia="Arial" w:hAnsi="Arial"/>
          <w:sz w:val="17"/>
          <w:szCs w:val="17"/>
          <w:u w:val="single" w:color="auto"/>
          <w:color w:val="0000FF"/>
        </w:rPr>
        <w:t xml:space="preserve"> (such day, the “</w:t>
      </w:r>
      <w:r>
        <w:rPr>
          <w:rFonts w:ascii="Arial" w:cs="Arial" w:eastAsia="Arial" w:hAnsi="Arial"/>
          <w:sz w:val="17"/>
          <w:szCs w:val="17"/>
          <w:b w:val="1"/>
          <w:bCs w:val="1"/>
          <w:i w:val="1"/>
          <w:iCs w:val="1"/>
          <w:u w:val="single" w:color="auto"/>
          <w:color w:val="0000FF"/>
        </w:rPr>
        <w:t>Term SOFR Determination Day</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with respect to any</w:t>
      </w:r>
      <w:r>
        <w:rPr>
          <w:rFonts w:ascii="Arial" w:cs="Arial" w:eastAsia="Arial" w:hAnsi="Arial"/>
          <w:sz w:val="17"/>
          <w:szCs w:val="17"/>
          <w:u w:val="single" w:color="auto"/>
          <w:color w:val="0000FF"/>
        </w:rPr>
        <w:t xml:space="preserve"> Term Benchmark Borrowing denominated in Dollars and for any tenor comparable to the applicable Interest Period, the rate per annum</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u w:val="single" w:color="auto"/>
          <w:color w:val="0000FF"/>
        </w:rPr>
        <w:t xml:space="preserve">published by the CME Term SOFR Administrator and identified by the Administrative Agent as the forward-looking term rate based on SOFR. If by 5:00 pm </w:t>
      </w:r>
      <w:r>
        <w:rPr>
          <w:rFonts w:ascii="Arial" w:cs="Arial" w:eastAsia="Arial" w:hAnsi="Arial"/>
          <w:sz w:val="17"/>
          <w:szCs w:val="17"/>
          <w:u w:val="single" w:color="auto"/>
          <w:color w:val="008000"/>
        </w:rPr>
        <w:t>(New York City time) on</w:t>
      </w:r>
      <w:r>
        <w:rPr>
          <w:rFonts w:ascii="Arial" w:cs="Arial" w:eastAsia="Arial" w:hAnsi="Arial"/>
          <w:sz w:val="17"/>
          <w:szCs w:val="17"/>
          <w:u w:val="single" w:color="auto"/>
          <w:color w:val="0000FF"/>
        </w:rPr>
        <w:t xml:space="preserve"> such Term SOFR Determination Day, the “Term SOFR Reference Rate” for the applicable tenor has not</w:t>
      </w:r>
    </w:p>
    <w:p>
      <w:pPr>
        <w:spacing w:after="0" w:line="232" w:lineRule="auto"/>
        <w:rPr>
          <w:sz w:val="20"/>
          <w:szCs w:val="20"/>
          <w:color w:val="auto"/>
        </w:rPr>
      </w:pPr>
      <w:r>
        <w:rPr>
          <w:rFonts w:ascii="Arial" w:cs="Arial" w:eastAsia="Arial" w:hAnsi="Arial"/>
          <w:sz w:val="18"/>
          <w:szCs w:val="18"/>
          <w:u w:val="single" w:color="auto"/>
          <w:color w:val="0000FF"/>
        </w:rPr>
        <w:t>been published by the CME Term SOFR Administrator and a Benchmark Replacement Date with respect to the Term SOFR Rate has not</w:t>
      </w:r>
    </w:p>
    <w:p>
      <w:pPr>
        <w:ind w:right="380"/>
        <w:spacing w:after="0" w:line="235" w:lineRule="auto"/>
        <w:rPr>
          <w:sz w:val="20"/>
          <w:szCs w:val="20"/>
          <w:color w:val="auto"/>
        </w:rPr>
      </w:pPr>
      <w:r>
        <w:rPr>
          <w:rFonts w:ascii="Arial" w:cs="Arial" w:eastAsia="Arial" w:hAnsi="Arial"/>
          <w:sz w:val="17"/>
          <w:szCs w:val="17"/>
          <w:u w:val="single" w:color="auto"/>
          <w:color w:val="0000FF"/>
        </w:rPr>
        <w:t>occurred, then, so long as such day is otherwise a U.S. Government Securities Business Day, the Term SOFR Reference Rate for such Term SOFR Determination Day will be the Term SOFR Reference Rate as published in respect of the first preceding U.S. Government Securities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u w:val="single" w:color="auto"/>
          <w:color w:val="0000FF"/>
        </w:rPr>
        <w:t>Business Day for which such Term SOFR Reference Rate was published by the CME Term SOFR Administrator, so long as such first preceding U.S. Government Securities Business Day is not more than five (5) U.S. Government Securities Business Days prior to such Term SOFR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Determination Day.</w:t>
      </w:r>
    </w:p>
    <w:p>
      <w:pPr>
        <w:spacing w:after="0" w:line="166"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Term SOFR Transition Event</w:t>
      </w:r>
      <w:r>
        <w:rPr>
          <w:rFonts w:ascii="Arial" w:cs="Arial" w:eastAsia="Arial" w:hAnsi="Arial"/>
          <w:sz w:val="21"/>
          <w:szCs w:val="21"/>
          <w:color w:val="FF0000"/>
          <w:strike w:val="1"/>
        </w:rPr>
        <w:t xml:space="preserve">” means the determination by the Administrative Agent that (a) Term SOFR has been recommended for use by the Relevant Governmental Body, (b) the administration of Term SOFR is administratively feasible for the Administrative Agent and (c) </w:t>
      </w:r>
      <w:r>
        <w:rPr>
          <w:rFonts w:ascii="Arial" w:cs="Arial" w:eastAsia="Arial" w:hAnsi="Arial"/>
          <w:sz w:val="21"/>
          <w:szCs w:val="21"/>
          <w:color w:val="008000"/>
          <w:strike w:val="1"/>
        </w:rPr>
        <w:t>a Benchmark Transition Event</w:t>
      </w:r>
      <w:r>
        <w:rPr>
          <w:rFonts w:ascii="Arial" w:cs="Arial" w:eastAsia="Arial" w:hAnsi="Arial"/>
          <w:sz w:val="21"/>
          <w:szCs w:val="21"/>
          <w:color w:val="FF0000"/>
          <w:strike w:val="1"/>
        </w:rPr>
        <w:t xml:space="preserve"> or an Early Opt-in Election, as applicable (and for the avoidance of doubt, not in the case of an Other Benchmark Rate Election), has previously occurred resulting in a Benchmark Replacement in accordance with Section 8.01 that is not Term SOFR.</w:t>
      </w:r>
    </w:p>
    <w:p>
      <w:pPr>
        <w:spacing w:after="0" w:line="150"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Termination Date</w:t>
      </w:r>
      <w:r>
        <w:rPr>
          <w:rFonts w:ascii="Arial" w:cs="Arial" w:eastAsia="Arial" w:hAnsi="Arial"/>
          <w:sz w:val="21"/>
          <w:szCs w:val="21"/>
          <w:color w:val="auto"/>
        </w:rPr>
        <w:t xml:space="preserve">” means (i) September 27, 2026 or (ii) such later day to which the Termination Date may be extended with respect to such Lender pursuant to Section 2.01(b), but in each case if such day is not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U.S. Government</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Securities</w:t>
      </w:r>
      <w:r>
        <w:rPr>
          <w:rFonts w:ascii="Arial" w:cs="Arial" w:eastAsia="Arial" w:hAnsi="Arial"/>
          <w:sz w:val="21"/>
          <w:szCs w:val="21"/>
          <w:color w:val="0000FF"/>
        </w:rPr>
        <w:t xml:space="preserve"> </w:t>
      </w:r>
      <w:r>
        <w:rPr>
          <w:rFonts w:ascii="Arial" w:cs="Arial" w:eastAsia="Arial" w:hAnsi="Arial"/>
          <w:sz w:val="21"/>
          <w:szCs w:val="21"/>
          <w:color w:val="000000"/>
        </w:rPr>
        <w:t>Business Day, the next succeeding</w:t>
      </w:r>
      <w:r>
        <w:rPr>
          <w:rFonts w:ascii="Arial" w:cs="Arial" w:eastAsia="Arial" w:hAnsi="Arial"/>
          <w:sz w:val="21"/>
          <w:szCs w:val="21"/>
          <w:color w:val="0000FF"/>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U.S. Government Securities</w:t>
      </w:r>
      <w:r>
        <w:rPr>
          <w:rFonts w:ascii="Arial" w:cs="Arial" w:eastAsia="Arial" w:hAnsi="Arial"/>
          <w:sz w:val="21"/>
          <w:szCs w:val="21"/>
          <w:color w:val="0000FF"/>
        </w:rPr>
        <w:t xml:space="preserve"> </w:t>
      </w:r>
      <w:r>
        <w:rPr>
          <w:rFonts w:ascii="Arial" w:cs="Arial" w:eastAsia="Arial" w:hAnsi="Arial"/>
          <w:sz w:val="21"/>
          <w:szCs w:val="21"/>
          <w:color w:val="000000"/>
        </w:rPr>
        <w:t>Business Day unless such</w:t>
      </w:r>
      <w:r>
        <w:rPr>
          <w:rFonts w:ascii="Arial" w:cs="Arial" w:eastAsia="Arial" w:hAnsi="Arial"/>
          <w:sz w:val="21"/>
          <w:szCs w:val="21"/>
          <w:color w:val="0000FF"/>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U.S.</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Government Securities</w:t>
      </w:r>
      <w:r>
        <w:rPr>
          <w:rFonts w:ascii="Arial" w:cs="Arial" w:eastAsia="Arial" w:hAnsi="Arial"/>
          <w:sz w:val="21"/>
          <w:szCs w:val="21"/>
          <w:color w:val="0000FF"/>
        </w:rPr>
        <w:t xml:space="preserve"> </w:t>
      </w:r>
      <w:r>
        <w:rPr>
          <w:rFonts w:ascii="Arial" w:cs="Arial" w:eastAsia="Arial" w:hAnsi="Arial"/>
          <w:sz w:val="21"/>
          <w:szCs w:val="21"/>
          <w:color w:val="000000"/>
        </w:rPr>
        <w:t>Business Day falls in another calendar month, in which case the Termination Date shall be the next</w:t>
      </w:r>
      <w:r>
        <w:rPr>
          <w:rFonts w:ascii="Arial" w:cs="Arial" w:eastAsia="Arial" w:hAnsi="Arial"/>
          <w:sz w:val="21"/>
          <w:szCs w:val="21"/>
          <w:color w:val="0000FF"/>
        </w:rPr>
        <w:t xml:space="preserve"> </w:t>
      </w:r>
      <w:r>
        <w:rPr>
          <w:rFonts w:ascii="Arial" w:cs="Arial" w:eastAsia="Arial" w:hAnsi="Arial"/>
          <w:sz w:val="21"/>
          <w:szCs w:val="21"/>
          <w:color w:val="000000"/>
        </w:rPr>
        <w:t xml:space="preserve">preceding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U.S. Government Securities</w:t>
      </w:r>
      <w:r>
        <w:rPr>
          <w:rFonts w:ascii="Arial" w:cs="Arial" w:eastAsia="Arial" w:hAnsi="Arial"/>
          <w:sz w:val="21"/>
          <w:szCs w:val="21"/>
          <w:color w:val="000000"/>
        </w:rPr>
        <w:t xml:space="preserve"> Business Day.</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Test Date</w:t>
      </w:r>
      <w:r>
        <w:rPr>
          <w:rFonts w:ascii="Arial" w:cs="Arial" w:eastAsia="Arial" w:hAnsi="Arial"/>
          <w:sz w:val="21"/>
          <w:szCs w:val="21"/>
          <w:color w:val="auto"/>
        </w:rPr>
        <w:t>” means the last day of each fiscal quarter of the Company, commencing with the first fiscal quarter after the Effective Date.</w:t>
      </w:r>
    </w:p>
    <w:p>
      <w:pPr>
        <w:spacing w:after="0" w:line="14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Outstanding Amount</w:t>
      </w:r>
      <w:r>
        <w:rPr>
          <w:rFonts w:ascii="Arial" w:cs="Arial" w:eastAsia="Arial" w:hAnsi="Arial"/>
          <w:sz w:val="21"/>
          <w:szCs w:val="21"/>
          <w:color w:val="auto"/>
        </w:rPr>
        <w:t>” means, at any time, the sum of (i) the aggregate outstanding principal amount of the Loans determined at such time after giving effect, if one or more Loans are being made at such time, to any substantially concurrent application of the proceeds thereof to repay one or more other Loans plus (ii) the aggregate amount of the Letter of Credit Liabilities of all Lenders at such time.</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Type</w:t>
      </w:r>
      <w:r>
        <w:rPr>
          <w:rFonts w:ascii="Arial" w:cs="Arial" w:eastAsia="Arial" w:hAnsi="Arial"/>
          <w:sz w:val="21"/>
          <w:szCs w:val="21"/>
          <w:u w:val="single" w:color="auto"/>
          <w:color w:val="0000FF"/>
        </w:rPr>
        <w:t xml:space="preserve">”, when used in reference to any Loan or Borrowing, refers to whether the rate of interest on such Loan, or on the Loans comprising such Borrowing, </w:t>
      </w:r>
      <w:r>
        <w:rPr>
          <w:rFonts w:ascii="Arial" w:cs="Arial" w:eastAsia="Arial" w:hAnsi="Arial"/>
          <w:sz w:val="21"/>
          <w:szCs w:val="21"/>
          <w:u w:val="single" w:color="auto"/>
          <w:color w:val="008000"/>
        </w:rPr>
        <w:t>is determined by reference to the</w:t>
      </w:r>
      <w:r>
        <w:rPr>
          <w:rFonts w:ascii="Arial" w:cs="Arial" w:eastAsia="Arial" w:hAnsi="Arial"/>
          <w:sz w:val="21"/>
          <w:szCs w:val="21"/>
          <w:u w:val="single" w:color="auto"/>
          <w:color w:val="0000FF"/>
        </w:rPr>
        <w:t xml:space="preserve"> Adjusted Term SOFR Rate, the Base Rate or Adjusted Daily Simple SOFR.</w:t>
      </w:r>
    </w:p>
    <w:p>
      <w:pPr>
        <w:spacing w:after="0" w:line="148"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Financial Institutions</w:t>
      </w:r>
      <w:r>
        <w:rPr>
          <w:rFonts w:ascii="Arial" w:cs="Arial" w:eastAsia="Arial" w:hAnsi="Arial"/>
          <w:sz w:val="19"/>
          <w:szCs w:val="19"/>
          <w:color w:val="auto"/>
        </w:rPr>
        <w:t xml:space="preserve"> ”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7"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UK Resolution Authority</w:t>
      </w:r>
      <w:r>
        <w:rPr>
          <w:rFonts w:ascii="Arial" w:cs="Arial" w:eastAsia="Arial" w:hAnsi="Arial"/>
          <w:sz w:val="21"/>
          <w:szCs w:val="21"/>
          <w:color w:val="auto"/>
        </w:rPr>
        <w:t>” means the Bank of England or any other public administrative authority having responsibility for the resolution of any UK Financial Institution.</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Unadjusted Benchmark Replacement</w:t>
      </w:r>
      <w:r>
        <w:rPr>
          <w:rFonts w:ascii="Arial" w:cs="Arial" w:eastAsia="Arial" w:hAnsi="Arial"/>
          <w:sz w:val="21"/>
          <w:szCs w:val="21"/>
          <w:color w:val="auto"/>
        </w:rPr>
        <w:t>” means the applicable Benchmark Replacement excluding the related Benchmark Replacement Adjustment.</w:t>
      </w:r>
    </w:p>
    <w:p>
      <w:pPr>
        <w:spacing w:after="0" w:line="14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Unfunded Liabilities</w:t>
      </w:r>
      <w:r>
        <w:rPr>
          <w:rFonts w:ascii="Arial" w:cs="Arial" w:eastAsia="Arial" w:hAnsi="Arial"/>
          <w:sz w:val="21"/>
          <w:szCs w:val="21"/>
          <w:color w:val="auto"/>
        </w:rPr>
        <w:t>” means, with respect to any Plan at any time, the amount (if any) by which (i) the value of all benefit liabilities under such Plan, determined on a plan termination basis using the assumptions prescribed by the PBGC for purposes of Section 4044 of ERISA, exceeds (ii)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54" w:lineRule="exact"/>
        <w:rPr>
          <w:sz w:val="20"/>
          <w:szCs w:val="20"/>
          <w:color w:val="auto"/>
        </w:rPr>
      </w:pPr>
    </w:p>
    <w:p>
      <w:pPr>
        <w:ind w:right="280" w:firstLine="636"/>
        <w:spacing w:after="0" w:line="238"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u w:val="single" w:color="auto"/>
          <w:color w:val="0000FF"/>
        </w:rPr>
        <w:t>U.S. Government Securities</w:t>
      </w:r>
      <w:r>
        <w:rPr>
          <w:rFonts w:ascii="Arial" w:cs="Arial" w:eastAsia="Arial" w:hAnsi="Arial"/>
          <w:sz w:val="19"/>
          <w:szCs w:val="19"/>
          <w:u w:val="single" w:color="auto"/>
          <w:color w:val="0000FF"/>
        </w:rPr>
        <w:t xml:space="preserve"> </w:t>
      </w:r>
      <w:r>
        <w:rPr>
          <w:rFonts w:ascii="Arial" w:cs="Arial" w:eastAsia="Arial" w:hAnsi="Arial"/>
          <w:sz w:val="19"/>
          <w:szCs w:val="19"/>
          <w:b w:val="1"/>
          <w:bCs w:val="1"/>
          <w:u w:val="single" w:color="auto"/>
          <w:color w:val="008000"/>
        </w:rPr>
        <w:t>Business Day</w:t>
      </w:r>
      <w:r>
        <w:rPr>
          <w:rFonts w:ascii="Arial" w:cs="Arial" w:eastAsia="Arial" w:hAnsi="Arial"/>
          <w:sz w:val="19"/>
          <w:szCs w:val="19"/>
          <w:u w:val="single" w:color="auto"/>
          <w:color w:val="008000"/>
        </w:rPr>
        <w:t>” means any</w:t>
      </w:r>
      <w:r>
        <w:rPr>
          <w:rFonts w:ascii="Arial" w:cs="Arial" w:eastAsia="Arial" w:hAnsi="Arial"/>
          <w:sz w:val="19"/>
          <w:szCs w:val="19"/>
          <w:u w:val="single" w:color="auto"/>
          <w:color w:val="0000FF"/>
        </w:rPr>
        <w:t xml:space="preserve">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United States</w:t>
      </w:r>
      <w:r>
        <w:rPr>
          <w:rFonts w:ascii="Arial" w:cs="Arial" w:eastAsia="Arial" w:hAnsi="Arial"/>
          <w:sz w:val="21"/>
          <w:szCs w:val="21"/>
          <w:color w:val="auto"/>
        </w:rPr>
        <w:t>” means the United States of America, including the States and the District of Columbia, but excluding its territories and possessions.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Special Resolution Regime</w:t>
      </w:r>
      <w:r>
        <w:rPr>
          <w:rFonts w:ascii="Arial" w:cs="Arial" w:eastAsia="Arial" w:hAnsi="Arial"/>
          <w:sz w:val="21"/>
          <w:szCs w:val="21"/>
          <w:color w:val="auto"/>
        </w:rPr>
        <w:t>” has the meaning set forth in Section 11.15.</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Tax Compliance Certificate</w:t>
      </w:r>
      <w:r>
        <w:rPr>
          <w:rFonts w:ascii="Arial" w:cs="Arial" w:eastAsia="Arial" w:hAnsi="Arial"/>
          <w:sz w:val="21"/>
          <w:szCs w:val="21"/>
          <w:color w:val="auto"/>
        </w:rPr>
        <w:t>” has the meaning set forth in Section 8.04(e).</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Voting Stock</w:t>
      </w:r>
      <w:r>
        <w:rPr>
          <w:rFonts w:ascii="Arial" w:cs="Arial" w:eastAsia="Arial" w:hAnsi="Arial"/>
          <w:sz w:val="21"/>
          <w:szCs w:val="21"/>
          <w:color w:val="auto"/>
        </w:rPr>
        <w:t xml:space="preserve"> ” means capital stock of a corporation of the class or classes having general voting power under ordinary circumstances to elect at least a majority of the board of directors, managers or trustees of such corporation (irrespective of whether or not at the time stock of any other class or classes shall have or might have voting power upon the occurrence of any contingency).</w:t>
      </w:r>
    </w:p>
    <w:p>
      <w:pPr>
        <w:spacing w:after="0" w:line="150"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Wholly-Owned Principal Subsidiary</w:t>
      </w:r>
      <w:r>
        <w:rPr>
          <w:rFonts w:ascii="Arial" w:cs="Arial" w:eastAsia="Arial" w:hAnsi="Arial"/>
          <w:sz w:val="20"/>
          <w:szCs w:val="20"/>
          <w:color w:val="auto"/>
        </w:rPr>
        <w:t>” means any Principal Subsidiary all of the shares of capital stock or other ownership interests of which (except directors’ qualifying shares) are at the time directly or indirectly owned by the Company.</w:t>
      </w:r>
    </w:p>
    <w:p>
      <w:pPr>
        <w:spacing w:after="0" w:line="119"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2"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SECTION 1.02</w:t>
      </w:r>
      <w:r>
        <w:rPr>
          <w:rFonts w:ascii="Arial" w:cs="Arial" w:eastAsia="Arial" w:hAnsi="Arial"/>
          <w:sz w:val="21"/>
          <w:szCs w:val="21"/>
          <w:i w:val="1"/>
          <w:iCs w:val="1"/>
          <w:color w:val="auto"/>
        </w:rPr>
        <w:t>. Accounting Terms and Determinations.</w:t>
      </w:r>
      <w:r>
        <w:rPr>
          <w:rFonts w:ascii="Arial" w:cs="Arial" w:eastAsia="Arial" w:hAnsi="Arial"/>
          <w:sz w:val="21"/>
          <w:szCs w:val="21"/>
          <w:color w:val="auto"/>
        </w:rPr>
        <w:t xml:space="preserve"> Unless otherwise specified herein, all accounting terms used herein shall be interpreted, all accounting determinations hereunder shall be made, and all financial statements required to be delivered hereunder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6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prepared in accordance with generally accepted accounting principles as in effect from time to time, applied on a basis consistent (except for changes concurred in by the Company’s independent public accountants) with the most recent audited consolidated financial statements of the Company and its Consolidated Subsidiaries delivered to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Company notifies the Administrative Agent that the Company wishes to amend any covenant in Article 5 to eliminate the effect of any change in generally accepted accounting principles on the operation of such covenant (or if the Administrative Agent notifies the Company that the Required Lenders wish to amend Article 5 for such purpose), then the Company’s compliance with such covenant shall be determined on the basis of generally accepted accounting principles in effect immediately before the relevant change in generally accepted accounting principles became effective, until either such notice is withdrawn or such covenant is amended in a manner satisfactory to the Company and the Required Lenders.</w:t>
      </w:r>
    </w:p>
    <w:p>
      <w:pPr>
        <w:spacing w:after="0" w:line="148"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SECTION 1.03</w:t>
      </w:r>
      <w:r>
        <w:rPr>
          <w:rFonts w:ascii="Arial" w:cs="Arial" w:eastAsia="Arial" w:hAnsi="Arial"/>
          <w:sz w:val="21"/>
          <w:szCs w:val="21"/>
          <w:i w:val="1"/>
          <w:iCs w:val="1"/>
          <w:color w:val="auto"/>
        </w:rPr>
        <w:t>. Types of Borrowings.</w:t>
      </w:r>
      <w:r>
        <w:rPr>
          <w:rFonts w:ascii="Arial" w:cs="Arial" w:eastAsia="Arial" w:hAnsi="Arial"/>
          <w:sz w:val="21"/>
          <w:szCs w:val="21"/>
          <w:color w:val="auto"/>
        </w:rPr>
        <w:t xml:space="preserve"> The term “</w:t>
      </w:r>
      <w:r>
        <w:rPr>
          <w:rFonts w:ascii="Arial" w:cs="Arial" w:eastAsia="Arial" w:hAnsi="Arial"/>
          <w:sz w:val="21"/>
          <w:szCs w:val="21"/>
          <w:b w:val="1"/>
          <w:bCs w:val="1"/>
          <w:color w:val="auto"/>
        </w:rPr>
        <w:t>Borrowing</w:t>
      </w:r>
      <w:r>
        <w:rPr>
          <w:rFonts w:ascii="Arial" w:cs="Arial" w:eastAsia="Arial" w:hAnsi="Arial"/>
          <w:sz w:val="21"/>
          <w:szCs w:val="21"/>
          <w:color w:val="auto"/>
        </w:rPr>
        <w:t>” denotes the aggregation of Loans of one or more Lenders to be made to a single Borrower pursuant to Article 2 on the same day, all of which Loans are of the same type (subject to Article 8) and, except in the case of Base Rate Loans, have the same initial Interest Period. Borrowings are classified for purposes of this Agreement by reference to the pricing of Loans comprising such Borrowing (</w:t>
      </w:r>
      <w:r>
        <w:rPr>
          <w:rFonts w:ascii="Arial" w:cs="Arial" w:eastAsia="Arial" w:hAnsi="Arial"/>
          <w:sz w:val="21"/>
          <w:szCs w:val="21"/>
          <w:u w:val="single" w:color="auto"/>
          <w:color w:val="auto"/>
        </w:rPr>
        <w:t>e.g.</w:t>
      </w:r>
      <w:r>
        <w:rPr>
          <w:rFonts w:ascii="Arial" w:cs="Arial" w:eastAsia="Arial" w:hAnsi="Arial"/>
          <w:sz w:val="21"/>
          <w:szCs w:val="21"/>
          <w:color w:val="auto"/>
        </w:rPr>
        <w:t>,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Borrowing” is a Borrowing comprised of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Loans).</w:t>
      </w:r>
    </w:p>
    <w:p>
      <w:pPr>
        <w:spacing w:after="0" w:line="156" w:lineRule="exact"/>
        <w:rPr>
          <w:sz w:val="20"/>
          <w:szCs w:val="20"/>
          <w:color w:val="auto"/>
        </w:rPr>
      </w:pPr>
    </w:p>
    <w:p>
      <w:pPr>
        <w:jc w:val="both"/>
        <w:ind w:firstLine="636"/>
        <w:spacing w:after="0" w:line="235"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Interest Rates;</w:t>
      </w:r>
      <w:r>
        <w:rPr>
          <w:rFonts w:ascii="Arial" w:cs="Arial" w:eastAsia="Arial" w:hAnsi="Arial"/>
          <w:sz w:val="19"/>
          <w:szCs w:val="19"/>
          <w:color w:val="auto"/>
        </w:rPr>
        <w:t xml:space="preserve"> </w:t>
      </w:r>
      <w:r>
        <w:rPr>
          <w:rFonts w:ascii="Arial" w:cs="Arial" w:eastAsia="Arial" w:hAnsi="Arial"/>
          <w:sz w:val="19"/>
          <w:szCs w:val="19"/>
          <w:i w:val="1"/>
          <w:iCs w:val="1"/>
          <w:color w:val="FF0000"/>
          <w:strike w:val="1"/>
        </w:rPr>
        <w:t>LIBOR</w:t>
      </w:r>
      <w:r>
        <w:rPr>
          <w:rFonts w:ascii="Arial" w:cs="Arial" w:eastAsia="Arial" w:hAnsi="Arial"/>
          <w:sz w:val="19"/>
          <w:szCs w:val="19"/>
          <w:i w:val="1"/>
          <w:iCs w:val="1"/>
          <w:u w:val="single" w:color="auto"/>
          <w:color w:val="0000FF"/>
        </w:rPr>
        <w:t>Term Benchmark</w:t>
      </w:r>
      <w:r>
        <w:rPr>
          <w:rFonts w:ascii="Arial" w:cs="Arial" w:eastAsia="Arial" w:hAnsi="Arial"/>
          <w:sz w:val="19"/>
          <w:szCs w:val="19"/>
          <w:color w:val="auto"/>
        </w:rPr>
        <w:t xml:space="preserve"> </w:t>
      </w:r>
      <w:r>
        <w:rPr>
          <w:rFonts w:ascii="Arial" w:cs="Arial" w:eastAsia="Arial" w:hAnsi="Arial"/>
          <w:sz w:val="19"/>
          <w:szCs w:val="19"/>
          <w:i w:val="1"/>
          <w:iCs w:val="1"/>
          <w:color w:val="auto"/>
        </w:rPr>
        <w:t>Notification</w:t>
      </w:r>
      <w:r>
        <w:rPr>
          <w:rFonts w:ascii="Arial" w:cs="Arial" w:eastAsia="Arial" w:hAnsi="Arial"/>
          <w:sz w:val="19"/>
          <w:szCs w:val="19"/>
          <w:color w:val="auto"/>
        </w:rPr>
        <w:t xml:space="preserve">. The interest rate on </w:t>
      </w:r>
      <w:r>
        <w:rPr>
          <w:rFonts w:ascii="Arial" w:cs="Arial" w:eastAsia="Arial" w:hAnsi="Arial"/>
          <w:sz w:val="19"/>
          <w:szCs w:val="19"/>
          <w:color w:val="FF0000"/>
          <w:strike w:val="1"/>
        </w:rPr>
        <w:t>Euro-Dollar Loans</w:t>
      </w:r>
      <w:r>
        <w:rPr>
          <w:rFonts w:ascii="Arial" w:cs="Arial" w:eastAsia="Arial" w:hAnsi="Arial"/>
          <w:sz w:val="19"/>
          <w:szCs w:val="19"/>
          <w:color w:val="auto"/>
        </w:rPr>
        <w:t xml:space="preserve"> </w:t>
      </w:r>
      <w:r>
        <w:rPr>
          <w:rFonts w:ascii="Arial" w:cs="Arial" w:eastAsia="Arial" w:hAnsi="Arial"/>
          <w:sz w:val="19"/>
          <w:szCs w:val="19"/>
          <w:color w:val="008000"/>
          <w:strike w:val="1"/>
        </w:rPr>
        <w:t>is determined</w:t>
      </w:r>
      <w:r>
        <w:rPr>
          <w:rFonts w:ascii="Arial" w:cs="Arial" w:eastAsia="Arial" w:hAnsi="Arial"/>
          <w:sz w:val="19"/>
          <w:szCs w:val="19"/>
          <w:color w:val="auto"/>
        </w:rPr>
        <w:t xml:space="preserve"> </w:t>
      </w:r>
      <w:r>
        <w:rPr>
          <w:rFonts w:ascii="Arial" w:cs="Arial" w:eastAsia="Arial" w:hAnsi="Arial"/>
          <w:sz w:val="19"/>
          <w:szCs w:val="19"/>
          <w:color w:val="008000"/>
          <w:strike w:val="1"/>
        </w:rPr>
        <w:t xml:space="preserve">by reference to the </w:t>
      </w:r>
      <w:r>
        <w:rPr>
          <w:rFonts w:ascii="Arial" w:cs="Arial" w:eastAsia="Arial" w:hAnsi="Arial"/>
          <w:sz w:val="19"/>
          <w:szCs w:val="19"/>
          <w:color w:val="FF0000"/>
          <w:strike w:val="1"/>
        </w:rPr>
        <w:t>Euro-Dollar Rate, which is derived from the London interbank offered rate (“LIBOR”). LIBOR is intended to</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represent the rate at which contributing banks may obtain short-term borrowings from each other in the London interbank market. On March 5, 2021, the U.K. Financial Conduct Authority (“FCA”) publicly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(b) immediately after June 30, 2023, publication of the overnight and 12-month U.S. Dollar LIBOR settings will permanently cease; (c)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and private sector industry initiatives are currently underway to identify new or alternative reference rates to be used in place of LIBOR</w:t>
      </w:r>
      <w:r>
        <w:rPr>
          <w:rFonts w:ascii="Arial" w:cs="Arial" w:eastAsia="Arial" w:hAnsi="Arial"/>
          <w:sz w:val="19"/>
          <w:szCs w:val="19"/>
          <w:u w:val="single" w:color="auto"/>
          <w:color w:val="0000FF"/>
          <w:strike w:val="1"/>
        </w:rPr>
        <w:t>a Loan denominated in dollars may be derived from an interest rate benchmark that may be discontinued or is, or may in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future become, the subject of regulatory reform</w:t>
      </w:r>
      <w:r>
        <w:rPr>
          <w:rFonts w:ascii="Arial" w:cs="Arial" w:eastAsia="Arial" w:hAnsi="Arial"/>
          <w:sz w:val="19"/>
          <w:szCs w:val="19"/>
          <w:color w:val="000000"/>
          <w:strike w:val="1"/>
        </w:rPr>
        <w:t>. Upon the occurrence of a Benchmark Transition Event,</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a Term SOFR Transition</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 xml:space="preserve">Event, an Early Opt-in Election or an Other Benchmark Rate Election, </w:t>
      </w:r>
      <w:r>
        <w:rPr>
          <w:rFonts w:ascii="Arial" w:cs="Arial" w:eastAsia="Arial" w:hAnsi="Arial"/>
          <w:sz w:val="19"/>
          <w:szCs w:val="19"/>
          <w:color w:val="000000"/>
          <w:strike w:val="1"/>
        </w:rPr>
        <w:t>Section 8.01(b)</w:t>
      </w:r>
      <w:r>
        <w:rPr>
          <w:rFonts w:ascii="Arial" w:cs="Arial" w:eastAsia="Arial" w:hAnsi="Arial"/>
          <w:sz w:val="19"/>
          <w:szCs w:val="19"/>
          <w:color w:val="FF0000"/>
          <w:strike w:val="1"/>
        </w:rPr>
        <w:t xml:space="preserve"> and (c) provide</w:t>
      </w:r>
      <w:r>
        <w:rPr>
          <w:rFonts w:ascii="Arial" w:cs="Arial" w:eastAsia="Arial" w:hAnsi="Arial"/>
          <w:sz w:val="19"/>
          <w:szCs w:val="19"/>
          <w:u w:val="single" w:color="auto"/>
          <w:color w:val="0000FF"/>
          <w:strike w:val="1"/>
        </w:rPr>
        <w:t>provides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 mechanism for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determining an alternative rate of interest. The </w:t>
      </w:r>
      <w:r>
        <w:rPr>
          <w:rFonts w:ascii="Arial" w:cs="Arial" w:eastAsia="Arial" w:hAnsi="Arial"/>
          <w:sz w:val="19"/>
          <w:szCs w:val="19"/>
          <w:color w:val="FF0000"/>
          <w:strike w:val="1"/>
        </w:rPr>
        <w:t>Administrative Agent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28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FF0000"/>
          <w:strike w:val="1"/>
        </w:rPr>
        <w:t xml:space="preserve">promptly notify the Company, pursuant to Section 8.01(e), of any change to the reference rate upon which the interest rate on Euro-Dollar Loans is based. However, the </w:t>
      </w:r>
      <w:r>
        <w:rPr>
          <w:rFonts w:ascii="Arial" w:cs="Arial" w:eastAsia="Arial" w:hAnsi="Arial"/>
          <w:sz w:val="20"/>
          <w:szCs w:val="20"/>
          <w:color w:val="000000"/>
          <w:strike w:val="1"/>
        </w:rPr>
        <w:t>Administrative Agent does not warrant or accept any responsibility for, and shall not have any</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liability with respect to, the administration, submission, performance or any other matter related to </w:t>
      </w:r>
      <w:r>
        <w:rPr>
          <w:rFonts w:ascii="Arial" w:cs="Arial" w:eastAsia="Arial" w:hAnsi="Arial"/>
          <w:sz w:val="20"/>
          <w:szCs w:val="20"/>
          <w:color w:val="FF0000"/>
          <w:strike w:val="1"/>
        </w:rPr>
        <w:t>LIBOR or other rates</w:t>
      </w:r>
      <w:r>
        <w:rPr>
          <w:rFonts w:ascii="Arial" w:cs="Arial" w:eastAsia="Arial" w:hAnsi="Arial"/>
          <w:sz w:val="20"/>
          <w:szCs w:val="20"/>
          <w:color w:val="000000"/>
          <w:strike w:val="1"/>
        </w:rPr>
        <w:t xml:space="preserve"> </w:t>
      </w:r>
      <w:r>
        <w:rPr>
          <w:rFonts w:ascii="Arial" w:cs="Arial" w:eastAsia="Arial" w:hAnsi="Arial"/>
          <w:sz w:val="20"/>
          <w:szCs w:val="20"/>
          <w:color w:val="008000"/>
          <w:strike w:val="1"/>
        </w:rPr>
        <w:t>in the</w:t>
      </w:r>
      <w:r>
        <w:rPr>
          <w:rFonts w:ascii="Arial" w:cs="Arial" w:eastAsia="Arial" w:hAnsi="Arial"/>
          <w:sz w:val="20"/>
          <w:szCs w:val="20"/>
          <w:color w:val="000000"/>
          <w:strike w:val="1"/>
        </w:rPr>
        <w:t xml:space="preserve"> </w:t>
      </w:r>
      <w:r>
        <w:rPr>
          <w:rFonts w:ascii="Arial" w:cs="Arial" w:eastAsia="Arial" w:hAnsi="Arial"/>
          <w:sz w:val="20"/>
          <w:szCs w:val="20"/>
          <w:color w:val="008000"/>
          <w:strike w:val="1"/>
        </w:rPr>
        <w:t>definition of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strike w:val="1"/>
        </w:rPr>
        <w:t>any interest rate used in this Agreement,</w:t>
      </w:r>
      <w:r>
        <w:rPr>
          <w:rFonts w:ascii="Arial" w:cs="Arial" w:eastAsia="Arial" w:hAnsi="Arial"/>
          <w:sz w:val="20"/>
          <w:szCs w:val="20"/>
          <w:color w:val="008000"/>
          <w:strike w:val="1"/>
        </w:rPr>
        <w:t xml:space="preserve"> </w:t>
      </w:r>
      <w:r>
        <w:rPr>
          <w:rFonts w:ascii="Arial" w:cs="Arial" w:eastAsia="Arial" w:hAnsi="Arial"/>
          <w:sz w:val="20"/>
          <w:szCs w:val="20"/>
          <w:color w:val="000000"/>
          <w:strike w:val="1"/>
        </w:rPr>
        <w:t>or with respect to any alternative or successor rate thereto,</w:t>
      </w:r>
      <w:r>
        <w:rPr>
          <w:rFonts w:ascii="Arial" w:cs="Arial" w:eastAsia="Arial" w:hAnsi="Arial"/>
          <w:sz w:val="20"/>
          <w:szCs w:val="20"/>
          <w:color w:val="008000"/>
          <w:strike w:val="1"/>
        </w:rPr>
        <w:t xml:space="preserve"> </w:t>
      </w:r>
      <w:r>
        <w:rPr>
          <w:rFonts w:ascii="Arial" w:cs="Arial" w:eastAsia="Arial" w:hAnsi="Arial"/>
          <w:sz w:val="20"/>
          <w:szCs w:val="20"/>
          <w:color w:val="000000"/>
          <w:strike w:val="1"/>
        </w:rPr>
        <w:t xml:space="preserve">or replacement rate thereof </w:t>
      </w:r>
      <w:r>
        <w:rPr>
          <w:rFonts w:ascii="Arial" w:cs="Arial" w:eastAsia="Arial" w:hAnsi="Arial"/>
          <w:sz w:val="20"/>
          <w:szCs w:val="20"/>
          <w:color w:val="FF0000"/>
          <w:strike w:val="1"/>
        </w:rPr>
        <w:t>(including, without limitation, (i) any such alternative, successor or replacement rate implemented</w:t>
      </w:r>
      <w:r>
        <w:rPr>
          <w:rFonts w:ascii="Arial" w:cs="Arial" w:eastAsia="Arial" w:hAnsi="Arial"/>
          <w:sz w:val="20"/>
          <w:szCs w:val="20"/>
          <w:color w:val="000000"/>
          <w:strike w:val="1"/>
        </w:rPr>
        <w:t xml:space="preserve"> </w:t>
      </w:r>
      <w:r>
        <w:rPr>
          <w:rFonts w:ascii="Arial" w:cs="Arial" w:eastAsia="Arial" w:hAnsi="Arial"/>
          <w:sz w:val="20"/>
          <w:szCs w:val="20"/>
          <w:color w:val="FF0000"/>
          <w:strike w:val="1"/>
        </w:rPr>
        <w:t xml:space="preserve">pursuant to Section 8.01(b) or (c), whether upon the occurrence </w:t>
      </w:r>
      <w:r>
        <w:rPr>
          <w:rFonts w:ascii="Arial" w:cs="Arial" w:eastAsia="Arial" w:hAnsi="Arial"/>
          <w:sz w:val="20"/>
          <w:szCs w:val="20"/>
          <w:color w:val="008000"/>
          <w:strike w:val="1"/>
        </w:rPr>
        <w:t>of a Benchmark Transition Event,</w:t>
      </w:r>
      <w:r>
        <w:rPr>
          <w:rFonts w:ascii="Arial" w:cs="Arial" w:eastAsia="Arial" w:hAnsi="Arial"/>
          <w:sz w:val="20"/>
          <w:szCs w:val="20"/>
          <w:color w:val="FF0000"/>
          <w:strike w:val="1"/>
        </w:rPr>
        <w:t xml:space="preserve"> a Term SOFR Transition Event, an Early Opt-in Election or an Other Benchmark Rate Election, and (ii) the implementation of any Benchmark Replacement Conforming Changes pursuant to Section 8.01(d))</w:t>
      </w:r>
      <w:r>
        <w:rPr>
          <w:rFonts w:ascii="Arial" w:cs="Arial" w:eastAsia="Arial" w:hAnsi="Arial"/>
          <w:sz w:val="20"/>
          <w:szCs w:val="20"/>
          <w:color w:val="000000"/>
          <w:strike w:val="1"/>
        </w:rPr>
        <w:t>, including without limitation, whether the composition or characteristics of any</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such alternative, successor or replacement reference rate will be similar to, or produce the same value or economic equivalence of, the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strike w:val="1"/>
        </w:rPr>
        <w:t>existing interest rate being replaced</w:t>
      </w:r>
      <w:r>
        <w:rPr>
          <w:rFonts w:ascii="Arial" w:cs="Arial" w:eastAsia="Arial" w:hAnsi="Arial"/>
          <w:sz w:val="20"/>
          <w:szCs w:val="20"/>
          <w:color w:val="000000"/>
          <w:strike w:val="1"/>
        </w:rPr>
        <w:t xml:space="preserve"> or have the same volume or liquidity as did </w:t>
      </w:r>
      <w:r>
        <w:rPr>
          <w:rFonts w:ascii="Arial" w:cs="Arial" w:eastAsia="Arial" w:hAnsi="Arial"/>
          <w:sz w:val="20"/>
          <w:szCs w:val="20"/>
          <w:color w:val="FF0000"/>
          <w:strike w:val="1"/>
        </w:rPr>
        <w:t>the London interbank offered</w:t>
      </w:r>
      <w:r>
        <w:rPr>
          <w:rFonts w:ascii="Arial" w:cs="Arial" w:eastAsia="Arial" w:hAnsi="Arial"/>
          <w:sz w:val="20"/>
          <w:szCs w:val="20"/>
          <w:color w:val="000000"/>
          <w:strike w:val="1"/>
        </w:rPr>
        <w:t xml:space="preserve"> </w:t>
      </w:r>
      <w:r>
        <w:rPr>
          <w:rFonts w:ascii="Arial" w:cs="Arial" w:eastAsia="Arial" w:hAnsi="Arial"/>
          <w:sz w:val="20"/>
          <w:szCs w:val="20"/>
          <w:color w:val="FF0000"/>
          <w:strike w:val="1"/>
        </w:rPr>
        <w:t>rate (or the euro interbank offered rate, as applicable)</w:t>
      </w:r>
      <w:r>
        <w:rPr>
          <w:rFonts w:ascii="Arial" w:cs="Arial" w:eastAsia="Arial" w:hAnsi="Arial"/>
          <w:sz w:val="20"/>
          <w:szCs w:val="20"/>
          <w:u w:val="single" w:color="auto"/>
          <w:color w:val="0000FF"/>
          <w:strike w:val="1"/>
        </w:rPr>
        <w:t>any existing interest rate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prior to its discontinuance or unavailability. The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Administrative Agent and its affiliates and/or other related entities may engage in transactions that affect the calculation of </w:t>
      </w:r>
      <w:r>
        <w:rPr>
          <w:rFonts w:ascii="Arial" w:cs="Arial" w:eastAsia="Arial" w:hAnsi="Arial"/>
          <w:sz w:val="20"/>
          <w:szCs w:val="20"/>
          <w:u w:val="single" w:color="auto"/>
          <w:color w:val="0000FF"/>
          <w:strike w:val="1"/>
        </w:rPr>
        <w:t>any</w:t>
      </w:r>
      <w:r>
        <w:rPr>
          <w:rFonts w:ascii="Arial" w:cs="Arial" w:eastAsia="Arial" w:hAnsi="Arial"/>
          <w:sz w:val="20"/>
          <w:szCs w:val="20"/>
          <w:color w:val="000000"/>
          <w:strike w:val="1"/>
        </w:rPr>
        <w:t xml:space="preserve"> </w:t>
      </w:r>
      <w:r>
        <w:rPr>
          <w:rFonts w:ascii="Arial" w:cs="Arial" w:eastAsia="Arial" w:hAnsi="Arial"/>
          <w:sz w:val="20"/>
          <w:szCs w:val="20"/>
          <w:u w:val="single" w:color="auto"/>
          <w:color w:val="0000FF"/>
          <w:strike w:val="1"/>
        </w:rPr>
        <w:t>interest rate used in this Agreement or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any alternative, successor or alternative rate (including any Benchmark Replacement) and/or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 xml:space="preserve">any relevant adjustments thereto, in each case, in a manner adverse to the applicable Borrower. The Administrative Agent may select information sources or services in its reasonable discretion to ascertain any </w:t>
      </w:r>
      <w:r>
        <w:rPr>
          <w:rFonts w:ascii="Arial" w:cs="Arial" w:eastAsia="Arial" w:hAnsi="Arial"/>
          <w:sz w:val="20"/>
          <w:szCs w:val="20"/>
          <w:color w:val="FF0000"/>
          <w:strike w:val="1"/>
        </w:rPr>
        <w:t>benchmark</w:t>
      </w:r>
      <w:r>
        <w:rPr>
          <w:rFonts w:ascii="Arial" w:cs="Arial" w:eastAsia="Arial" w:hAnsi="Arial"/>
          <w:sz w:val="20"/>
          <w:szCs w:val="20"/>
          <w:u w:val="single" w:color="auto"/>
          <w:color w:val="0000FF"/>
          <w:strike w:val="1"/>
        </w:rPr>
        <w:t>interest</w:t>
      </w:r>
      <w:r>
        <w:rPr>
          <w:rFonts w:ascii="Arial" w:cs="Arial" w:eastAsia="Arial" w:hAnsi="Arial"/>
          <w:sz w:val="20"/>
          <w:szCs w:val="20"/>
          <w:color w:val="000000"/>
          <w:strike w:val="1"/>
        </w:rPr>
        <w:t xml:space="preserve"> rate</w:t>
      </w:r>
      <w:r>
        <w:rPr>
          <w:rFonts w:ascii="Arial" w:cs="Arial" w:eastAsia="Arial" w:hAnsi="Arial"/>
          <w:sz w:val="20"/>
          <w:szCs w:val="20"/>
          <w:color w:val="FF0000"/>
          <w:strike w:val="1"/>
        </w:rPr>
        <w:t>, or</w:t>
      </w:r>
      <w:r>
        <w:rPr>
          <w:rFonts w:ascii="Arial" w:cs="Arial" w:eastAsia="Arial" w:hAnsi="Arial"/>
          <w:sz w:val="20"/>
          <w:szCs w:val="20"/>
          <w:color w:val="000000"/>
          <w:strike w:val="1"/>
        </w:rPr>
        <w:t xml:space="preserve"> </w:t>
      </w:r>
      <w:r>
        <w:rPr>
          <w:rFonts w:ascii="Arial" w:cs="Arial" w:eastAsia="Arial" w:hAnsi="Arial"/>
          <w:sz w:val="20"/>
          <w:szCs w:val="20"/>
          <w:u w:val="single" w:color="auto"/>
          <w:color w:val="0000FF"/>
          <w:strike w:val="1"/>
        </w:rPr>
        <w:t>used in this Agreement,</w:t>
      </w:r>
      <w:r>
        <w:rPr>
          <w:rFonts w:ascii="Arial" w:cs="Arial" w:eastAsia="Arial" w:hAnsi="Arial"/>
          <w:sz w:val="20"/>
          <w:szCs w:val="20"/>
          <w:color w:val="000000"/>
          <w:strike w:val="1"/>
        </w:rPr>
        <w:t xml:space="preserve"> any component thereof, or rates referenced in the definition thereof, in each case pursuant to the terms of this Agreement, and shall have no liability to the Company,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9"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i w:val="1"/>
          <w:iCs w:val="1"/>
          <w:color w:val="auto"/>
        </w:rPr>
        <w:t>Divisions</w:t>
      </w:r>
      <w:r>
        <w:rPr>
          <w:rFonts w:ascii="Arial" w:cs="Arial" w:eastAsia="Arial" w:hAnsi="Arial"/>
          <w:sz w:val="20"/>
          <w:szCs w:val="20"/>
          <w:color w:val="auto"/>
        </w:rPr>
        <w:t>. For all purposes under the Loan Documents, in connection with any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Letter of Credit Amounts</w:t>
      </w:r>
      <w:r>
        <w:rPr>
          <w:rFonts w:ascii="Arial" w:cs="Arial" w:eastAsia="Arial" w:hAnsi="Arial"/>
          <w:sz w:val="19"/>
          <w:szCs w:val="19"/>
          <w:color w:val="auto"/>
        </w:rPr>
        <w:t xml:space="preserve">. Unless otherwise specified herein, the amount of a Letter of Credit at any time shall be deemed to be the amount of such Letter of Credit available to be drawn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24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2</w:t>
      </w:r>
    </w:p>
    <w:p>
      <w:pPr>
        <w:ind w:left="5100"/>
        <w:spacing w:after="0"/>
        <w:rPr>
          <w:sz w:val="20"/>
          <w:szCs w:val="20"/>
          <w:color w:val="auto"/>
        </w:rPr>
      </w:pPr>
      <w:r>
        <w:rPr>
          <w:rFonts w:ascii="Arial" w:cs="Arial" w:eastAsia="Arial" w:hAnsi="Arial"/>
          <w:sz w:val="21"/>
          <w:szCs w:val="21"/>
          <w:color w:val="auto"/>
        </w:rPr>
        <w:t>The Facility</w:t>
      </w:r>
    </w:p>
    <w:p>
      <w:pPr>
        <w:spacing w:after="0" w:line="165"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Commitments to Lend.</w:t>
      </w:r>
      <w:r>
        <w:rPr>
          <w:rFonts w:ascii="Arial" w:cs="Arial" w:eastAsia="Arial" w:hAnsi="Arial"/>
          <w:sz w:val="21"/>
          <w:szCs w:val="21"/>
          <w:color w:val="auto"/>
        </w:rPr>
        <w:t xml:space="preserve"> (i) During the Revolving Credit Period, each Lender severally agrees, on the terms and conditions set forth in this Agreement, to make loans to any Borrower pursuant to this Section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immediately after each such loan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29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63" w:lineRule="exact"/>
        <w:rPr>
          <w:sz w:val="20"/>
          <w:szCs w:val="20"/>
          <w:color w:val="auto"/>
        </w:rPr>
      </w:pPr>
    </w:p>
    <w:p>
      <w:pPr>
        <w:ind w:left="1700" w:hanging="422"/>
        <w:spacing w:after="0"/>
        <w:tabs>
          <w:tab w:leader="none" w:pos="17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such Lender’s Outstanding Amount shall not exceed its Commitment; and</w:t>
      </w:r>
    </w:p>
    <w:p>
      <w:pPr>
        <w:spacing w:after="0" w:line="182" w:lineRule="exact"/>
        <w:rPr>
          <w:rFonts w:ascii="Arial" w:cs="Arial" w:eastAsia="Arial" w:hAnsi="Arial"/>
          <w:sz w:val="21"/>
          <w:szCs w:val="21"/>
          <w:color w:val="auto"/>
        </w:rPr>
      </w:pPr>
    </w:p>
    <w:p>
      <w:pPr>
        <w:ind w:left="1740" w:hanging="462"/>
        <w:spacing w:after="0"/>
        <w:tabs>
          <w:tab w:leader="none" w:pos="17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Total Outstanding Amount shall not exceed the aggregate amount of the Commitments.</w:t>
      </w:r>
    </w:p>
    <w:p>
      <w:pPr>
        <w:spacing w:after="0" w:line="183"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 xml:space="preserve">Within the foregoing limits, a Borrower may borrow under this Section 2.01(a), prepay Loans to the extent permitted by Section 2.11 and reborrow at any time during the Revolving Credit Period under this Section 2.01. Each Borrowing under this Section shall be in an aggregate principal amount of $25,000,000 or any larger multiple of $1,000,000 (except that (i) any such Borrowing may be in the aggregate amount at the time available under this Section and (ii) any Borrowing pursuant to Section 2.18(c)(ii) may be in the amount of the related Reimbursement Obligation) and shall be made from the several Lenders ratably in proportion to their respective Commitments. </w:t>
      </w:r>
      <w:r>
        <w:rPr>
          <w:rFonts w:ascii="Arial" w:cs="Arial" w:eastAsia="Arial" w:hAnsi="Arial"/>
          <w:sz w:val="20"/>
          <w:szCs w:val="20"/>
          <w:u w:val="single" w:color="auto"/>
          <w:color w:val="0000FF"/>
        </w:rPr>
        <w:t>Subject to Section 8.01, each Borrowing shall be comprised entirely of Base Rate Loans or 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Benchmark Loans, as the Borrower may request in accordance herewith.</w:t>
      </w:r>
    </w:p>
    <w:p>
      <w:pPr>
        <w:spacing w:after="0" w:line="153" w:lineRule="exact"/>
        <w:rPr>
          <w:sz w:val="20"/>
          <w:szCs w:val="20"/>
          <w:color w:val="auto"/>
        </w:rPr>
      </w:pPr>
    </w:p>
    <w:p>
      <w:pPr>
        <w:jc w:val="both"/>
        <w:ind w:firstLine="642"/>
        <w:spacing w:after="0" w:line="224" w:lineRule="auto"/>
        <w:tabs>
          <w:tab w:leader="none" w:pos="1112"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Following the first anniversary of the Effective Date, the Termination Date may be extended on up to two occasions in the manner set forth in this subsection (b) for a period of one year from the Termination Date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 Termination Date shall not be extended more than once in any twelve-month period and (y) in no event shall the Termination Date be later than September 27, 2028. If the Company wishes to request an extension of the Termination Date, the Company shall give notice to that effect to the Administrative Agent, whereupon the Administrative Agent shall promptly notify each of the Lenders of such request. Each Lender will use its best efforts to respond to such request, whether affirmatively or negatively, as it may elect in its sole discretion, within 30 days of such notice to the Administrative Agent. Any Lender not responding to such request within such time period shall be deemed to have responded negatively to such request. The Company may request the Lenders that do not elect to extend the Termination Date to assign their Commitments in their entirety to one or more Assignees pursuant to Section 11.06 which Assignees will agree to extend the Termination Date. If Lenders having more than 50% of the aggregate amount of the Commitments (including such Assignees and excluding their respective transferor Lenders) respond affirmatively, then, subject to receipt by the Administrative Agent of counterparts of an Extension Agreement in substantially the form of Exhibit F hereto duly completed and signed by the Company, the Administrative Agent and such Lenders, the Termination Date shall be extended to the first anniversary of the Termination Date then in effect with respect to such Lenders (but not with respect to Lenders not so responding affirmatively). Any extension of the Termination Date pursuant to this subsection (b) shall be subject to satisfaction of the conditions set forth in Section 3.02(b) and Section 3.02(c), and any request for an extension by the Company hereunder shall constitute a representation and warranty that such conditions are satisfied at the time of such extension and after giving effect thereto.</w:t>
      </w:r>
    </w:p>
    <w:p>
      <w:pPr>
        <w:spacing w:after="0" w:line="164"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Notice of Borrowing.</w:t>
      </w:r>
      <w:r>
        <w:rPr>
          <w:rFonts w:ascii="Arial" w:cs="Arial" w:eastAsia="Arial" w:hAnsi="Arial"/>
          <w:sz w:val="20"/>
          <w:szCs w:val="20"/>
          <w:color w:val="auto"/>
        </w:rPr>
        <w:t xml:space="preserve"> The relevant Borrower shall give the Administrative Agent written notice signed by a Responsible Officer of such Borrower (a “</w:t>
      </w:r>
      <w:r>
        <w:rPr>
          <w:rFonts w:ascii="Arial" w:cs="Arial" w:eastAsia="Arial" w:hAnsi="Arial"/>
          <w:sz w:val="20"/>
          <w:szCs w:val="20"/>
          <w:b w:val="1"/>
          <w:bCs w:val="1"/>
          <w:color w:val="auto"/>
        </w:rPr>
        <w:t>Notice of Borrowing</w:t>
      </w:r>
      <w:r>
        <w:rPr>
          <w:rFonts w:ascii="Arial" w:cs="Arial" w:eastAsia="Arial" w:hAnsi="Arial"/>
          <w:sz w:val="20"/>
          <w:szCs w:val="20"/>
          <w:color w:val="auto"/>
        </w:rPr>
        <w:t xml:space="preserve">”) not later than 10:00 A.M. (New York City time) on (x) the date of each Base Rate Borrowing </w:t>
      </w:r>
      <w:r>
        <w:rPr>
          <w:rFonts w:ascii="Arial" w:cs="Arial" w:eastAsia="Arial" w:hAnsi="Arial"/>
          <w:sz w:val="20"/>
          <w:szCs w:val="20"/>
          <w:color w:val="FF0000"/>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(y) the third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U.S. Government Securities</w:t>
      </w:r>
      <w:r>
        <w:rPr>
          <w:rFonts w:ascii="Arial" w:cs="Arial" w:eastAsia="Arial" w:hAnsi="Arial"/>
          <w:sz w:val="20"/>
          <w:szCs w:val="20"/>
          <w:color w:val="auto"/>
        </w:rPr>
        <w:t xml:space="preserve"> Business Day before </w:t>
      </w:r>
      <w:r>
        <w:rPr>
          <w:rFonts w:ascii="Arial" w:cs="Arial" w:eastAsia="Arial" w:hAnsi="Arial"/>
          <w:sz w:val="20"/>
          <w:szCs w:val="20"/>
          <w:u w:val="single" w:color="auto"/>
          <w:color w:val="0000FF"/>
        </w:rPr>
        <w:t>the date of</w:t>
      </w:r>
      <w:r>
        <w:rPr>
          <w:rFonts w:ascii="Arial" w:cs="Arial" w:eastAsia="Arial" w:hAnsi="Arial"/>
          <w:sz w:val="20"/>
          <w:szCs w:val="20"/>
          <w:color w:val="auto"/>
        </w:rPr>
        <w:t xml:space="preserve"> each </w:t>
      </w:r>
      <w:r>
        <w:rPr>
          <w:rFonts w:ascii="Arial" w:cs="Arial" w:eastAsia="Arial" w:hAnsi="Arial"/>
          <w:sz w:val="20"/>
          <w:szCs w:val="20"/>
          <w:color w:val="FF0000"/>
          <w:strike w:val="1"/>
        </w:rPr>
        <w:t>Euro-Dollar Borrowing, specifying:</w:t>
      </w:r>
      <w:r>
        <w:rPr>
          <w:rFonts w:ascii="Arial" w:cs="Arial" w:eastAsia="Arial" w:hAnsi="Arial"/>
          <w:sz w:val="20"/>
          <w:szCs w:val="20"/>
          <w:u w:val="single" w:color="auto"/>
          <w:color w:val="0000FF"/>
          <w:strike w:val="1"/>
        </w:rPr>
        <w:t>Term Benchmark Borrowing and (z) (solely to the extent applicable pursuant to Section 8.01) the fifth</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U.S. Government Securities Business Day before the date of each RFR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-349885</wp:posOffset>
            </wp:positionV>
            <wp:extent cx="2387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38760" cy="8255"/>
                    </a:xfrm>
                    <a:prstGeom prst="rect">
                      <a:avLst/>
                    </a:prstGeom>
                    <a:noFill/>
                  </pic:spPr>
                </pic:pic>
              </a:graphicData>
            </a:graphic>
          </wp:anchor>
        </w:drawing>
      </w:r>
    </w:p>
    <w:p>
      <w:pPr>
        <w:spacing w:after="0" w:line="136" w:lineRule="exact"/>
        <w:rPr>
          <w:sz w:val="20"/>
          <w:szCs w:val="20"/>
          <w:color w:val="auto"/>
        </w:rPr>
      </w:pPr>
    </w:p>
    <w:p>
      <w:pPr>
        <w:ind w:firstLine="642"/>
        <w:spacing w:after="0" w:line="239" w:lineRule="auto"/>
        <w:tabs>
          <w:tab w:leader="none" w:pos="1110"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the date of such Borrowing, which shall be a </w:t>
      </w:r>
      <w:r>
        <w:rPr>
          <w:rFonts w:ascii="Arial" w:cs="Arial" w:eastAsia="Arial" w:hAnsi="Arial"/>
          <w:sz w:val="21"/>
          <w:szCs w:val="21"/>
          <w:color w:val="FF0000"/>
          <w:strike w:val="1"/>
        </w:rPr>
        <w:t>Domestic</w:t>
      </w:r>
      <w:r>
        <w:rPr>
          <w:rFonts w:ascii="Arial" w:cs="Arial" w:eastAsia="Arial" w:hAnsi="Arial"/>
          <w:sz w:val="21"/>
          <w:szCs w:val="21"/>
          <w:color w:val="auto"/>
        </w:rPr>
        <w:t xml:space="preserve"> Business Day </w:t>
      </w:r>
      <w:r>
        <w:rPr>
          <w:rFonts w:ascii="Arial" w:cs="Arial" w:eastAsia="Arial" w:hAnsi="Arial"/>
          <w:sz w:val="21"/>
          <w:szCs w:val="21"/>
          <w:color w:val="FF0000"/>
        </w:rPr>
        <w:t>in the case of</w:t>
      </w:r>
      <w:r>
        <w:rPr>
          <w:rFonts w:ascii="Arial" w:cs="Arial" w:eastAsia="Arial" w:hAnsi="Arial"/>
          <w:sz w:val="21"/>
          <w:szCs w:val="21"/>
          <w:color w:val="auto"/>
        </w:rPr>
        <w:t xml:space="preserve"> </w:t>
      </w:r>
      <w:r>
        <w:rPr>
          <w:rFonts w:ascii="Arial" w:cs="Arial" w:eastAsia="Arial" w:hAnsi="Arial"/>
          <w:sz w:val="21"/>
          <w:szCs w:val="21"/>
          <w:color w:val="008000"/>
          <w:strike w:val="1"/>
        </w:rPr>
        <w:t>a Base Rate Borrowing</w:t>
      </w:r>
      <w:r>
        <w:rPr>
          <w:rFonts w:ascii="Arial" w:cs="Arial" w:eastAsia="Arial" w:hAnsi="Arial"/>
          <w:sz w:val="21"/>
          <w:szCs w:val="21"/>
          <w:color w:val="auto"/>
        </w:rPr>
        <w:t xml:space="preserve"> </w:t>
      </w:r>
      <w:r>
        <w:rPr>
          <w:rFonts w:ascii="Arial" w:cs="Arial" w:eastAsia="Arial" w:hAnsi="Arial"/>
          <w:sz w:val="21"/>
          <w:szCs w:val="21"/>
          <w:color w:val="FF0000"/>
          <w:strike w:val="1"/>
        </w:rPr>
        <w:t>or a Euro-Dollar Business Day in the case of a Euro-Dollar Borrowing</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4479290</wp:posOffset>
            </wp:positionH>
            <wp:positionV relativeFrom="paragraph">
              <wp:posOffset>-215265</wp:posOffset>
            </wp:positionV>
            <wp:extent cx="8026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30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63" w:lineRule="exact"/>
        <w:rPr>
          <w:sz w:val="20"/>
          <w:szCs w:val="20"/>
          <w:color w:val="auto"/>
        </w:rPr>
      </w:pPr>
    </w:p>
    <w:p>
      <w:pPr>
        <w:ind w:left="1100" w:hanging="458"/>
        <w:spacing w:after="0"/>
        <w:tabs>
          <w:tab w:leader="none" w:pos="110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aggregate amount of such Borrowing;</w:t>
      </w:r>
    </w:p>
    <w:p>
      <w:pPr>
        <w:spacing w:after="0" w:line="182" w:lineRule="exact"/>
        <w:rPr>
          <w:rFonts w:ascii="Arial" w:cs="Arial" w:eastAsia="Arial" w:hAnsi="Arial"/>
          <w:sz w:val="21"/>
          <w:szCs w:val="21"/>
          <w:color w:val="auto"/>
        </w:rPr>
      </w:pPr>
    </w:p>
    <w:p>
      <w:pPr>
        <w:ind w:firstLine="642"/>
        <w:spacing w:after="0" w:line="239" w:lineRule="auto"/>
        <w:tabs>
          <w:tab w:leader="none" w:pos="1233"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whether the Loans comprising such Borrowing are to bear interest initially at the Base Rate or the </w:t>
      </w:r>
      <w:r>
        <w:rPr>
          <w:rFonts w:ascii="Arial" w:cs="Arial" w:eastAsia="Arial" w:hAnsi="Arial"/>
          <w:sz w:val="21"/>
          <w:szCs w:val="21"/>
          <w:color w:val="FF0000"/>
          <w:strike w:val="1"/>
        </w:rPr>
        <w:t>Euro-Dollar</w:t>
      </w:r>
      <w:r>
        <w:rPr>
          <w:rFonts w:ascii="Arial" w:cs="Arial" w:eastAsia="Arial" w:hAnsi="Arial"/>
          <w:sz w:val="21"/>
          <w:szCs w:val="21"/>
          <w:color w:val="auto"/>
        </w:rPr>
        <w:t xml:space="preserve"> </w:t>
      </w:r>
      <w:r>
        <w:rPr>
          <w:rFonts w:ascii="Arial" w:cs="Arial" w:eastAsia="Arial" w:hAnsi="Arial"/>
          <w:sz w:val="21"/>
          <w:szCs w:val="21"/>
          <w:color w:val="FF0000"/>
          <w:strike w:val="1"/>
        </w:rPr>
        <w:t>Rate</w:t>
      </w:r>
      <w:r>
        <w:rPr>
          <w:rFonts w:ascii="Arial" w:cs="Arial" w:eastAsia="Arial" w:hAnsi="Arial"/>
          <w:sz w:val="21"/>
          <w:szCs w:val="21"/>
          <w:u w:val="single" w:color="auto"/>
          <w:color w:val="0000FF"/>
        </w:rPr>
        <w:t>Term Benchmark (or, solely to the extent applicable pursuant to Section 8.01, Daily Simple SOFR)</w:t>
      </w:r>
      <w:r>
        <w:rPr>
          <w:rFonts w:ascii="Arial" w:cs="Arial" w:eastAsia="Arial" w:hAnsi="Arial"/>
          <w:sz w:val="21"/>
          <w:szCs w:val="21"/>
          <w:color w:val="000000"/>
        </w:rPr>
        <w:t>; and</w:t>
      </w:r>
    </w:p>
    <w:p>
      <w:pPr>
        <w:spacing w:after="0" w:line="155" w:lineRule="exact"/>
        <w:rPr>
          <w:rFonts w:ascii="Arial" w:cs="Arial" w:eastAsia="Arial" w:hAnsi="Arial"/>
          <w:sz w:val="21"/>
          <w:szCs w:val="21"/>
          <w:color w:val="auto"/>
        </w:rPr>
      </w:pPr>
    </w:p>
    <w:p>
      <w:pPr>
        <w:ind w:firstLine="642"/>
        <w:spacing w:after="0" w:line="239" w:lineRule="auto"/>
        <w:tabs>
          <w:tab w:leader="none" w:pos="1139"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in the case of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Borrowing, the duration of the initial Interest Period applicable thereto, subject to the provisions of the definition of Interest Period.</w:t>
      </w:r>
    </w:p>
    <w:p>
      <w:pPr>
        <w:spacing w:after="0" w:line="155"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Notice to Lenders; Fundings of Loans</w:t>
      </w:r>
      <w:r>
        <w:rPr>
          <w:rFonts w:ascii="Arial" w:cs="Arial" w:eastAsia="Arial" w:hAnsi="Arial"/>
          <w:sz w:val="21"/>
          <w:szCs w:val="21"/>
          <w:color w:val="auto"/>
        </w:rPr>
        <w:t>. (a) Upon receipt of a Notice of Borrowing, the Administrative Agent shall promptly notify each Lender of the contents thereof and of such Lender’s share of such Borrowing and such Notice of Borrowing shall not thereafter be revocable by the relevant Borrower.</w:t>
      </w:r>
    </w:p>
    <w:p>
      <w:pPr>
        <w:spacing w:after="0" w:line="154" w:lineRule="exact"/>
        <w:rPr>
          <w:sz w:val="20"/>
          <w:szCs w:val="20"/>
          <w:color w:val="auto"/>
        </w:rPr>
      </w:pPr>
    </w:p>
    <w:p>
      <w:pPr>
        <w:jc w:val="both"/>
        <w:ind w:firstLine="642"/>
        <w:spacing w:after="0" w:line="222" w:lineRule="auto"/>
        <w:tabs>
          <w:tab w:leader="none" w:pos="11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Not later than 3:00 P.M. (New York City time) on the date of each Borrowing, each Lender shall make available its share of such Borrowing, in federal or other funds immediately available in New York City, to the Administrative Agent at its address referred to in Section 11.01. Unless the Administrative Agent determines that any applicable condition specified in Article 3 has not been satisfied, the Administrative Agent will make the funds so received from the Lenders available to the relevant Borrower at the Administrative Agent’s aforesaid address.</w:t>
      </w:r>
    </w:p>
    <w:p>
      <w:pPr>
        <w:spacing w:after="0" w:line="155" w:lineRule="exact"/>
        <w:rPr>
          <w:rFonts w:ascii="Arial" w:cs="Arial" w:eastAsia="Arial" w:hAnsi="Arial"/>
          <w:sz w:val="21"/>
          <w:szCs w:val="21"/>
          <w:color w:val="auto"/>
        </w:rPr>
      </w:pPr>
    </w:p>
    <w:p>
      <w:pPr>
        <w:jc w:val="both"/>
        <w:ind w:firstLine="642"/>
        <w:spacing w:after="0" w:line="238" w:lineRule="auto"/>
        <w:tabs>
          <w:tab w:leader="none" w:pos="1109"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date of any Borrowing (or prior to 3:00 P.M. (New York City time) on the date of any Base Rate Borrowing) that such Lender will not make available to the Administrative Agent such Lender’s share of such Borrowing, the Administrative Agent may assume that such Lender has made such share available to the Administrative Agent on the date of such Borrowing in accordance with subsection (b) of this Section and the Administrative Agent may, in reliance upon such assumption, make available to the Borrower on such date a corresponding amount. If and to the extent that such Lender shall not have so made such share available to the Administrative Agent, such Lender and the relevant Borrower severally agree to repay to the Administrative Agent forthwith on demand such corresponding amount together with interest thereon, for each day from the date such amount is made available to such Borrower until the date such amount is repaid to the Administrative Agent, at </w:t>
      </w:r>
      <w:r>
        <w:rPr>
          <w:rFonts w:ascii="Arial" w:cs="Arial" w:eastAsia="Arial" w:hAnsi="Arial"/>
          <w:sz w:val="19"/>
          <w:szCs w:val="19"/>
          <w:color w:val="auto"/>
          <w:highlight w:val="darkGray"/>
        </w:rPr>
        <w:t>(1)</w:t>
      </w:r>
      <w:r>
        <w:rPr>
          <w:rFonts w:ascii="Arial" w:cs="Arial" w:eastAsia="Arial" w:hAnsi="Arial"/>
          <w:sz w:val="19"/>
          <w:szCs w:val="19"/>
          <w:color w:val="auto"/>
        </w:rPr>
        <w:t xml:space="preserve"> in the case of such Borrower, a rate per annum equal to the higher of the Federal Funds Rate and the interest rate applicable thereto pursuant to Section 2.06 and </w:t>
      </w:r>
      <w:r>
        <w:rPr>
          <w:rFonts w:ascii="Arial" w:cs="Arial" w:eastAsia="Arial" w:hAnsi="Arial"/>
          <w:sz w:val="19"/>
          <w:szCs w:val="19"/>
          <w:color w:val="auto"/>
          <w:highlight w:val="darkGray"/>
        </w:rPr>
        <w:t>(2)</w:t>
      </w:r>
      <w:r>
        <w:rPr>
          <w:rFonts w:ascii="Arial" w:cs="Arial" w:eastAsia="Arial" w:hAnsi="Arial"/>
          <w:sz w:val="19"/>
          <w:szCs w:val="19"/>
          <w:color w:val="auto"/>
        </w:rPr>
        <w:t xml:space="preserve"> in the case of such Lender, the Federal Funds Rate. If such Lender shall repay to the Administrative Agent such corresponding amount, such amount so repaid shall constitute such Lender’s Loan included in such Borrowing for purposes of this Agreement.</w:t>
      </w:r>
    </w:p>
    <w:p>
      <w:pPr>
        <w:spacing w:after="0" w:line="156" w:lineRule="exact"/>
        <w:rPr>
          <w:rFonts w:ascii="Arial" w:cs="Arial" w:eastAsia="Arial" w:hAnsi="Arial"/>
          <w:sz w:val="19"/>
          <w:szCs w:val="19"/>
          <w:color w:val="auto"/>
        </w:rPr>
      </w:pPr>
    </w:p>
    <w:p>
      <w:pPr>
        <w:jc w:val="both"/>
        <w:ind w:firstLine="642"/>
        <w:spacing w:after="0" w:line="225" w:lineRule="auto"/>
        <w:tabs>
          <w:tab w:leader="none" w:pos="1137"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Each Lender may, at its option, make any Loan available to any Eligible Subsidiary which is not organized under the laws of the United States or any political subdivision thereof by causing any foreign or domestic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such Eligible Subsidiary to repay such Loan in accordance with the terms of this Agreement.</w:t>
      </w:r>
    </w:p>
    <w:p>
      <w:pPr>
        <w:spacing w:after="0" w:line="14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i w:val="1"/>
          <w:iCs w:val="1"/>
          <w:color w:val="auto"/>
        </w:rPr>
        <w:t>Registry; Notes</w:t>
      </w:r>
      <w:r>
        <w:rPr>
          <w:rFonts w:ascii="Arial" w:cs="Arial" w:eastAsia="Arial" w:hAnsi="Arial"/>
          <w:sz w:val="21"/>
          <w:szCs w:val="21"/>
          <w:color w:val="auto"/>
        </w:rPr>
        <w:t xml:space="preserve"> . (a) The Administrative Agent shall maintain a register (the “</w:t>
      </w:r>
      <w:r>
        <w:rPr>
          <w:rFonts w:ascii="Arial" w:cs="Arial" w:eastAsia="Arial" w:hAnsi="Arial"/>
          <w:sz w:val="21"/>
          <w:szCs w:val="21"/>
          <w:b w:val="1"/>
          <w:bCs w:val="1"/>
          <w:color w:val="auto"/>
        </w:rPr>
        <w:t>Register</w:t>
      </w:r>
      <w:r>
        <w:rPr>
          <w:rFonts w:ascii="Arial" w:cs="Arial" w:eastAsia="Arial" w:hAnsi="Arial"/>
          <w:sz w:val="21"/>
          <w:szCs w:val="21"/>
          <w:color w:val="auto"/>
        </w:rPr>
        <w:t>”) in which it will record the Commitment of each Lender, each Loan made by each Lender and each repayment of any Loan. Any such recordation by the Administrative Agent in the Register shall be conclusive, absent manifest error. Each Lender shall record in its internal records the foregoing information as to its own Commitment and Loans.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31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make any such recordation, or any error in such recordation, shall not affect any Borrower’s obligations hereunder in respect of the Loans.</w:t>
      </w:r>
    </w:p>
    <w:p>
      <w:pPr>
        <w:spacing w:after="0" w:line="155" w:lineRule="exact"/>
        <w:rPr>
          <w:sz w:val="20"/>
          <w:szCs w:val="20"/>
          <w:color w:val="auto"/>
        </w:rPr>
      </w:pPr>
    </w:p>
    <w:p>
      <w:pPr>
        <w:jc w:val="both"/>
        <w:ind w:firstLine="642"/>
        <w:spacing w:after="0" w:line="219" w:lineRule="auto"/>
        <w:tabs>
          <w:tab w:leader="none" w:pos="1104" w:val="left"/>
        </w:tabs>
        <w:numPr>
          <w:ilvl w:val="0"/>
          <w:numId w:val="57"/>
        </w:numPr>
        <w:rPr>
          <w:rFonts w:ascii="Arial" w:cs="Arial" w:eastAsia="Arial" w:hAnsi="Arial"/>
          <w:sz w:val="21"/>
          <w:szCs w:val="21"/>
          <w:color w:val="auto"/>
        </w:rPr>
      </w:pPr>
      <w:r>
        <w:rPr>
          <w:rFonts w:ascii="Arial" w:cs="Arial" w:eastAsia="Arial" w:hAnsi="Arial"/>
          <w:sz w:val="21"/>
          <w:szCs w:val="21"/>
          <w:color w:val="auto"/>
        </w:rPr>
        <w:t>Each Lender may, by notice to a Borrower and the Administrative Agent, request (i) that its Loans to such Borrower be evidenced by a single Note payable to such Lender or its registered assigns in an amount equal to the aggregate unpaid principal amount of such Loans or (ii) that its Loans of a particular type to such Borrower be evidenced by a separate Note of such Borrower in an amount equal to the aggregate unpaid principal amount of such Loans. Each such Note shall be in substantially the form of Exhibit A hereto with any appropriate modifications to reflect the fact that it evidences solely Loans of a particular type. Each reference in this Agreement to the “Note” of such Lender shall be deemed to refer to and include any or all of such Notes, as the context may require.</w:t>
      </w:r>
    </w:p>
    <w:p>
      <w:pPr>
        <w:spacing w:after="0" w:line="154" w:lineRule="exact"/>
        <w:rPr>
          <w:sz w:val="20"/>
          <w:szCs w:val="20"/>
          <w:color w:val="auto"/>
        </w:rPr>
      </w:pPr>
    </w:p>
    <w:p>
      <w:pPr>
        <w:ind w:left="80" w:firstLine="556"/>
        <w:spacing w:after="0" w:line="239"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i w:val="1"/>
          <w:iCs w:val="1"/>
          <w:color w:val="auto"/>
        </w:rPr>
        <w:t>Maturity of Loans</w:t>
      </w:r>
      <w:r>
        <w:rPr>
          <w:rFonts w:ascii="Arial" w:cs="Arial" w:eastAsia="Arial" w:hAnsi="Arial"/>
          <w:sz w:val="21"/>
          <w:szCs w:val="21"/>
          <w:color w:val="auto"/>
        </w:rPr>
        <w:t>. Each Loan shall mature, and the principal amount thereof shall be due and payable, on the Termination Date.</w:t>
      </w:r>
    </w:p>
    <w:p>
      <w:pPr>
        <w:spacing w:after="0" w:line="15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Interest Rates</w:t>
      </w:r>
      <w:r>
        <w:rPr>
          <w:rFonts w:ascii="Arial" w:cs="Arial" w:eastAsia="Arial" w:hAnsi="Arial"/>
          <w:sz w:val="19"/>
          <w:szCs w:val="19"/>
          <w:color w:val="auto"/>
        </w:rPr>
        <w:t xml:space="preserve">. (a) Each Base Rate Loan shall bear interest on the outstanding principal amount thereof, for each day from the date such Loan is made until it becomes due, at a rate per annum equal to the sum of the applicable Base Rate Margin plus the Base Rate for such day. Such interest shall be payable at maturity, quarterly in arrears on each Quarterly Payment Date prior to maturity and, with respect to the principal amount of any Base Rate Loan converted to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Loan or, if applicable pursuant to Section 8.01, an RFR</w:t>
      </w:r>
      <w:r>
        <w:rPr>
          <w:rFonts w:ascii="Arial" w:cs="Arial" w:eastAsia="Arial" w:hAnsi="Arial"/>
          <w:sz w:val="19"/>
          <w:szCs w:val="19"/>
          <w:color w:val="0000FF"/>
        </w:rPr>
        <w:t xml:space="preserve"> </w:t>
      </w:r>
      <w:r>
        <w:rPr>
          <w:rFonts w:ascii="Arial" w:cs="Arial" w:eastAsia="Arial" w:hAnsi="Arial"/>
          <w:sz w:val="19"/>
          <w:szCs w:val="19"/>
          <w:color w:val="000000"/>
        </w:rPr>
        <w:t>Loan, on the day such principal amount is so converted. Any overdue</w:t>
      </w:r>
      <w:r>
        <w:rPr>
          <w:rFonts w:ascii="Arial" w:cs="Arial" w:eastAsia="Arial" w:hAnsi="Arial"/>
          <w:sz w:val="19"/>
          <w:szCs w:val="19"/>
          <w:color w:val="0000FF"/>
        </w:rPr>
        <w:t xml:space="preserve"> </w:t>
      </w:r>
      <w:r>
        <w:rPr>
          <w:rFonts w:ascii="Arial" w:cs="Arial" w:eastAsia="Arial" w:hAnsi="Arial"/>
          <w:sz w:val="19"/>
          <w:szCs w:val="19"/>
          <w:color w:val="000000"/>
        </w:rPr>
        <w:t>principal of or interest on any Base Rate Loan shall bear interest, payable on demand, for each day until paid at a rate per annum equal to the sum of 1% plus the rate otherwise applicable to Base Rate Loans for such day.</w:t>
      </w:r>
    </w:p>
    <w:p>
      <w:pPr>
        <w:spacing w:after="0" w:line="154" w:lineRule="exact"/>
        <w:rPr>
          <w:sz w:val="20"/>
          <w:szCs w:val="20"/>
          <w:color w:val="auto"/>
        </w:rPr>
      </w:pPr>
    </w:p>
    <w:p>
      <w:pPr>
        <w:jc w:val="both"/>
        <w:ind w:firstLine="642"/>
        <w:spacing w:after="0" w:line="233" w:lineRule="auto"/>
        <w:tabs>
          <w:tab w:leader="none" w:pos="1243"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Subject to Section 8.01, each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Loan shall bear interest on the outstanding principal amount thereof, for each day during each Interest Period applicable thereto, at a rate per annum equal to the sum of the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Margin as applicable to such</w:t>
      </w:r>
      <w:r>
        <w:rPr>
          <w:rFonts w:ascii="Arial" w:cs="Arial" w:eastAsia="Arial" w:hAnsi="Arial"/>
          <w:sz w:val="20"/>
          <w:szCs w:val="20"/>
          <w:color w:val="FF0000"/>
        </w:rPr>
        <w:t xml:space="preserv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Loan plus the</w:t>
      </w:r>
      <w:r>
        <w:rPr>
          <w:rFonts w:ascii="Arial" w:cs="Arial" w:eastAsia="Arial" w:hAnsi="Arial"/>
          <w:sz w:val="20"/>
          <w:szCs w:val="20"/>
          <w:color w:val="FF0000"/>
        </w:rPr>
        <w:t xml:space="preserv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Adjusted Term SOFR</w:t>
      </w:r>
      <w:r>
        <w:rPr>
          <w:rFonts w:ascii="Arial" w:cs="Arial" w:eastAsia="Arial" w:hAnsi="Arial"/>
          <w:sz w:val="20"/>
          <w:szCs w:val="20"/>
          <w:color w:val="FF0000"/>
        </w:rPr>
        <w:t xml:space="preserve"> </w:t>
      </w:r>
      <w:r>
        <w:rPr>
          <w:rFonts w:ascii="Arial" w:cs="Arial" w:eastAsia="Arial" w:hAnsi="Arial"/>
          <w:sz w:val="20"/>
          <w:szCs w:val="20"/>
          <w:color w:val="000000"/>
        </w:rPr>
        <w:t xml:space="preserve">Rate applicable to such Interest Period. Such interest shall be payable </w:t>
      </w:r>
      <w:r>
        <w:rPr>
          <w:rFonts w:ascii="Arial" w:cs="Arial" w:eastAsia="Arial" w:hAnsi="Arial"/>
          <w:sz w:val="20"/>
          <w:szCs w:val="20"/>
          <w:u w:val="single" w:color="auto"/>
          <w:color w:val="0000FF"/>
        </w:rPr>
        <w:t>at maturity and</w:t>
      </w:r>
      <w:r>
        <w:rPr>
          <w:rFonts w:ascii="Arial" w:cs="Arial" w:eastAsia="Arial" w:hAnsi="Arial"/>
          <w:sz w:val="20"/>
          <w:szCs w:val="20"/>
          <w:color w:val="000000"/>
        </w:rPr>
        <w:t xml:space="preserve"> for each Interest Period on the last day thereof and, if such Interest Period is longer than three months, at intervals of three months after the first day thereof.</w:t>
      </w:r>
    </w:p>
    <w:p>
      <w:pPr>
        <w:spacing w:after="0" w:line="160" w:lineRule="exact"/>
        <w:rPr>
          <w:rFonts w:ascii="Arial" w:cs="Arial" w:eastAsia="Arial" w:hAnsi="Arial"/>
          <w:sz w:val="20"/>
          <w:szCs w:val="20"/>
          <w:color w:val="auto"/>
        </w:rPr>
      </w:pPr>
    </w:p>
    <w:p>
      <w:pPr>
        <w:jc w:val="both"/>
        <w:ind w:right="20" w:firstLine="642"/>
        <w:spacing w:after="0"/>
        <w:tabs>
          <w:tab w:leader="none" w:pos="1046" w:val="left"/>
        </w:tabs>
        <w:numPr>
          <w:ilvl w:val="0"/>
          <w:numId w:val="5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To the extent applicable pursuant to Section 8.01, each RFR Loan shall bear interest on the outstanding principal amount thereof </w:t>
      </w:r>
      <w:r>
        <w:rPr>
          <w:rFonts w:ascii="Arial" w:cs="Arial" w:eastAsia="Arial" w:hAnsi="Arial"/>
          <w:sz w:val="18"/>
          <w:szCs w:val="18"/>
          <w:u w:val="single" w:color="auto"/>
          <w:color w:val="008000"/>
        </w:rPr>
        <w:t>at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a rate per annum equal to the sum of </w:t>
      </w:r>
      <w:r>
        <w:rPr>
          <w:rFonts w:ascii="Arial" w:cs="Arial" w:eastAsia="Arial" w:hAnsi="Arial"/>
          <w:sz w:val="18"/>
          <w:szCs w:val="18"/>
          <w:u w:val="single" w:color="auto"/>
          <w:color w:val="0000FF"/>
        </w:rPr>
        <w:t>the RFR</w:t>
      </w:r>
      <w:r>
        <w:rPr>
          <w:rFonts w:ascii="Arial" w:cs="Arial" w:eastAsia="Arial" w:hAnsi="Arial"/>
          <w:sz w:val="18"/>
          <w:szCs w:val="18"/>
          <w:u w:val="single" w:color="auto"/>
          <w:color w:val="008000"/>
        </w:rPr>
        <w:t xml:space="preserve"> Margin for such day plus </w:t>
      </w:r>
      <w:r>
        <w:rPr>
          <w:rFonts w:ascii="Arial" w:cs="Arial" w:eastAsia="Arial" w:hAnsi="Arial"/>
          <w:sz w:val="18"/>
          <w:szCs w:val="18"/>
          <w:u w:val="single" w:color="auto"/>
          <w:color w:val="0000FF"/>
        </w:rPr>
        <w:t>Adjusted Daily Simple SOFR. Such interest shall be payable at maturity</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and on each date that is on the numerically corresponding day in each calendar month that is one month after the borrowing of such RFR Loan (or, if there is no such numerically corresponding day in such month, then the last day of such month).</w:t>
      </w:r>
    </w:p>
    <w:p>
      <w:pPr>
        <w:spacing w:after="0" w:line="188" w:lineRule="exact"/>
        <w:rPr>
          <w:sz w:val="20"/>
          <w:szCs w:val="20"/>
          <w:color w:val="auto"/>
        </w:rPr>
      </w:pPr>
    </w:p>
    <w:p>
      <w:pPr>
        <w:jc w:val="both"/>
        <w:ind w:firstLine="642"/>
        <w:spacing w:after="0" w:line="218" w:lineRule="auto"/>
        <w:tabs>
          <w:tab w:leader="none" w:pos="1128" w:val="left"/>
        </w:tabs>
        <w:numPr>
          <w:ilvl w:val="0"/>
          <w:numId w:val="59"/>
        </w:numPr>
        <w:rPr>
          <w:rFonts w:ascii="Arial" w:cs="Arial" w:eastAsia="Arial" w:hAnsi="Arial"/>
          <w:sz w:val="19"/>
          <w:szCs w:val="19"/>
          <w:color w:val="0000FF"/>
        </w:rPr>
      </w:pPr>
      <w:r>
        <w:rPr>
          <w:rFonts w:ascii="Arial" w:cs="Arial" w:eastAsia="Arial" w:hAnsi="Arial"/>
          <w:sz w:val="21"/>
          <w:szCs w:val="21"/>
          <w:color w:val="FF0000"/>
          <w:strike w:val="1"/>
        </w:rPr>
        <w:t>(c)</w:t>
      </w:r>
      <w:r>
        <w:rPr>
          <w:rFonts w:ascii="Arial" w:cs="Arial" w:eastAsia="Arial" w:hAnsi="Arial"/>
          <w:sz w:val="21"/>
          <w:szCs w:val="21"/>
          <w:color w:val="FF0000"/>
        </w:rPr>
        <w:t xml:space="preserve"> </w:t>
      </w:r>
      <w:r>
        <w:rPr>
          <w:rFonts w:ascii="Arial" w:cs="Arial" w:eastAsia="Arial" w:hAnsi="Arial"/>
          <w:sz w:val="21"/>
          <w:szCs w:val="21"/>
          <w:color w:val="000000"/>
        </w:rPr>
        <w:t>Any overdue principal of or interest on any</w:t>
      </w:r>
      <w:r>
        <w:rPr>
          <w:rFonts w:ascii="Arial" w:cs="Arial" w:eastAsia="Arial" w:hAnsi="Arial"/>
          <w:sz w:val="21"/>
          <w:szCs w:val="21"/>
          <w:color w:val="FF0000"/>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 Loan or RFR</w:t>
      </w:r>
      <w:r>
        <w:rPr>
          <w:rFonts w:ascii="Arial" w:cs="Arial" w:eastAsia="Arial" w:hAnsi="Arial"/>
          <w:sz w:val="21"/>
          <w:szCs w:val="21"/>
          <w:color w:val="FF0000"/>
        </w:rPr>
        <w:t xml:space="preserve"> </w:t>
      </w:r>
      <w:r>
        <w:rPr>
          <w:rFonts w:ascii="Arial" w:cs="Arial" w:eastAsia="Arial" w:hAnsi="Arial"/>
          <w:sz w:val="21"/>
          <w:szCs w:val="21"/>
          <w:color w:val="000000"/>
        </w:rPr>
        <w:t>Loan shall bear interest,</w:t>
      </w:r>
      <w:r>
        <w:rPr>
          <w:rFonts w:ascii="Arial" w:cs="Arial" w:eastAsia="Arial" w:hAnsi="Arial"/>
          <w:sz w:val="21"/>
          <w:szCs w:val="21"/>
          <w:color w:val="FF0000"/>
        </w:rPr>
        <w:t xml:space="preserve"> </w:t>
      </w:r>
      <w:r>
        <w:rPr>
          <w:rFonts w:ascii="Arial" w:cs="Arial" w:eastAsia="Arial" w:hAnsi="Arial"/>
          <w:sz w:val="21"/>
          <w:szCs w:val="21"/>
          <w:color w:val="000000"/>
        </w:rPr>
        <w:t xml:space="preserve">payable on demand, for each day until paid, at a rate per annum equal to the </w:t>
      </w:r>
      <w:r>
        <w:rPr>
          <w:rFonts w:ascii="Arial" w:cs="Arial" w:eastAsia="Arial" w:hAnsi="Arial"/>
          <w:sz w:val="21"/>
          <w:szCs w:val="21"/>
          <w:color w:val="FF0000"/>
          <w:strike w:val="1"/>
        </w:rPr>
        <w:t>higher of (i) the sum of 1% plus the Euro-Dollar</w:t>
      </w:r>
      <w:r>
        <w:rPr>
          <w:rFonts w:ascii="Arial" w:cs="Arial" w:eastAsia="Arial" w:hAnsi="Arial"/>
          <w:sz w:val="21"/>
          <w:szCs w:val="21"/>
          <w:color w:val="000000"/>
        </w:rPr>
        <w:t xml:space="preserve"> </w:t>
      </w:r>
      <w:r>
        <w:rPr>
          <w:rFonts w:ascii="Arial" w:cs="Arial" w:eastAsia="Arial" w:hAnsi="Arial"/>
          <w:sz w:val="21"/>
          <w:szCs w:val="21"/>
          <w:color w:val="008000"/>
          <w:strike w:val="1"/>
        </w:rPr>
        <w:t xml:space="preserve">Margin for such day plus </w:t>
      </w:r>
      <w:r>
        <w:rPr>
          <w:rFonts w:ascii="Arial" w:cs="Arial" w:eastAsia="Arial" w:hAnsi="Arial"/>
          <w:sz w:val="21"/>
          <w:szCs w:val="21"/>
          <w:color w:val="FF0000"/>
          <w:strike w:val="1"/>
        </w:rPr>
        <w:t>the quotient obtained (rounded upward, if necessary, to the next higher 1/100 of 1%) by dividing (x) the</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 xml:space="preserve">rate at which one day (or, if such amount due remains unpaid more than three Euro-Dollar Business Days, then for such other period of time not longer than three months as the Administrative Agent may select) deposits in dollars are offered by the principal London office of the Administrative Agent in the London interbank market for the applicable period determined as provided above by (y) 1.00 minus the Euro-Dollar Reserve Percentage (or, if the circumstances described in clause (a) or (b) of Section 8.01 shall exist, </w:t>
      </w:r>
      <w:r>
        <w:rPr>
          <w:rFonts w:ascii="Arial" w:cs="Arial" w:eastAsia="Arial" w:hAnsi="Arial"/>
          <w:sz w:val="21"/>
          <w:szCs w:val="21"/>
          <w:color w:val="008000"/>
          <w:strike w:val="1"/>
        </w:rPr>
        <w:t>at</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a rate per annum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-974090</wp:posOffset>
            </wp:positionV>
            <wp:extent cx="312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2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008000"/>
          <w:strike w:val="1"/>
        </w:rPr>
        <w:t>to the sum of</w:t>
      </w:r>
      <w:r>
        <w:rPr>
          <w:rFonts w:ascii="Arial" w:cs="Arial" w:eastAsia="Arial" w:hAnsi="Arial"/>
          <w:sz w:val="21"/>
          <w:szCs w:val="21"/>
          <w:color w:val="008000"/>
        </w:rPr>
        <w:t xml:space="preserve"> </w:t>
      </w:r>
      <w:r>
        <w:rPr>
          <w:rFonts w:ascii="Arial" w:cs="Arial" w:eastAsia="Arial" w:hAnsi="Arial"/>
          <w:sz w:val="21"/>
          <w:szCs w:val="21"/>
          <w:color w:val="FF0000"/>
          <w:strike w:val="1"/>
        </w:rPr>
        <w:t>1% plus the rate applicable</w:t>
      </w:r>
      <w:r>
        <w:rPr>
          <w:rFonts w:ascii="Arial" w:cs="Arial" w:eastAsia="Arial" w:hAnsi="Arial"/>
          <w:sz w:val="21"/>
          <w:szCs w:val="21"/>
          <w:color w:val="008000"/>
        </w:rPr>
        <w:t xml:space="preserve"> </w:t>
      </w:r>
      <w:r>
        <w:rPr>
          <w:rFonts w:ascii="Arial" w:cs="Arial" w:eastAsia="Arial" w:hAnsi="Arial"/>
          <w:sz w:val="21"/>
          <w:szCs w:val="21"/>
          <w:color w:val="008000"/>
          <w:strike w:val="1"/>
        </w:rPr>
        <w:t>to Base Rate Loans</w:t>
      </w:r>
      <w:r>
        <w:rPr>
          <w:rFonts w:ascii="Arial" w:cs="Arial" w:eastAsia="Arial" w:hAnsi="Arial"/>
          <w:sz w:val="21"/>
          <w:szCs w:val="21"/>
          <w:color w:val="008000"/>
        </w:rPr>
        <w:t xml:space="preserve"> </w:t>
      </w:r>
      <w:r>
        <w:rPr>
          <w:rFonts w:ascii="Arial" w:cs="Arial" w:eastAsia="Arial" w:hAnsi="Arial"/>
          <w:sz w:val="21"/>
          <w:szCs w:val="21"/>
          <w:color w:val="FF0000"/>
          <w:strike w:val="1"/>
        </w:rPr>
        <w:t>for such day) and (ii) the sum of</w:t>
      </w:r>
      <w:r>
        <w:rPr>
          <w:rFonts w:ascii="Arial" w:cs="Arial" w:eastAsia="Arial" w:hAnsi="Arial"/>
          <w:sz w:val="21"/>
          <w:szCs w:val="21"/>
          <w:u w:val="single" w:color="auto"/>
          <w:color w:val="0000FF"/>
        </w:rPr>
        <w:t>sum of</w:t>
      </w:r>
      <w:r>
        <w:rPr>
          <w:rFonts w:ascii="Arial" w:cs="Arial" w:eastAsia="Arial" w:hAnsi="Arial"/>
          <w:sz w:val="21"/>
          <w:szCs w:val="21"/>
          <w:color w:val="008000"/>
        </w:rPr>
        <w:t xml:space="preserve"> </w:t>
      </w:r>
      <w:r>
        <w:rPr>
          <w:rFonts w:ascii="Arial" w:cs="Arial" w:eastAsia="Arial" w:hAnsi="Arial"/>
          <w:sz w:val="21"/>
          <w:szCs w:val="21"/>
          <w:color w:val="000000"/>
        </w:rPr>
        <w:t>1% plus the sum of the</w:t>
      </w:r>
      <w:r>
        <w:rPr>
          <w:rFonts w:ascii="Arial" w:cs="Arial" w:eastAsia="Arial" w:hAnsi="Arial"/>
          <w:sz w:val="21"/>
          <w:szCs w:val="21"/>
          <w:color w:val="008000"/>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FF0000"/>
        </w:rPr>
        <w:t xml:space="preserve"> </w:t>
      </w:r>
      <w:r>
        <w:rPr>
          <w:rFonts w:ascii="Arial" w:cs="Arial" w:eastAsia="Arial" w:hAnsi="Arial"/>
          <w:sz w:val="21"/>
          <w:szCs w:val="21"/>
          <w:color w:val="000000"/>
        </w:rPr>
        <w:t>Margin</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or RFR Margin, as applicable,</w:t>
      </w:r>
      <w:r>
        <w:rPr>
          <w:rFonts w:ascii="Arial" w:cs="Arial" w:eastAsia="Arial" w:hAnsi="Arial"/>
          <w:sz w:val="21"/>
          <w:szCs w:val="21"/>
          <w:color w:val="FF0000"/>
        </w:rPr>
        <w:t xml:space="preserve"> </w:t>
      </w:r>
      <w:r>
        <w:rPr>
          <w:rFonts w:ascii="Arial" w:cs="Arial" w:eastAsia="Arial" w:hAnsi="Arial"/>
          <w:sz w:val="21"/>
          <w:szCs w:val="21"/>
          <w:color w:val="000000"/>
        </w:rPr>
        <w:t>for such day plus the</w:t>
      </w:r>
      <w:r>
        <w:rPr>
          <w:rFonts w:ascii="Arial" w:cs="Arial" w:eastAsia="Arial" w:hAnsi="Arial"/>
          <w:sz w:val="21"/>
          <w:szCs w:val="21"/>
          <w:color w:val="FF0000"/>
        </w:rPr>
        <w:t xml:space="preserve"> </w:t>
      </w:r>
      <w:r>
        <w:rPr>
          <w:rFonts w:ascii="Arial" w:cs="Arial" w:eastAsia="Arial" w:hAnsi="Arial"/>
          <w:sz w:val="21"/>
          <w:szCs w:val="21"/>
          <w:color w:val="FF0000"/>
          <w:strike w:val="1"/>
        </w:rPr>
        <w:t>Euro-Dollar Rate</w:t>
      </w:r>
      <w:r>
        <w:rPr>
          <w:rFonts w:ascii="Arial" w:cs="Arial" w:eastAsia="Arial" w:hAnsi="Arial"/>
          <w:sz w:val="21"/>
          <w:szCs w:val="21"/>
          <w:u w:val="single" w:color="auto"/>
          <w:color w:val="0000FF"/>
        </w:rPr>
        <w:t>Adjusted Term SOFR Rate or</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Adjusted Daily Simple SOFR, as</w:t>
      </w:r>
      <w:r>
        <w:rPr>
          <w:rFonts w:ascii="Arial" w:cs="Arial" w:eastAsia="Arial" w:hAnsi="Arial"/>
          <w:sz w:val="21"/>
          <w:szCs w:val="21"/>
          <w:color w:val="0000FF"/>
        </w:rPr>
        <w:t xml:space="preserve"> </w:t>
      </w:r>
      <w:r>
        <w:rPr>
          <w:rFonts w:ascii="Arial" w:cs="Arial" w:eastAsia="Arial" w:hAnsi="Arial"/>
          <w:sz w:val="21"/>
          <w:szCs w:val="21"/>
          <w:color w:val="000000"/>
        </w:rPr>
        <w:t>applicable to such Loan on the day such payment was due.</w:t>
      </w:r>
    </w:p>
    <w:p>
      <w:pPr>
        <w:spacing w:after="0" w:line="154" w:lineRule="exact"/>
        <w:rPr>
          <w:sz w:val="20"/>
          <w:szCs w:val="20"/>
          <w:color w:val="auto"/>
        </w:rPr>
      </w:pPr>
    </w:p>
    <w:p>
      <w:pPr>
        <w:jc w:val="both"/>
        <w:ind w:firstLine="642"/>
        <w:spacing w:after="0" w:line="230" w:lineRule="auto"/>
        <w:tabs>
          <w:tab w:leader="none" w:pos="1095" w:val="left"/>
        </w:tabs>
        <w:numPr>
          <w:ilvl w:val="0"/>
          <w:numId w:val="60"/>
        </w:numPr>
        <w:rPr>
          <w:rFonts w:ascii="Arial" w:cs="Arial" w:eastAsia="Arial" w:hAnsi="Arial"/>
          <w:sz w:val="19"/>
          <w:szCs w:val="19"/>
          <w:u w:val="single" w:color="auto"/>
          <w:color w:val="0000FF"/>
        </w:rPr>
      </w:pPr>
      <w:r>
        <w:rPr>
          <w:rFonts w:ascii="Arial" w:cs="Arial" w:eastAsia="Arial" w:hAnsi="Arial"/>
          <w:sz w:val="21"/>
          <w:szCs w:val="21"/>
          <w:color w:val="FF0000"/>
          <w:strike w:val="1"/>
        </w:rPr>
        <w:t>(d)</w:t>
      </w:r>
      <w:r>
        <w:rPr>
          <w:rFonts w:ascii="Arial" w:cs="Arial" w:eastAsia="Arial" w:hAnsi="Arial"/>
          <w:sz w:val="21"/>
          <w:szCs w:val="21"/>
          <w:color w:val="FF0000"/>
        </w:rPr>
        <w:t xml:space="preserve"> </w:t>
      </w:r>
      <w:r>
        <w:rPr>
          <w:rFonts w:ascii="Arial" w:cs="Arial" w:eastAsia="Arial" w:hAnsi="Arial"/>
          <w:sz w:val="21"/>
          <w:szCs w:val="21"/>
          <w:color w:val="000000"/>
        </w:rPr>
        <w:t>The Administrative Agent shall determine each interest rate applicable to the Loans hereunder. The Administrative</w:t>
      </w:r>
      <w:r>
        <w:rPr>
          <w:rFonts w:ascii="Arial" w:cs="Arial" w:eastAsia="Arial" w:hAnsi="Arial"/>
          <w:sz w:val="21"/>
          <w:szCs w:val="21"/>
          <w:color w:val="FF0000"/>
        </w:rPr>
        <w:t xml:space="preserve"> </w:t>
      </w:r>
      <w:r>
        <w:rPr>
          <w:rFonts w:ascii="Arial" w:cs="Arial" w:eastAsia="Arial" w:hAnsi="Arial"/>
          <w:sz w:val="21"/>
          <w:szCs w:val="21"/>
          <w:color w:val="000000"/>
        </w:rPr>
        <w:t>Agent shall give prompt notice to the relevant Borrower and the Lenders of each rate of interest so determined, and its determination thereof shall be conclusive in the absence of manifest error.</w:t>
      </w:r>
    </w:p>
    <w:p>
      <w:pPr>
        <w:spacing w:after="0" w:line="154"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SECTION 2.07</w:t>
      </w:r>
      <w:r>
        <w:rPr>
          <w:rFonts w:ascii="Arial" w:cs="Arial" w:eastAsia="Arial" w:hAnsi="Arial"/>
          <w:sz w:val="20"/>
          <w:szCs w:val="20"/>
          <w:i w:val="1"/>
          <w:iCs w:val="1"/>
          <w:color w:val="auto"/>
        </w:rPr>
        <w:t>. Fees.</w:t>
      </w:r>
      <w:r>
        <w:rPr>
          <w:rFonts w:ascii="Arial" w:cs="Arial" w:eastAsia="Arial" w:hAnsi="Arial"/>
          <w:sz w:val="20"/>
          <w:szCs w:val="20"/>
          <w:color w:val="auto"/>
        </w:rPr>
        <w:t xml:space="preserve"> (a) The Company agrees to pay to the Administrative Agent for the account of each Lender a facility fee, which shall accrue at the Facility Fee Rate on the daily amount of the Commitment of such Lender (whether used or unused) during the period from and including the Effective Date to but excluding the date on which such Commitment terminates;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Lender continues to have any Credit Exposure after its Commitment terminates, then such facility fee shall continue to accrue on the daily amount of such Lender’s Credit Exposure from and including the date on which its Commitment terminates to but excluding the date on which such Lender ceases to have any Credit Exposure. Accrued facility fees shall be payable in arrears on the last day of March, June, September and December of each year and on the date on which the Commitments terminate, commencing on the first such date to occur after the date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facility fees accruing after the date on which the Commitments terminate shall be payable on demand.</w:t>
      </w:r>
    </w:p>
    <w:p>
      <w:pPr>
        <w:spacing w:after="0" w:line="154" w:lineRule="exact"/>
        <w:rPr>
          <w:sz w:val="20"/>
          <w:szCs w:val="20"/>
          <w:color w:val="auto"/>
        </w:rPr>
      </w:pPr>
    </w:p>
    <w:p>
      <w:pPr>
        <w:jc w:val="both"/>
        <w:ind w:firstLine="642"/>
        <w:spacing w:after="0" w:line="233" w:lineRule="auto"/>
        <w:tabs>
          <w:tab w:leader="none" w:pos="11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The Company shall pay (i) to the Administrative Agent for the account of the Lenders ratably a letter of credit fee accruing daily on the aggregate undrawn amount of all outstanding Letters of Credit at a rate per annum equal to the applicable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Margin for such day and (ii) to each Issuing Lender a letter of credit fronting fee accruing daily on the</w:t>
      </w:r>
      <w:r>
        <w:rPr>
          <w:rFonts w:ascii="Arial" w:cs="Arial" w:eastAsia="Arial" w:hAnsi="Arial"/>
          <w:sz w:val="20"/>
          <w:szCs w:val="20"/>
          <w:color w:val="FF0000"/>
        </w:rPr>
        <w:t xml:space="preserve"> </w:t>
      </w:r>
      <w:r>
        <w:rPr>
          <w:rFonts w:ascii="Arial" w:cs="Arial" w:eastAsia="Arial" w:hAnsi="Arial"/>
          <w:sz w:val="20"/>
          <w:szCs w:val="20"/>
          <w:color w:val="000000"/>
        </w:rPr>
        <w:t>aggregate amount then available for drawing under all Letters of Credit issued by such Issuing Lender at such rate per annum as may be mutually agreed between the Company and such Issuing Lender from time to time.</w:t>
      </w:r>
    </w:p>
    <w:p>
      <w:pPr>
        <w:spacing w:after="0" w:line="155" w:lineRule="exact"/>
        <w:rPr>
          <w:rFonts w:ascii="Arial" w:cs="Arial" w:eastAsia="Arial" w:hAnsi="Arial"/>
          <w:sz w:val="20"/>
          <w:szCs w:val="20"/>
          <w:color w:val="auto"/>
        </w:rPr>
      </w:pPr>
    </w:p>
    <w:p>
      <w:pPr>
        <w:jc w:val="both"/>
        <w:ind w:firstLine="642"/>
        <w:spacing w:after="0" w:line="230" w:lineRule="auto"/>
        <w:tabs>
          <w:tab w:leader="none" w:pos="1120" w:val="left"/>
        </w:tabs>
        <w:numPr>
          <w:ilvl w:val="0"/>
          <w:numId w:val="61"/>
        </w:numPr>
        <w:rPr>
          <w:rFonts w:ascii="Arial" w:cs="Arial" w:eastAsia="Arial" w:hAnsi="Arial"/>
          <w:sz w:val="21"/>
          <w:szCs w:val="21"/>
          <w:color w:val="auto"/>
        </w:rPr>
      </w:pPr>
      <w:r>
        <w:rPr>
          <w:rFonts w:ascii="Arial" w:cs="Arial" w:eastAsia="Arial" w:hAnsi="Arial"/>
          <w:sz w:val="21"/>
          <w:szCs w:val="21"/>
          <w:color w:val="auto"/>
        </w:rPr>
        <w:t>Fees accrued for the account of the Lenders under this Section shall be payable quarterly in arrears on each Quarterly Payment Date and on the day on which the Commitments terminate in their entirety (and, if later, on the day on which the aggregate Outstanding Amount is reduced to zero).</w:t>
      </w:r>
    </w:p>
    <w:p>
      <w:pPr>
        <w:spacing w:after="0" w:line="154"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Optional Termination or Reduction of Commitments</w:t>
      </w:r>
      <w:r>
        <w:rPr>
          <w:rFonts w:ascii="Arial" w:cs="Arial" w:eastAsia="Arial" w:hAnsi="Arial"/>
          <w:sz w:val="19"/>
          <w:szCs w:val="19"/>
          <w:color w:val="auto"/>
        </w:rPr>
        <w:t xml:space="preserve">. During the Revolving Credit Period, the Company may, upon at least three Domestic Business Days’ notice to the Administrative Agent, (i) terminate the Commitments at any time, if no Loans or Letters of Credit are outstanding at such time or (ii) ratably reduce from time to time, by an aggregate amount of $25,000,000 or a larger multiple of $1,000,000, the aggregate amount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reduction shall be permitted if it would cause the Total Outstanding Amount to exceed the aggregate amount of the Commitments. The Administrative Agent shall give prompt notice to the Lenders of any such termination or reduction of the Commitments.</w:t>
      </w:r>
    </w:p>
    <w:p>
      <w:pPr>
        <w:spacing w:after="0" w:line="151"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i w:val="1"/>
          <w:iCs w:val="1"/>
          <w:color w:val="auto"/>
        </w:rPr>
        <w:t>Method of Electing Interest Rates</w:t>
      </w:r>
      <w:r>
        <w:rPr>
          <w:rFonts w:ascii="Arial" w:cs="Arial" w:eastAsia="Arial" w:hAnsi="Arial"/>
          <w:sz w:val="21"/>
          <w:szCs w:val="21"/>
          <w:color w:val="auto"/>
        </w:rPr>
        <w:t>. (a) The Loans included in each Borrowing shall bear interest initially at the type of rate specified by a Borrower in the applicable Notice of Borrowing. Thereafter, a Borrower may from time to time elect to change or continue the type of interest rate borne by each Group of Loans (subject in each case to the provisions of Article 8)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33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63" w:lineRule="exact"/>
        <w:rPr>
          <w:sz w:val="20"/>
          <w:szCs w:val="20"/>
          <w:color w:val="auto"/>
        </w:rPr>
      </w:pPr>
    </w:p>
    <w:p>
      <w:pPr>
        <w:ind w:left="640" w:firstLine="956"/>
        <w:spacing w:after="0" w:line="239" w:lineRule="auto"/>
        <w:tabs>
          <w:tab w:leader="none" w:pos="2157"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if such Loans are Base Rate Loans, the relevant Borrower may elect to convert such Loans to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FF0000"/>
        </w:rPr>
        <w:t xml:space="preserve"> </w:t>
      </w:r>
      <w:r>
        <w:rPr>
          <w:rFonts w:ascii="Arial" w:cs="Arial" w:eastAsia="Arial" w:hAnsi="Arial"/>
          <w:sz w:val="21"/>
          <w:szCs w:val="21"/>
          <w:color w:val="000000"/>
        </w:rPr>
        <w:t>Loans as of any</w:t>
      </w:r>
      <w:r>
        <w:rPr>
          <w:rFonts w:ascii="Arial" w:cs="Arial" w:eastAsia="Arial" w:hAnsi="Arial"/>
          <w:sz w:val="21"/>
          <w:szCs w:val="21"/>
          <w:color w:val="FF0000"/>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U.S. Government Securities</w:t>
      </w:r>
      <w:r>
        <w:rPr>
          <w:rFonts w:ascii="Arial" w:cs="Arial" w:eastAsia="Arial" w:hAnsi="Arial"/>
          <w:sz w:val="21"/>
          <w:szCs w:val="21"/>
          <w:color w:val="FF0000"/>
        </w:rPr>
        <w:t xml:space="preserve"> </w:t>
      </w:r>
      <w:r>
        <w:rPr>
          <w:rFonts w:ascii="Arial" w:cs="Arial" w:eastAsia="Arial" w:hAnsi="Arial"/>
          <w:sz w:val="21"/>
          <w:szCs w:val="21"/>
          <w:color w:val="000000"/>
        </w:rPr>
        <w:t>Business Day;</w:t>
      </w:r>
      <w:r>
        <w:rPr>
          <w:rFonts w:ascii="Arial" w:cs="Arial" w:eastAsia="Arial" w:hAnsi="Arial"/>
          <w:sz w:val="21"/>
          <w:szCs w:val="21"/>
          <w:color w:val="FF0000"/>
        </w:rPr>
        <w:t xml:space="preserve"> and</w:t>
      </w:r>
    </w:p>
    <w:p>
      <w:pPr>
        <w:spacing w:after="0" w:line="155" w:lineRule="exact"/>
        <w:rPr>
          <w:rFonts w:ascii="Arial" w:cs="Arial" w:eastAsia="Arial" w:hAnsi="Arial"/>
          <w:sz w:val="21"/>
          <w:szCs w:val="21"/>
          <w:color w:val="auto"/>
        </w:rPr>
      </w:pPr>
    </w:p>
    <w:p>
      <w:pPr>
        <w:jc w:val="both"/>
        <w:ind w:left="640" w:firstLine="956"/>
        <w:spacing w:after="0" w:line="225" w:lineRule="auto"/>
        <w:tabs>
          <w:tab w:leader="none" w:pos="2157"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if such Loans are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Loans, the relevant Borrower may elect to convert such Loans to Base Rate Loans or elect to continue such Loans as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Loans for an additional Interest Period, subject to Section 2.13 in the case of any such conversion or continuation effective on any day other than the last day of the then current Interest Period applicable to such Loans</w:t>
      </w:r>
      <w:r>
        <w:rPr>
          <w:rFonts w:ascii="Arial" w:cs="Arial" w:eastAsia="Arial" w:hAnsi="Arial"/>
          <w:sz w:val="21"/>
          <w:szCs w:val="21"/>
          <w:color w:val="FF0000"/>
          <w:strike w:val="1"/>
        </w:rPr>
        <w:t>.</w:t>
      </w:r>
      <w:r>
        <w:rPr>
          <w:rFonts w:ascii="Arial" w:cs="Arial" w:eastAsia="Arial" w:hAnsi="Arial"/>
          <w:sz w:val="21"/>
          <w:szCs w:val="21"/>
          <w:u w:val="single" w:color="auto"/>
          <w:color w:val="0000FF"/>
        </w:rPr>
        <w:t>; and</w:t>
      </w:r>
    </w:p>
    <w:p>
      <w:pPr>
        <w:spacing w:after="0" w:line="154" w:lineRule="exact"/>
        <w:rPr>
          <w:rFonts w:ascii="Arial" w:cs="Arial" w:eastAsia="Arial" w:hAnsi="Arial"/>
          <w:sz w:val="21"/>
          <w:szCs w:val="21"/>
          <w:color w:val="auto"/>
        </w:rPr>
      </w:pPr>
    </w:p>
    <w:p>
      <w:pPr>
        <w:ind w:left="640" w:firstLine="956"/>
        <w:spacing w:after="0" w:line="239" w:lineRule="auto"/>
        <w:tabs>
          <w:tab w:leader="none" w:pos="2203" w:val="left"/>
        </w:tabs>
        <w:numPr>
          <w:ilvl w:val="0"/>
          <w:numId w:val="62"/>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 xml:space="preserve">subject to Section 8.01, if such Loans are RFR Loans, the relevant Borrower may elect to convert such Loans </w:t>
      </w:r>
      <w:r>
        <w:rPr>
          <w:rFonts w:ascii="Arial" w:cs="Arial" w:eastAsia="Arial" w:hAnsi="Arial"/>
          <w:sz w:val="21"/>
          <w:szCs w:val="21"/>
          <w:u w:val="single" w:color="auto"/>
          <w:color w:val="008000"/>
        </w:rPr>
        <w:t>to Base Rate Loans</w:t>
      </w:r>
      <w:r>
        <w:rPr>
          <w:rFonts w:ascii="Arial" w:cs="Arial" w:eastAsia="Arial" w:hAnsi="Arial"/>
          <w:sz w:val="21"/>
          <w:szCs w:val="2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-1157605</wp:posOffset>
            </wp:positionV>
            <wp:extent cx="2279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12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Each such election shall be made by delivering a written notice signed by a Responsible Officer of the relevant Borrower (a “</w:t>
      </w:r>
      <w:r>
        <w:rPr>
          <w:rFonts w:ascii="Arial" w:cs="Arial" w:eastAsia="Arial" w:hAnsi="Arial"/>
          <w:sz w:val="21"/>
          <w:szCs w:val="21"/>
          <w:b w:val="1"/>
          <w:bCs w:val="1"/>
          <w:color w:val="auto"/>
        </w:rPr>
        <w:t>Notice</w:t>
      </w:r>
      <w:r>
        <w:rPr>
          <w:rFonts w:ascii="Arial" w:cs="Arial" w:eastAsia="Arial" w:hAnsi="Arial"/>
          <w:sz w:val="21"/>
          <w:szCs w:val="21"/>
          <w:color w:val="auto"/>
        </w:rPr>
        <w:t xml:space="preserve"> </w:t>
      </w:r>
      <w:r>
        <w:rPr>
          <w:rFonts w:ascii="Arial" w:cs="Arial" w:eastAsia="Arial" w:hAnsi="Arial"/>
          <w:sz w:val="21"/>
          <w:szCs w:val="21"/>
          <w:b w:val="1"/>
          <w:bCs w:val="1"/>
          <w:color w:val="auto"/>
        </w:rPr>
        <w:t>of Interest Rate Election</w:t>
      </w:r>
      <w:r>
        <w:rPr>
          <w:rFonts w:ascii="Arial" w:cs="Arial" w:eastAsia="Arial" w:hAnsi="Arial"/>
          <w:sz w:val="21"/>
          <w:szCs w:val="21"/>
          <w:color w:val="auto"/>
        </w:rPr>
        <w:t>”) to the Administrative Agent not later than 10:00 A.M. (New York City time) on the third</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U.S. Government Securities</w:t>
      </w:r>
      <w:r>
        <w:rPr>
          <w:rFonts w:ascii="Arial" w:cs="Arial" w:eastAsia="Arial" w:hAnsi="Arial"/>
          <w:sz w:val="21"/>
          <w:szCs w:val="21"/>
          <w:color w:val="FF0000"/>
        </w:rPr>
        <w:t xml:space="preserve"> </w:t>
      </w:r>
      <w:r>
        <w:rPr>
          <w:rFonts w:ascii="Arial" w:cs="Arial" w:eastAsia="Arial" w:hAnsi="Arial"/>
          <w:sz w:val="21"/>
          <w:szCs w:val="21"/>
          <w:color w:val="000000"/>
        </w:rPr>
        <w:t>Business Day before the conversion or continuation selected in such notice is to be effective. A</w:t>
      </w:r>
      <w:r>
        <w:rPr>
          <w:rFonts w:ascii="Arial" w:cs="Arial" w:eastAsia="Arial" w:hAnsi="Arial"/>
          <w:sz w:val="21"/>
          <w:szCs w:val="21"/>
          <w:color w:val="FF0000"/>
        </w:rPr>
        <w:t xml:space="preserve"> </w:t>
      </w:r>
      <w:r>
        <w:rPr>
          <w:rFonts w:ascii="Arial" w:cs="Arial" w:eastAsia="Arial" w:hAnsi="Arial"/>
          <w:sz w:val="21"/>
          <w:szCs w:val="21"/>
          <w:color w:val="000000"/>
        </w:rPr>
        <w:t xml:space="preserve">Notice of Interest Rate Election may, if it so specifies, apply to only a portion of the aggregate principal amount of the relevant Group of Loans;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(i) such portion is allocated ratably among the Loans comprising such Group and (ii) the portion to which such Notice applies, and the remaining portion to which it does not apply, are each $25,000,000 or any larger multiple of $1,000,000.</w:t>
      </w:r>
    </w:p>
    <w:p>
      <w:pPr>
        <w:spacing w:after="0" w:line="160" w:lineRule="exact"/>
        <w:rPr>
          <w:sz w:val="20"/>
          <w:szCs w:val="20"/>
          <w:color w:val="auto"/>
        </w:rPr>
      </w:pPr>
    </w:p>
    <w:p>
      <w:pPr>
        <w:ind w:left="1100" w:hanging="458"/>
        <w:spacing w:after="0"/>
        <w:tabs>
          <w:tab w:leader="none" w:pos="11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Each Notice of Interest Rate Election shall specify:</w:t>
      </w:r>
    </w:p>
    <w:p>
      <w:pPr>
        <w:spacing w:after="0" w:line="182" w:lineRule="exact"/>
        <w:rPr>
          <w:rFonts w:ascii="Arial" w:cs="Arial" w:eastAsia="Arial" w:hAnsi="Arial"/>
          <w:sz w:val="21"/>
          <w:szCs w:val="21"/>
          <w:color w:val="auto"/>
        </w:rPr>
      </w:pPr>
    </w:p>
    <w:p>
      <w:pPr>
        <w:ind w:left="1700" w:hanging="422"/>
        <w:spacing w:after="0"/>
        <w:tabs>
          <w:tab w:leader="none" w:pos="1700"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Group of Loans (or portion thereof) to which such notice applies;</w:t>
      </w:r>
    </w:p>
    <w:p>
      <w:pPr>
        <w:spacing w:after="0" w:line="182" w:lineRule="exact"/>
        <w:rPr>
          <w:rFonts w:ascii="Arial" w:cs="Arial" w:eastAsia="Arial" w:hAnsi="Arial"/>
          <w:sz w:val="21"/>
          <w:szCs w:val="21"/>
          <w:color w:val="auto"/>
        </w:rPr>
      </w:pPr>
    </w:p>
    <w:p>
      <w:pPr>
        <w:ind w:firstLine="1278"/>
        <w:spacing w:after="0" w:line="239" w:lineRule="auto"/>
        <w:tabs>
          <w:tab w:leader="none" w:pos="1773"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date on which the conversion or continuation selected in such notice is to be effective, which shall comply with the applicable clause of subsection (a) above;</w:t>
      </w:r>
    </w:p>
    <w:p>
      <w:pPr>
        <w:spacing w:after="0" w:line="155" w:lineRule="exact"/>
        <w:rPr>
          <w:rFonts w:ascii="Arial" w:cs="Arial" w:eastAsia="Arial" w:hAnsi="Arial"/>
          <w:sz w:val="21"/>
          <w:szCs w:val="21"/>
          <w:color w:val="auto"/>
        </w:rPr>
      </w:pPr>
    </w:p>
    <w:p>
      <w:pPr>
        <w:ind w:firstLine="1278"/>
        <w:spacing w:after="0" w:line="290" w:lineRule="auto"/>
        <w:tabs>
          <w:tab w:leader="none" w:pos="1926"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if the Loans comprising such Group are to be converted, the new type of Loans and, if the Loans being converted are to be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Loans, the duration of the next succeeding Interest Period applicable thereto; and</w:t>
      </w:r>
    </w:p>
    <w:p>
      <w:pPr>
        <w:spacing w:after="0" w:line="107" w:lineRule="exact"/>
        <w:rPr>
          <w:rFonts w:ascii="Arial" w:cs="Arial" w:eastAsia="Arial" w:hAnsi="Arial"/>
          <w:sz w:val="19"/>
          <w:szCs w:val="19"/>
          <w:color w:val="auto"/>
        </w:rPr>
      </w:pPr>
    </w:p>
    <w:p>
      <w:pPr>
        <w:ind w:firstLine="1278"/>
        <w:spacing w:after="0" w:line="239" w:lineRule="auto"/>
        <w:tabs>
          <w:tab w:leader="none" w:pos="1823"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if such Loans are to be continued as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Loans for an additional Interest Period, the duration of such additional Interest Period.</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Each Interest Period specified in a Notice of Interest Rate Election shall comply with the provisions of the definition of Interest Period.</w:t>
      </w:r>
    </w:p>
    <w:p>
      <w:pPr>
        <w:spacing w:after="0" w:line="155" w:lineRule="exact"/>
        <w:rPr>
          <w:sz w:val="20"/>
          <w:szCs w:val="20"/>
          <w:color w:val="auto"/>
        </w:rPr>
      </w:pPr>
    </w:p>
    <w:p>
      <w:pPr>
        <w:jc w:val="both"/>
        <w:ind w:firstLine="642"/>
        <w:spacing w:after="0" w:line="222" w:lineRule="auto"/>
        <w:tabs>
          <w:tab w:leader="none" w:pos="1331"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Upon receipt of a Notice of Interest Rate Election from a Borrower pursuant to subsection (a) above, the Administrative Agent shall promptly notify each Lender of the contents thereof and such notice shall not thereafter be revocable by such Borrower. If the relevant Borrower fails to deliver a timely Notice of Interest Rate Election to the Administrative Agent for any Group of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Loans, such Loans shall be converted into Base Rate Loans on the last day of the then current Interest Period applicable thereto</w:t>
      </w:r>
    </w:p>
    <w:p>
      <w:pPr>
        <w:spacing w:after="0" w:line="155"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i w:val="1"/>
          <w:iCs w:val="1"/>
          <w:color w:val="auto"/>
        </w:rPr>
        <w:t>Mandatory Termination of Commitments</w:t>
      </w:r>
      <w:r>
        <w:rPr>
          <w:rFonts w:ascii="Arial" w:cs="Arial" w:eastAsia="Arial" w:hAnsi="Arial"/>
          <w:sz w:val="21"/>
          <w:szCs w:val="21"/>
          <w:color w:val="auto"/>
        </w:rPr>
        <w:t>. The Commitments shall terminate on the Termination Date and any Loans then outstanding (together with accrued interest thereon) shall be due and payable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34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63"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Optional Prepayments</w:t>
      </w:r>
      <w:r>
        <w:rPr>
          <w:rFonts w:ascii="Arial" w:cs="Arial" w:eastAsia="Arial" w:hAnsi="Arial"/>
          <w:sz w:val="19"/>
          <w:szCs w:val="19"/>
          <w:color w:val="auto"/>
        </w:rPr>
        <w:t xml:space="preserve">. (a) Subject in the case of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Borrowing to Section 2.13, any Borrower may, upon at least one </w:t>
      </w:r>
      <w:r>
        <w:rPr>
          <w:rFonts w:ascii="Arial" w:cs="Arial" w:eastAsia="Arial" w:hAnsi="Arial"/>
          <w:sz w:val="19"/>
          <w:szCs w:val="19"/>
          <w:color w:val="FF0000"/>
          <w:strike w:val="1"/>
        </w:rPr>
        <w:t>Domestic</w:t>
      </w:r>
      <w:r>
        <w:rPr>
          <w:rFonts w:ascii="Arial" w:cs="Arial" w:eastAsia="Arial" w:hAnsi="Arial"/>
          <w:sz w:val="19"/>
          <w:szCs w:val="19"/>
          <w:color w:val="auto"/>
        </w:rPr>
        <w:t xml:space="preserve"> Business Day’s written notice to the Administrative Agent, prepay any Group of Base Rate Loans or upon at least three </w:t>
      </w:r>
      <w:r>
        <w:rPr>
          <w:rFonts w:ascii="Arial" w:cs="Arial" w:eastAsia="Arial" w:hAnsi="Arial"/>
          <w:sz w:val="19"/>
          <w:szCs w:val="19"/>
          <w:color w:val="FF0000"/>
          <w:strike w:val="1"/>
        </w:rPr>
        <w:t>Euro-Dollar</w:t>
      </w:r>
      <w:r>
        <w:rPr>
          <w:rFonts w:ascii="Arial" w:cs="Arial" w:eastAsia="Arial" w:hAnsi="Arial"/>
          <w:sz w:val="19"/>
          <w:szCs w:val="19"/>
          <w:color w:val="auto"/>
        </w:rPr>
        <w:t xml:space="preserve"> Business Days’ written notice to the Administrative Agent, prepay any Group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Loans, in each case in whole at any time, or from time to time in part in amounts aggregating $5,000,000 or any larger multiple of $1,000,000, by paying the principal amount to be prepaid together with accrued interest thereon to the date of prepayment and any payments in respect of funding losses required by Section 2.13. Each such optional prepayment shall be applied to prepay ratably the Loans of the several Lenders included in such Group.</w:t>
      </w:r>
    </w:p>
    <w:p>
      <w:pPr>
        <w:spacing w:after="0" w:line="154" w:lineRule="exact"/>
        <w:rPr>
          <w:sz w:val="20"/>
          <w:szCs w:val="20"/>
          <w:color w:val="auto"/>
        </w:rPr>
      </w:pPr>
    </w:p>
    <w:p>
      <w:pPr>
        <w:jc w:val="both"/>
        <w:ind w:firstLine="642"/>
        <w:spacing w:after="0" w:line="230" w:lineRule="auto"/>
        <w:tabs>
          <w:tab w:leader="none" w:pos="11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Upon receipt of a written notice of prepayment pursuant to this Section, the Administrative Agent shall promptly notify each Lender of the contents thereof and of such Lender’s ratable share of such prepayment and such notice shall not thereafter be revocable by the relevant Borrower.</w:t>
      </w:r>
    </w:p>
    <w:p>
      <w:pPr>
        <w:spacing w:after="0" w:line="154"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color w:val="auto"/>
        </w:rPr>
        <w:t>SECTION 2.12</w:t>
      </w:r>
      <w:r>
        <w:rPr>
          <w:rFonts w:ascii="Arial" w:cs="Arial" w:eastAsia="Arial" w:hAnsi="Arial"/>
          <w:sz w:val="20"/>
          <w:szCs w:val="20"/>
          <w:i w:val="1"/>
          <w:iCs w:val="1"/>
          <w:color w:val="auto"/>
        </w:rPr>
        <w:t>. General Provisions as to Payments.</w:t>
      </w:r>
      <w:r>
        <w:rPr>
          <w:rFonts w:ascii="Arial" w:cs="Arial" w:eastAsia="Arial" w:hAnsi="Arial"/>
          <w:sz w:val="20"/>
          <w:szCs w:val="20"/>
          <w:color w:val="auto"/>
        </w:rPr>
        <w:t xml:space="preserve"> (a) The Borrowers shall make each payment of principal of, and interest on, the Loans, of Letter of Credit Liabilities and of fees hereunder not later than 1:00 P.M. (New York City time) on the date when due, in federal or other funds immediately available in New York City and without setoff, recoupment or counterclaim, to the Administrative Agent at its address referred to in Section 11.01. The Administrative Agent will promptly distribute to each Lender its ratable share of each such payment received by the Administrative Agent for the account of the Lenders. Whenever any payment of principal of, or interest on, the Base Rate Loans or of fees shall be due on a day which is not a Domestic Business Day, the date for payment thereof shall be extended to the next succeeding Domestic Business Day. Whenever any payment of principal of, or interest on, the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Loans shall be due on a day which is not a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the date for payment thereof shall be extended to the next succeeding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unless such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falls in another calendar month, in which case the date for payment thereof shall be the next preceding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 If the date for any payment of principal is extended by operation of law or otherwise, interest thereon shall be payable for such extended time.</w:t>
      </w:r>
    </w:p>
    <w:p>
      <w:pPr>
        <w:spacing w:after="0" w:line="157" w:lineRule="exact"/>
        <w:rPr>
          <w:sz w:val="20"/>
          <w:szCs w:val="20"/>
          <w:color w:val="auto"/>
        </w:rPr>
      </w:pPr>
    </w:p>
    <w:p>
      <w:pPr>
        <w:jc w:val="both"/>
        <w:ind w:firstLine="642"/>
        <w:spacing w:after="0" w:line="218" w:lineRule="auto"/>
        <w:tabs>
          <w:tab w:leader="none" w:pos="1109" w:val="left"/>
        </w:tabs>
        <w:numPr>
          <w:ilvl w:val="0"/>
          <w:numId w:val="66"/>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a Borrower prior to the date on which any payment is due from such Borrower to the Lenders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that such Borrower shall not have so made such payment,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53" w:lineRule="exact"/>
        <w:rPr>
          <w:rFonts w:ascii="Arial" w:cs="Arial" w:eastAsia="Arial" w:hAnsi="Arial"/>
          <w:sz w:val="21"/>
          <w:szCs w:val="21"/>
          <w:color w:val="auto"/>
        </w:rPr>
      </w:pPr>
    </w:p>
    <w:p>
      <w:pPr>
        <w:jc w:val="both"/>
        <w:ind w:firstLine="642"/>
        <w:spacing w:after="0" w:line="252" w:lineRule="auto"/>
        <w:tabs>
          <w:tab w:leader="none" w:pos="111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If any Lender shall fail to make any payment required to be made by it pursuant to Section 2.12(b), 2.18(c) or 2.18(f), then the Administrative Agent may, in its discretion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notwithstanding any contrary provision hereof, apply any amounts thereafter received by the Administrative Agent for the account of such Lender </w:t>
      </w:r>
      <w:r>
        <w:rPr>
          <w:rFonts w:ascii="Arial" w:cs="Arial" w:eastAsia="Arial" w:hAnsi="Arial"/>
          <w:sz w:val="19"/>
          <w:szCs w:val="19"/>
          <w:u w:val="single" w:color="auto"/>
          <w:color w:val="0000FF"/>
        </w:rPr>
        <w:t>for the benefit of the Administrative Agent or any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Issuing Lender</w:t>
      </w:r>
      <w:r>
        <w:rPr>
          <w:rFonts w:ascii="Arial" w:cs="Arial" w:eastAsia="Arial" w:hAnsi="Arial"/>
          <w:sz w:val="19"/>
          <w:szCs w:val="19"/>
          <w:color w:val="0000FF"/>
        </w:rPr>
        <w:t xml:space="preserve"> </w:t>
      </w:r>
      <w:r>
        <w:rPr>
          <w:rFonts w:ascii="Arial" w:cs="Arial" w:eastAsia="Arial" w:hAnsi="Arial"/>
          <w:sz w:val="19"/>
          <w:szCs w:val="19"/>
          <w:color w:val="000000"/>
        </w:rPr>
        <w:t>to satisfy such Lender’s obligations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to it</w:t>
      </w:r>
      <w:r>
        <w:rPr>
          <w:rFonts w:ascii="Arial" w:cs="Arial" w:eastAsia="Arial" w:hAnsi="Arial"/>
          <w:sz w:val="19"/>
          <w:szCs w:val="19"/>
          <w:color w:val="0000FF"/>
        </w:rPr>
        <w:t xml:space="preserve"> </w:t>
      </w:r>
      <w:r>
        <w:rPr>
          <w:rFonts w:ascii="Arial" w:cs="Arial" w:eastAsia="Arial" w:hAnsi="Arial"/>
          <w:sz w:val="19"/>
          <w:szCs w:val="19"/>
          <w:color w:val="000000"/>
        </w:rPr>
        <w:t>under such</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Section</w:t>
      </w:r>
      <w:r>
        <w:rPr>
          <w:rFonts w:ascii="Arial" w:cs="Arial" w:eastAsia="Arial" w:hAnsi="Arial"/>
          <w:sz w:val="19"/>
          <w:szCs w:val="19"/>
          <w:color w:val="0000FF"/>
        </w:rPr>
        <w:t xml:space="preserve"> </w:t>
      </w:r>
      <w:r>
        <w:rPr>
          <w:rFonts w:ascii="Arial" w:cs="Arial" w:eastAsia="Arial" w:hAnsi="Arial"/>
          <w:sz w:val="19"/>
          <w:szCs w:val="19"/>
          <w:color w:val="000000"/>
        </w:rPr>
        <w:t>until all such unsatisfied obligations are fully paid</w:t>
      </w:r>
      <w:r>
        <w:rPr>
          <w:rFonts w:ascii="Arial" w:cs="Arial" w:eastAsia="Arial" w:hAnsi="Arial"/>
          <w:sz w:val="19"/>
          <w:szCs w:val="19"/>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35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63" w:lineRule="exact"/>
        <w:rPr>
          <w:sz w:val="20"/>
          <w:szCs w:val="20"/>
          <w:color w:val="auto"/>
        </w:rPr>
      </w:pPr>
    </w:p>
    <w:p>
      <w:pPr>
        <w:jc w:val="both"/>
        <w:ind w:firstLine="642"/>
        <w:spacing w:after="0" w:line="224" w:lineRule="auto"/>
        <w:tabs>
          <w:tab w:leader="none" w:pos="1155"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If any Lender shall, by exercising any right of setoff or counterclaim or otherwise, obtain payment in respect of any principal of or interest or fees on any of its Loans or participations in Letter of Credit Disbursements resulting in such Lender receiving payment of a greater proportion of the aggregate amount of its Loans and participations in Letter of Credit Disbursements and accrued interest and/or fees thereon than the proportion received by any other Lender, then the Lender receiving such greater proportion shall purchase (for cash at face value) participations in the Loans and participations in the Letter of Credit Disbursements of other Lenders to the extent necessary so that the benefit of all such payments shall be shared by the Lenders ratably in accordance with the aggregate amount of principal of and accrued interest on their respective Loans and participations in Letter of Credit Disbursements;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Letter of Credit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67" w:lineRule="exact"/>
        <w:rPr>
          <w:sz w:val="20"/>
          <w:szCs w:val="20"/>
          <w:color w:val="auto"/>
        </w:rPr>
      </w:pPr>
    </w:p>
    <w:p>
      <w:pPr>
        <w:jc w:val="both"/>
        <w:ind w:firstLine="636"/>
        <w:spacing w:after="0" w:line="227"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i w:val="1"/>
          <w:iCs w:val="1"/>
          <w:color w:val="auto"/>
        </w:rPr>
        <w:t>Funding Losses</w:t>
      </w:r>
      <w:r>
        <w:rPr>
          <w:rFonts w:ascii="Arial" w:cs="Arial" w:eastAsia="Arial" w:hAnsi="Arial"/>
          <w:sz w:val="20"/>
          <w:szCs w:val="20"/>
          <w:color w:val="auto"/>
        </w:rPr>
        <w:t xml:space="preserve">. If a Borrower makes any payment of principal with respect to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Benchmark</w:t>
      </w:r>
      <w:r>
        <w:rPr>
          <w:rFonts w:ascii="Arial" w:cs="Arial" w:eastAsia="Arial" w:hAnsi="Arial"/>
          <w:sz w:val="20"/>
          <w:szCs w:val="20"/>
          <w:color w:val="0000FF"/>
        </w:rPr>
        <w:t xml:space="preserve"> </w:t>
      </w:r>
      <w:r>
        <w:rPr>
          <w:rFonts w:ascii="Arial" w:cs="Arial" w:eastAsia="Arial" w:hAnsi="Arial"/>
          <w:sz w:val="20"/>
          <w:szCs w:val="20"/>
          <w:color w:val="000000"/>
        </w:rPr>
        <w:t>Loan or any</w:t>
      </w:r>
      <w:r>
        <w:rPr>
          <w:rFonts w:ascii="Arial" w:cs="Arial" w:eastAsia="Arial" w:hAnsi="Arial"/>
          <w:sz w:val="20"/>
          <w:szCs w:val="20"/>
          <w:color w:val="0000FF"/>
        </w:rPr>
        <w:t xml:space="preserv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0000FF"/>
        </w:rPr>
        <w:t xml:space="preserve"> </w:t>
      </w:r>
      <w:r>
        <w:rPr>
          <w:rFonts w:ascii="Arial" w:cs="Arial" w:eastAsia="Arial" w:hAnsi="Arial"/>
          <w:sz w:val="20"/>
          <w:szCs w:val="20"/>
          <w:color w:val="000000"/>
        </w:rPr>
        <w:t>Loan is converted (pursuant to Article 2, 6 or 8 or otherwise) on any day</w:t>
      </w:r>
      <w:r>
        <w:rPr>
          <w:rFonts w:ascii="Arial" w:cs="Arial" w:eastAsia="Arial" w:hAnsi="Arial"/>
          <w:sz w:val="20"/>
          <w:szCs w:val="20"/>
          <w:color w:val="0000FF"/>
        </w:rPr>
        <w:t xml:space="preserve"> </w:t>
      </w:r>
      <w:r>
        <w:rPr>
          <w:rFonts w:ascii="Arial" w:cs="Arial" w:eastAsia="Arial" w:hAnsi="Arial"/>
          <w:sz w:val="20"/>
          <w:szCs w:val="20"/>
          <w:color w:val="000000"/>
        </w:rPr>
        <w:t>other than the last day of an Interest Period applicable thereto</w:t>
      </w:r>
      <w:r>
        <w:rPr>
          <w:rFonts w:ascii="Arial" w:cs="Arial" w:eastAsia="Arial" w:hAnsi="Arial"/>
          <w:sz w:val="20"/>
          <w:szCs w:val="20"/>
          <w:color w:val="FF0000"/>
          <w:strike w:val="1"/>
        </w:rPr>
        <w:t>, or the last day of an applicable period fixed pursuant to Section</w:t>
      </w:r>
      <w:r>
        <w:rPr>
          <w:rFonts w:ascii="Arial" w:cs="Arial" w:eastAsia="Arial" w:hAnsi="Arial"/>
          <w:sz w:val="20"/>
          <w:szCs w:val="20"/>
          <w:color w:val="000000"/>
        </w:rPr>
        <w:t xml:space="preserve"> </w:t>
      </w:r>
      <w:r>
        <w:rPr>
          <w:rFonts w:ascii="Arial" w:cs="Arial" w:eastAsia="Arial" w:hAnsi="Arial"/>
          <w:sz w:val="20"/>
          <w:szCs w:val="20"/>
          <w:color w:val="FF0000"/>
          <w:strike w:val="1"/>
        </w:rPr>
        <w:t>2.06(c),</w:t>
      </w:r>
      <w:r>
        <w:rPr>
          <w:rFonts w:ascii="Arial" w:cs="Arial" w:eastAsia="Arial" w:hAnsi="Arial"/>
          <w:sz w:val="20"/>
          <w:szCs w:val="20"/>
          <w:color w:val="FF0000"/>
        </w:rPr>
        <w:t xml:space="preserve"> </w:t>
      </w:r>
      <w:r>
        <w:rPr>
          <w:rFonts w:ascii="Arial" w:cs="Arial" w:eastAsia="Arial" w:hAnsi="Arial"/>
          <w:sz w:val="20"/>
          <w:szCs w:val="20"/>
          <w:color w:val="000000"/>
        </w:rPr>
        <w:t>or if a Borrower fails to borrow, prepay, convert or continue any</w:t>
      </w:r>
      <w:r>
        <w:rPr>
          <w:rFonts w:ascii="Arial" w:cs="Arial" w:eastAsia="Arial" w:hAnsi="Arial"/>
          <w:sz w:val="20"/>
          <w:szCs w:val="20"/>
          <w:color w:val="FF0000"/>
        </w:rPr>
        <w:t xml:space="preserv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Loans after notice has been</w:t>
      </w:r>
      <w:r>
        <w:rPr>
          <w:rFonts w:ascii="Arial" w:cs="Arial" w:eastAsia="Arial" w:hAnsi="Arial"/>
          <w:sz w:val="20"/>
          <w:szCs w:val="20"/>
          <w:color w:val="FF0000"/>
        </w:rPr>
        <w:t xml:space="preserve"> </w:t>
      </w:r>
      <w:r>
        <w:rPr>
          <w:rFonts w:ascii="Arial" w:cs="Arial" w:eastAsia="Arial" w:hAnsi="Arial"/>
          <w:sz w:val="20"/>
          <w:szCs w:val="20"/>
          <w:color w:val="000000"/>
        </w:rPr>
        <w:t xml:space="preserve">given to any Lender in accordance with Section 2.03(a), 2.09(c) or 2.11(b), the relevant Borrower shall reimburse each Lender within 15 days after demand for any resulting loss or expense incurred by it (or by an existing or prospective Participant in the related Loan), including (without limitation) any loss incurred in obtaining, liquidating or employing deposits from third parties, but excluding loss of margin for the period after any such payment or conversion or failure to borrow, prepay, convert or continue;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such Lender shall have delivered to the Company a certificate as to the amount of such loss or expense, which certificate shall be conclusive in the absence of manifest error.</w:t>
      </w:r>
    </w:p>
    <w:p>
      <w:pPr>
        <w:spacing w:after="0" w:line="15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9"/>
          <w:szCs w:val="19"/>
          <w:color w:val="auto"/>
        </w:rPr>
        <w:t>SECTION 2.14</w:t>
      </w:r>
      <w:r>
        <w:rPr>
          <w:rFonts w:ascii="Arial" w:cs="Arial" w:eastAsia="Arial" w:hAnsi="Arial"/>
          <w:sz w:val="19"/>
          <w:szCs w:val="19"/>
          <w:i w:val="1"/>
          <w:iCs w:val="1"/>
          <w:color w:val="auto"/>
        </w:rPr>
        <w:t>. Computation of Interest and Fees</w:t>
      </w:r>
      <w:r>
        <w:rPr>
          <w:rFonts w:ascii="Arial" w:cs="Arial" w:eastAsia="Arial" w:hAnsi="Arial"/>
          <w:sz w:val="19"/>
          <w:szCs w:val="19"/>
          <w:color w:val="auto"/>
        </w:rPr>
        <w:t>. Interest based on the Prime Rate shall be computed on the basis of a year of 365 days (or 366 days in a leap year) and paid for the actual number of days elapsed (including the first day but excluding the last day). All other interest and fees under this Article 2 shall be computed on the basis of a year of 360 days and paid for the actual number of days elapsed (including the first day but excluding the last day). All interest hereunder on any Loan shall be computed on a daily basis based upon the outstanding principal amount of such Loan as of the applicable date of determination.</w:t>
      </w:r>
    </w:p>
    <w:p>
      <w:pPr>
        <w:spacing w:after="0" w:line="148"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 xml:space="preserve">SECTION 2.15. </w:t>
      </w:r>
      <w:r>
        <w:rPr>
          <w:rFonts w:ascii="Arial" w:cs="Arial" w:eastAsia="Arial" w:hAnsi="Arial"/>
          <w:sz w:val="21"/>
          <w:szCs w:val="21"/>
          <w:i w:val="1"/>
          <w:iCs w:val="1"/>
          <w:color w:val="auto"/>
        </w:rPr>
        <w:t>Judgment Currency</w:t>
      </w:r>
      <w:r>
        <w:rPr>
          <w:rFonts w:ascii="Arial" w:cs="Arial" w:eastAsia="Arial" w:hAnsi="Arial"/>
          <w:sz w:val="21"/>
          <w:szCs w:val="21"/>
          <w:color w:val="auto"/>
        </w:rPr>
        <w:t>. If for the purpose of obtaining judgment in any court it is necessary to convert a sum due from any Borrower hereunder or under any of the Notes in dollars into another currency, the parties hereto agree, to the fullest extent that they may effectively do so, that the rate of exchange used shall be that at which in accordance with normal banking procedures the Administrative Agent could purchase dollars with such other currency at the Administrative Agent’s New York office on the Domestic Business Day preceding that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36</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which final judgment is given. The Obligations of each Borrower in respect of any sum due to any Lender or the Administrative Agent hereunder or under any Note shall, notwithstanding any judgment in a currency other than dollars, be discharged only to the extent that on the Domestic Business Day following receipt by such Lender or the Administrative Agent (as the case may be) of any sum adjudged to be so due in such other currency such Lender or the Administrative Agent (as the case may be) may in accordance with normal banking procedures purchase dollars with such other currency; if the amount of dollars so purchased is less than the sum originally due to such Lender or the Administrative Agent, as the case may be, in dollars, each Borrower agrees, to the fullest extent that it may effectively do so, as a separate obligation and notwithstanding any such judgment, to indemnify such Lender or the Administrative Agent, as the case may be, against such loss, and if the amount of dollars so purchased exceeds (a) the sum originally due to any Lender or the Administrative Agent, as the case may be, and (b) any amounts shared with other Lenders as a result of allocations of such excess as a disproportionate payment to such Lender under Section 11.04, such Lender or the Administrative Agent, as the case may be, agrees to remit such excess to the appropriate Borrower.</w:t>
      </w:r>
    </w:p>
    <w:p>
      <w:pPr>
        <w:spacing w:after="0" w:line="161"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i w:val="1"/>
          <w:iCs w:val="1"/>
          <w:color w:val="auto"/>
        </w:rPr>
        <w:t>Foreign Subsidiary Borrowers</w:t>
      </w:r>
      <w:r>
        <w:rPr>
          <w:rFonts w:ascii="Arial" w:cs="Arial" w:eastAsia="Arial" w:hAnsi="Arial"/>
          <w:sz w:val="19"/>
          <w:szCs w:val="19"/>
          <w:color w:val="auto"/>
        </w:rPr>
        <w:t>. (a) If the cost to any Lender of making or maintaining any Loan to or of issuing or maintaining any Letter of Credit for the account of an Eligible Subsidiary is increased, or the amount of any sum received or receivable by any Lender (or its Applicable Lending Office) is reduced by an amount deemed by such Lender to be material, by reason of the fact that such Eligible Subsidiary is organized in, or conducts business in, a jurisdiction outside the United States (a “</w:t>
      </w:r>
      <w:r>
        <w:rPr>
          <w:rFonts w:ascii="Arial" w:cs="Arial" w:eastAsia="Arial" w:hAnsi="Arial"/>
          <w:sz w:val="19"/>
          <w:szCs w:val="19"/>
          <w:b w:val="1"/>
          <w:bCs w:val="1"/>
          <w:color w:val="auto"/>
        </w:rPr>
        <w:t>Foreign Subsidiary Borrower</w:t>
      </w:r>
      <w:r>
        <w:rPr>
          <w:rFonts w:ascii="Arial" w:cs="Arial" w:eastAsia="Arial" w:hAnsi="Arial"/>
          <w:sz w:val="19"/>
          <w:szCs w:val="19"/>
          <w:color w:val="auto"/>
        </w:rPr>
        <w:t xml:space="preserve">”), the Company shall indemnify such Lender for such increased cost or reduction within 15 days after demand by such Lender (with a copy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this Section 2.16(a) shall not apply with respect to Taxes. A certificate of such Lender claiming compensation under this subsection 2.16(a) and setting forth the additional amount or amounts to be paid to it hereunder shall be conclusive in the absence of manifest error.</w:t>
      </w:r>
    </w:p>
    <w:p>
      <w:pPr>
        <w:spacing w:after="0" w:line="153" w:lineRule="exact"/>
        <w:rPr>
          <w:sz w:val="20"/>
          <w:szCs w:val="20"/>
          <w:color w:val="auto"/>
        </w:rPr>
      </w:pPr>
    </w:p>
    <w:p>
      <w:pPr>
        <w:jc w:val="both"/>
        <w:ind w:firstLine="642"/>
        <w:spacing w:after="0" w:line="225" w:lineRule="auto"/>
        <w:tabs>
          <w:tab w:leader="none" w:pos="1126" w:val="left"/>
        </w:tabs>
        <w:numPr>
          <w:ilvl w:val="0"/>
          <w:numId w:val="68"/>
        </w:numPr>
        <w:rPr>
          <w:rFonts w:ascii="Arial" w:cs="Arial" w:eastAsia="Arial" w:hAnsi="Arial"/>
          <w:sz w:val="21"/>
          <w:szCs w:val="21"/>
          <w:color w:val="auto"/>
        </w:rPr>
      </w:pPr>
      <w:r>
        <w:rPr>
          <w:rFonts w:ascii="Arial" w:cs="Arial" w:eastAsia="Arial" w:hAnsi="Arial"/>
          <w:sz w:val="21"/>
          <w:szCs w:val="21"/>
          <w:color w:val="auto"/>
        </w:rPr>
        <w:t>Each Lender will promptly notify the Company and the Administrative Agent of any event of which it has knowledge that will entitle such Lender to additional interest or payments pursuant to subsection 2.16(a) and will designate a different Applicable Lending Office, if, in the judgment of such Lender, such designation will avoid the need for, or reduce the amount of, such compensation and will not be otherwise disadvantageous to such Lender.</w:t>
      </w:r>
    </w:p>
    <w:p>
      <w:pPr>
        <w:spacing w:after="0" w:line="154" w:lineRule="exact"/>
        <w:rPr>
          <w:rFonts w:ascii="Arial" w:cs="Arial" w:eastAsia="Arial" w:hAnsi="Arial"/>
          <w:sz w:val="21"/>
          <w:szCs w:val="21"/>
          <w:color w:val="auto"/>
        </w:rPr>
      </w:pPr>
    </w:p>
    <w:p>
      <w:pPr>
        <w:jc w:val="both"/>
        <w:ind w:firstLine="642"/>
        <w:spacing w:after="0" w:line="242" w:lineRule="auto"/>
        <w:tabs>
          <w:tab w:leader="none" w:pos="1125"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Each Lender may, at its option, make any Loan available to any Foreign Subsidiary Borrower by causing any foreign or domestic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such Foreign Subsidiary Borrower to repay such Loan in accordance with the terms of this Agreement.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SECTION 2.17. [</w:t>
      </w:r>
      <w:r>
        <w:rPr>
          <w:rFonts w:ascii="Arial" w:cs="Arial" w:eastAsia="Arial" w:hAnsi="Arial"/>
          <w:sz w:val="21"/>
          <w:szCs w:val="21"/>
          <w:i w:val="1"/>
          <w:iCs w:val="1"/>
          <w:u w:val="single" w:color="auto"/>
          <w:color w:val="0000FF"/>
        </w:rPr>
        <w:t>Reserved</w:t>
      </w:r>
      <w:r>
        <w:rPr>
          <w:rFonts w:ascii="Arial" w:cs="Arial" w:eastAsia="Arial" w:hAnsi="Arial"/>
          <w:sz w:val="21"/>
          <w:szCs w:val="21"/>
          <w:u w:val="single" w:color="auto"/>
          <w:color w:val="0000FF"/>
        </w:rPr>
        <w:t>].</w:t>
      </w:r>
    </w:p>
    <w:p>
      <w:pPr>
        <w:spacing w:after="0" w:line="183"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21"/>
          <w:szCs w:val="21"/>
          <w:color w:val="FF0000"/>
          <w:strike w:val="1"/>
        </w:rPr>
        <w:t xml:space="preserve">SECTION 2.17 . </w:t>
      </w:r>
      <w:r>
        <w:rPr>
          <w:rFonts w:ascii="Arial" w:cs="Arial" w:eastAsia="Arial" w:hAnsi="Arial"/>
          <w:sz w:val="21"/>
          <w:szCs w:val="21"/>
          <w:i w:val="1"/>
          <w:iCs w:val="1"/>
          <w:color w:val="FF0000"/>
          <w:strike w:val="1"/>
        </w:rPr>
        <w:t>Regulation D Compensation</w:t>
      </w:r>
      <w:r>
        <w:rPr>
          <w:rFonts w:ascii="Arial" w:cs="Arial" w:eastAsia="Arial" w:hAnsi="Arial"/>
          <w:sz w:val="21"/>
          <w:szCs w:val="21"/>
          <w:color w:val="FF0000"/>
          <w:strike w:val="1"/>
        </w:rPr>
        <w:t xml:space="preserve">. Each Lender may require a Borrower to pay, contemporaneously with each payment of interest by such Borrower on the Euro-Dollar Loans of such Borrower, additional interest on the related Euro-Dollar Loan of such Lender at </w:t>
      </w:r>
      <w:r>
        <w:rPr>
          <w:rFonts w:ascii="Arial" w:cs="Arial" w:eastAsia="Arial" w:hAnsi="Arial"/>
          <w:sz w:val="21"/>
          <w:szCs w:val="21"/>
          <w:color w:val="008000"/>
          <w:strike w:val="1"/>
        </w:rPr>
        <w:t>a rate per annum</w:t>
      </w:r>
      <w:r>
        <w:rPr>
          <w:rFonts w:ascii="Arial" w:cs="Arial" w:eastAsia="Arial" w:hAnsi="Arial"/>
          <w:sz w:val="21"/>
          <w:szCs w:val="21"/>
          <w:color w:val="FF0000"/>
          <w:strike w:val="1"/>
        </w:rPr>
        <w:t xml:space="preserve"> determined by such Lender up to but not exceeding the excess of (i) (A) the applicable Euro-Dollar Rate divided by (B) one </w:t>
      </w:r>
      <w:r>
        <w:rPr>
          <w:rFonts w:ascii="Arial" w:cs="Arial" w:eastAsia="Arial" w:hAnsi="Arial"/>
          <w:sz w:val="21"/>
          <w:szCs w:val="21"/>
          <w:i w:val="1"/>
          <w:iCs w:val="1"/>
          <w:color w:val="FF0000"/>
          <w:strike w:val="1"/>
        </w:rPr>
        <w:t>minus</w:t>
      </w:r>
      <w:r>
        <w:rPr>
          <w:rFonts w:ascii="Arial" w:cs="Arial" w:eastAsia="Arial" w:hAnsi="Arial"/>
          <w:sz w:val="21"/>
          <w:szCs w:val="21"/>
          <w:color w:val="FF0000"/>
          <w:strike w:val="1"/>
        </w:rPr>
        <w:t xml:space="preserve"> the Euro-Dollar Reserve Percentage over (ii) the applicable Euro-Dollar Rate. Any Lender wishing to require payment of such additional interest (x) shall so notify the relevant Borrower and the Administrative Agent, in which case such additional interest on the Euro-Dollar Loans of such Lender shall be payable to such Lender at the place indicated in such notice with respect to each Interest Period commencing at least three Euro-Dollar Business Days after the giving of such notice and (y) shall notify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37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FF0000"/>
          <w:strike w:val="1"/>
        </w:rPr>
        <w:t xml:space="preserve">Borrower at least five Euro-Dollar </w:t>
      </w:r>
      <w:r>
        <w:rPr>
          <w:rFonts w:ascii="Arial" w:cs="Arial" w:eastAsia="Arial" w:hAnsi="Arial"/>
          <w:sz w:val="21"/>
          <w:szCs w:val="21"/>
          <w:color w:val="008000"/>
          <w:strike w:val="1"/>
        </w:rPr>
        <w:t>Business Days prior to</w:t>
      </w:r>
      <w:r>
        <w:rPr>
          <w:rFonts w:ascii="Arial" w:cs="Arial" w:eastAsia="Arial" w:hAnsi="Arial"/>
          <w:sz w:val="21"/>
          <w:szCs w:val="21"/>
          <w:color w:val="FF0000"/>
          <w:strike w:val="1"/>
        </w:rPr>
        <w:t xml:space="preserve"> each date on which interest is payable on the Euro-Dollar Loans of the amount then due it under this Section 2.17.</w:t>
      </w:r>
    </w:p>
    <w:p>
      <w:pPr>
        <w:spacing w:after="0" w:line="149"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Euro-Dollar Reserve Percentage</w:t>
      </w:r>
      <w:r>
        <w:rPr>
          <w:rFonts w:ascii="Arial" w:cs="Arial" w:eastAsia="Arial" w:hAnsi="Arial"/>
          <w:sz w:val="21"/>
          <w:szCs w:val="21"/>
          <w:color w:val="FF0000"/>
          <w:strike w:val="1"/>
        </w:rPr>
        <w:t>” means for any day that percentage (expressed as a decimal) which is in effect on such day, as prescribed by the Federal Reserve Board (or any successor) for determining the maximum reserve requirement for a member bank of the Federal Reserve System in New York City with deposits exceeding five billion dollars in respect of “Eurocurrency liabilities” (or in respect of any other category of liabilities which includes deposits by reference to which the interest rate on Euro-Dollar Loans is determined or any category of extensions of credit or other assets which includes loans by a non-United States office of any Lender to United States residents).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SECTION 2.18</w:t>
      </w:r>
      <w:r>
        <w:rPr>
          <w:rFonts w:ascii="Arial" w:cs="Arial" w:eastAsia="Arial" w:hAnsi="Arial"/>
          <w:sz w:val="21"/>
          <w:szCs w:val="21"/>
          <w:i w:val="1"/>
          <w:iCs w:val="1"/>
          <w:color w:val="auto"/>
        </w:rPr>
        <w:t>. Letters of Credit.</w:t>
      </w:r>
    </w:p>
    <w:p>
      <w:pPr>
        <w:spacing w:after="0" w:line="183" w:lineRule="exact"/>
        <w:rPr>
          <w:sz w:val="20"/>
          <w:szCs w:val="20"/>
          <w:color w:val="auto"/>
        </w:rPr>
      </w:pPr>
    </w:p>
    <w:p>
      <w:pPr>
        <w:jc w:val="both"/>
        <w:ind w:firstLine="642"/>
        <w:spacing w:after="0"/>
        <w:tabs>
          <w:tab w:leader="none" w:pos="1158"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Commitment to Issue Letters of Credit</w:t>
      </w:r>
      <w:r>
        <w:rPr>
          <w:rFonts w:ascii="Arial" w:cs="Arial" w:eastAsia="Arial" w:hAnsi="Arial"/>
          <w:sz w:val="19"/>
          <w:szCs w:val="19"/>
          <w:color w:val="auto"/>
        </w:rPr>
        <w:t>. Subject to the terms and conditions hereof, and so long as no Stop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Notice is in effect, each Issuing Lender agrees to issue Letters of Credit from time to time before the Letter of Credit Termination Date upon the request of any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after each Letter of Credit is issued (i) the Total Outstanding Amount shall not exceed the aggregate amount of the Commitments, (ii) the Letter of Credit Liabilities outstanding with respect to such Issuing Lender shall not exceed such Issuing Lender’s Letter of Credit Sublimit, (iii) the aggregate amount of the Letter of Credit Liabilities shall not exceed the Letter of Credit Sublimit referred to in clause (a) of the definition thereof and (iv) no Lender’s Credit Exposure shall exceed its Commitment. Upon the date of issuance by an Issuing Lender of a Letter of Credit, the Issuing Lender shall be deemed, without further action by any party hereto, to have sold to each Lender, and each Lender shall be deemed, without further action by any party hereto, to have purchased from the Issuing Lender, a participation in such Letter of Credit and the related Letter of Credit Liabilities in the proportion its respective Commitment bears to the aggregate Commitments. In the event the Commitments shall have been extended pursuant to Section 2.01(b) with respect to some but not all Lenders, and as a result the Termination Date applicable to a Lender falls prior to the expiry date of a Letter of Credit then outstanding, such Lender’s participation in such Letter of Credit shall terminate on its Termination Date, and the participations of the other Lenders therein shall be redetermined pro rata to their respective Percentages after giving effect to the termination of the Commitment of such former Lender. If and to the extent necessary to permit redetermination of the participations in Letters of Credit pursuant to the preceding sentence within the limits of the Commitments which are not terminated, the Borrowers shall prepay on such date all or a portion of the outstanding Loans, and such redetermination and termination of participations in outstanding Letters of Credit shall be conditioned upon their having done so.</w:t>
      </w:r>
    </w:p>
    <w:p>
      <w:pPr>
        <w:spacing w:after="0" w:line="313" w:lineRule="exact"/>
        <w:rPr>
          <w:rFonts w:ascii="Arial" w:cs="Arial" w:eastAsia="Arial" w:hAnsi="Arial"/>
          <w:sz w:val="19"/>
          <w:szCs w:val="19"/>
          <w:color w:val="auto"/>
        </w:rPr>
      </w:pPr>
    </w:p>
    <w:p>
      <w:pPr>
        <w:ind w:left="1100" w:hanging="458"/>
        <w:spacing w:after="0"/>
        <w:tabs>
          <w:tab w:leader="none" w:pos="1100"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Method for Issuance; Terms; Extensions.</w:t>
      </w:r>
    </w:p>
    <w:p>
      <w:pPr>
        <w:spacing w:after="0" w:line="182" w:lineRule="exact"/>
        <w:rPr>
          <w:rFonts w:ascii="Arial" w:cs="Arial" w:eastAsia="Arial" w:hAnsi="Arial"/>
          <w:sz w:val="21"/>
          <w:szCs w:val="21"/>
          <w:color w:val="auto"/>
        </w:rPr>
      </w:pPr>
    </w:p>
    <w:p>
      <w:pPr>
        <w:jc w:val="both"/>
        <w:ind w:left="640" w:firstLine="638"/>
        <w:spacing w:after="0" w:line="228" w:lineRule="auto"/>
        <w:tabs>
          <w:tab w:leader="none" w:pos="1696"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Borrower shall give the Issuing Lender notice at least three Domestic Business Days (or such shorter notice as may be acceptable to the Issuing Lender in its discretion) prior to the requested issuance of a Letter of Credit (or, in the case of renewal or extension, prior to the Issuing Lender’s deadline for notice of nonextension) specifying the date such Letter of Credit is to be issued, and describing the terms of such Letter of Credit and the nature of the transactions to be supported thereby (such notice, including any such notice given in connection with the extension of a Letter of Credit, a “</w:t>
      </w:r>
      <w:r>
        <w:rPr>
          <w:rFonts w:ascii="Arial" w:cs="Arial" w:eastAsia="Arial" w:hAnsi="Arial"/>
          <w:sz w:val="20"/>
          <w:szCs w:val="20"/>
          <w:b w:val="1"/>
          <w:bCs w:val="1"/>
          <w:color w:val="auto"/>
        </w:rPr>
        <w:t>Notice of Issuance</w:t>
      </w:r>
      <w:r>
        <w:rPr>
          <w:rFonts w:ascii="Arial" w:cs="Arial" w:eastAsia="Arial" w:hAnsi="Arial"/>
          <w:sz w:val="20"/>
          <w:szCs w:val="20"/>
          <w:color w:val="auto"/>
        </w:rPr>
        <w:t>”). Upon receipt of a Notice of Issuance, the Issuing Lender shall promptly notify the Administrative Agent, and the Administrative Agent shall promptly notify each Lender of the contents thereof and of the amount of such Lender’s participation in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38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63" w:lineRule="exact"/>
        <w:rPr>
          <w:sz w:val="20"/>
          <w:szCs w:val="20"/>
          <w:color w:val="auto"/>
        </w:rPr>
      </w:pPr>
    </w:p>
    <w:p>
      <w:pPr>
        <w:jc w:val="both"/>
        <w:ind w:left="640" w:firstLine="638"/>
        <w:spacing w:after="0" w:line="225" w:lineRule="auto"/>
        <w:tabs>
          <w:tab w:leader="none" w:pos="1759"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obligation of the Issuing Lender to issue each Letter of Credit shall, in addition to the conditions precedent set forth in Section 3.02, be subject to the conditions precedent that such Letter of Credit shall be in such form and contain such terms as shall be reasonably satisfactory to the Issuing Lender and that the Borrower shall have executed and delivered such other instruments and agreements relating to such Letter of Credit as the Issuing Lender shall have reasonably requested. The Borrower shall also pay to the Issuing Lender for its own account issuance, drawing, amendment and extension charges in the amounts and at the times as agreed between the Borrower and the Issuing Lender. An Issuing Lender shall not be under any obligation to issue any Letter of Credit if: (i) any order, judgment or decree of any Governmental Authority or arbitrator shall by its terms purport to enjoin or restrain such Issuing Lender from issuing such Letter of Credit, or any law applicable to such Issuing Lender shall prohibit, or require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Effective Date, or shall impose upon such Issuing Lender any unreimbursed loss, cost or expense that was not applicable on the Effective Date and that such Issuing Lender in good faith deems material to it; or (ii) the issuance of such Letter of Credit would violate one or more policies of such Issuing Lender applicable to letters of credit generally.</w:t>
      </w:r>
    </w:p>
    <w:p>
      <w:pPr>
        <w:spacing w:after="0" w:line="157" w:lineRule="exact"/>
        <w:rPr>
          <w:rFonts w:ascii="Arial" w:cs="Arial" w:eastAsia="Arial" w:hAnsi="Arial"/>
          <w:sz w:val="20"/>
          <w:szCs w:val="20"/>
          <w:color w:val="auto"/>
        </w:rPr>
      </w:pPr>
    </w:p>
    <w:p>
      <w:pPr>
        <w:jc w:val="both"/>
        <w:ind w:left="640" w:firstLine="638"/>
        <w:spacing w:after="0" w:line="228" w:lineRule="auto"/>
        <w:tabs>
          <w:tab w:leader="none" w:pos="1858"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The extension or renewal of any Letter of Credit shall be deemed to be an issuance of such Letter of Credit, and if any Letter of Credit contains a provision pursuant to which it is deemed to be extended unless notice of termination is given by the Issuing Lender, the Issuing Lender shall timely give such notice of termination unless it has theretofore timely received a Notice of Issuance and the other conditions to issuance of a Letter of Credit have also theretofore been met with respect to such extension. No Letter of Credit shall have a term of more than twelve months;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Letter of Credit may contain a provision pursuant to which it is deemed to be extended on an annual basis unless notice of termination is given by the Issuing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no Letter of Credit shall have a term extending or be so extendible beyond the Letter of Credit Termination Date.</w:t>
      </w:r>
    </w:p>
    <w:p>
      <w:pPr>
        <w:spacing w:after="0" w:line="160" w:lineRule="exact"/>
        <w:rPr>
          <w:rFonts w:ascii="Arial" w:cs="Arial" w:eastAsia="Arial" w:hAnsi="Arial"/>
          <w:sz w:val="20"/>
          <w:szCs w:val="20"/>
          <w:color w:val="auto"/>
        </w:rPr>
      </w:pPr>
    </w:p>
    <w:p>
      <w:pPr>
        <w:ind w:left="1080" w:hanging="438"/>
        <w:spacing w:after="0"/>
        <w:tabs>
          <w:tab w:leader="none" w:pos="1080" w:val="left"/>
        </w:tabs>
        <w:numPr>
          <w:ilvl w:val="0"/>
          <w:numId w:val="71"/>
        </w:numPr>
        <w:rPr>
          <w:rFonts w:ascii="Arial" w:cs="Arial" w:eastAsia="Arial" w:hAnsi="Arial"/>
          <w:sz w:val="21"/>
          <w:szCs w:val="21"/>
          <w:color w:val="auto"/>
        </w:rPr>
      </w:pPr>
      <w:r>
        <w:rPr>
          <w:rFonts w:ascii="Arial" w:cs="Arial" w:eastAsia="Arial" w:hAnsi="Arial"/>
          <w:sz w:val="21"/>
          <w:szCs w:val="21"/>
          <w:i w:val="1"/>
          <w:iCs w:val="1"/>
          <w:color w:val="auto"/>
        </w:rPr>
        <w:t>Payments; Reimbursement Obligations.</w:t>
      </w:r>
    </w:p>
    <w:p>
      <w:pPr>
        <w:spacing w:after="0" w:line="182" w:lineRule="exact"/>
        <w:rPr>
          <w:rFonts w:ascii="Arial" w:cs="Arial" w:eastAsia="Arial" w:hAnsi="Arial"/>
          <w:sz w:val="21"/>
          <w:szCs w:val="21"/>
          <w:color w:val="auto"/>
        </w:rPr>
      </w:pPr>
    </w:p>
    <w:p>
      <w:pPr>
        <w:jc w:val="both"/>
        <w:ind w:left="560" w:firstLine="718"/>
        <w:spacing w:after="0" w:line="226" w:lineRule="auto"/>
        <w:tabs>
          <w:tab w:leader="none" w:pos="1691" w:val="left"/>
        </w:tabs>
        <w:numPr>
          <w:ilvl w:val="1"/>
          <w:numId w:val="71"/>
        </w:numPr>
        <w:rPr>
          <w:rFonts w:ascii="Arial" w:cs="Arial" w:eastAsia="Arial" w:hAnsi="Arial"/>
          <w:sz w:val="20"/>
          <w:szCs w:val="20"/>
          <w:color w:val="auto"/>
        </w:rPr>
      </w:pPr>
      <w:r>
        <w:rPr>
          <w:rFonts w:ascii="Arial" w:cs="Arial" w:eastAsia="Arial" w:hAnsi="Arial"/>
          <w:sz w:val="20"/>
          <w:szCs w:val="20"/>
          <w:color w:val="auto"/>
        </w:rPr>
        <w:t>Upon receipt from the beneficiary of any Letter of Credit of any notice of a drawing under such Letter of Credit, the Issuing Lender shall notify the Administrative Agent and the Administrative Agent shall promptly notify the Borrower and each other Lender as to the amount to be paid as a result of such demand or drawing and the date such payment is to be made by the Issuing Lender (the “</w:t>
      </w:r>
      <w:r>
        <w:rPr>
          <w:rFonts w:ascii="Arial" w:cs="Arial" w:eastAsia="Arial" w:hAnsi="Arial"/>
          <w:sz w:val="20"/>
          <w:szCs w:val="20"/>
          <w:b w:val="1"/>
          <w:bCs w:val="1"/>
          <w:color w:val="auto"/>
        </w:rPr>
        <w:t>Payment Date</w:t>
      </w:r>
      <w:r>
        <w:rPr>
          <w:rFonts w:ascii="Arial" w:cs="Arial" w:eastAsia="Arial" w:hAnsi="Arial"/>
          <w:sz w:val="20"/>
          <w:szCs w:val="20"/>
          <w:color w:val="auto"/>
        </w:rPr>
        <w:t xml:space="preserve">”). The Borrower shall be irrevocably and unconditionally obligated to reimburse the Issuing Lender for any amounts paid by the Issuing Lender upon any drawing under any Letter of Credit, without presentment, demand, protest or other formalities of any kind. Such reimbursement shall be due on the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payment shall be due from the Borrower any earlier than the date of receipt by it of notice of its obligation to make such payment (or, if such notice is received by the Borrower after 11:00 A.M. (New York City time) on any date, on the next succeeding Domestic Business Day);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if and to the extent any such reimbursement is not made by the Borrower in accordance with this clause (i) or clause (ii) on the Payment Date, then (irrespective of when notice thereof is received by the Borrower), such reimbursement obligation shall bear interest, payable on demand, for each day from and including the Payment Date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39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63" w:lineRule="exact"/>
        <w:rPr>
          <w:sz w:val="20"/>
          <w:szCs w:val="20"/>
          <w:color w:val="auto"/>
        </w:rPr>
      </w:pPr>
    </w:p>
    <w:p>
      <w:pPr>
        <w:ind w:left="560"/>
        <w:spacing w:after="0" w:line="239" w:lineRule="auto"/>
        <w:rPr>
          <w:sz w:val="20"/>
          <w:szCs w:val="20"/>
          <w:color w:val="auto"/>
        </w:rPr>
      </w:pPr>
      <w:r>
        <w:rPr>
          <w:rFonts w:ascii="Arial" w:cs="Arial" w:eastAsia="Arial" w:hAnsi="Arial"/>
          <w:sz w:val="21"/>
          <w:szCs w:val="21"/>
          <w:color w:val="auto"/>
        </w:rPr>
        <w:t>but not including the date such reimbursement obligation is paid in full at a rate per annum equal to the rate applicable to Base Rate Loans for such day.</w:t>
      </w:r>
    </w:p>
    <w:p>
      <w:pPr>
        <w:spacing w:after="0" w:line="149" w:lineRule="exact"/>
        <w:rPr>
          <w:sz w:val="20"/>
          <w:szCs w:val="20"/>
          <w:color w:val="auto"/>
        </w:rPr>
      </w:pPr>
    </w:p>
    <w:p>
      <w:pPr>
        <w:jc w:val="both"/>
        <w:ind w:left="560" w:firstLine="718"/>
        <w:spacing w:after="0" w:line="226" w:lineRule="auto"/>
        <w:tabs>
          <w:tab w:leader="none" w:pos="18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All such amounts paid by the Issuing Lender and remaining unpaid by the Borrower (a “</w:t>
      </w:r>
      <w:r>
        <w:rPr>
          <w:rFonts w:ascii="Arial" w:cs="Arial" w:eastAsia="Arial" w:hAnsi="Arial"/>
          <w:sz w:val="20"/>
          <w:szCs w:val="20"/>
          <w:b w:val="1"/>
          <w:bCs w:val="1"/>
          <w:color w:val="auto"/>
        </w:rPr>
        <w:t>Reimbursement</w:t>
      </w:r>
      <w:r>
        <w:rPr>
          <w:rFonts w:ascii="Arial" w:cs="Arial" w:eastAsia="Arial" w:hAnsi="Arial"/>
          <w:sz w:val="20"/>
          <w:szCs w:val="20"/>
          <w:color w:val="auto"/>
        </w:rPr>
        <w:t xml:space="preserve"> </w:t>
      </w:r>
      <w:r>
        <w:rPr>
          <w:rFonts w:ascii="Arial" w:cs="Arial" w:eastAsia="Arial" w:hAnsi="Arial"/>
          <w:sz w:val="20"/>
          <w:szCs w:val="20"/>
          <w:b w:val="1"/>
          <w:bCs w:val="1"/>
          <w:color w:val="auto"/>
        </w:rPr>
        <w:t>Obligation</w:t>
      </w:r>
      <w:r>
        <w:rPr>
          <w:rFonts w:ascii="Arial" w:cs="Arial" w:eastAsia="Arial" w:hAnsi="Arial"/>
          <w:sz w:val="20"/>
          <w:szCs w:val="20"/>
          <w:color w:val="auto"/>
        </w:rPr>
        <w:t>”) shall, if and to the extent that the amount of such Reimbursement Obligation would be permitted as a</w:t>
      </w:r>
      <w:r>
        <w:rPr>
          <w:rFonts w:ascii="Arial" w:cs="Arial" w:eastAsia="Arial" w:hAnsi="Arial"/>
          <w:sz w:val="20"/>
          <w:szCs w:val="20"/>
          <w:b w:val="1"/>
          <w:bCs w:val="1"/>
          <w:color w:val="auto"/>
        </w:rPr>
        <w:t xml:space="preserve"> </w:t>
      </w:r>
      <w:r>
        <w:rPr>
          <w:rFonts w:ascii="Arial" w:cs="Arial" w:eastAsia="Arial" w:hAnsi="Arial"/>
          <w:sz w:val="20"/>
          <w:szCs w:val="20"/>
          <w:color w:val="auto"/>
        </w:rPr>
        <w:t>Borrowing pursuant to Section 2.01, and unless the Borrower otherwise instructs the Administrative Agent not later than 10:00 A.M. (New York City time) on the date payment of such Reimbursement Obligation is due, convert automatically to Base Rate Loans on such date. The Administrative Agent shall, on behalf of the applicable Borrower (which hereby irrevocably directs the Administrative Agent so to act on its behalf), give notice no later than 10:00 A.M. (New York City time) on such date requesting each Lender to make, and each Lender hereby agrees to make, a Base Rate Loan, in an amount equal to such Lender’s Percentage of the Reimbursement Obligation with respect to which such notice relates. Each Lender shall make such Loan available to the Administrative Agent at its address specified in or pursuant to Section 2.12 in immediately available funds, not later than 3:00 P.M. (New York City time), on the date specified in such notice. The Administrative Agent shall pay the proceeds of such Loans to the Issuing Lender, which shall immediately apply such proceeds to repay the Reimbursement Obligation.</w:t>
      </w:r>
    </w:p>
    <w:p>
      <w:pPr>
        <w:spacing w:after="0" w:line="163" w:lineRule="exact"/>
        <w:rPr>
          <w:rFonts w:ascii="Arial" w:cs="Arial" w:eastAsia="Arial" w:hAnsi="Arial"/>
          <w:sz w:val="20"/>
          <w:szCs w:val="20"/>
          <w:color w:val="auto"/>
        </w:rPr>
      </w:pPr>
    </w:p>
    <w:p>
      <w:pPr>
        <w:jc w:val="both"/>
        <w:ind w:left="640" w:firstLine="638"/>
        <w:spacing w:after="0" w:line="237" w:lineRule="auto"/>
        <w:tabs>
          <w:tab w:leader="none" w:pos="1868"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To the extent the Reimbursement Obligation is not refunded by a Lender pursuant to clause (ii) above, such Lender will pay to the Administrative Agent, for the account of the Issuing Lender, immediately upon the Issuing Lender’s demand at any time during the period commencing after such Reimbursement Obligation arises until reimbursement therefor in full by the Borrower, an amount equal to such Lender’s Percentage of such Reimbursement Obligation, together with interest on such amount for each day from the date of the Issuing Lender’s demand for such payment (or, if such demand is made after 1:00 P.M. (New York City time) on such date, from the next succeeding Domestic Business Day) to the date of payment by such Lender of such amount at a rate of interest per annum equal to the Federal Funds Rate for the first three Domestic Business Days after the date of such demand and thereafter at a rate per annum equal to the Base Rate for each additional day. The Issuing Lender will pay to each Lender ratably all amounts received from the Borrower for application in payment of its Reimbursement Obligations in respect of any Letter of Credit, but only to the extent such Lender has made payment to the Issuing Lender in respect of such Letter of Credit pursuant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such payment received by the Issuing Lender is required to be returned, such Lender will return to the Issuing Lender any portion thereof previously distributed to it by the Issuing Lender.</w:t>
      </w:r>
    </w:p>
    <w:p>
      <w:pPr>
        <w:spacing w:after="0" w:line="163" w:lineRule="exact"/>
        <w:rPr>
          <w:rFonts w:ascii="Arial" w:cs="Arial" w:eastAsia="Arial" w:hAnsi="Arial"/>
          <w:sz w:val="19"/>
          <w:szCs w:val="19"/>
          <w:color w:val="auto"/>
        </w:rPr>
      </w:pPr>
    </w:p>
    <w:p>
      <w:pPr>
        <w:jc w:val="both"/>
        <w:ind w:firstLine="642"/>
        <w:spacing w:after="0" w:line="230" w:lineRule="auto"/>
        <w:tabs>
          <w:tab w:leader="none" w:pos="1137"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Obligations Absolute</w:t>
      </w:r>
      <w:r>
        <w:rPr>
          <w:rFonts w:ascii="Arial" w:cs="Arial" w:eastAsia="Arial" w:hAnsi="Arial"/>
          <w:sz w:val="21"/>
          <w:szCs w:val="21"/>
          <w:color w:val="auto"/>
        </w:rPr>
        <w:t>. The obligations of the Borrower and each Lender under subsection (c) above shall be absolute,</w:t>
      </w:r>
      <w:r>
        <w:rPr>
          <w:rFonts w:ascii="Arial" w:cs="Arial" w:eastAsia="Arial" w:hAnsi="Arial"/>
          <w:sz w:val="21"/>
          <w:szCs w:val="21"/>
          <w:i w:val="1"/>
          <w:iCs w:val="1"/>
          <w:color w:val="auto"/>
        </w:rPr>
        <w:t xml:space="preserve"> </w:t>
      </w:r>
      <w:r>
        <w:rPr>
          <w:rFonts w:ascii="Arial" w:cs="Arial" w:eastAsia="Arial" w:hAnsi="Arial"/>
          <w:sz w:val="21"/>
          <w:szCs w:val="21"/>
          <w:color w:val="auto"/>
        </w:rPr>
        <w:t>unconditional and irrevocable, and shall be performed strictly in accordance with the terms of this Agreement, under all circumstances whatsoever, including without limitation the following circumstances:</w:t>
      </w:r>
    </w:p>
    <w:p>
      <w:pPr>
        <w:spacing w:after="0" w:line="153" w:lineRule="exact"/>
        <w:rPr>
          <w:rFonts w:ascii="Arial" w:cs="Arial" w:eastAsia="Arial" w:hAnsi="Arial"/>
          <w:sz w:val="21"/>
          <w:szCs w:val="21"/>
          <w:color w:val="auto"/>
        </w:rPr>
      </w:pPr>
    </w:p>
    <w:p>
      <w:pPr>
        <w:ind w:left="1740" w:hanging="462"/>
        <w:spacing w:after="0"/>
        <w:tabs>
          <w:tab w:leader="none" w:pos="17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lack of validity or enforceability of this Agreement or any Letter of Credit or any document related hereto</w:t>
      </w:r>
    </w:p>
    <w:p>
      <w:pPr>
        <w:spacing w:after="0" w:line="1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or thereto;</w:t>
      </w:r>
    </w:p>
    <w:p>
      <w:pPr>
        <w:spacing w:after="0" w:line="164" w:lineRule="exact"/>
        <w:rPr>
          <w:rFonts w:ascii="Arial" w:cs="Arial" w:eastAsia="Arial" w:hAnsi="Arial"/>
          <w:sz w:val="19"/>
          <w:szCs w:val="19"/>
          <w:color w:val="auto"/>
        </w:rPr>
      </w:pPr>
    </w:p>
    <w:p>
      <w:pPr>
        <w:ind w:left="640" w:firstLine="638"/>
        <w:spacing w:after="0" w:line="239" w:lineRule="auto"/>
        <w:tabs>
          <w:tab w:leader="none" w:pos="1763" w:val="left"/>
        </w:tabs>
        <w:numPr>
          <w:ilvl w:val="1"/>
          <w:numId w:val="73"/>
        </w:numPr>
        <w:rPr>
          <w:rFonts w:ascii="Arial" w:cs="Arial" w:eastAsia="Arial" w:hAnsi="Arial"/>
          <w:sz w:val="21"/>
          <w:szCs w:val="21"/>
          <w:color w:val="auto"/>
        </w:rPr>
      </w:pPr>
      <w:r>
        <w:rPr>
          <w:rFonts w:ascii="Arial" w:cs="Arial" w:eastAsia="Arial" w:hAnsi="Arial"/>
          <w:sz w:val="21"/>
          <w:szCs w:val="21"/>
          <w:color w:val="auto"/>
        </w:rPr>
        <w:t>any amendment or waiver of or any consent to departure from all or any of the provisions of this Agreement or any Letter of Credit or any document related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40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63" w:lineRule="exact"/>
        <w:rPr>
          <w:sz w:val="20"/>
          <w:szCs w:val="20"/>
          <w:color w:val="auto"/>
        </w:rPr>
      </w:pPr>
    </w:p>
    <w:p>
      <w:pPr>
        <w:ind w:left="640" w:firstLine="638"/>
        <w:spacing w:after="0" w:line="239" w:lineRule="auto"/>
        <w:tabs>
          <w:tab w:leader="none" w:pos="1842"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use which may be made of the Letter of Credit by, or any acts or omission of, a beneficiary of a Letter of Credit (or any Person for whom the beneficiary may be acting);</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856"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existence of any claim, set-off, defense or other rights that the Borrower may have at any time against a beneficiary of a Letter of Credit (or any Person for whom the beneficiary may be acting), any Lender (including the Issuing Lender) or any other Person, whether in connection with this Agreement or the Letter of Credit or any document related hereto or thereto or any unrelated transaction;</w:t>
      </w:r>
    </w:p>
    <w:p>
      <w:pPr>
        <w:spacing w:after="0" w:line="154" w:lineRule="exact"/>
        <w:rPr>
          <w:rFonts w:ascii="Arial" w:cs="Arial" w:eastAsia="Arial" w:hAnsi="Arial"/>
          <w:sz w:val="21"/>
          <w:szCs w:val="21"/>
          <w:color w:val="auto"/>
        </w:rPr>
      </w:pPr>
    </w:p>
    <w:p>
      <w:pPr>
        <w:ind w:left="640" w:firstLine="638"/>
        <w:spacing w:after="0" w:line="239" w:lineRule="auto"/>
        <w:tabs>
          <w:tab w:leader="none" w:pos="1822" w:val="left"/>
        </w:tabs>
        <w:numPr>
          <w:ilvl w:val="1"/>
          <w:numId w:val="74"/>
        </w:numPr>
        <w:rPr>
          <w:rFonts w:ascii="Arial" w:cs="Arial" w:eastAsia="Arial" w:hAnsi="Arial"/>
          <w:sz w:val="21"/>
          <w:szCs w:val="21"/>
          <w:color w:val="auto"/>
        </w:rPr>
      </w:pPr>
      <w:r>
        <w:rPr>
          <w:rFonts w:ascii="Arial" w:cs="Arial" w:eastAsia="Arial" w:hAnsi="Arial"/>
          <w:sz w:val="21"/>
          <w:szCs w:val="21"/>
          <w:color w:val="auto"/>
        </w:rPr>
        <w:t>any statement or any other document presented under a Letter of Credit proving to be forged, fraudulent or invalid in any respect or any statement therein being untrue or inaccurate in any respect whatsoever;</w:t>
      </w:r>
    </w:p>
    <w:p>
      <w:pPr>
        <w:spacing w:after="0" w:line="155" w:lineRule="exact"/>
        <w:rPr>
          <w:rFonts w:ascii="Arial" w:cs="Arial" w:eastAsia="Arial" w:hAnsi="Arial"/>
          <w:sz w:val="21"/>
          <w:szCs w:val="21"/>
          <w:color w:val="auto"/>
        </w:rPr>
      </w:pPr>
    </w:p>
    <w:p>
      <w:pPr>
        <w:jc w:val="both"/>
        <w:ind w:left="640" w:firstLine="638"/>
        <w:spacing w:after="0" w:line="230" w:lineRule="auto"/>
        <w:tabs>
          <w:tab w:leader="none" w:pos="1836" w:val="left"/>
        </w:tabs>
        <w:numPr>
          <w:ilvl w:val="1"/>
          <w:numId w:val="74"/>
        </w:numPr>
        <w:rPr>
          <w:rFonts w:ascii="Arial" w:cs="Arial" w:eastAsia="Arial" w:hAnsi="Arial"/>
          <w:sz w:val="21"/>
          <w:szCs w:val="21"/>
          <w:color w:val="auto"/>
        </w:rPr>
      </w:pPr>
      <w:r>
        <w:rPr>
          <w:rFonts w:ascii="Arial" w:cs="Arial" w:eastAsia="Arial" w:hAnsi="Arial"/>
          <w:sz w:val="21"/>
          <w:szCs w:val="21"/>
          <w:color w:val="auto"/>
        </w:rPr>
        <w:t xml:space="preserve">payment under a Letter of Credit against presentation to the Issuing Lender of documents that do not comply with the terms of such Letter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(vi) shall not limit the rights of the Borrower under Section 2.18(e)(ii); or</w:t>
      </w:r>
    </w:p>
    <w:p>
      <w:pPr>
        <w:spacing w:after="0" w:line="153" w:lineRule="exact"/>
        <w:rPr>
          <w:rFonts w:ascii="Arial" w:cs="Arial" w:eastAsia="Arial" w:hAnsi="Arial"/>
          <w:sz w:val="21"/>
          <w:szCs w:val="21"/>
          <w:color w:val="auto"/>
        </w:rPr>
      </w:pPr>
    </w:p>
    <w:p>
      <w:pPr>
        <w:jc w:val="both"/>
        <w:ind w:left="640" w:firstLine="638"/>
        <w:spacing w:after="0" w:line="225" w:lineRule="auto"/>
        <w:tabs>
          <w:tab w:leader="none" w:pos="1974" w:val="left"/>
        </w:tabs>
        <w:numPr>
          <w:ilvl w:val="1"/>
          <w:numId w:val="74"/>
        </w:numPr>
        <w:rPr>
          <w:rFonts w:ascii="Arial" w:cs="Arial" w:eastAsia="Arial" w:hAnsi="Arial"/>
          <w:sz w:val="21"/>
          <w:szCs w:val="21"/>
          <w:color w:val="auto"/>
        </w:rPr>
      </w:pPr>
      <w:r>
        <w:rPr>
          <w:rFonts w:ascii="Arial" w:cs="Arial" w:eastAsia="Arial" w:hAnsi="Arial"/>
          <w:sz w:val="21"/>
          <w:szCs w:val="21"/>
          <w:color w:val="auto"/>
        </w:rPr>
        <w:t>any other act or omission to act or delay of any kind by any Lender (including the Issuing Lender), the Administrative Agent or any other Person or any other event or circumstance whatsoever that might, but for the provisions of this subsection (vii), constitute a legal or equitable discharge of or defense to the Borrower’s or the Lender’s obligations hereunder.</w:t>
      </w:r>
    </w:p>
    <w:p>
      <w:pPr>
        <w:spacing w:after="0" w:line="154" w:lineRule="exact"/>
        <w:rPr>
          <w:rFonts w:ascii="Arial" w:cs="Arial" w:eastAsia="Arial" w:hAnsi="Arial"/>
          <w:sz w:val="21"/>
          <w:szCs w:val="21"/>
          <w:color w:val="auto"/>
        </w:rPr>
      </w:pPr>
    </w:p>
    <w:p>
      <w:pPr>
        <w:ind w:left="1600" w:hanging="449"/>
        <w:spacing w:after="0"/>
        <w:tabs>
          <w:tab w:leader="none" w:pos="1600" w:val="left"/>
        </w:tabs>
        <w:numPr>
          <w:ilvl w:val="0"/>
          <w:numId w:val="75"/>
        </w:numPr>
        <w:rPr>
          <w:rFonts w:ascii="Arial" w:cs="Arial" w:eastAsia="Arial" w:hAnsi="Arial"/>
          <w:sz w:val="21"/>
          <w:szCs w:val="21"/>
          <w:color w:val="auto"/>
        </w:rPr>
      </w:pPr>
      <w:r>
        <w:rPr>
          <w:rFonts w:ascii="Arial" w:cs="Arial" w:eastAsia="Arial" w:hAnsi="Arial"/>
          <w:sz w:val="21"/>
          <w:szCs w:val="21"/>
          <w:i w:val="1"/>
          <w:iCs w:val="1"/>
          <w:color w:val="auto"/>
        </w:rPr>
        <w:t>Indemnification; Expenses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left="480" w:firstLine="798"/>
        <w:spacing w:after="0" w:line="218" w:lineRule="auto"/>
        <w:tabs>
          <w:tab w:leader="none" w:pos="1772"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Each Borrower hereby indemnifies and holds harmless each Lender (including each Issuing Lender) and the Administrative Agent from and against any and all Liabilities, costs or expenses which it may reasonably incur in connection with a Letter of Credit issued, renewed or extended pursuant to this Section 2.18, including those incurred in connection with proceedings brought or threatened by the Company or any of its affiliates, equity holders or creditors;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indemnify any Lender or the Administrative Agent for any Liabilities, costs or expenses to the extent found by a final, non-appealable judgment of a court of competent jurisdiction to have been caused by (A) the gross negligence or willful misconduct of such Person or (B) a material breach by such Person of the express provisions of this Agreement.</w:t>
      </w:r>
    </w:p>
    <w:p>
      <w:pPr>
        <w:spacing w:after="0" w:line="153" w:lineRule="exact"/>
        <w:rPr>
          <w:rFonts w:ascii="Arial" w:cs="Arial" w:eastAsia="Arial" w:hAnsi="Arial"/>
          <w:sz w:val="21"/>
          <w:szCs w:val="21"/>
          <w:color w:val="auto"/>
        </w:rPr>
      </w:pPr>
    </w:p>
    <w:p>
      <w:pPr>
        <w:jc w:val="both"/>
        <w:ind w:left="480" w:firstLine="798"/>
        <w:spacing w:after="0" w:line="238" w:lineRule="auto"/>
        <w:tabs>
          <w:tab w:leader="none" w:pos="1818"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None of the Lenders (including an Issuing Lender) nor the Administrative Agent nor any of their officers or directors or employees or agents shall be liable or responsible, by reason of or in connection with the execution and delivery or transfer of or payment or failure to pay under any Letter of Credit, including without limitation any of the circumstances enumerated in subsection (d)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Section 2.18(d), the Borrower shall have a claim for direct (but not consequential) damage suffered by it, to the extent finally determined by a court of competent jurisdiction to have been caused by (x) subject to the following sentence, the Issuing Lender’s gross negligence or willful misconduct in determining whether documents presented under any Letter of Credit complied with the terms of such Letter of Credit or (y) the Issuing Lender’s failure to pay under any Letter of Credit after the presentation to it of documents strictly complying with the terms and conditions of the Letter of Credit.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63" w:lineRule="exact"/>
        <w:rPr>
          <w:sz w:val="20"/>
          <w:szCs w:val="20"/>
          <w:color w:val="auto"/>
        </w:rPr>
      </w:pPr>
    </w:p>
    <w:p>
      <w:pPr>
        <w:ind w:left="480"/>
        <w:spacing w:after="0" w:line="239" w:lineRule="auto"/>
        <w:rPr>
          <w:sz w:val="20"/>
          <w:szCs w:val="20"/>
          <w:color w:val="auto"/>
        </w:rPr>
      </w:pPr>
      <w:r>
        <w:rPr>
          <w:rFonts w:ascii="Arial" w:cs="Arial" w:eastAsia="Arial" w:hAnsi="Arial"/>
          <w:sz w:val="21"/>
          <w:szCs w:val="21"/>
          <w:color w:val="auto"/>
        </w:rPr>
        <w:t>regardless of any notice or information to the contrary, or refuse to accept and make payment upon such documents if such documents are not in strict compliance with the terms of such Letter of Credit.</w:t>
      </w:r>
    </w:p>
    <w:p>
      <w:pPr>
        <w:spacing w:after="0" w:line="155" w:lineRule="exact"/>
        <w:rPr>
          <w:sz w:val="20"/>
          <w:szCs w:val="20"/>
          <w:color w:val="auto"/>
        </w:rPr>
      </w:pPr>
    </w:p>
    <w:p>
      <w:pPr>
        <w:jc w:val="both"/>
        <w:ind w:left="480" w:firstLine="798"/>
        <w:spacing w:after="0" w:line="230" w:lineRule="auto"/>
        <w:tabs>
          <w:tab w:leader="none" w:pos="1822" w:val="left"/>
        </w:tabs>
        <w:numPr>
          <w:ilvl w:val="1"/>
          <w:numId w:val="76"/>
        </w:numPr>
        <w:rPr>
          <w:rFonts w:ascii="Arial" w:cs="Arial" w:eastAsia="Arial" w:hAnsi="Arial"/>
          <w:sz w:val="21"/>
          <w:szCs w:val="21"/>
          <w:color w:val="auto"/>
        </w:rPr>
      </w:pPr>
      <w:r>
        <w:rPr>
          <w:rFonts w:ascii="Arial" w:cs="Arial" w:eastAsia="Arial" w:hAnsi="Arial"/>
          <w:sz w:val="21"/>
          <w:szCs w:val="21"/>
          <w:color w:val="auto"/>
        </w:rPr>
        <w:t>Nothing in this subsection (e) is intended to limit the obligations of the Borrower under any other provision of this Agreement. To the extent the Borrower does not indemnify an Issuing Lender as required by this subsection, the Lenders agree to do so ratably in accordance with their Commitments.</w:t>
      </w:r>
    </w:p>
    <w:p>
      <w:pPr>
        <w:spacing w:after="0" w:line="153" w:lineRule="exact"/>
        <w:rPr>
          <w:rFonts w:ascii="Arial" w:cs="Arial" w:eastAsia="Arial" w:hAnsi="Arial"/>
          <w:sz w:val="21"/>
          <w:szCs w:val="21"/>
          <w:color w:val="auto"/>
        </w:rPr>
      </w:pPr>
    </w:p>
    <w:p>
      <w:pPr>
        <w:ind w:left="1580" w:hanging="429"/>
        <w:spacing w:after="0"/>
        <w:tabs>
          <w:tab w:leader="none" w:pos="1580" w:val="left"/>
        </w:tabs>
        <w:numPr>
          <w:ilvl w:val="0"/>
          <w:numId w:val="77"/>
        </w:numPr>
        <w:rPr>
          <w:rFonts w:ascii="Arial" w:cs="Arial" w:eastAsia="Arial" w:hAnsi="Arial"/>
          <w:sz w:val="21"/>
          <w:szCs w:val="21"/>
          <w:color w:val="auto"/>
        </w:rPr>
      </w:pPr>
      <w:r>
        <w:rPr>
          <w:rFonts w:ascii="Arial" w:cs="Arial" w:eastAsia="Arial" w:hAnsi="Arial"/>
          <w:sz w:val="21"/>
          <w:szCs w:val="21"/>
          <w:i w:val="1"/>
          <w:iCs w:val="1"/>
          <w:color w:val="auto"/>
        </w:rPr>
        <w:t>Existing Letters of Credit; Designation of Additional Letters of Credit.</w:t>
      </w:r>
    </w:p>
    <w:p>
      <w:pPr>
        <w:spacing w:after="0" w:line="182" w:lineRule="exact"/>
        <w:rPr>
          <w:rFonts w:ascii="Arial" w:cs="Arial" w:eastAsia="Arial" w:hAnsi="Arial"/>
          <w:sz w:val="21"/>
          <w:szCs w:val="21"/>
          <w:color w:val="auto"/>
        </w:rPr>
      </w:pPr>
    </w:p>
    <w:p>
      <w:pPr>
        <w:jc w:val="both"/>
        <w:ind w:left="480" w:firstLine="798"/>
        <w:spacing w:after="0" w:line="236" w:lineRule="auto"/>
        <w:tabs>
          <w:tab w:leader="none" w:pos="1764" w:val="left"/>
        </w:tabs>
        <w:numPr>
          <w:ilvl w:val="1"/>
          <w:numId w:val="77"/>
        </w:numPr>
        <w:rPr>
          <w:rFonts w:ascii="Arial" w:cs="Arial" w:eastAsia="Arial" w:hAnsi="Arial"/>
          <w:sz w:val="20"/>
          <w:szCs w:val="20"/>
          <w:color w:val="auto"/>
        </w:rPr>
      </w:pPr>
      <w:r>
        <w:rPr>
          <w:rFonts w:ascii="Arial" w:cs="Arial" w:eastAsia="Arial" w:hAnsi="Arial"/>
          <w:sz w:val="20"/>
          <w:szCs w:val="20"/>
          <w:color w:val="auto"/>
        </w:rPr>
        <w:t>On the Effective Date, without further action by any party hereto (A) each Existing Letter of Credit shall be deemed to be a Letter of Credit issued hereunder on such date and (B) each issuer of an Existing Letter of Credit shall be deemed to have granted to each Lender, and each Lender shall be deemed to have acquired from each issuer of an Existing Letter of Credit, a participation in each Existing Letter of Credit in accordance with Section 2.18(a).</w:t>
      </w:r>
    </w:p>
    <w:p>
      <w:pPr>
        <w:spacing w:after="0" w:line="155" w:lineRule="exact"/>
        <w:rPr>
          <w:sz w:val="20"/>
          <w:szCs w:val="20"/>
          <w:color w:val="auto"/>
        </w:rPr>
      </w:pPr>
    </w:p>
    <w:p>
      <w:pPr>
        <w:jc w:val="both"/>
        <w:ind w:left="480" w:firstLine="798"/>
        <w:spacing w:after="0"/>
        <w:tabs>
          <w:tab w:leader="none" w:pos="1783"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From time to time after the Effective Date, any Borrower may designate any letter of credit theretofore issued by a Lender for the account of such Borrower as a Letter of Credit hereunder by three Domestic Business Days’ notice to such Lender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designation shall be subject to all terms and conditions governing the issuance of a Letter of Credit hereunder. Upon the effective date of such notice, if the applicable conditions to issuance of such a Letter of Credit would be satisfied on such date, such outstanding letter of credit shall be deemed to be a Letter of Credit issued hereunder on such date, and the issuer thereof shall be deemed to have granted to each Lender, and each Lender shall be deemed to have acquired from such issuer, a participation therein in accordance with Section 2.18(a). Each Lender which is the issuer of any such letter of credit shall be entitled to the benefits of, and shall be bound by the provisions applicable to, an Issuing Lender with respect to any letter of credit so designated as a Letter of Credit.</w:t>
      </w:r>
    </w:p>
    <w:p>
      <w:pPr>
        <w:spacing w:after="0" w:line="153" w:lineRule="exact"/>
        <w:rPr>
          <w:rFonts w:ascii="Arial" w:cs="Arial" w:eastAsia="Arial" w:hAnsi="Arial"/>
          <w:sz w:val="19"/>
          <w:szCs w:val="19"/>
          <w:color w:val="auto"/>
        </w:rPr>
      </w:pPr>
    </w:p>
    <w:p>
      <w:pPr>
        <w:jc w:val="both"/>
        <w:ind w:firstLine="642"/>
        <w:spacing w:after="0" w:line="239" w:lineRule="auto"/>
        <w:tabs>
          <w:tab w:leader="none" w:pos="1136"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 xml:space="preserve">Letters of Credit Issued for the Account of Subsidiaries. </w:t>
      </w:r>
      <w:r>
        <w:rPr>
          <w:rFonts w:ascii="Arial" w:cs="Arial" w:eastAsia="Arial" w:hAnsi="Arial"/>
          <w:sz w:val="19"/>
          <w:szCs w:val="19"/>
          <w:color w:val="auto"/>
        </w:rPr>
        <w:t>Notwithstanding that a Letter of Credit issued or outstanding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supports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Company (i) shall reimburse, indemnify and compensate the applicable Issuing Lender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156"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 xml:space="preserve">SECTION 2.19. </w:t>
      </w:r>
      <w:r>
        <w:rPr>
          <w:rFonts w:ascii="Arial" w:cs="Arial" w:eastAsia="Arial" w:hAnsi="Arial"/>
          <w:sz w:val="21"/>
          <w:szCs w:val="21"/>
          <w:i w:val="1"/>
          <w:iCs w:val="1"/>
          <w:color w:val="auto"/>
        </w:rPr>
        <w:t>Stop Issuance Notice</w:t>
      </w:r>
      <w:r>
        <w:rPr>
          <w:rFonts w:ascii="Arial" w:cs="Arial" w:eastAsia="Arial" w:hAnsi="Arial"/>
          <w:sz w:val="21"/>
          <w:szCs w:val="21"/>
          <w:color w:val="auto"/>
        </w:rPr>
        <w:t>. If the Required Lenders determine at any time that the conditions set forth in Section 3.02 would not be satisfied in respect of a Borrowing at such time, then the Required Lenders may request that the Administrative Agent issue a “</w:t>
      </w:r>
      <w:r>
        <w:rPr>
          <w:rFonts w:ascii="Arial" w:cs="Arial" w:eastAsia="Arial" w:hAnsi="Arial"/>
          <w:sz w:val="21"/>
          <w:szCs w:val="21"/>
          <w:b w:val="1"/>
          <w:bCs w:val="1"/>
          <w:color w:val="auto"/>
        </w:rPr>
        <w:t>Stop Issuance Notice</w:t>
      </w:r>
      <w:r>
        <w:rPr>
          <w:rFonts w:ascii="Arial" w:cs="Arial" w:eastAsia="Arial" w:hAnsi="Arial"/>
          <w:sz w:val="21"/>
          <w:szCs w:val="21"/>
          <w:color w:val="auto"/>
        </w:rPr>
        <w:t>”, and the Administrative Agent shall issue such notice to each Issuing Lender. Such Stop Issuance Notice shall be withdrawn upon a determination by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42</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63"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 xml:space="preserve">that the circumstances giving rise thereto no longer exist. No Letter of Credit shall be issued or extended while a Stop Issuance Notice is in effect. The Required Lenders may request issuance of a Stop Issuance Notice only if there is a reasonable basis therefor, and shall consider reasonably and in good faith a request from the Borrower for withdrawal of the same on the basis that the conditions in Section 3.02 are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and the Issuing Lenders may and shall conclusively rely on any Stop Issuance Notice while it remains in effect.</w:t>
      </w:r>
    </w:p>
    <w:p>
      <w:pPr>
        <w:spacing w:after="0" w:line="15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auto"/>
        </w:rPr>
        <w:t>SECTION 2.20</w:t>
      </w:r>
      <w:r>
        <w:rPr>
          <w:rFonts w:ascii="Arial" w:cs="Arial" w:eastAsia="Arial" w:hAnsi="Arial"/>
          <w:sz w:val="19"/>
          <w:szCs w:val="19"/>
          <w:i w:val="1"/>
          <w:iCs w:val="1"/>
          <w:color w:val="auto"/>
        </w:rPr>
        <w:t>. Optional Increase in Commitments.</w:t>
      </w:r>
      <w:r>
        <w:rPr>
          <w:rFonts w:ascii="Arial" w:cs="Arial" w:eastAsia="Arial" w:hAnsi="Arial"/>
          <w:sz w:val="19"/>
          <w:szCs w:val="19"/>
          <w:color w:val="auto"/>
        </w:rPr>
        <w:t xml:space="preserve"> Following the Effective Date, the Company may, if it so elects, increase the aggregate amount of the Commitments, either by designating a financial institution not theretofore a Lender (an “</w:t>
      </w:r>
      <w:r>
        <w:rPr>
          <w:rFonts w:ascii="Arial" w:cs="Arial" w:eastAsia="Arial" w:hAnsi="Arial"/>
          <w:sz w:val="19"/>
          <w:szCs w:val="19"/>
          <w:b w:val="1"/>
          <w:bCs w:val="1"/>
          <w:color w:val="auto"/>
        </w:rPr>
        <w:t>Additional</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to become a Lender (such designation to be effective only with the prior written consent of the Administrative Agent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Issuing Lender, which consents will not be unreasonably withheld or delayed), or by agreeing with an existing Lender that such Lender’s Commitment shall be increased. Upon execution and delivery by the Company and such Lender or Additional Lender of an instrument in form reasonably satisfactory to the Administrative Agent, together with such evidence of appropriate corporate authorization on the part of the Company with respect to the increased Commitments and such opinions of counsel for the Company with respect to the increased Commitments as the Administrative Agent may request, such existing Lender shall have a Commitment as therein set forth or such other financial institution shall become a Lender with a Commitment as therein set forth and all the rights and obligations of a Lender with such a Commitment hereunder; </w:t>
      </w:r>
      <w:r>
        <w:rPr>
          <w:rFonts w:ascii="Arial" w:cs="Arial" w:eastAsia="Arial" w:hAnsi="Arial"/>
          <w:sz w:val="19"/>
          <w:szCs w:val="19"/>
          <w:i w:val="1"/>
          <w:iCs w:val="1"/>
          <w:color w:val="auto"/>
        </w:rPr>
        <w:t>provided</w:t>
      </w:r>
      <w:r>
        <w:rPr>
          <w:rFonts w:ascii="Arial" w:cs="Arial" w:eastAsia="Arial" w:hAnsi="Arial"/>
          <w:sz w:val="19"/>
          <w:szCs w:val="19"/>
          <w:color w:val="auto"/>
        </w:rPr>
        <w:t>:</w:t>
      </w:r>
    </w:p>
    <w:p>
      <w:pPr>
        <w:spacing w:after="0" w:line="156" w:lineRule="exact"/>
        <w:rPr>
          <w:sz w:val="20"/>
          <w:szCs w:val="20"/>
          <w:color w:val="auto"/>
        </w:rPr>
      </w:pPr>
    </w:p>
    <w:p>
      <w:pPr>
        <w:ind w:left="640" w:firstLine="638"/>
        <w:spacing w:after="0" w:line="239" w:lineRule="auto"/>
        <w:tabs>
          <w:tab w:leader="none" w:pos="1704"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that the Company shall provide prompt notice of such increase to the Administrative Agent, who shall promptly notify the Lenders;</w:t>
      </w:r>
    </w:p>
    <w:p>
      <w:pPr>
        <w:spacing w:after="0" w:line="155" w:lineRule="exact"/>
        <w:rPr>
          <w:rFonts w:ascii="Arial" w:cs="Arial" w:eastAsia="Arial" w:hAnsi="Arial"/>
          <w:sz w:val="21"/>
          <w:szCs w:val="21"/>
          <w:color w:val="auto"/>
        </w:rPr>
      </w:pPr>
    </w:p>
    <w:p>
      <w:pPr>
        <w:ind w:left="640" w:firstLine="638"/>
        <w:spacing w:after="0" w:line="239" w:lineRule="auto"/>
        <w:tabs>
          <w:tab w:leader="none" w:pos="1794"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conditions set forth in Sections 3.02(b) and (c) shall be satisfied both on and as of the date of such notice and on and as of the effective date of any increase in Commitments pursuant to this Section 2.20;</w:t>
      </w:r>
    </w:p>
    <w:p>
      <w:pPr>
        <w:spacing w:after="0" w:line="155" w:lineRule="exact"/>
        <w:rPr>
          <w:rFonts w:ascii="Arial" w:cs="Arial" w:eastAsia="Arial" w:hAnsi="Arial"/>
          <w:sz w:val="21"/>
          <w:szCs w:val="21"/>
          <w:color w:val="auto"/>
        </w:rPr>
      </w:pPr>
    </w:p>
    <w:p>
      <w:pPr>
        <w:ind w:left="1800" w:hanging="522"/>
        <w:spacing w:after="0"/>
        <w:tabs>
          <w:tab w:leader="none" w:pos="18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that any such increase shall be in an amount which is a multiple of $10,000,000;</w:t>
      </w:r>
    </w:p>
    <w:p>
      <w:pPr>
        <w:spacing w:after="0" w:line="182" w:lineRule="exact"/>
        <w:rPr>
          <w:rFonts w:ascii="Arial" w:cs="Arial" w:eastAsia="Arial" w:hAnsi="Arial"/>
          <w:sz w:val="21"/>
          <w:szCs w:val="21"/>
          <w:color w:val="auto"/>
        </w:rPr>
      </w:pPr>
    </w:p>
    <w:p>
      <w:pPr>
        <w:ind w:left="640" w:firstLine="638"/>
        <w:spacing w:after="0" w:line="239" w:lineRule="auto"/>
        <w:tabs>
          <w:tab w:leader="none" w:pos="18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that immediately after such increase is made, the aggregate amount of increases in the Commitments pursuant to this Section 2.20, shall not exceed $500,000,000; and</w:t>
      </w:r>
    </w:p>
    <w:p>
      <w:pPr>
        <w:spacing w:after="0" w:line="155" w:lineRule="exact"/>
        <w:rPr>
          <w:rFonts w:ascii="Arial" w:cs="Arial" w:eastAsia="Arial" w:hAnsi="Arial"/>
          <w:sz w:val="21"/>
          <w:szCs w:val="21"/>
          <w:color w:val="auto"/>
        </w:rPr>
      </w:pPr>
    </w:p>
    <w:p>
      <w:pPr>
        <w:ind w:left="640" w:firstLine="638"/>
        <w:spacing w:after="0" w:line="239" w:lineRule="auto"/>
        <w:tabs>
          <w:tab w:leader="none" w:pos="1738"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that the Company may elect to increase the aggregate amount of the Commitments pursuant to this Section 2.20 no more than twice in any calendar year.</w:t>
      </w:r>
    </w:p>
    <w:p>
      <w:pPr>
        <w:spacing w:after="0" w:line="155"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On the effective date of any increase in the aggregate amount of the Commitments pursuant to this Section 2.20, (i) each Additional Lender shall pay to the Administrative Agent an amount equal to its pro rata share of the aggregate outstanding Loans (and funded participations, if any, in Letters of Credit) and (ii) any Lender whose Commitment has been increased (an “</w:t>
      </w:r>
      <w:r>
        <w:rPr>
          <w:rFonts w:ascii="Arial" w:cs="Arial" w:eastAsia="Arial" w:hAnsi="Arial"/>
          <w:sz w:val="19"/>
          <w:szCs w:val="19"/>
          <w:b w:val="1"/>
          <w:bCs w:val="1"/>
          <w:color w:val="auto"/>
        </w:rPr>
        <w:t>Increasing</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shall pay to the Administrative Agent an amount equal to the increase in its pro rata share of the aggregate outstanding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Loans (and funded participations as above), in each case such payments shall be for the account of each other Lender. Upon receipt of such amount by the Administrative Agent, (A) each other Lender shall be deemed to have ratably assigned that portion of its outstanding Loans that is being reduced to the Additional Lenders and the Increasing Lenders in accordance with such Lender’s new Commitment or the increased portion thereof as applicable, (B) the Administrative Agent shall promptly distribute to each other Lender its ratable share of the amounts received by the Administrative Agent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43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this paragraph and (C) the participations of the Lenders in outstanding Letters of Credit shall be determined in accordance with their Commitments after giving effect to such increase. For the avoidance of doubt, no existing Lender shall have any obligation to participate in such increase except in its absolute and sole discretion.</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SECTION 2.21</w:t>
      </w:r>
      <w:r>
        <w:rPr>
          <w:rFonts w:ascii="Arial" w:cs="Arial" w:eastAsia="Arial" w:hAnsi="Arial"/>
          <w:sz w:val="21"/>
          <w:szCs w:val="21"/>
          <w:i w:val="1"/>
          <w:iCs w:val="1"/>
          <w:color w:val="auto"/>
        </w:rPr>
        <w:t>. Defaulting Lenders.</w:t>
      </w:r>
      <w:r>
        <w:rPr>
          <w:rFonts w:ascii="Arial" w:cs="Arial" w:eastAsia="Arial" w:hAnsi="Arial"/>
          <w:sz w:val="21"/>
          <w:szCs w:val="21"/>
          <w:color w:val="auto"/>
        </w:rPr>
        <w:t xml:space="preserve"> (a) If any Lender becomes a Defaulting Lender, then the following provisions shall apply for so long as such Lender is a Defaulting Lender:</w:t>
      </w:r>
    </w:p>
    <w:p>
      <w:pPr>
        <w:spacing w:after="0" w:line="155" w:lineRule="exact"/>
        <w:rPr>
          <w:sz w:val="20"/>
          <w:szCs w:val="20"/>
          <w:color w:val="auto"/>
        </w:rPr>
      </w:pPr>
    </w:p>
    <w:p>
      <w:pPr>
        <w:ind w:left="640" w:firstLine="638"/>
        <w:spacing w:after="0" w:line="239" w:lineRule="auto"/>
        <w:tabs>
          <w:tab w:leader="none" w:pos="1750" w:val="left"/>
        </w:tabs>
        <w:numPr>
          <w:ilvl w:val="0"/>
          <w:numId w:val="81"/>
        </w:numPr>
        <w:rPr>
          <w:rFonts w:ascii="Arial" w:cs="Arial" w:eastAsia="Arial" w:hAnsi="Arial"/>
          <w:sz w:val="21"/>
          <w:szCs w:val="21"/>
          <w:color w:val="auto"/>
        </w:rPr>
      </w:pPr>
      <w:r>
        <w:rPr>
          <w:rFonts w:ascii="Arial" w:cs="Arial" w:eastAsia="Arial" w:hAnsi="Arial"/>
          <w:sz w:val="21"/>
          <w:szCs w:val="21"/>
          <w:color w:val="auto"/>
        </w:rPr>
        <w:t>fees shall cease to accrue on the unfunded portion of the Commitment of such Defaulting Lender pursuant to Section 2.07(a);</w:t>
      </w:r>
    </w:p>
    <w:p>
      <w:pPr>
        <w:spacing w:after="0" w:line="155" w:lineRule="exact"/>
        <w:rPr>
          <w:rFonts w:ascii="Arial" w:cs="Arial" w:eastAsia="Arial" w:hAnsi="Arial"/>
          <w:sz w:val="21"/>
          <w:szCs w:val="21"/>
          <w:color w:val="auto"/>
        </w:rPr>
      </w:pPr>
    </w:p>
    <w:p>
      <w:pPr>
        <w:jc w:val="both"/>
        <w:ind w:left="640" w:firstLine="638"/>
        <w:spacing w:after="0"/>
        <w:tabs>
          <w:tab w:leader="none" w:pos="177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Article 6 or otherwise) or received by the Administrative Agent from a Defaulting Lender pursuant to Section 11.04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any Issuing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Letter of Credit Exposure with respect to such Defaulting Lender in accordance with this Section;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future Letter of Credit Exposure with respect to such Defaulting Lender with respect to future Letters of Credit issued under this Agreement, in accordance with this Section;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Issuing Lenders as a result of any judgment of a court of competent jurisdiction obtained by any Lender or Issuing Lender against such Defaulting Lender as a result of such Defaulting Lender’s breach of its obligations under this Agreement or under any other Loan Document;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Letter of Credit Disbursements in respect of which such Defaulting Lender has not fully funded its appropriate share, and (y) such Loans were made or the related Letters of Credit were issued at a time when the conditions set forth in Section 3.02 were satisfied or waived, such payment shall be applied solely to pay the Loans of, and Letter of Credit Disbursements owed to, all non-Defaulting Lenders on a pro rata basis prior to being applied to the payment of any Loans of, or Letter of Credit Disbursements owed to, such Defaulting Lender until such time as all Loans and funded and unfunded participations in the Company’s obligations corresponding to such Defaulting Lender’s Letter of Credit Exposure are held by the Lenders pro rata in accordance with the Commitments without giving effect to clause (b) below. Any payments, prepayments or other amounts paid or payable to a Defaulting Lender that are applied (or held) to pay amounts owed by a Defaulting Lender or to post cash collateral pursuant to this Section shall be deemed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6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and redirected by such Defaulting Lender, and each Lender irrevocably consents thereto; and</w:t>
      </w:r>
    </w:p>
    <w:p>
      <w:pPr>
        <w:spacing w:after="0" w:line="183" w:lineRule="exact"/>
        <w:rPr>
          <w:sz w:val="20"/>
          <w:szCs w:val="20"/>
          <w:color w:val="auto"/>
        </w:rPr>
      </w:pPr>
    </w:p>
    <w:p>
      <w:pPr>
        <w:jc w:val="both"/>
        <w:ind w:left="640" w:firstLine="638"/>
        <w:spacing w:after="0" w:line="230" w:lineRule="auto"/>
        <w:tabs>
          <w:tab w:leader="none" w:pos="1904"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Credit Exposure of such Defaulting Lender shall not be included in determining whether the Required Lenders have taken or may take any action hereunder (including any consent to any amendment, waiver or other modification pursuant to Section 11.05);</w:t>
      </w:r>
    </w:p>
    <w:p>
      <w:pPr>
        <w:spacing w:after="0" w:line="153" w:lineRule="exact"/>
        <w:rPr>
          <w:rFonts w:ascii="Arial" w:cs="Arial" w:eastAsia="Arial" w:hAnsi="Arial"/>
          <w:sz w:val="21"/>
          <w:szCs w:val="21"/>
          <w:color w:val="auto"/>
        </w:rPr>
      </w:pPr>
    </w:p>
    <w:p>
      <w:pPr>
        <w:ind w:left="1100" w:hanging="458"/>
        <w:spacing w:after="0"/>
        <w:tabs>
          <w:tab w:leader="none" w:pos="11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any Letter of Credit Liabilities exist at the time such Lender becomes a Defaulting Lender then:</w:t>
      </w:r>
    </w:p>
    <w:p>
      <w:pPr>
        <w:spacing w:after="0" w:line="182" w:lineRule="exact"/>
        <w:rPr>
          <w:rFonts w:ascii="Arial" w:cs="Arial" w:eastAsia="Arial" w:hAnsi="Arial"/>
          <w:sz w:val="21"/>
          <w:szCs w:val="21"/>
          <w:color w:val="auto"/>
        </w:rPr>
      </w:pPr>
    </w:p>
    <w:p>
      <w:pPr>
        <w:jc w:val="both"/>
        <w:ind w:left="640" w:firstLine="638"/>
        <w:spacing w:after="0" w:line="233" w:lineRule="auto"/>
        <w:tabs>
          <w:tab w:leader="none" w:pos="1720" w:val="left"/>
        </w:tabs>
        <w:numPr>
          <w:ilvl w:val="1"/>
          <w:numId w:val="83"/>
        </w:numPr>
        <w:rPr>
          <w:rFonts w:ascii="Arial" w:cs="Arial" w:eastAsia="Arial" w:hAnsi="Arial"/>
          <w:sz w:val="20"/>
          <w:szCs w:val="20"/>
          <w:color w:val="auto"/>
        </w:rPr>
      </w:pPr>
      <w:r>
        <w:rPr>
          <w:rFonts w:ascii="Arial" w:cs="Arial" w:eastAsia="Arial" w:hAnsi="Arial"/>
          <w:sz w:val="20"/>
          <w:szCs w:val="20"/>
          <w:color w:val="auto"/>
        </w:rPr>
        <w:t>all or any part of the Letter of Credit Liabilities of such Defaulting Lender shall be reallocated among the non-Defaulting Lenders in accordance with their respective Percentages but only to the extent that (a) the sum of all non-Defaulting Lenders’ Credit Exposures plus such Defaulting Lender’s Letter of Credit Liabilities does not exceed the total of all non-Defaulting Lenders’ Commitments and (b) such reallocation does not, as to any non-Defaulting Lender, cause such non-Defaulting Lender’s Credit Exposure to exceed such non-Defaulting Lender’s Commitment;</w:t>
      </w:r>
    </w:p>
    <w:p>
      <w:pPr>
        <w:spacing w:after="0" w:line="156" w:lineRule="exact"/>
        <w:rPr>
          <w:sz w:val="20"/>
          <w:szCs w:val="20"/>
          <w:color w:val="auto"/>
        </w:rPr>
      </w:pPr>
    </w:p>
    <w:p>
      <w:pPr>
        <w:jc w:val="both"/>
        <w:ind w:left="640" w:firstLine="638"/>
        <w:spacing w:after="0" w:line="222" w:lineRule="auto"/>
        <w:tabs>
          <w:tab w:leader="none" w:pos="1818"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the reallocation described in clause (i) above cannot, or can only partially, be effected, the Borrower shall within one Domestic Business Day following notice by the Administrative Agent cash collateralize for the benefit of the Issuing Lender only the Borrower’s obligations corresponding to such Defaulting Lender’s Letter of Credit Liabilities (after giving effect to any partial reallocation pursuant to clause (i) above) in accordance with the procedures set forth in Section 6.03 for so long as such Letter of Credit Liabilities remain outstanding;</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887" w:val="left"/>
        </w:tabs>
        <w:numPr>
          <w:ilvl w:val="0"/>
          <w:numId w:val="84"/>
        </w:numPr>
        <w:rPr>
          <w:rFonts w:ascii="Arial" w:cs="Arial" w:eastAsia="Arial" w:hAnsi="Arial"/>
          <w:sz w:val="21"/>
          <w:szCs w:val="21"/>
          <w:color w:val="auto"/>
        </w:rPr>
      </w:pPr>
      <w:r>
        <w:rPr>
          <w:rFonts w:ascii="Arial" w:cs="Arial" w:eastAsia="Arial" w:hAnsi="Arial"/>
          <w:sz w:val="21"/>
          <w:szCs w:val="21"/>
          <w:color w:val="auto"/>
        </w:rPr>
        <w:t>to the extent that the Borrower cash collateralizes any portion of such Defaulting Lender’s Letter of Credit Liabilities pursuant to clause (ii) above, the Borrower shall not be required to pay any fees to such Defaulting Lender pursuant to Section 2.07(b) with respect to such Defaulting Lender’s Letter of Credit Liabilities during the period such Defaulting Lender’s Letter of Credit Liabilities is cash collateralized;</w:t>
      </w:r>
    </w:p>
    <w:p>
      <w:pPr>
        <w:spacing w:after="0" w:line="154" w:lineRule="exact"/>
        <w:rPr>
          <w:rFonts w:ascii="Arial" w:cs="Arial" w:eastAsia="Arial" w:hAnsi="Arial"/>
          <w:sz w:val="21"/>
          <w:szCs w:val="21"/>
          <w:color w:val="auto"/>
        </w:rPr>
      </w:pPr>
    </w:p>
    <w:p>
      <w:pPr>
        <w:jc w:val="both"/>
        <w:ind w:left="640" w:firstLine="638"/>
        <w:spacing w:after="0" w:line="230" w:lineRule="auto"/>
        <w:tabs>
          <w:tab w:leader="none" w:pos="1896" w:val="left"/>
        </w:tabs>
        <w:numPr>
          <w:ilvl w:val="0"/>
          <w:numId w:val="84"/>
        </w:numPr>
        <w:rPr>
          <w:rFonts w:ascii="Arial" w:cs="Arial" w:eastAsia="Arial" w:hAnsi="Arial"/>
          <w:sz w:val="21"/>
          <w:szCs w:val="21"/>
          <w:color w:val="auto"/>
        </w:rPr>
      </w:pPr>
      <w:r>
        <w:rPr>
          <w:rFonts w:ascii="Arial" w:cs="Arial" w:eastAsia="Arial" w:hAnsi="Arial"/>
          <w:sz w:val="21"/>
          <w:szCs w:val="21"/>
          <w:color w:val="auto"/>
        </w:rPr>
        <w:t>to the extent that the Letter of Credit Liabilities of the non-Defaulting Lenders are reallocated pursuant to clause (i) above, then the letter of credit fees payable to the Lenders pursuant to Section 2.07(b) shall be adjusted in accordance with such non-Defaulting Lenders’ Percentages; and</w:t>
      </w:r>
    </w:p>
    <w:p>
      <w:pPr>
        <w:spacing w:after="0" w:line="153" w:lineRule="exact"/>
        <w:rPr>
          <w:rFonts w:ascii="Arial" w:cs="Arial" w:eastAsia="Arial" w:hAnsi="Arial"/>
          <w:sz w:val="21"/>
          <w:szCs w:val="21"/>
          <w:color w:val="auto"/>
        </w:rPr>
      </w:pPr>
    </w:p>
    <w:p>
      <w:pPr>
        <w:jc w:val="both"/>
        <w:ind w:left="640" w:firstLine="638"/>
        <w:spacing w:after="0" w:line="222" w:lineRule="auto"/>
        <w:tabs>
          <w:tab w:leader="none" w:pos="1741" w:val="left"/>
        </w:tabs>
        <w:numPr>
          <w:ilvl w:val="0"/>
          <w:numId w:val="84"/>
        </w:numPr>
        <w:rPr>
          <w:rFonts w:ascii="Arial" w:cs="Arial" w:eastAsia="Arial" w:hAnsi="Arial"/>
          <w:sz w:val="21"/>
          <w:szCs w:val="21"/>
          <w:color w:val="auto"/>
        </w:rPr>
      </w:pPr>
      <w:r>
        <w:rPr>
          <w:rFonts w:ascii="Arial" w:cs="Arial" w:eastAsia="Arial" w:hAnsi="Arial"/>
          <w:sz w:val="21"/>
          <w:szCs w:val="21"/>
          <w:color w:val="auto"/>
        </w:rPr>
        <w:t>to the extent that all or any portion of such Defaulting Lender’s Letter of Credit Liabilities is neither reallocated nor cash collateralized pursuant to clause (i) or (ii) above, then, without prejudice to any rights or remedies of the Issuing Lender or any other Lender hereunder, all letter of credit fees payable under Section 2.07(b) with respect to such Defaulting Lender’s Letter of Credit Liabilities shall be payable to the Issuing Lender until all such Letter of Credit Liabilities are reallocated and/or cash collateralized; and</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814" w:val="left"/>
        </w:tabs>
        <w:numPr>
          <w:ilvl w:val="0"/>
          <w:numId w:val="84"/>
        </w:numPr>
        <w:rPr>
          <w:rFonts w:ascii="Arial" w:cs="Arial" w:eastAsia="Arial" w:hAnsi="Arial"/>
          <w:sz w:val="21"/>
          <w:szCs w:val="21"/>
          <w:color w:val="auto"/>
        </w:rPr>
      </w:pPr>
      <w:r>
        <w:rPr>
          <w:rFonts w:ascii="Arial" w:cs="Arial" w:eastAsia="Arial" w:hAnsi="Arial"/>
          <w:sz w:val="21"/>
          <w:szCs w:val="21"/>
          <w:color w:val="auto"/>
        </w:rPr>
        <w:t>so long as such Lender is a Defaulting Lender, no Issuing Lender shall be required to issue, amend or increase any Letter of Credit, unless it is satisfied that the related exposure and the Defaulting Lender’s then outstanding Letter of Credit Liabilities will be 100% covered by the Commitments of the non-Defaulting Lenders and/or cash collateral will be provided by the Borrower in accordance with Section 2.21(b)(ii),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63" w:lineRule="exact"/>
        <w:rPr>
          <w:sz w:val="20"/>
          <w:szCs w:val="20"/>
          <w:color w:val="auto"/>
        </w:rPr>
      </w:pPr>
    </w:p>
    <w:p>
      <w:pPr>
        <w:ind w:left="640"/>
        <w:spacing w:after="0" w:line="239" w:lineRule="auto"/>
        <w:rPr>
          <w:sz w:val="20"/>
          <w:szCs w:val="20"/>
          <w:color w:val="auto"/>
        </w:rPr>
      </w:pPr>
      <w:r>
        <w:rPr>
          <w:rFonts w:ascii="Arial" w:cs="Arial" w:eastAsia="Arial" w:hAnsi="Arial"/>
          <w:sz w:val="21"/>
          <w:szCs w:val="21"/>
          <w:color w:val="auto"/>
        </w:rPr>
        <w:t>participating interests in any newly issued or increased Letter of Credit shall be allocated among non-Defaulting Lenders in a manner consistent with Section 2.21(b)(i) (and such Defaulting Lender shall not participate therein);</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Section 11.14,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2" w:lineRule="exact"/>
        <w:rPr>
          <w:sz w:val="20"/>
          <w:szCs w:val="20"/>
          <w:color w:val="auto"/>
        </w:rPr>
      </w:pPr>
    </w:p>
    <w:p>
      <w:pPr>
        <w:jc w:val="both"/>
        <w:ind w:firstLine="642"/>
        <w:spacing w:after="0" w:line="225" w:lineRule="auto"/>
        <w:tabs>
          <w:tab w:leader="none" w:pos="1092"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an Issuing Lender has a good faith belief that any Lender has defaulted in fulfilling its obligations under one or more other agreements in which such Lender commits to extend credit, the Issuing Lender shall not be required to issue, amend or increase any Letter of Credit, unless the Issuing Lender shall have entered into arrangements with the Borrower or such Lender, satisfactory to the Issuing Lender to defease any risk to it in respect of such Lender hereunder.</w:t>
      </w:r>
    </w:p>
    <w:p>
      <w:pPr>
        <w:spacing w:after="0" w:line="154" w:lineRule="exact"/>
        <w:rPr>
          <w:rFonts w:ascii="Arial" w:cs="Arial" w:eastAsia="Arial" w:hAnsi="Arial"/>
          <w:sz w:val="21"/>
          <w:szCs w:val="21"/>
          <w:color w:val="auto"/>
        </w:rPr>
      </w:pPr>
    </w:p>
    <w:p>
      <w:pPr>
        <w:jc w:val="both"/>
        <w:ind w:firstLine="642"/>
        <w:spacing w:after="0" w:line="219" w:lineRule="auto"/>
        <w:tabs>
          <w:tab w:leader="none" w:pos="1148"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In the event that the Administrative Agent, the Company and the Issuing Lenders agree that a Defaulting Lender has adequately remedied all matters that caused such Lender to be a Defaulting Lender, then the Letter of Credit Liabilities of the Lenders shall be readjusted to reflect the inclusion of such Lender’s Commitment and on such date such Lender shall (i) purchase at par such of the Loans of the other Lenders as the Administrative Agent shall determine may be necessary in order for such Lender to hold such Loans in accordance with its Percentage and (ii) pay to each Lender from which such Loans are so purchased an amount equal to the amount that the Borrower would owe to each such Lender in respect of funding losses pursuant to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if the Borrower repaid such Loans on such date.</w:t>
      </w:r>
    </w:p>
    <w:p>
      <w:pPr>
        <w:spacing w:after="0" w:line="153" w:lineRule="exact"/>
        <w:rPr>
          <w:rFonts w:ascii="Arial" w:cs="Arial" w:eastAsia="Arial" w:hAnsi="Arial"/>
          <w:sz w:val="21"/>
          <w:szCs w:val="21"/>
          <w:color w:val="auto"/>
        </w:rPr>
      </w:pPr>
    </w:p>
    <w:p>
      <w:pPr>
        <w:jc w:val="both"/>
        <w:ind w:firstLine="642"/>
        <w:spacing w:after="0" w:line="236" w:lineRule="auto"/>
        <w:tabs>
          <w:tab w:leader="none" w:pos="1101"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If any Lender </w:t>
      </w:r>
      <w:r>
        <w:rPr>
          <w:rFonts w:ascii="Arial" w:cs="Arial" w:eastAsia="Arial" w:hAnsi="Arial"/>
          <w:sz w:val="19"/>
          <w:szCs w:val="19"/>
          <w:u w:val="single" w:color="auto"/>
          <w:color w:val="0000FF"/>
        </w:rPr>
        <w:t>becomes a Defaulting Lender</w:t>
      </w:r>
      <w:r>
        <w:rPr>
          <w:rFonts w:ascii="Arial" w:cs="Arial" w:eastAsia="Arial" w:hAnsi="Arial"/>
          <w:sz w:val="19"/>
          <w:szCs w:val="19"/>
          <w:color w:val="auto"/>
        </w:rPr>
        <w:t xml:space="preserve">,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color w:val="FF0000"/>
          <w:strike w:val="1"/>
        </w:rPr>
        <w:t>Section 11.06</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Company shall have received the prior written consent of the Administrative Agent, which consent shall not </w:t>
      </w:r>
      <w:r>
        <w:rPr>
          <w:rFonts w:ascii="Arial" w:cs="Arial" w:eastAsia="Arial" w:hAnsi="Arial"/>
          <w:sz w:val="19"/>
          <w:szCs w:val="19"/>
          <w:u w:val="single" w:color="auto"/>
          <w:color w:val="0000FF"/>
        </w:rPr>
        <w:t>unreasonably</w:t>
      </w:r>
      <w:r>
        <w:rPr>
          <w:rFonts w:ascii="Arial" w:cs="Arial" w:eastAsia="Arial" w:hAnsi="Arial"/>
          <w:sz w:val="19"/>
          <w:szCs w:val="19"/>
          <w:color w:val="auto"/>
        </w:rPr>
        <w:t xml:space="preserve"> be withheld and (ii) such Lender shall have received payment of an amount equal to the outstanding principal of its Loans and funded participations in Letter of Credit Disbursements, accrued interest thereon, accrued fees and all other amounts payable to it hereunder, from the assignee (to the extent of such outstanding principal and accrued interest and fees) or the Company or the relevant Borrower (in the case of all other amounts).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documents shall be without recourse to or warranty by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46</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69" w:lineRule="exact"/>
        <w:rPr>
          <w:sz w:val="20"/>
          <w:szCs w:val="20"/>
          <w:color w:val="auto"/>
        </w:rPr>
      </w:pPr>
    </w:p>
    <w:p>
      <w:pPr>
        <w:jc w:val="right"/>
        <w:ind w:right="5200"/>
        <w:spacing w:after="0"/>
        <w:rPr>
          <w:sz w:val="20"/>
          <w:szCs w:val="20"/>
          <w:color w:val="auto"/>
        </w:rPr>
      </w:pPr>
      <w:r>
        <w:rPr>
          <w:rFonts w:ascii="Arial" w:cs="Arial" w:eastAsia="Arial" w:hAnsi="Arial"/>
          <w:sz w:val="21"/>
          <w:szCs w:val="21"/>
          <w:color w:val="auto"/>
        </w:rPr>
        <w:t>ARTICLE 3</w:t>
      </w:r>
    </w:p>
    <w:p>
      <w:pPr>
        <w:jc w:val="right"/>
        <w:ind w:right="5160"/>
        <w:spacing w:after="0"/>
        <w:rPr>
          <w:sz w:val="20"/>
          <w:szCs w:val="20"/>
          <w:color w:val="auto"/>
        </w:rPr>
      </w:pPr>
      <w:r>
        <w:rPr>
          <w:rFonts w:ascii="Arial" w:cs="Arial" w:eastAsia="Arial" w:hAnsi="Arial"/>
          <w:sz w:val="21"/>
          <w:szCs w:val="21"/>
          <w:color w:val="auto"/>
        </w:rPr>
        <w:t>Conditions</w:t>
      </w:r>
    </w:p>
    <w:p>
      <w:pPr>
        <w:spacing w:after="0" w:line="165"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i w:val="1"/>
          <w:iCs w:val="1"/>
          <w:color w:val="auto"/>
        </w:rPr>
        <w:t>Effectiveness</w:t>
      </w:r>
      <w:r>
        <w:rPr>
          <w:rFonts w:ascii="Arial" w:cs="Arial" w:eastAsia="Arial" w:hAnsi="Arial"/>
          <w:sz w:val="21"/>
          <w:szCs w:val="21"/>
          <w:color w:val="auto"/>
        </w:rPr>
        <w:t>. The Commitments shall become effective only when all the following conditions have been satisfied:</w:t>
      </w:r>
    </w:p>
    <w:p>
      <w:pPr>
        <w:spacing w:after="0" w:line="155" w:lineRule="exact"/>
        <w:rPr>
          <w:sz w:val="20"/>
          <w:szCs w:val="20"/>
          <w:color w:val="auto"/>
        </w:rPr>
      </w:pPr>
    </w:p>
    <w:p>
      <w:pPr>
        <w:jc w:val="both"/>
        <w:ind w:firstLine="642"/>
        <w:spacing w:after="0" w:line="230" w:lineRule="auto"/>
        <w:tabs>
          <w:tab w:leader="none" w:pos="1101"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Administrative Agent shall have received, from each party listed on the signature pages hereof, either a counterpart hereof signed by such party or facsimile or other written confirmation satisfactory to the Administrative Agent confirming that such party has executed and delivered a counterpart hereof;</w:t>
      </w:r>
    </w:p>
    <w:p>
      <w:pPr>
        <w:spacing w:after="0" w:line="153" w:lineRule="exact"/>
        <w:rPr>
          <w:rFonts w:ascii="Arial" w:cs="Arial" w:eastAsia="Arial" w:hAnsi="Arial"/>
          <w:sz w:val="21"/>
          <w:szCs w:val="21"/>
          <w:color w:val="auto"/>
        </w:rPr>
      </w:pPr>
    </w:p>
    <w:p>
      <w:pPr>
        <w:ind w:firstLine="642"/>
        <w:spacing w:after="0" w:line="239" w:lineRule="auto"/>
        <w:tabs>
          <w:tab w:leader="none" w:pos="112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Administrative Agent shall have received an opinion of the Vice President, Corporate Secretary &amp; Deputy General Counsel of the Company in form and substance reasonably satisfactory to the Administrative Agent;</w:t>
      </w:r>
    </w:p>
    <w:p>
      <w:pPr>
        <w:spacing w:after="0" w:line="155" w:lineRule="exact"/>
        <w:rPr>
          <w:rFonts w:ascii="Arial" w:cs="Arial" w:eastAsia="Arial" w:hAnsi="Arial"/>
          <w:sz w:val="21"/>
          <w:szCs w:val="21"/>
          <w:color w:val="auto"/>
        </w:rPr>
      </w:pPr>
    </w:p>
    <w:p>
      <w:pPr>
        <w:jc w:val="both"/>
        <w:ind w:firstLine="642"/>
        <w:spacing w:after="0" w:line="230" w:lineRule="auto"/>
        <w:tabs>
          <w:tab w:leader="none" w:pos="113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Administrative Agent shall have received all documents it may reasonably request relating to the existence of the Company, the corporate authority for and the validity of this Agreement and the Notes of the Company, and any other matters relevant hereto, all in form and substance reasonably satisfactory to the Administrative Agent;</w:t>
      </w:r>
    </w:p>
    <w:p>
      <w:pPr>
        <w:spacing w:after="0" w:line="153" w:lineRule="exact"/>
        <w:rPr>
          <w:rFonts w:ascii="Arial" w:cs="Arial" w:eastAsia="Arial" w:hAnsi="Arial"/>
          <w:sz w:val="21"/>
          <w:szCs w:val="21"/>
          <w:color w:val="auto"/>
        </w:rPr>
      </w:pPr>
    </w:p>
    <w:p>
      <w:pPr>
        <w:ind w:firstLine="642"/>
        <w:spacing w:after="0" w:line="239" w:lineRule="auto"/>
        <w:tabs>
          <w:tab w:leader="none" w:pos="120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Administrative Agent shall have received evidence satisfactory to it that all principal of any loans outstanding under, and all accrued interest and fees under, the Existing Credit Agreement shall have been paid in full;</w:t>
      </w:r>
    </w:p>
    <w:p>
      <w:pPr>
        <w:spacing w:after="0" w:line="155" w:lineRule="exact"/>
        <w:rPr>
          <w:rFonts w:ascii="Arial" w:cs="Arial" w:eastAsia="Arial" w:hAnsi="Arial"/>
          <w:sz w:val="21"/>
          <w:szCs w:val="21"/>
          <w:color w:val="auto"/>
        </w:rPr>
      </w:pPr>
    </w:p>
    <w:p>
      <w:pPr>
        <w:ind w:firstLine="642"/>
        <w:spacing w:after="0" w:line="290" w:lineRule="auto"/>
        <w:tabs>
          <w:tab w:leader="none" w:pos="1092"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Administrative Agent shall have received payment of any fees for the accounts of the Agents and the Lenders in the amounts heretofore mutually agreed in writing to the extent such fees are due and payable on and as of the Effective Date;</w:t>
      </w:r>
    </w:p>
    <w:p>
      <w:pPr>
        <w:spacing w:after="0" w:line="107" w:lineRule="exact"/>
        <w:rPr>
          <w:rFonts w:ascii="Arial" w:cs="Arial" w:eastAsia="Arial" w:hAnsi="Arial"/>
          <w:sz w:val="19"/>
          <w:szCs w:val="19"/>
          <w:color w:val="auto"/>
        </w:rPr>
      </w:pPr>
    </w:p>
    <w:p>
      <w:pPr>
        <w:jc w:val="both"/>
        <w:ind w:firstLine="642"/>
        <w:spacing w:after="0" w:line="230" w:lineRule="auto"/>
        <w:tabs>
          <w:tab w:leader="none" w:pos="1101"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the extent such documentation and information has been requested by the Lenders, the Lenders shall have received all documentation and other information required by bank regulatory authorities under applicable “know your customer” and anti-money laundering rules and regulations, including the Patriot Act.</w:t>
      </w:r>
    </w:p>
    <w:p>
      <w:pPr>
        <w:spacing w:after="0" w:line="153" w:lineRule="exact"/>
        <w:rPr>
          <w:rFonts w:ascii="Arial" w:cs="Arial" w:eastAsia="Arial" w:hAnsi="Arial"/>
          <w:sz w:val="21"/>
          <w:szCs w:val="21"/>
          <w:color w:val="auto"/>
        </w:rPr>
      </w:pPr>
    </w:p>
    <w:p>
      <w:pPr>
        <w:ind w:firstLine="642"/>
        <w:spacing w:after="0" w:line="239" w:lineRule="auto"/>
        <w:tabs>
          <w:tab w:leader="none" w:pos="122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an officer of the Company certifying that, as of the Effective Date:</w:t>
      </w:r>
    </w:p>
    <w:p>
      <w:pPr>
        <w:spacing w:after="0" w:line="155" w:lineRule="exact"/>
        <w:rPr>
          <w:rFonts w:ascii="Arial" w:cs="Arial" w:eastAsia="Arial" w:hAnsi="Arial"/>
          <w:sz w:val="21"/>
          <w:szCs w:val="21"/>
          <w:color w:val="auto"/>
        </w:rPr>
      </w:pPr>
    </w:p>
    <w:p>
      <w:pPr>
        <w:ind w:left="640" w:firstLine="638"/>
        <w:spacing w:after="0" w:line="239" w:lineRule="auto"/>
        <w:tabs>
          <w:tab w:leader="none" w:pos="1690" w:val="left"/>
        </w:tabs>
        <w:numPr>
          <w:ilvl w:val="1"/>
          <w:numId w:val="86"/>
        </w:numPr>
        <w:rPr>
          <w:rFonts w:ascii="Arial" w:cs="Arial" w:eastAsia="Arial" w:hAnsi="Arial"/>
          <w:sz w:val="21"/>
          <w:szCs w:val="21"/>
          <w:color w:val="auto"/>
        </w:rPr>
      </w:pPr>
      <w:r>
        <w:rPr>
          <w:rFonts w:ascii="Arial" w:cs="Arial" w:eastAsia="Arial" w:hAnsi="Arial"/>
          <w:sz w:val="21"/>
          <w:szCs w:val="21"/>
          <w:color w:val="auto"/>
        </w:rPr>
        <w:t>immediately before and after giving effect to the effectiveness of this Agreement, no Default or Event of Default shall exist; and</w:t>
      </w:r>
    </w:p>
    <w:p>
      <w:pPr>
        <w:spacing w:after="0" w:line="155" w:lineRule="exact"/>
        <w:rPr>
          <w:rFonts w:ascii="Arial" w:cs="Arial" w:eastAsia="Arial" w:hAnsi="Arial"/>
          <w:sz w:val="21"/>
          <w:szCs w:val="21"/>
          <w:color w:val="auto"/>
        </w:rPr>
      </w:pPr>
    </w:p>
    <w:p>
      <w:pPr>
        <w:jc w:val="both"/>
        <w:ind w:left="640" w:firstLine="638"/>
        <w:spacing w:after="0" w:line="247" w:lineRule="auto"/>
        <w:tabs>
          <w:tab w:leader="none" w:pos="1847"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Borrowers contained in this Agreement are true and correct in all material respects;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to the extent that any representation and warranty specifically refers to a given date or period, it shall be true and correct in all material respects as of such date or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p>
    <w:p>
      <w:pPr>
        <w:spacing w:after="0" w:line="148"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shall not become effective unless all of the foregoing conditions are satisfied not later than September 30, 2021. Promptly after the Effective Date occurs, the Administrative Agent shall notify the Company and the Lenders thereof, and such notice shall be conclusive and binding on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47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6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SECTION 3.02</w:t>
      </w:r>
      <w:r>
        <w:rPr>
          <w:rFonts w:ascii="Arial" w:cs="Arial" w:eastAsia="Arial" w:hAnsi="Arial"/>
          <w:sz w:val="21"/>
          <w:szCs w:val="21"/>
          <w:i w:val="1"/>
          <w:iCs w:val="1"/>
          <w:color w:val="auto"/>
        </w:rPr>
        <w:t>. Borrowings and Issuance of Letters of Credit</w:t>
      </w:r>
      <w:r>
        <w:rPr>
          <w:rFonts w:ascii="Arial" w:cs="Arial" w:eastAsia="Arial" w:hAnsi="Arial"/>
          <w:sz w:val="21"/>
          <w:szCs w:val="21"/>
          <w:color w:val="auto"/>
        </w:rPr>
        <w:t>. The obligation of each Lender to make a Loan on the occasion of any Borrowing, and the obligation of an Issuing Lender to issue (or renew or extend the term of) any Letter of Credit, is subject to the satisfaction of the following conditions:</w:t>
      </w:r>
    </w:p>
    <w:p>
      <w:pPr>
        <w:spacing w:after="0" w:line="154" w:lineRule="exact"/>
        <w:rPr>
          <w:sz w:val="20"/>
          <w:szCs w:val="20"/>
          <w:color w:val="auto"/>
        </w:rPr>
      </w:pPr>
    </w:p>
    <w:p>
      <w:pPr>
        <w:ind w:firstLine="642"/>
        <w:spacing w:after="0" w:line="239" w:lineRule="auto"/>
        <w:tabs>
          <w:tab w:leader="none" w:pos="1119" w:val="left"/>
        </w:tabs>
        <w:numPr>
          <w:ilvl w:val="0"/>
          <w:numId w:val="87"/>
        </w:numPr>
        <w:rPr>
          <w:rFonts w:ascii="Arial" w:cs="Arial" w:eastAsia="Arial" w:hAnsi="Arial"/>
          <w:sz w:val="21"/>
          <w:szCs w:val="21"/>
          <w:color w:val="auto"/>
        </w:rPr>
      </w:pPr>
      <w:r>
        <w:rPr>
          <w:rFonts w:ascii="Arial" w:cs="Arial" w:eastAsia="Arial" w:hAnsi="Arial"/>
          <w:sz w:val="21"/>
          <w:szCs w:val="21"/>
          <w:color w:val="auto"/>
        </w:rPr>
        <w:t>receipt by the Administrative Agent of a Notice of Borrowing as required by Section 2.02 or receipt by the applicable Issuing Lender of a Notice of Issuance as required by Section 2.18(b), as the case may be;</w:t>
      </w:r>
    </w:p>
    <w:p>
      <w:pPr>
        <w:spacing w:after="0" w:line="155" w:lineRule="exact"/>
        <w:rPr>
          <w:rFonts w:ascii="Arial" w:cs="Arial" w:eastAsia="Arial" w:hAnsi="Arial"/>
          <w:sz w:val="21"/>
          <w:szCs w:val="21"/>
          <w:color w:val="auto"/>
        </w:rPr>
      </w:pPr>
    </w:p>
    <w:p>
      <w:pPr>
        <w:ind w:left="1140" w:hanging="498"/>
        <w:spacing w:after="0"/>
        <w:tabs>
          <w:tab w:leader="none" w:pos="11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fact that, immediately before and after giving effect to such Borrowing or issuance or extension, no Default shall</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exist; and</w:t>
      </w:r>
    </w:p>
    <w:p>
      <w:pPr>
        <w:spacing w:after="0" w:line="164" w:lineRule="exact"/>
        <w:rPr>
          <w:rFonts w:ascii="Arial" w:cs="Arial" w:eastAsia="Arial" w:hAnsi="Arial"/>
          <w:sz w:val="19"/>
          <w:szCs w:val="19"/>
          <w:color w:val="auto"/>
        </w:rPr>
      </w:pPr>
    </w:p>
    <w:p>
      <w:pPr>
        <w:jc w:val="both"/>
        <w:ind w:firstLine="642"/>
        <w:spacing w:after="0" w:line="228" w:lineRule="auto"/>
        <w:tabs>
          <w:tab w:leader="none" w:pos="1356"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the fact that the representations and warranties of the Borrowers contained in this Agreement (except the representations and warranties set forth in Section 4.04(b), 4.05 and 4.07 as to any matter which has been disclosed in writing by the Company to the Lenders or in a publicly available report filed by the Company with the Securities and Exchange Commission) shall be true and accurate in all material respects on and as of the date of such Borrowing or issuance or extension;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to the extent that any representation and warranty specifically refers to a given date or period, it shall be true and correct in all material respects as of such date or for such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p>
    <w:p>
      <w:pPr>
        <w:spacing w:after="0" w:line="16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Each Borrowing and each issuance or extension of a Letter of Credit hereunder shall be deemed to be a representation and warranty by the relevant Borrower on the date of such Borrowing or issuance or extension as to the facts specified in the foregoing clauses 3.02(b) and 3.02(c).</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SECTION 3.03</w:t>
      </w:r>
      <w:r>
        <w:rPr>
          <w:rFonts w:ascii="Arial" w:cs="Arial" w:eastAsia="Arial" w:hAnsi="Arial"/>
          <w:sz w:val="21"/>
          <w:szCs w:val="21"/>
          <w:i w:val="1"/>
          <w:iCs w:val="1"/>
          <w:color w:val="auto"/>
        </w:rPr>
        <w:t>. Existing Credit Agreement</w:t>
      </w:r>
      <w:r>
        <w:rPr>
          <w:rFonts w:ascii="Arial" w:cs="Arial" w:eastAsia="Arial" w:hAnsi="Arial"/>
          <w:sz w:val="21"/>
          <w:szCs w:val="21"/>
          <w:color w:val="auto"/>
        </w:rPr>
        <w:t>. (a) On the Effective Date, the commitments under the Existing Credit Agreement shall terminate, without further action by any party thereto.</w:t>
      </w:r>
    </w:p>
    <w:p>
      <w:pPr>
        <w:spacing w:after="0" w:line="155" w:lineRule="exact"/>
        <w:rPr>
          <w:sz w:val="20"/>
          <w:szCs w:val="20"/>
          <w:color w:val="auto"/>
        </w:rPr>
      </w:pPr>
    </w:p>
    <w:p>
      <w:pPr>
        <w:jc w:val="both"/>
        <w:ind w:firstLine="642"/>
        <w:spacing w:after="0" w:line="222" w:lineRule="auto"/>
        <w:tabs>
          <w:tab w:leader="none" w:pos="1237"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Lenders which are parties to the Existing Credit Agreement, comprising the “Required Lenders” as defined therein, hereby waive any requirement of notice of termination of the commitments pursuant to the Existing Credit Agreement and of prepayment of loans to the extent necessary to give effect to the subsections 3.01(d) and 3.03(a),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any such prepayment of loans shall be subject to Section 2.13 of the Existing Credit Agreement as to any Lender (as defined in the Existing Credit Agreement) that is not also a Lender hereunder.</w:t>
      </w:r>
    </w:p>
    <w:p>
      <w:pPr>
        <w:spacing w:after="0" w:line="155"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SECTION 3.04</w:t>
      </w:r>
      <w:r>
        <w:rPr>
          <w:rFonts w:ascii="Arial" w:cs="Arial" w:eastAsia="Arial" w:hAnsi="Arial"/>
          <w:sz w:val="21"/>
          <w:szCs w:val="21"/>
          <w:i w:val="1"/>
          <w:iCs w:val="1"/>
          <w:color w:val="auto"/>
        </w:rPr>
        <w:t>. First Borrowing by Each Eligible Subsidiary</w:t>
      </w:r>
      <w:r>
        <w:rPr>
          <w:rFonts w:ascii="Arial" w:cs="Arial" w:eastAsia="Arial" w:hAnsi="Arial"/>
          <w:sz w:val="21"/>
          <w:szCs w:val="21"/>
          <w:color w:val="auto"/>
        </w:rPr>
        <w:t>. The obligation of each Lender to make a Loan, and the obligation of an Issuing Lender to issue a Letter of Credit, on the occasion of the first Borrowing by or issuance of a Letter of Credit for the account of each Eligible Subsidiary is subject to the satisfaction of the following further conditions:</w:t>
      </w:r>
    </w:p>
    <w:p>
      <w:pPr>
        <w:spacing w:after="0" w:line="154" w:lineRule="exact"/>
        <w:rPr>
          <w:sz w:val="20"/>
          <w:szCs w:val="20"/>
          <w:color w:val="auto"/>
        </w:rPr>
      </w:pPr>
    </w:p>
    <w:p>
      <w:pPr>
        <w:ind w:firstLine="642"/>
        <w:spacing w:after="0" w:line="239" w:lineRule="auto"/>
        <w:tabs>
          <w:tab w:leader="none" w:pos="1305" w:val="left"/>
        </w:tabs>
        <w:numPr>
          <w:ilvl w:val="0"/>
          <w:numId w:val="89"/>
        </w:numPr>
        <w:rPr>
          <w:rFonts w:ascii="Arial" w:cs="Arial" w:eastAsia="Arial" w:hAnsi="Arial"/>
          <w:sz w:val="21"/>
          <w:szCs w:val="21"/>
          <w:color w:val="auto"/>
        </w:rPr>
      </w:pPr>
      <w:r>
        <w:rPr>
          <w:rFonts w:ascii="Arial" w:cs="Arial" w:eastAsia="Arial" w:hAnsi="Arial"/>
          <w:sz w:val="21"/>
          <w:szCs w:val="21"/>
          <w:color w:val="auto"/>
        </w:rPr>
        <w:t>receipt by the Administrative Agent of an opinion of counsel for such Eligible Subsidiary acceptable to the Administrative Agent, in form and substance reasonably satisfactory to the Administrative Agent;</w:t>
      </w:r>
    </w:p>
    <w:p>
      <w:pPr>
        <w:spacing w:after="0" w:line="155" w:lineRule="exact"/>
        <w:rPr>
          <w:rFonts w:ascii="Arial" w:cs="Arial" w:eastAsia="Arial" w:hAnsi="Arial"/>
          <w:sz w:val="21"/>
          <w:szCs w:val="21"/>
          <w:color w:val="auto"/>
        </w:rPr>
      </w:pPr>
    </w:p>
    <w:p>
      <w:pPr>
        <w:jc w:val="both"/>
        <w:ind w:firstLine="642"/>
        <w:spacing w:after="0" w:line="225" w:lineRule="auto"/>
        <w:tabs>
          <w:tab w:leader="none" w:pos="1115" w:val="left"/>
        </w:tabs>
        <w:numPr>
          <w:ilvl w:val="0"/>
          <w:numId w:val="89"/>
        </w:numPr>
        <w:rPr>
          <w:rFonts w:ascii="Arial" w:cs="Arial" w:eastAsia="Arial" w:hAnsi="Arial"/>
          <w:sz w:val="21"/>
          <w:szCs w:val="21"/>
          <w:color w:val="auto"/>
        </w:rPr>
      </w:pPr>
      <w:r>
        <w:rPr>
          <w:rFonts w:ascii="Arial" w:cs="Arial" w:eastAsia="Arial" w:hAnsi="Arial"/>
          <w:sz w:val="21"/>
          <w:szCs w:val="21"/>
          <w:color w:val="auto"/>
        </w:rPr>
        <w:t>receipt by the Administrative Agent of all documents which it may reasonably request relating to the existence of such Eligible Subsidiary, the authority for and the validity of the Election to Participate of such Eligible Subsidiary, this Agreement and the Notes of such Eligible Subsidiary, and any other matters relevant thereto, all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63" w:lineRule="exact"/>
        <w:rPr>
          <w:sz w:val="20"/>
          <w:szCs w:val="20"/>
          <w:color w:val="auto"/>
        </w:rPr>
      </w:pPr>
    </w:p>
    <w:p>
      <w:pPr>
        <w:ind w:firstLine="642"/>
        <w:spacing w:after="0" w:line="239" w:lineRule="auto"/>
        <w:tabs>
          <w:tab w:leader="none" w:pos="1136" w:val="left"/>
        </w:tabs>
        <w:numPr>
          <w:ilvl w:val="1"/>
          <w:numId w:val="90"/>
        </w:numPr>
        <w:rPr>
          <w:rFonts w:ascii="Arial" w:cs="Arial" w:eastAsia="Arial" w:hAnsi="Arial"/>
          <w:sz w:val="19"/>
          <w:szCs w:val="19"/>
          <w:color w:val="0E32E1"/>
        </w:rPr>
      </w:pPr>
      <w:r>
        <w:rPr>
          <w:rFonts w:ascii="Arial" w:cs="Arial" w:eastAsia="Arial" w:hAnsi="Arial"/>
          <w:sz w:val="19"/>
          <w:szCs w:val="19"/>
          <w:color w:val="FF0000"/>
        </w:rPr>
        <w:t xml:space="preserve">(c) </w:t>
      </w:r>
      <w:r>
        <w:rPr>
          <w:rFonts w:ascii="Arial" w:cs="Arial" w:eastAsia="Arial" w:hAnsi="Arial"/>
          <w:sz w:val="19"/>
          <w:szCs w:val="19"/>
          <w:color w:val="000000"/>
        </w:rPr>
        <w:t>(i) receipt by each Lender not less than five</w:t>
      </w:r>
      <w:r>
        <w:rPr>
          <w:rFonts w:ascii="Arial" w:cs="Arial" w:eastAsia="Arial" w:hAnsi="Arial"/>
          <w:sz w:val="19"/>
          <w:szCs w:val="19"/>
          <w:color w:val="FF0000"/>
        </w:rPr>
        <w:t xml:space="preserve"> </w:t>
      </w:r>
      <w:r>
        <w:rPr>
          <w:rFonts w:ascii="Arial" w:cs="Arial" w:eastAsia="Arial" w:hAnsi="Arial"/>
          <w:sz w:val="19"/>
          <w:szCs w:val="19"/>
          <w:color w:val="FF0000"/>
          <w:strike w:val="1"/>
        </w:rPr>
        <w:t>Euro-Dollar</w:t>
      </w:r>
      <w:r>
        <w:rPr>
          <w:rFonts w:ascii="Arial" w:cs="Arial" w:eastAsia="Arial" w:hAnsi="Arial"/>
          <w:sz w:val="19"/>
          <w:szCs w:val="19"/>
          <w:color w:val="FF0000"/>
        </w:rPr>
        <w:t xml:space="preserve"> </w:t>
      </w:r>
      <w:r>
        <w:rPr>
          <w:rFonts w:ascii="Arial" w:cs="Arial" w:eastAsia="Arial" w:hAnsi="Arial"/>
          <w:sz w:val="19"/>
          <w:szCs w:val="19"/>
          <w:color w:val="000000"/>
        </w:rPr>
        <w:t>Business Days prior to the date of such Borrowing or</w:t>
      </w:r>
      <w:r>
        <w:rPr>
          <w:rFonts w:ascii="Arial" w:cs="Arial" w:eastAsia="Arial" w:hAnsi="Arial"/>
          <w:sz w:val="19"/>
          <w:szCs w:val="19"/>
          <w:color w:val="FF0000"/>
        </w:rPr>
        <w:t xml:space="preserve"> </w:t>
      </w:r>
      <w:r>
        <w:rPr>
          <w:rFonts w:ascii="Arial" w:cs="Arial" w:eastAsia="Arial" w:hAnsi="Arial"/>
          <w:sz w:val="19"/>
          <w:szCs w:val="19"/>
          <w:color w:val="000000"/>
        </w:rPr>
        <w:t>issuance of all documentation and other information reasonably requested in writing by such Lender in order to allow it to comply with applicable “know your customer” and anti-money laundering rules and regulations with respect to such Eligible Subsidiary and</w:t>
      </w:r>
    </w:p>
    <w:p>
      <w:pPr>
        <w:spacing w:after="0" w:line="1" w:lineRule="exact"/>
        <w:rPr>
          <w:rFonts w:ascii="Arial" w:cs="Arial" w:eastAsia="Arial" w:hAnsi="Arial"/>
          <w:sz w:val="19"/>
          <w:szCs w:val="19"/>
          <w:color w:val="0E32E1"/>
        </w:rPr>
      </w:pPr>
    </w:p>
    <w:p>
      <w:pPr>
        <w:jc w:val="both"/>
        <w:ind w:right="100" w:firstLine="6"/>
        <w:spacing w:after="0" w:line="231" w:lineRule="auto"/>
        <w:tabs>
          <w:tab w:leader="none" w:pos="312"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to the extent such Eligible Subsidiary qualifies as a “legal entity customer” under the Beneficial Ownership Regulation, at least three </w:t>
      </w:r>
      <w:r>
        <w:rPr>
          <w:rFonts w:ascii="Arial" w:cs="Arial" w:eastAsia="Arial" w:hAnsi="Arial"/>
          <w:sz w:val="20"/>
          <w:szCs w:val="20"/>
          <w:color w:val="FF0000"/>
          <w:strike w:val="1"/>
        </w:rPr>
        <w:t>Euro-Dollar</w:t>
      </w:r>
      <w:r>
        <w:rPr>
          <w:rFonts w:ascii="Arial" w:cs="Arial" w:eastAsia="Arial" w:hAnsi="Arial"/>
          <w:sz w:val="20"/>
          <w:szCs w:val="20"/>
          <w:color w:val="auto"/>
        </w:rPr>
        <w:t xml:space="preserve"> Business Days prior to the date of such Borrowing or issuance, any Lender that has requested, in a written notice to such Eligible Subsidiary at least 10 days prior to the date of such Borrowing or issuance, a Beneficial Ownership Certification in relation to such Eligible Subsidiary shall have received such Beneficial Ownership Certification; and</w:t>
      </w:r>
    </w:p>
    <w:p>
      <w:pPr>
        <w:spacing w:after="0" w:line="156" w:lineRule="exact"/>
        <w:rPr>
          <w:rFonts w:ascii="Arial" w:cs="Arial" w:eastAsia="Arial" w:hAnsi="Arial"/>
          <w:sz w:val="20"/>
          <w:szCs w:val="20"/>
          <w:color w:val="auto"/>
        </w:rPr>
      </w:pPr>
    </w:p>
    <w:p>
      <w:pPr>
        <w:ind w:firstLine="642"/>
        <w:spacing w:after="0" w:line="263" w:lineRule="auto"/>
        <w:tabs>
          <w:tab w:leader="none" w:pos="1166" w:val="left"/>
        </w:tabs>
        <w:numPr>
          <w:ilvl w:val="1"/>
          <w:numId w:val="91"/>
        </w:numPr>
        <w:rPr>
          <w:rFonts w:ascii="Arial" w:cs="Arial" w:eastAsia="Arial" w:hAnsi="Arial"/>
          <w:sz w:val="20"/>
          <w:szCs w:val="20"/>
          <w:color w:val="auto"/>
        </w:rPr>
      </w:pPr>
      <w:r>
        <w:rPr>
          <w:rFonts w:ascii="Arial" w:cs="Arial" w:eastAsia="Arial" w:hAnsi="Arial"/>
          <w:sz w:val="20"/>
          <w:szCs w:val="20"/>
          <w:color w:val="auto"/>
        </w:rPr>
        <w:t>if such Eligible Subsidiary is not organized under the laws of the United States or any political subdivision thereof, such Borrowing or issuance shall not contravene any law or regulation applicable to any Lender extending such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-1306830</wp:posOffset>
            </wp:positionV>
            <wp:extent cx="2165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16535" cy="8255"/>
                    </a:xfrm>
                    <a:prstGeom prst="rect">
                      <a:avLst/>
                    </a:prstGeom>
                    <a:noFill/>
                  </pic:spPr>
                </pic:pic>
              </a:graphicData>
            </a:graphic>
          </wp:anchor>
        </w:drawing>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4</w:t>
      </w:r>
    </w:p>
    <w:p>
      <w:pPr>
        <w:ind w:left="3580"/>
        <w:spacing w:after="0"/>
        <w:rPr>
          <w:sz w:val="20"/>
          <w:szCs w:val="20"/>
          <w:color w:val="auto"/>
        </w:rPr>
      </w:pPr>
      <w:r>
        <w:rPr>
          <w:rFonts w:ascii="Arial" w:cs="Arial" w:eastAsia="Arial" w:hAnsi="Arial"/>
          <w:sz w:val="21"/>
          <w:szCs w:val="21"/>
          <w:color w:val="auto"/>
        </w:rPr>
        <w:t>Representations and Warranties of the Company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Company represents and warrants that:</w:t>
      </w:r>
    </w:p>
    <w:p>
      <w:pPr>
        <w:spacing w:after="0" w:line="183" w:lineRule="exact"/>
        <w:rPr>
          <w:sz w:val="20"/>
          <w:szCs w:val="20"/>
          <w:color w:val="auto"/>
        </w:rPr>
      </w:pPr>
    </w:p>
    <w:p>
      <w:pPr>
        <w:jc w:val="both"/>
        <w:ind w:firstLine="715"/>
        <w:spacing w:after="0" w:line="236"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i w:val="1"/>
          <w:iCs w:val="1"/>
          <w:color w:val="auto"/>
        </w:rPr>
        <w:t>Corporate Existence and Power</w:t>
      </w:r>
      <w:r>
        <w:rPr>
          <w:rFonts w:ascii="Arial" w:cs="Arial" w:eastAsia="Arial" w:hAnsi="Arial"/>
          <w:sz w:val="20"/>
          <w:szCs w:val="20"/>
          <w:color w:val="auto"/>
        </w:rPr>
        <w:t>. The Company (a) is a corporation duly incorporated, validly existing and in good standing under the laws of the State of New Jersey, and (b) has all corporate powers and all material governmental licenses, authorizations, consents and approvals required to carry on its business as now conducted, except in the case of clause (b) where the failure to do so would not reasonably be expected to result in a Material Adverse Effect.</w:t>
      </w:r>
    </w:p>
    <w:p>
      <w:pPr>
        <w:spacing w:after="0" w:line="15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Corporate and Governmental Authorization; No Contravention</w:t>
      </w:r>
      <w:r>
        <w:rPr>
          <w:rFonts w:ascii="Arial" w:cs="Arial" w:eastAsia="Arial" w:hAnsi="Arial"/>
          <w:sz w:val="19"/>
          <w:szCs w:val="19"/>
          <w:color w:val="auto"/>
        </w:rPr>
        <w:t>. The execution, delivery and performance by the Company of this Agreement and its Notes (a) are within the corporate powers of the Company, (b) have been duly authorized by all necessary corporate action, (c) require no action by or in respect of, or filing with, any governmental body, agency or official,</w:t>
      </w:r>
    </w:p>
    <w:p>
      <w:pPr>
        <w:spacing w:after="0" w:line="1" w:lineRule="exact"/>
        <w:rPr>
          <w:sz w:val="20"/>
          <w:szCs w:val="20"/>
          <w:color w:val="auto"/>
        </w:rPr>
      </w:pPr>
    </w:p>
    <w:p>
      <w:pPr>
        <w:jc w:val="both"/>
        <w:ind w:firstLine="6"/>
        <w:spacing w:after="0" w:line="217" w:lineRule="auto"/>
        <w:tabs>
          <w:tab w:leader="none" w:pos="316" w:val="left"/>
        </w:tabs>
        <w:numPr>
          <w:ilvl w:val="0"/>
          <w:numId w:val="92"/>
        </w:numPr>
        <w:rPr>
          <w:rFonts w:ascii="Arial" w:cs="Arial" w:eastAsia="Arial" w:hAnsi="Arial"/>
          <w:sz w:val="21"/>
          <w:szCs w:val="21"/>
          <w:color w:val="auto"/>
        </w:rPr>
      </w:pPr>
      <w:r>
        <w:rPr>
          <w:rFonts w:ascii="Arial" w:cs="Arial" w:eastAsia="Arial" w:hAnsi="Arial"/>
          <w:sz w:val="21"/>
          <w:szCs w:val="21"/>
          <w:color w:val="auto"/>
        </w:rPr>
        <w:t>do not contravene, or constitute a default under, any provision of applicable law or regulation or of any agreement, judgment, injunction, order, decree or other instrument binding upon the Company or any of its Subsidiaries or result in the creation or imposition of any Lien on any asset of the Company or any of its Principal Subsidiaries or (e) do not contravene, or constitute a default under, the certificate of incorporation or by-laws of the Company, except in the case of clauses (c) and (d) where the failure to obtain such consent or any such violation or default, as applicable, would not reasonably be expected, individually or in the aggregate, to result in a Material Adverse Effect.</w:t>
      </w:r>
    </w:p>
    <w:p>
      <w:pPr>
        <w:spacing w:after="0" w:line="156"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i w:val="1"/>
          <w:iCs w:val="1"/>
          <w:color w:val="auto"/>
        </w:rPr>
        <w:t>Binding Effect</w:t>
      </w:r>
      <w:r>
        <w:rPr>
          <w:rFonts w:ascii="Arial" w:cs="Arial" w:eastAsia="Arial" w:hAnsi="Arial"/>
          <w:sz w:val="20"/>
          <w:szCs w:val="20"/>
          <w:color w:val="auto"/>
        </w:rPr>
        <w:t>. This Agreement constitutes a valid and binding agreement of the Company and each Note of the Company, when and if executed and delivered in accordance with this Agreement, will constitute a valid and binding obligation of the Company, in each case enforceable in accordance with its terms except as the same may be limited by bankruptcy, insolvency or similar laws affecting creditors’ rights generally and by general principles of equity.</w:t>
      </w:r>
    </w:p>
    <w:p>
      <w:pPr>
        <w:spacing w:after="0" w:line="155"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i w:val="1"/>
          <w:iCs w:val="1"/>
          <w:color w:val="auto"/>
        </w:rPr>
        <w:t>Financial Information; No Material Adverse Change</w:t>
      </w:r>
      <w:r>
        <w:rPr>
          <w:rFonts w:ascii="Arial" w:cs="Arial" w:eastAsia="Arial" w:hAnsi="Arial"/>
          <w:sz w:val="19"/>
          <w:szCs w:val="19"/>
          <w:color w:val="auto"/>
        </w:rPr>
        <w:t>. (a) The consolidated balance sheets of the Company and its Consolidated Subsidiaries as of August 1, 2021 and the related consolidated statements of earnings, of shareowners’ equity and of cash flows for the fiscal year then ended, reported on by PricewaterhouseCoopers LLP and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the Company’s 2021 Form 10-K, a copy of which has been delivered to each of the Lenders, fairly present, in conformity with generally accepted accounting principles, the consolidated financial position of the Company and its Consolidated Subsidiaries as of such date and their consolidated results of operations and cash flows for such fiscal year.</w:t>
      </w:r>
    </w:p>
    <w:p>
      <w:pPr>
        <w:spacing w:after="0" w:line="154"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9"/>
          <w:szCs w:val="19"/>
          <w:color w:val="auto"/>
        </w:rPr>
        <w:t>Since August 1, 2021, there has not occurred any Material Adverse Effect.</w:t>
      </w:r>
    </w:p>
    <w:p>
      <w:pPr>
        <w:spacing w:after="0" w:line="183"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i w:val="1"/>
          <w:iCs w:val="1"/>
          <w:color w:val="auto"/>
        </w:rPr>
        <w:t>Litigation</w:t>
      </w:r>
      <w:r>
        <w:rPr>
          <w:rFonts w:ascii="Arial" w:cs="Arial" w:eastAsia="Arial" w:hAnsi="Arial"/>
          <w:sz w:val="20"/>
          <w:szCs w:val="20"/>
          <w:color w:val="auto"/>
        </w:rPr>
        <w:t>. Except for the matters disclosed in the Company’s 2021 Form 10-K, there is no action, suit or proceeding pending against, or to the knowledge of the Company threatened against or affecting, the Company or any of its Subsidiaries before any court or arbitrator or any governmental body, agency or official in which there is a reasonable possibility of an adverse decision which (a) would reasonably be expected, individually or in the aggregate, to result in a Material Adverse Effect, or (b) in any manner draws into question the validity or enforceability of this Agreement or the Notes.</w:t>
      </w:r>
    </w:p>
    <w:p>
      <w:pPr>
        <w:spacing w:after="0" w:line="156" w:lineRule="exact"/>
        <w:rPr>
          <w:sz w:val="20"/>
          <w:szCs w:val="20"/>
          <w:color w:val="auto"/>
        </w:rPr>
      </w:pPr>
    </w:p>
    <w:p>
      <w:pPr>
        <w:ind w:left="960"/>
        <w:spacing w:after="0"/>
        <w:rPr>
          <w:sz w:val="20"/>
          <w:szCs w:val="20"/>
          <w:color w:val="auto"/>
        </w:rPr>
      </w:pPr>
      <w:r>
        <w:rPr>
          <w:rFonts w:ascii="Arial" w:cs="Arial" w:eastAsia="Arial" w:hAnsi="Arial"/>
          <w:sz w:val="21"/>
          <w:szCs w:val="21"/>
          <w:color w:val="auto"/>
        </w:rPr>
        <w:t xml:space="preserve">SECTION 4.06. </w:t>
      </w:r>
      <w:r>
        <w:rPr>
          <w:rFonts w:ascii="Arial" w:cs="Arial" w:eastAsia="Arial" w:hAnsi="Arial"/>
          <w:sz w:val="21"/>
          <w:szCs w:val="21"/>
          <w:i w:val="1"/>
          <w:iCs w:val="1"/>
          <w:color w:val="auto"/>
        </w:rPr>
        <w:t>Compliance with ERISA</w:t>
      </w:r>
      <w:r>
        <w:rPr>
          <w:rFonts w:ascii="Arial" w:cs="Arial" w:eastAsia="Arial" w:hAnsi="Arial"/>
          <w:sz w:val="21"/>
          <w:szCs w:val="21"/>
          <w:color w:val="auto"/>
        </w:rPr>
        <w:t>.</w:t>
      </w:r>
    </w:p>
    <w:p>
      <w:pPr>
        <w:spacing w:after="0" w:line="183" w:lineRule="exact"/>
        <w:rPr>
          <w:sz w:val="20"/>
          <w:szCs w:val="20"/>
          <w:color w:val="auto"/>
        </w:rPr>
      </w:pPr>
    </w:p>
    <w:p>
      <w:pPr>
        <w:jc w:val="both"/>
        <w:ind w:firstLine="642"/>
        <w:spacing w:after="0" w:line="225" w:lineRule="auto"/>
        <w:tabs>
          <w:tab w:leader="none" w:pos="1201" w:val="left"/>
        </w:tabs>
        <w:numPr>
          <w:ilvl w:val="0"/>
          <w:numId w:val="93"/>
        </w:numPr>
        <w:rPr>
          <w:rFonts w:ascii="Arial" w:cs="Arial" w:eastAsia="Arial" w:hAnsi="Arial"/>
          <w:sz w:val="21"/>
          <w:szCs w:val="21"/>
          <w:color w:val="auto"/>
        </w:rPr>
      </w:pPr>
      <w:r>
        <w:rPr>
          <w:rFonts w:ascii="Arial" w:cs="Arial" w:eastAsia="Arial" w:hAnsi="Arial"/>
          <w:sz w:val="21"/>
          <w:szCs w:val="21"/>
          <w:color w:val="auto"/>
        </w:rPr>
        <w:t>Each member of the ERISA Group has fulfilled its obligations under the minimum funding standards of ERISA and the Code with respect to each Plan and is in compliance in all respects with the presently applicable provisions of ERISA and the Code with respect to each Plan, in each case, unless the failure to comply with the foregoing would not reasonably be expected, individually or in the aggregate, to result in a Material Adverse Effect.</w:t>
      </w:r>
    </w:p>
    <w:p>
      <w:pPr>
        <w:spacing w:after="0" w:line="154" w:lineRule="exact"/>
        <w:rPr>
          <w:rFonts w:ascii="Arial" w:cs="Arial" w:eastAsia="Arial" w:hAnsi="Arial"/>
          <w:sz w:val="21"/>
          <w:szCs w:val="21"/>
          <w:color w:val="auto"/>
        </w:rPr>
      </w:pPr>
    </w:p>
    <w:p>
      <w:pPr>
        <w:jc w:val="both"/>
        <w:ind w:firstLine="642"/>
        <w:spacing w:after="0" w:line="220" w:lineRule="auto"/>
        <w:tabs>
          <w:tab w:leader="none" w:pos="1202" w:val="left"/>
        </w:tabs>
        <w:numPr>
          <w:ilvl w:val="0"/>
          <w:numId w:val="93"/>
        </w:numPr>
        <w:rPr>
          <w:rFonts w:ascii="Arial" w:cs="Arial" w:eastAsia="Arial" w:hAnsi="Arial"/>
          <w:sz w:val="21"/>
          <w:szCs w:val="21"/>
          <w:color w:val="auto"/>
        </w:rPr>
      </w:pPr>
      <w:r>
        <w:rPr>
          <w:rFonts w:ascii="Arial" w:cs="Arial" w:eastAsia="Arial" w:hAnsi="Arial"/>
          <w:sz w:val="21"/>
          <w:szCs w:val="21"/>
          <w:color w:val="auto"/>
        </w:rPr>
        <w:t>No member of the ERISA Group has (i) sought a waiver of the minimum funding standard under Section 412 of the Code in respect of any Plan, (ii) failed to make any contribution or payment to any Plan or Multiemployer Plan, or made any amendment to any Plan, which has resulted or could result in the imposition of a Lien or the posting of a bond or other security under ERISA or the Code or (iii) incurred any liability under Title IV of ERISA other than a liability to the PBGC for premiums under Section 4007 of ERISA, in each case, unless such waiver, failure or incurrence would not reasonably be expected, individually or in the aggregate, to result in a Material Adverse Effect.</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auto"/>
        </w:rPr>
        <w:t>SECTION 4.07</w:t>
      </w:r>
      <w:r>
        <w:rPr>
          <w:rFonts w:ascii="Arial" w:cs="Arial" w:eastAsia="Arial" w:hAnsi="Arial"/>
          <w:sz w:val="19"/>
          <w:szCs w:val="19"/>
          <w:i w:val="1"/>
          <w:iCs w:val="1"/>
          <w:color w:val="auto"/>
        </w:rPr>
        <w:t>. Environmental Matters.</w:t>
      </w:r>
      <w:r>
        <w:rPr>
          <w:rFonts w:ascii="Arial" w:cs="Arial" w:eastAsia="Arial" w:hAnsi="Arial"/>
          <w:sz w:val="19"/>
          <w:szCs w:val="19"/>
          <w:color w:val="auto"/>
        </w:rPr>
        <w:t xml:space="preserve"> In the ordinary course of its business, the Company conducts an ongoing review of the effect of Environmental Laws on the business, operations and properties of the Company and its Subsidiaries, in the course of which it identifies and evaluates associated liabilities and costs (including, without limitation,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of any facility or reduction in the level of or change in the nature of operations conducted thereat, any costs or liabilities in connection with off-site disposal of wastes or Hazardous Substances, and any actual or potential liabilities to third parties, including employees, and any related costs and expenses). On the basis of this review, the Company has concluded that associated liabilities and costs, including the costs of compliance with Environmental Laws, are not reasonably likely to have a Material Adverse Effect.</w:t>
      </w:r>
    </w:p>
    <w:p>
      <w:pPr>
        <w:spacing w:after="0" w:line="156"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i w:val="1"/>
          <w:iCs w:val="1"/>
          <w:color w:val="auto"/>
        </w:rPr>
        <w:t>Taxes</w:t>
      </w:r>
      <w:r>
        <w:rPr>
          <w:rFonts w:ascii="Arial" w:cs="Arial" w:eastAsia="Arial" w:hAnsi="Arial"/>
          <w:sz w:val="20"/>
          <w:szCs w:val="20"/>
          <w:color w:val="auto"/>
        </w:rPr>
        <w:t>. The Company and its Subsidiaries have filed all United States federal income tax returns and all other material tax returns which are required to be filed by them and have paid all taxes due pursuant to such returns or pursuant to any assessment received by the Company or any Subsidiary; except to the extent that the failure to file or pay could not reasonably be expected to have a Material Adverse Effect. The charges, accruals and reserves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50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the books of the Company and its Subsidiaries in respect of taxes or other governmental charges are, in the opinion of the Company, adequate.</w:t>
      </w:r>
    </w:p>
    <w:p>
      <w:pPr>
        <w:spacing w:after="0" w:line="155"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 xml:space="preserve">SECTION 4.09. </w:t>
      </w:r>
      <w:r>
        <w:rPr>
          <w:rFonts w:ascii="Arial" w:cs="Arial" w:eastAsia="Arial" w:hAnsi="Arial"/>
          <w:sz w:val="21"/>
          <w:szCs w:val="21"/>
          <w:i w:val="1"/>
          <w:iCs w:val="1"/>
          <w:color w:val="auto"/>
        </w:rPr>
        <w:t>Subsidiaries</w:t>
      </w:r>
      <w:r>
        <w:rPr>
          <w:rFonts w:ascii="Arial" w:cs="Arial" w:eastAsia="Arial" w:hAnsi="Arial"/>
          <w:sz w:val="21"/>
          <w:szCs w:val="21"/>
          <w:color w:val="auto"/>
        </w:rPr>
        <w:t>. Each of the Company’s Principal Subsidiaries (a) is duly organized, validly existing and in good standing under the laws of its jurisdiction of organization, and (b) has all organizational powers and governmental licenses, authorizations, consents and approvals required to carry on its business as now conducted, except where the failure to do so would not reasonably be expected to result in a Material Adverse Effect.</w:t>
      </w:r>
    </w:p>
    <w:p>
      <w:pPr>
        <w:spacing w:after="0" w:line="154"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 xml:space="preserve">SECTION 4.10. </w:t>
      </w:r>
      <w:r>
        <w:rPr>
          <w:rFonts w:ascii="Arial" w:cs="Arial" w:eastAsia="Arial" w:hAnsi="Arial"/>
          <w:sz w:val="21"/>
          <w:szCs w:val="21"/>
          <w:i w:val="1"/>
          <w:iCs w:val="1"/>
          <w:color w:val="auto"/>
        </w:rPr>
        <w:t>Full Disclosure</w:t>
      </w:r>
      <w:r>
        <w:rPr>
          <w:rFonts w:ascii="Arial" w:cs="Arial" w:eastAsia="Arial" w:hAnsi="Arial"/>
          <w:sz w:val="21"/>
          <w:szCs w:val="21"/>
          <w:color w:val="auto"/>
        </w:rPr>
        <w:t>. All written information heretofore furnished by the Company to any Agent or Lender for purposes of or in connection with this Agreement or any transaction contemplated hereby does not, and all such information hereafter furnished by the Company to any Agent or Lender will not, contain any untrue statement of a material fact or omit to state any material fact necessary in order to make the statements therein, in light of the circumstances under which they were or will be made, not misleading.</w:t>
      </w:r>
    </w:p>
    <w:p>
      <w:pPr>
        <w:spacing w:after="0" w:line="155"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i w:val="1"/>
          <w:iCs w:val="1"/>
          <w:color w:val="auto"/>
        </w:rPr>
        <w:t>Anti-Corruption Laws and Sanctions</w:t>
      </w:r>
      <w:r>
        <w:rPr>
          <w:rFonts w:ascii="Arial" w:cs="Arial" w:eastAsia="Arial" w:hAnsi="Arial"/>
          <w:sz w:val="20"/>
          <w:szCs w:val="20"/>
          <w:color w:val="auto"/>
        </w:rPr>
        <w:t>. The Company has implemented and maintains in effect policies and procedures designed to ensure compliance by the Company, its Subsidiaries and their respective directors, officers, employees and agents (acting in their capacity as such) with Anti-Corruption Laws and applicable Sanctions (it being understood that, for purposes of the preceding clause only, the term Anti-Corruption Laws is limited to the U.S. Foreign Corrupt Practices Act, as amended, and the U.K. Bribery Act 2010), and the Company, its Subsidiaries and their respective officers and employees and, to the knowledge of the Company, the Company’s and its Subsidiaries’ respective directors and agents, are in compliance with Anti-Corruption Laws and applicable Sanctions in all material respects. None of (a) the Company, any Subsidiary or any of their respective directors, officers or employees, or (b) to the knowledge of the Company, any agent of the Company or any Subsidiary that will act in any capacity in connection with or benefit from the proceeds of the credit facility established hereby, is a Sanctioned Person. No Borrowing or Letter of Credit, use of proceeds or other transaction contemplated by this Agreement will violate Anti-Corruption Laws or applicable Sanctions.</w:t>
      </w:r>
    </w:p>
    <w:p>
      <w:pPr>
        <w:spacing w:after="0" w:line="256" w:lineRule="exact"/>
        <w:rPr>
          <w:sz w:val="20"/>
          <w:szCs w:val="20"/>
          <w:color w:val="auto"/>
        </w:rPr>
      </w:pPr>
    </w:p>
    <w:p>
      <w:pPr>
        <w:jc w:val="right"/>
        <w:ind w:right="5200"/>
        <w:spacing w:after="0"/>
        <w:rPr>
          <w:sz w:val="20"/>
          <w:szCs w:val="20"/>
          <w:color w:val="auto"/>
        </w:rPr>
      </w:pPr>
      <w:r>
        <w:rPr>
          <w:rFonts w:ascii="Arial" w:cs="Arial" w:eastAsia="Arial" w:hAnsi="Arial"/>
          <w:sz w:val="21"/>
          <w:szCs w:val="21"/>
          <w:color w:val="auto"/>
        </w:rPr>
        <w:t>ARTICLE 5</w:t>
      </w:r>
    </w:p>
    <w:p>
      <w:pPr>
        <w:jc w:val="right"/>
        <w:ind w:right="5160"/>
        <w:spacing w:after="0"/>
        <w:rPr>
          <w:sz w:val="20"/>
          <w:szCs w:val="20"/>
          <w:color w:val="auto"/>
        </w:rPr>
      </w:pPr>
      <w:r>
        <w:rPr>
          <w:rFonts w:ascii="Arial" w:cs="Arial" w:eastAsia="Arial" w:hAnsi="Arial"/>
          <w:sz w:val="21"/>
          <w:szCs w:val="21"/>
          <w:color w:val="auto"/>
        </w:rPr>
        <w:t>Covenants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Company agrees that, so long as any Lender has any Credit Exposure hereunder:</w:t>
      </w:r>
    </w:p>
    <w:p>
      <w:pPr>
        <w:spacing w:after="0" w:line="183"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i w:val="1"/>
          <w:iCs w:val="1"/>
          <w:color w:val="auto"/>
        </w:rPr>
        <w:t>Information</w:t>
      </w:r>
      <w:r>
        <w:rPr>
          <w:rFonts w:ascii="Arial" w:cs="Arial" w:eastAsia="Arial" w:hAnsi="Arial"/>
          <w:sz w:val="21"/>
          <w:szCs w:val="21"/>
          <w:color w:val="auto"/>
        </w:rPr>
        <w:t>. The Company will deliver to the Administrative Agent, which the Administrative Agent will forward to each Lender promptly:</w:t>
      </w:r>
    </w:p>
    <w:p>
      <w:pPr>
        <w:spacing w:after="0" w:line="155" w:lineRule="exact"/>
        <w:rPr>
          <w:sz w:val="20"/>
          <w:szCs w:val="20"/>
          <w:color w:val="auto"/>
        </w:rPr>
      </w:pPr>
    </w:p>
    <w:p>
      <w:pPr>
        <w:jc w:val="both"/>
        <w:ind w:firstLine="642"/>
        <w:spacing w:after="0" w:line="236" w:lineRule="auto"/>
        <w:tabs>
          <w:tab w:leader="none" w:pos="1127" w:val="left"/>
        </w:tabs>
        <w:numPr>
          <w:ilvl w:val="0"/>
          <w:numId w:val="94"/>
        </w:numPr>
        <w:rPr>
          <w:rFonts w:ascii="Arial" w:cs="Arial" w:eastAsia="Arial" w:hAnsi="Arial"/>
          <w:sz w:val="20"/>
          <w:szCs w:val="20"/>
          <w:color w:val="auto"/>
        </w:rPr>
      </w:pPr>
      <w:r>
        <w:rPr>
          <w:rFonts w:ascii="Arial" w:cs="Arial" w:eastAsia="Arial" w:hAnsi="Arial"/>
          <w:sz w:val="20"/>
          <w:szCs w:val="20"/>
          <w:color w:val="auto"/>
        </w:rPr>
        <w:t>as soon as available and in any event within 90 days after the end of each fiscal year of the Company, a consolidated balance sheet of the Company and its Consolidated Subsidiaries as of the end of such fiscal year and the related consolidated statements of earnings, of shareowners’ equity and of cash flows of the Company and its Consolidated Subsidiaries for such fiscal year, reported on by independent public accountants of nationally recognized standing;</w:t>
      </w:r>
    </w:p>
    <w:p>
      <w:pPr>
        <w:spacing w:after="0" w:line="155" w:lineRule="exact"/>
        <w:rPr>
          <w:rFonts w:ascii="Arial" w:cs="Arial" w:eastAsia="Arial" w:hAnsi="Arial"/>
          <w:sz w:val="20"/>
          <w:szCs w:val="20"/>
          <w:color w:val="auto"/>
        </w:rPr>
      </w:pPr>
    </w:p>
    <w:p>
      <w:pPr>
        <w:jc w:val="both"/>
        <w:ind w:firstLine="721"/>
        <w:spacing w:after="0" w:line="225" w:lineRule="auto"/>
        <w:tabs>
          <w:tab w:leader="none" w:pos="1189" w:val="left"/>
        </w:tabs>
        <w:numPr>
          <w:ilvl w:val="1"/>
          <w:numId w:val="94"/>
        </w:numPr>
        <w:rPr>
          <w:rFonts w:ascii="Arial" w:cs="Arial" w:eastAsia="Arial" w:hAnsi="Arial"/>
          <w:sz w:val="21"/>
          <w:szCs w:val="21"/>
          <w:color w:val="auto"/>
        </w:rPr>
      </w:pPr>
      <w:r>
        <w:rPr>
          <w:rFonts w:ascii="Arial" w:cs="Arial" w:eastAsia="Arial" w:hAnsi="Arial"/>
          <w:sz w:val="21"/>
          <w:szCs w:val="21"/>
          <w:color w:val="auto"/>
        </w:rPr>
        <w:t>as soon as available and in any event within 45 days after the end of each of the first three quarters of each fiscal year of the Company, a consolidated balance sheet of the Company and its Consolidated Subsidiaries as of the end of such quarter, the related consolidated statement of earnings for such quarter and the related consolidated statements of earnings and of cash flows for the portion of the Company’s fiscal year ended at the end of such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51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63" w:lineRule="exact"/>
        <w:rPr>
          <w:sz w:val="20"/>
          <w:szCs w:val="20"/>
          <w:color w:val="auto"/>
        </w:rPr>
      </w:pPr>
    </w:p>
    <w:p>
      <w:pPr>
        <w:jc w:val="both"/>
        <w:ind w:firstLine="642"/>
        <w:spacing w:after="0" w:line="230" w:lineRule="auto"/>
        <w:tabs>
          <w:tab w:leader="none" w:pos="1105" w:val="left"/>
        </w:tabs>
        <w:numPr>
          <w:ilvl w:val="0"/>
          <w:numId w:val="95"/>
        </w:numPr>
        <w:rPr>
          <w:rFonts w:ascii="Arial" w:cs="Arial" w:eastAsia="Arial" w:hAnsi="Arial"/>
          <w:sz w:val="21"/>
          <w:szCs w:val="21"/>
          <w:color w:val="auto"/>
        </w:rPr>
      </w:pPr>
      <w:r>
        <w:rPr>
          <w:rFonts w:ascii="Arial" w:cs="Arial" w:eastAsia="Arial" w:hAnsi="Arial"/>
          <w:sz w:val="21"/>
          <w:szCs w:val="21"/>
          <w:color w:val="auto"/>
        </w:rPr>
        <w:t>within five days after a Responsible Officer of the Company obtains knowledge of any Default, if such Default is then continuing, a certificate of a Responsible Officer of the Company setting forth the details thereof and the action which the Company is taking or proposes to take with respect thereto;</w:t>
      </w:r>
    </w:p>
    <w:p>
      <w:pPr>
        <w:spacing w:after="0" w:line="153" w:lineRule="exact"/>
        <w:rPr>
          <w:rFonts w:ascii="Arial" w:cs="Arial" w:eastAsia="Arial" w:hAnsi="Arial"/>
          <w:sz w:val="21"/>
          <w:szCs w:val="21"/>
          <w:color w:val="auto"/>
        </w:rPr>
      </w:pPr>
    </w:p>
    <w:p>
      <w:pPr>
        <w:ind w:left="80" w:firstLine="562"/>
        <w:spacing w:after="0" w:line="239" w:lineRule="auto"/>
        <w:tabs>
          <w:tab w:leader="none" w:pos="1229" w:val="left"/>
        </w:tabs>
        <w:numPr>
          <w:ilvl w:val="0"/>
          <w:numId w:val="95"/>
        </w:numPr>
        <w:rPr>
          <w:rFonts w:ascii="Arial" w:cs="Arial" w:eastAsia="Arial" w:hAnsi="Arial"/>
          <w:sz w:val="21"/>
          <w:szCs w:val="21"/>
          <w:color w:val="auto"/>
        </w:rPr>
      </w:pPr>
      <w:r>
        <w:rPr>
          <w:rFonts w:ascii="Arial" w:cs="Arial" w:eastAsia="Arial" w:hAnsi="Arial"/>
          <w:sz w:val="21"/>
          <w:szCs w:val="21"/>
          <w:color w:val="auto"/>
        </w:rPr>
        <w:t>promptly upon the mailing thereof to the shareholders of the Company generally, copies of all annual reports to shareholders and proxy statements so mailed;</w:t>
      </w:r>
    </w:p>
    <w:p>
      <w:pPr>
        <w:spacing w:after="0" w:line="155" w:lineRule="exact"/>
        <w:rPr>
          <w:rFonts w:ascii="Arial" w:cs="Arial" w:eastAsia="Arial" w:hAnsi="Arial"/>
          <w:sz w:val="21"/>
          <w:szCs w:val="21"/>
          <w:color w:val="auto"/>
        </w:rPr>
      </w:pPr>
    </w:p>
    <w:p>
      <w:pPr>
        <w:jc w:val="both"/>
        <w:ind w:firstLine="642"/>
        <w:spacing w:after="0" w:line="225" w:lineRule="auto"/>
        <w:tabs>
          <w:tab w:leader="none" w:pos="1142"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 and when any member of the ERISA Group (i) gives or is required to give notice to the PBGC of any “reportable event” (as defined in Section 4043 of ERISA) with respect to any Plan (other than an event for which the 30-day notice period is waived),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endangered or critical status,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makes any amendment to any Plan which has resulted or could result in the imposition of a Lien or the posting of a bond or other security, a certificate of a Responsible Officer of the Company setting forth details as to such occurrence and action, if any, which the Company or applicable member of the ERISA Group is required or proposes to take;</w:t>
      </w:r>
    </w:p>
    <w:p>
      <w:pPr>
        <w:spacing w:after="0" w:line="161" w:lineRule="exact"/>
        <w:rPr>
          <w:rFonts w:ascii="Arial" w:cs="Arial" w:eastAsia="Arial" w:hAnsi="Arial"/>
          <w:sz w:val="20"/>
          <w:szCs w:val="20"/>
          <w:color w:val="auto"/>
        </w:rPr>
      </w:pPr>
    </w:p>
    <w:p>
      <w:pPr>
        <w:jc w:val="both"/>
        <w:ind w:firstLine="642"/>
        <w:spacing w:after="0" w:line="230" w:lineRule="auto"/>
        <w:tabs>
          <w:tab w:leader="none" w:pos="1152" w:val="left"/>
        </w:tabs>
        <w:numPr>
          <w:ilvl w:val="0"/>
          <w:numId w:val="95"/>
        </w:numPr>
        <w:rPr>
          <w:rFonts w:ascii="Arial" w:cs="Arial" w:eastAsia="Arial" w:hAnsi="Arial"/>
          <w:sz w:val="21"/>
          <w:szCs w:val="21"/>
          <w:color w:val="auto"/>
        </w:rPr>
      </w:pPr>
      <w:r>
        <w:rPr>
          <w:rFonts w:ascii="Arial" w:cs="Arial" w:eastAsia="Arial" w:hAnsi="Arial"/>
          <w:sz w:val="21"/>
          <w:szCs w:val="21"/>
          <w:color w:val="auto"/>
        </w:rPr>
        <w:t>within five Business Days after delivery of financial statements under paragraph (a) or (b) above, a certificate of a Responsible Officer of the Company setting forth computations in reasonable detail satisfactory to the Administrative Agent demonstrating compliance with the covenant contained in Section 5.08;</w:t>
      </w:r>
    </w:p>
    <w:p>
      <w:pPr>
        <w:spacing w:after="0" w:line="153" w:lineRule="exact"/>
        <w:rPr>
          <w:rFonts w:ascii="Arial" w:cs="Arial" w:eastAsia="Arial" w:hAnsi="Arial"/>
          <w:sz w:val="21"/>
          <w:szCs w:val="21"/>
          <w:color w:val="auto"/>
        </w:rPr>
      </w:pPr>
    </w:p>
    <w:p>
      <w:pPr>
        <w:ind w:firstLine="642"/>
        <w:spacing w:after="0" w:line="239" w:lineRule="auto"/>
        <w:tabs>
          <w:tab w:leader="none" w:pos="1193" w:val="left"/>
        </w:tabs>
        <w:numPr>
          <w:ilvl w:val="0"/>
          <w:numId w:val="95"/>
        </w:numPr>
        <w:rPr>
          <w:rFonts w:ascii="Arial" w:cs="Arial" w:eastAsia="Arial" w:hAnsi="Arial"/>
          <w:sz w:val="21"/>
          <w:szCs w:val="21"/>
          <w:color w:val="auto"/>
        </w:rPr>
      </w:pPr>
      <w:r>
        <w:rPr>
          <w:rFonts w:ascii="Arial" w:cs="Arial" w:eastAsia="Arial" w:hAnsi="Arial"/>
          <w:sz w:val="21"/>
          <w:szCs w:val="21"/>
          <w:color w:val="auto"/>
        </w:rPr>
        <w:t>from time to time such additional information regarding the financial position or business of the Company and its Subsidiaries as the Administrative Agent, at the request of any Lender, may reasonably request; and</w:t>
      </w:r>
    </w:p>
    <w:p>
      <w:pPr>
        <w:spacing w:after="0" w:line="181" w:lineRule="exact"/>
        <w:rPr>
          <w:rFonts w:ascii="Arial" w:cs="Arial" w:eastAsia="Arial" w:hAnsi="Arial"/>
          <w:sz w:val="21"/>
          <w:szCs w:val="21"/>
          <w:color w:val="auto"/>
        </w:rPr>
      </w:pPr>
    </w:p>
    <w:p>
      <w:pPr>
        <w:ind w:firstLine="642"/>
        <w:spacing w:after="0" w:line="279" w:lineRule="auto"/>
        <w:tabs>
          <w:tab w:leader="none" w:pos="1126"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change in the information provided in any Beneficial Ownership Certification delivered to any Lender that would result in a change to the list of beneficial owners identified in such certification.</w:t>
      </w:r>
    </w:p>
    <w:p>
      <w:pPr>
        <w:spacing w:after="0" w:line="167"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Information required to be delivered pursuant to Section 5.01(a), 5.01(b) or 5.01(d) above shall be deemed to have been delivered on the date on which such information has been posted on the Company’s website on the Internet at the website address listed on the signature pages hereof, at:</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https://www.sec.gov/cgi-bin/browse-edgar?action=getcompany&amp;CIK=16732&amp;dateb=&amp;owner=exclude&amp;count=40</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xml:space="preserve">or at another website identified by the Company by notice to the Lenders and accessible by the Lenders without charge;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deliver paper copies of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52</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referred to in Section 5.01(a), 5.01(b) or 5.01(d) to the Administrative Agent for any Lender which requests such delivery.</w:t>
      </w:r>
    </w:p>
    <w:p>
      <w:pPr>
        <w:spacing w:after="0" w:line="183"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i w:val="1"/>
          <w:iCs w:val="1"/>
          <w:color w:val="auto"/>
        </w:rPr>
        <w:t>Maintenance of Property; Insurance</w:t>
      </w:r>
      <w:r>
        <w:rPr>
          <w:rFonts w:ascii="Arial" w:cs="Arial" w:eastAsia="Arial" w:hAnsi="Arial"/>
          <w:sz w:val="20"/>
          <w:szCs w:val="20"/>
          <w:color w:val="auto"/>
        </w:rPr>
        <w:t>. (a) The Company will keep, and will cause each Principal Subsidiary to keep, all property useful and necessary in its business in good working order and condition, ordinary wear and tear excepted, and except where the failure to do so would not reasonably be expected to result in a Material Adverse Effect.</w:t>
      </w:r>
    </w:p>
    <w:p>
      <w:pPr>
        <w:spacing w:after="0" w:line="152" w:lineRule="exact"/>
        <w:rPr>
          <w:sz w:val="20"/>
          <w:szCs w:val="20"/>
          <w:color w:val="auto"/>
        </w:rPr>
      </w:pPr>
    </w:p>
    <w:p>
      <w:pPr>
        <w:jc w:val="both"/>
        <w:ind w:firstLine="642"/>
        <w:spacing w:after="0" w:line="231" w:lineRule="auto"/>
        <w:tabs>
          <w:tab w:leader="none" w:pos="1113"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Company will, and will cause each of its Principal Subsidiaries to, either (i) carry insurance (either in the name of the Company or in such Principal Subsidiary’s own name) with financially sound and responsible insurance companies or (ii) maintain self-insurance, on all their respective properties, against at least such risks as (and subject to no greater risk retention than) are usually insured against in the same general area by similarly sized companies of established repute engaged in the same or a similar business; and will furnish to the Lenders, upon reasonable request from the Administrative Agent, information presented in reasonable detail as to the insurance so carried or the self-insurance so maintained.</w:t>
      </w:r>
    </w:p>
    <w:p>
      <w:pPr>
        <w:spacing w:after="0" w:line="156"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i w:val="1"/>
          <w:iCs w:val="1"/>
          <w:color w:val="auto"/>
        </w:rPr>
        <w:t>Conduct of Business and Maintenance of Existence</w:t>
      </w:r>
      <w:r>
        <w:rPr>
          <w:rFonts w:ascii="Arial" w:cs="Arial" w:eastAsia="Arial" w:hAnsi="Arial"/>
          <w:sz w:val="21"/>
          <w:szCs w:val="21"/>
          <w:color w:val="auto"/>
        </w:rPr>
        <w:t xml:space="preserve">. The Company will preserve, renew and keep in full force and effect, and will cause each Principal Subsidiary to preserve, renew and keep in full force and effect their respective legal existences and their respective rights, privileges and franchises necessary or desirable in the normal conduct of business, except where the failure to do so would not reasonably be expected to result in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nothing in this Section 5.03 shall prevent any Principal Subsidiary from merging into, consolidating with, or transferring all or substantially all of its assets to, the Company or (x) unless such Principal Subsidiary is a Borrower, another Subsidiary or (y) if such Principal Subsidiary is a Borrower, another Principal Subsidiary (or Person which becomes a Principal Subsidiary after giving effect to such transaction).</w:t>
      </w:r>
    </w:p>
    <w:p>
      <w:pPr>
        <w:spacing w:after="0" w:line="153"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i w:val="1"/>
          <w:iCs w:val="1"/>
          <w:color w:val="auto"/>
        </w:rPr>
        <w:t>Compliance with Laws</w:t>
      </w:r>
      <w:r>
        <w:rPr>
          <w:rFonts w:ascii="Arial" w:cs="Arial" w:eastAsia="Arial" w:hAnsi="Arial"/>
          <w:sz w:val="20"/>
          <w:szCs w:val="20"/>
          <w:color w:val="auto"/>
        </w:rPr>
        <w:t>. The Company will comply, and cause each Principal Subsidiary to comply, in all material respects, with all applicable laws, ordinances, rules, regulations, and requirements of governmental authorities (including, without limitation, Environmental Laws, ERISA and the Code and the rules and regulations thereunder) except (i) where the necessity of compliance therewith is contested in good faith by appropriate proceedings or (ii) where the failure to do so would not reasonably be expected to result in a Material Adverse Effect. The Company will maintain in effect and enforce policies and procedures designed to ensure compliance by the Company, its Subsidiaries and their respective directors, officers, employees and agents (acting in their capacity as such) with Anti-Corruption Laws and applicable Sanctions (it being understood that for purposes of the preceding clause only, the term Anti-Corruption Laws is limited to the requirements of the U.S. Foreign Corrupt Practices Act, as amended, and the U.K. Bribery Act 2010).</w:t>
      </w:r>
    </w:p>
    <w:p>
      <w:pPr>
        <w:spacing w:after="0" w:line="154"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i w:val="1"/>
          <w:iCs w:val="1"/>
          <w:color w:val="auto"/>
        </w:rPr>
        <w:t>Mergers and Sales of Assets</w:t>
      </w:r>
      <w:r>
        <w:rPr>
          <w:rFonts w:ascii="Arial" w:cs="Arial" w:eastAsia="Arial" w:hAnsi="Arial"/>
          <w:sz w:val="21"/>
          <w:szCs w:val="21"/>
          <w:color w:val="auto"/>
        </w:rPr>
        <w:t xml:space="preserve">. The Company will not (i) consolidate or merge with or into any other Person or (ii) sell, lease or otherwise transfer, directly or indirectly, all or substantially all of its assets to any other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may merge with another Person if (x) the Company is the corporation surviving such merger and (y) after giving effect to such merger, no Event of Default shall have occurred and be continuing. No Eligible Subsidiary will consolidate or merge with or into any other Person unless the entity surviving such consolidation or merger is (i) the Company, (ii) such Eligible Subsidiary or (iii) another Eligible Subsidiary.</w:t>
      </w:r>
    </w:p>
    <w:p>
      <w:pPr>
        <w:spacing w:after="0" w:line="156"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i w:val="1"/>
          <w:iCs w:val="1"/>
          <w:color w:val="auto"/>
        </w:rPr>
        <w:t>Negative Pledge</w:t>
      </w:r>
      <w:r>
        <w:rPr>
          <w:rFonts w:ascii="Arial" w:cs="Arial" w:eastAsia="Arial" w:hAnsi="Arial"/>
          <w:sz w:val="21"/>
          <w:szCs w:val="21"/>
          <w:color w:val="auto"/>
        </w:rPr>
        <w:t>. Neither the Company nor any Subsidiary will create, assume or suffer to exist any Lien on (a) any Principal Property, (b) the shares of capital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53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6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 xml:space="preserve">Debt of any Principal Subsidiary or (c) any Domestic Inventory or Domestic Receivables, without securing the Obligations hereunder equally and ratably with (or, at the Company’s option, prior to) the other obligations secured by such Lien;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Section 5.06 shall not apply to the following Liens, and the obligations secured thereby shall be excluded from any computation under this Section 5.06:</w:t>
      </w:r>
    </w:p>
    <w:p>
      <w:pPr>
        <w:spacing w:after="0" w:line="154"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20"/>
          <w:szCs w:val="20"/>
          <w:color w:val="auto"/>
        </w:rPr>
        <w:t>(i) Liens existing on the date of this Agreement securing Debt outstanding on the date of this Agreement in an aggregate principal amount not exceeding $150,000,000 (excluding obligations of the Company under capitalized leases);</w:t>
      </w:r>
    </w:p>
    <w:p>
      <w:pPr>
        <w:spacing w:after="0" w:line="132" w:lineRule="exact"/>
        <w:rPr>
          <w:sz w:val="20"/>
          <w:szCs w:val="20"/>
          <w:color w:val="auto"/>
        </w:rPr>
      </w:pPr>
    </w:p>
    <w:p>
      <w:pPr>
        <w:ind w:firstLine="1278"/>
        <w:spacing w:after="0" w:line="239" w:lineRule="auto"/>
        <w:tabs>
          <w:tab w:leader="none" w:pos="1589"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Lien existing on any asset of any Person at the time such Person becomes a Consolidated Subsidiary and not created in contemplation of such event;</w:t>
      </w:r>
    </w:p>
    <w:p>
      <w:pPr>
        <w:spacing w:after="0" w:line="155" w:lineRule="exact"/>
        <w:rPr>
          <w:rFonts w:ascii="Arial" w:cs="Arial" w:eastAsia="Arial" w:hAnsi="Arial"/>
          <w:sz w:val="21"/>
          <w:szCs w:val="21"/>
          <w:color w:val="auto"/>
        </w:rPr>
      </w:pPr>
    </w:p>
    <w:p>
      <w:pPr>
        <w:jc w:val="both"/>
        <w:ind w:firstLine="1278"/>
        <w:spacing w:after="0" w:line="230" w:lineRule="auto"/>
        <w:tabs>
          <w:tab w:leader="none" w:pos="1650"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any Lien on any asset securing Debt incurred or assumed for the purpose of financing all or any part of the cost of acquiring, constructing or improving such asset;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Lien attaches to such asset concurrently with or within 180 days after the acquisition, construction or improvement thereof;</w:t>
      </w:r>
    </w:p>
    <w:p>
      <w:pPr>
        <w:spacing w:after="0" w:line="153" w:lineRule="exact"/>
        <w:rPr>
          <w:rFonts w:ascii="Arial" w:cs="Arial" w:eastAsia="Arial" w:hAnsi="Arial"/>
          <w:sz w:val="21"/>
          <w:szCs w:val="21"/>
          <w:color w:val="auto"/>
        </w:rPr>
      </w:pPr>
    </w:p>
    <w:p>
      <w:pPr>
        <w:ind w:firstLine="1278"/>
        <w:spacing w:after="0" w:line="239" w:lineRule="auto"/>
        <w:tabs>
          <w:tab w:leader="none" w:pos="1641"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Lien on any asset of any Person existing at the time such Person is merged or consolidated with or into the Company or a Consolidated Subsidiary and not created in contemplation of such event;</w:t>
      </w:r>
    </w:p>
    <w:p>
      <w:pPr>
        <w:spacing w:after="0" w:line="155" w:lineRule="exact"/>
        <w:rPr>
          <w:rFonts w:ascii="Arial" w:cs="Arial" w:eastAsia="Arial" w:hAnsi="Arial"/>
          <w:sz w:val="21"/>
          <w:szCs w:val="21"/>
          <w:color w:val="auto"/>
        </w:rPr>
      </w:pPr>
    </w:p>
    <w:p>
      <w:pPr>
        <w:ind w:firstLine="1278"/>
        <w:spacing w:after="0" w:line="239" w:lineRule="auto"/>
        <w:tabs>
          <w:tab w:leader="none" w:pos="15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Lien existing on any asset prior to the acquisition thereof by the Company or a Consolidated Subsidiary and not created in contemplation of such acquisition;</w:t>
      </w:r>
    </w:p>
    <w:p>
      <w:pPr>
        <w:spacing w:after="0" w:line="143" w:lineRule="exact"/>
        <w:rPr>
          <w:rFonts w:ascii="Arial" w:cs="Arial" w:eastAsia="Arial" w:hAnsi="Arial"/>
          <w:sz w:val="21"/>
          <w:szCs w:val="21"/>
          <w:color w:val="auto"/>
        </w:rPr>
      </w:pPr>
    </w:p>
    <w:p>
      <w:pPr>
        <w:ind w:left="1700" w:hanging="422"/>
        <w:spacing w:after="0"/>
        <w:tabs>
          <w:tab w:leader="none" w:pos="17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Liens on Domestic Inventory and Domestic Receivables with an aggregate book value not in excess of</w:t>
      </w:r>
    </w:p>
    <w:p>
      <w:pPr>
        <w:spacing w:after="0"/>
        <w:rPr>
          <w:rFonts w:ascii="Arial" w:cs="Arial" w:eastAsia="Arial" w:hAnsi="Arial"/>
          <w:sz w:val="21"/>
          <w:szCs w:val="21"/>
          <w:color w:val="auto"/>
        </w:rPr>
      </w:pPr>
      <w:r>
        <w:rPr>
          <w:rFonts w:ascii="Arial" w:cs="Arial" w:eastAsia="Arial" w:hAnsi="Arial"/>
          <w:sz w:val="21"/>
          <w:szCs w:val="21"/>
          <w:color w:val="auto"/>
        </w:rPr>
        <w:t>$250,000,000;</w:t>
      </w:r>
    </w:p>
    <w:p>
      <w:pPr>
        <w:spacing w:after="0" w:line="165" w:lineRule="exact"/>
        <w:rPr>
          <w:sz w:val="20"/>
          <w:szCs w:val="20"/>
          <w:color w:val="auto"/>
        </w:rPr>
      </w:pPr>
    </w:p>
    <w:p>
      <w:pPr>
        <w:jc w:val="both"/>
        <w:ind w:firstLine="1272"/>
        <w:spacing w:after="0" w:line="230" w:lineRule="auto"/>
        <w:rPr>
          <w:sz w:val="20"/>
          <w:szCs w:val="20"/>
          <w:color w:val="auto"/>
        </w:rPr>
      </w:pPr>
      <w:r>
        <w:rPr>
          <w:rFonts w:ascii="Arial" w:cs="Arial" w:eastAsia="Arial" w:hAnsi="Arial"/>
          <w:sz w:val="21"/>
          <w:szCs w:val="21"/>
          <w:color w:val="auto"/>
        </w:rPr>
        <w:t xml:space="preserve">(vii)any Lien arising out of the refinancing, extension, renewal or refunding of any Debt secured by any Lien permitted by any of the foregoing provisions of this Section 5.06;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Debt is not increased and is not secured by any additional assets;</w:t>
      </w:r>
    </w:p>
    <w:p>
      <w:pPr>
        <w:spacing w:after="0" w:line="154" w:lineRule="exact"/>
        <w:rPr>
          <w:sz w:val="20"/>
          <w:szCs w:val="20"/>
          <w:color w:val="auto"/>
        </w:rPr>
      </w:pPr>
    </w:p>
    <w:p>
      <w:pPr>
        <w:jc w:val="both"/>
        <w:ind w:firstLine="1278"/>
        <w:spacing w:after="0" w:line="230" w:lineRule="auto"/>
        <w:tabs>
          <w:tab w:leader="none" w:pos="1808"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which (1) do not secure Debt, (2) do not secure any single obligation in an amount exceeding $500,000,000 and (3) do not in the aggregate materially detract from the value of the assets of, or materially impair the use thereof in the operation of the business of, the Company and its Consolidated Subsidiaries taken as a whole;</w:t>
      </w:r>
    </w:p>
    <w:p>
      <w:pPr>
        <w:spacing w:after="0" w:line="153" w:lineRule="exact"/>
        <w:rPr>
          <w:rFonts w:ascii="Arial" w:cs="Arial" w:eastAsia="Arial" w:hAnsi="Arial"/>
          <w:sz w:val="21"/>
          <w:szCs w:val="21"/>
          <w:color w:val="auto"/>
        </w:rPr>
      </w:pPr>
    </w:p>
    <w:p>
      <w:pPr>
        <w:ind w:left="1640" w:hanging="362"/>
        <w:spacing w:after="0"/>
        <w:tabs>
          <w:tab w:leader="none" w:pos="16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Lien in favor of the Company or any Lien created by a Subsidiary in favor of another Subsidiary; and</w:t>
      </w:r>
    </w:p>
    <w:p>
      <w:pPr>
        <w:spacing w:after="0" w:line="194" w:lineRule="exact"/>
        <w:rPr>
          <w:rFonts w:ascii="Arial" w:cs="Arial" w:eastAsia="Arial" w:hAnsi="Arial"/>
          <w:sz w:val="20"/>
          <w:szCs w:val="20"/>
          <w:color w:val="auto"/>
        </w:rPr>
      </w:pPr>
    </w:p>
    <w:p>
      <w:pPr>
        <w:ind w:firstLine="1278"/>
        <w:spacing w:after="0" w:line="239" w:lineRule="auto"/>
        <w:tabs>
          <w:tab w:leader="none" w:pos="1575"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any other Lien;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secured by all Liens excluded pursuant to this clause (x) shall not exceed 10% of Consolidated Net Assets.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i w:val="1"/>
          <w:iCs w:val="1"/>
          <w:color w:val="auto"/>
        </w:rPr>
        <w:t>Use of Proceeds.</w:t>
      </w:r>
    </w:p>
    <w:p>
      <w:pPr>
        <w:spacing w:after="0" w:line="183" w:lineRule="exact"/>
        <w:rPr>
          <w:sz w:val="20"/>
          <w:szCs w:val="20"/>
          <w:color w:val="auto"/>
        </w:rPr>
      </w:pPr>
    </w:p>
    <w:p>
      <w:pPr>
        <w:jc w:val="both"/>
        <w:ind w:firstLine="721"/>
        <w:spacing w:after="0" w:line="225" w:lineRule="auto"/>
        <w:tabs>
          <w:tab w:leader="none" w:pos="1023"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proceeds of the Loans made under this Agreement will be used by the Borrowers for working capital and other general corporate purposes, including acquisitions and repurchases of shares of capital stock of the Company. None of such proceeds and none of the Letters of Credit will be used in violation of any applicable law or regulation (including without limitation Regulation U or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54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63" w:lineRule="exact"/>
        <w:rPr>
          <w:sz w:val="20"/>
          <w:szCs w:val="20"/>
          <w:color w:val="auto"/>
        </w:rPr>
      </w:pPr>
    </w:p>
    <w:p>
      <w:pPr>
        <w:jc w:val="both"/>
        <w:ind w:firstLine="721"/>
        <w:spacing w:after="0" w:line="244" w:lineRule="auto"/>
        <w:tabs>
          <w:tab w:leader="none" w:pos="101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Borrowers will not request any Borrowing or Letter of Credit, and the Borrowers shall not use, and each Borrower shall procure that its Subsidiaries and its or their respective directors, officers, employees and agents shall not use, directly or indirectly,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51" w:lineRule="exact"/>
        <w:rPr>
          <w:sz w:val="20"/>
          <w:szCs w:val="20"/>
          <w:color w:val="auto"/>
        </w:rPr>
      </w:pPr>
    </w:p>
    <w:p>
      <w:pPr>
        <w:ind w:firstLine="715"/>
        <w:spacing w:after="0" w:line="239" w:lineRule="auto"/>
        <w:rPr>
          <w:sz w:val="20"/>
          <w:szCs w:val="20"/>
          <w:color w:val="auto"/>
        </w:rPr>
      </w:pPr>
      <w:r>
        <w:rPr>
          <w:rFonts w:ascii="Arial" w:cs="Arial" w:eastAsia="Arial" w:hAnsi="Arial"/>
          <w:sz w:val="21"/>
          <w:szCs w:val="21"/>
          <w:u w:val="single" w:color="auto"/>
          <w:color w:val="0E32E1"/>
        </w:rPr>
        <w:t>SECTION 5.08</w:t>
      </w:r>
      <w:r>
        <w:rPr>
          <w:rFonts w:ascii="Arial" w:cs="Arial" w:eastAsia="Arial" w:hAnsi="Arial"/>
          <w:sz w:val="21"/>
          <w:szCs w:val="21"/>
          <w:color w:val="0E32E1"/>
        </w:rPr>
        <w:t xml:space="preserve"> </w:t>
      </w:r>
      <w:r>
        <w:rPr>
          <w:rFonts w:ascii="Arial" w:cs="Arial" w:eastAsia="Arial" w:hAnsi="Arial"/>
          <w:sz w:val="21"/>
          <w:szCs w:val="21"/>
          <w:u w:val="single" w:color="auto"/>
          <w:color w:val="0000FF"/>
        </w:rPr>
        <w:t>.</w:t>
      </w:r>
      <w:r>
        <w:rPr>
          <w:rFonts w:ascii="Arial" w:cs="Arial" w:eastAsia="Arial" w:hAnsi="Arial"/>
          <w:sz w:val="21"/>
          <w:szCs w:val="21"/>
          <w:color w:val="0E32E1"/>
        </w:rPr>
        <w:t xml:space="preserve"> </w:t>
      </w:r>
      <w:r>
        <w:rPr>
          <w:rFonts w:ascii="Arial" w:cs="Arial" w:eastAsia="Arial" w:hAnsi="Arial"/>
          <w:sz w:val="21"/>
          <w:szCs w:val="21"/>
          <w:u w:val="single" w:color="auto"/>
          <w:color w:val="EE2724"/>
          <w:strike w:val="1"/>
        </w:rPr>
        <w:t>SECTION 5.08</w:t>
      </w:r>
      <w:r>
        <w:rPr>
          <w:rFonts w:ascii="Arial" w:cs="Arial" w:eastAsia="Arial" w:hAnsi="Arial"/>
          <w:sz w:val="21"/>
          <w:szCs w:val="21"/>
          <w:color w:val="0E32E1"/>
        </w:rPr>
        <w:t xml:space="preserve"> </w:t>
      </w:r>
      <w:r>
        <w:rPr>
          <w:rFonts w:ascii="Arial" w:cs="Arial" w:eastAsia="Arial" w:hAnsi="Arial"/>
          <w:sz w:val="21"/>
          <w:szCs w:val="21"/>
          <w:color w:val="000000"/>
        </w:rPr>
        <w:t>Financial Covenant. The Company shall not permit the Consolidated Interest Coverage</w:t>
      </w:r>
      <w:r>
        <w:rPr>
          <w:rFonts w:ascii="Arial" w:cs="Arial" w:eastAsia="Arial" w:hAnsi="Arial"/>
          <w:sz w:val="21"/>
          <w:szCs w:val="21"/>
          <w:color w:val="0E32E1"/>
        </w:rPr>
        <w:t xml:space="preserve"> </w:t>
      </w:r>
      <w:r>
        <w:rPr>
          <w:rFonts w:ascii="Arial" w:cs="Arial" w:eastAsia="Arial" w:hAnsi="Arial"/>
          <w:sz w:val="21"/>
          <w:szCs w:val="21"/>
          <w:color w:val="000000"/>
        </w:rPr>
        <w:t>Ratio as of any Test Date, determined for the Related Test Period, to be less than 3.25:1.00.</w:t>
      </w:r>
    </w:p>
    <w:p>
      <w:pPr>
        <w:spacing w:after="0" w:line="250" w:lineRule="exact"/>
        <w:rPr>
          <w:sz w:val="20"/>
          <w:szCs w:val="20"/>
          <w:color w:val="auto"/>
        </w:rPr>
      </w:pPr>
    </w:p>
    <w:p>
      <w:pPr>
        <w:jc w:val="right"/>
        <w:ind w:right="5200"/>
        <w:spacing w:after="0"/>
        <w:rPr>
          <w:sz w:val="20"/>
          <w:szCs w:val="20"/>
          <w:color w:val="auto"/>
        </w:rPr>
      </w:pPr>
      <w:r>
        <w:rPr>
          <w:rFonts w:ascii="Arial" w:cs="Arial" w:eastAsia="Arial" w:hAnsi="Arial"/>
          <w:sz w:val="21"/>
          <w:szCs w:val="21"/>
          <w:color w:val="auto"/>
        </w:rPr>
        <w:t>ARTICLE 6</w:t>
      </w:r>
    </w:p>
    <w:p>
      <w:pPr>
        <w:jc w:val="right"/>
        <w:ind w:right="5260"/>
        <w:spacing w:after="0"/>
        <w:rPr>
          <w:sz w:val="20"/>
          <w:szCs w:val="20"/>
          <w:color w:val="auto"/>
        </w:rPr>
      </w:pPr>
      <w:r>
        <w:rPr>
          <w:rFonts w:ascii="Arial" w:cs="Arial" w:eastAsia="Arial" w:hAnsi="Arial"/>
          <w:sz w:val="21"/>
          <w:szCs w:val="21"/>
          <w:color w:val="auto"/>
        </w:rPr>
        <w:t>Defaults</w:t>
      </w:r>
    </w:p>
    <w:p>
      <w:pPr>
        <w:spacing w:after="0" w:line="165"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SECTION 6.01</w:t>
      </w:r>
      <w:r>
        <w:rPr>
          <w:rFonts w:ascii="Arial" w:cs="Arial" w:eastAsia="Arial" w:hAnsi="Arial"/>
          <w:sz w:val="21"/>
          <w:szCs w:val="21"/>
          <w:i w:val="1"/>
          <w:iCs w:val="1"/>
          <w:color w:val="auto"/>
        </w:rPr>
        <w:t>. Events of Default</w:t>
      </w:r>
      <w:r>
        <w:rPr>
          <w:rFonts w:ascii="Arial" w:cs="Arial" w:eastAsia="Arial" w:hAnsi="Arial"/>
          <w:sz w:val="21"/>
          <w:szCs w:val="21"/>
          <w:color w:val="auto"/>
        </w:rPr>
        <w:t>. If one or more of the following events (“Events of Default”) shall occur and be continuing:</w:t>
      </w:r>
    </w:p>
    <w:p>
      <w:pPr>
        <w:spacing w:after="0" w:line="155" w:lineRule="exact"/>
        <w:rPr>
          <w:sz w:val="20"/>
          <w:szCs w:val="20"/>
          <w:color w:val="auto"/>
        </w:rPr>
      </w:pPr>
    </w:p>
    <w:p>
      <w:pPr>
        <w:jc w:val="both"/>
        <w:ind w:firstLine="642"/>
        <w:spacing w:after="0" w:line="230" w:lineRule="auto"/>
        <w:tabs>
          <w:tab w:leader="none" w:pos="114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any Borrower shall (i) fail to pay when due any principal of any Loan or to reimburse any drawing under any Letter of Credit when required hereunder or (ii) fail to pay, within 5 days of the date when due, any interest on any Loan or any fee or other amount payable hereunder;</w:t>
      </w:r>
    </w:p>
    <w:p>
      <w:pPr>
        <w:spacing w:after="0" w:line="153" w:lineRule="exact"/>
        <w:rPr>
          <w:rFonts w:ascii="Arial" w:cs="Arial" w:eastAsia="Arial" w:hAnsi="Arial"/>
          <w:sz w:val="21"/>
          <w:szCs w:val="21"/>
          <w:color w:val="auto"/>
        </w:rPr>
      </w:pPr>
    </w:p>
    <w:p>
      <w:pPr>
        <w:ind w:left="1160" w:hanging="518"/>
        <w:spacing w:after="0"/>
        <w:tabs>
          <w:tab w:leader="none" w:pos="11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Company shall fail to observe or perform any covenant contained in Section 5.01(c), 5.05, 5.06 or 5.08;</w:t>
      </w:r>
    </w:p>
    <w:p>
      <w:pPr>
        <w:spacing w:after="0" w:line="182" w:lineRule="exact"/>
        <w:rPr>
          <w:rFonts w:ascii="Arial" w:cs="Arial" w:eastAsia="Arial" w:hAnsi="Arial"/>
          <w:sz w:val="21"/>
          <w:szCs w:val="21"/>
          <w:color w:val="auto"/>
        </w:rPr>
      </w:pPr>
    </w:p>
    <w:p>
      <w:pPr>
        <w:jc w:val="both"/>
        <w:ind w:firstLine="642"/>
        <w:spacing w:after="0" w:line="230" w:lineRule="auto"/>
        <w:tabs>
          <w:tab w:leader="none" w:pos="124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any Borrower shall fail to observe or perform any covenant or agreement contained in this Agreement (other than those covered by clause (a) or (b) above) for 30 days after notice thereof has been given to the Company by the Administrative Agent at the request of any Lender;</w:t>
      </w:r>
    </w:p>
    <w:p>
      <w:pPr>
        <w:spacing w:after="0" w:line="153" w:lineRule="exact"/>
        <w:rPr>
          <w:rFonts w:ascii="Arial" w:cs="Arial" w:eastAsia="Arial" w:hAnsi="Arial"/>
          <w:sz w:val="21"/>
          <w:szCs w:val="21"/>
          <w:color w:val="auto"/>
        </w:rPr>
      </w:pPr>
    </w:p>
    <w:p>
      <w:pPr>
        <w:jc w:val="both"/>
        <w:ind w:left="80" w:firstLine="562"/>
        <w:spacing w:after="0" w:line="230" w:lineRule="auto"/>
        <w:tabs>
          <w:tab w:leader="none" w:pos="1181"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any representation, warranty, certification or statement made by any Borrower in this Agreement or in any certificate, financial statement or other document delivered pursuant to this Agreement shall prove to have been incorrect in any material respect when made or deemed made;</w:t>
      </w:r>
    </w:p>
    <w:p>
      <w:pPr>
        <w:spacing w:after="0" w:line="153" w:lineRule="exact"/>
        <w:rPr>
          <w:rFonts w:ascii="Arial" w:cs="Arial" w:eastAsia="Arial" w:hAnsi="Arial"/>
          <w:sz w:val="21"/>
          <w:szCs w:val="21"/>
          <w:color w:val="auto"/>
        </w:rPr>
      </w:pPr>
    </w:p>
    <w:p>
      <w:pPr>
        <w:jc w:val="both"/>
        <w:ind w:firstLine="642"/>
        <w:spacing w:after="0" w:line="244" w:lineRule="auto"/>
        <w:tabs>
          <w:tab w:leader="none" w:pos="121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Company or any Principal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51" w:lineRule="exact"/>
        <w:rPr>
          <w:rFonts w:ascii="Arial" w:cs="Arial" w:eastAsia="Arial" w:hAnsi="Arial"/>
          <w:sz w:val="19"/>
          <w:szCs w:val="19"/>
          <w:color w:val="auto"/>
        </w:rPr>
      </w:pPr>
    </w:p>
    <w:p>
      <w:pPr>
        <w:jc w:val="both"/>
        <w:ind w:firstLine="642"/>
        <w:spacing w:after="0" w:line="230" w:lineRule="auto"/>
        <w:tabs>
          <w:tab w:leader="none" w:pos="112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an involuntary case or other proceeding shall be commenced against the Company or any Principal Subsidiary seeking liquidation, reorganization or other relief with respect to it or its debts under any bankruptcy, insolvency or other similar law now or hereafter in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55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6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seeking the appointment of a trustee, receiver, liquidator, custodian or other similar official of it or any substantial part of its property, and such involuntary case or other proceeding shall remain undismissed and unstayed for a period of 60 days; or an order for relief shall be entered against the Company or any Principal Subsidiary under the federal bankruptcy laws as now or hereafter in effect;</w:t>
      </w:r>
    </w:p>
    <w:p>
      <w:pPr>
        <w:spacing w:after="0" w:line="154" w:lineRule="exact"/>
        <w:rPr>
          <w:sz w:val="20"/>
          <w:szCs w:val="20"/>
          <w:color w:val="auto"/>
        </w:rPr>
      </w:pPr>
    </w:p>
    <w:p>
      <w:pPr>
        <w:jc w:val="both"/>
        <w:ind w:firstLine="642"/>
        <w:spacing w:after="0" w:line="226" w:lineRule="auto"/>
        <w:tabs>
          <w:tab w:leader="none" w:pos="11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member of the ERISA Group shall fail to pay when due an amount or amounts it shall have become liable to pay under Title IV of ERISA, which would reasonably be expected to result in a Material Adverse Effect; or notice of intent to terminate a Material Plan shall be filed under Title IV of ERISA by any member of the ERISA Group, any plan administrator or any combination of the foregoing other than for, or with respect to, a standard termination under Section 4041(b) of ERISA that would not have a Material Adverse Effect on the Company and its Consolidated Subsidiaries considered as a whole; or the PBGC shall institute proceedings under Title IV of ERISA to terminate, to impose liability (other than for premiums under Section 4007 of ERISA) in respect of, or to cause a trustee to be appointed to administer any Material Plan; or a condition shall exist by reason of which the PBGC would be entitled to obtain a decree adjudicating that any Material Plan must be terminated; or there shall occur a complete or partial withdrawal from, or a default, within the meaning of Section 4219(c)(5) of ERISA, with respect to, one or more Multiemployer Plans which would cause one or more members of the ERISA Group to incur a current payment obligation in an aggregate amount which would reasonably be expected to result in a Material Adverse Effect;</w:t>
      </w:r>
    </w:p>
    <w:p>
      <w:pPr>
        <w:spacing w:after="0" w:line="161" w:lineRule="exact"/>
        <w:rPr>
          <w:rFonts w:ascii="Arial" w:cs="Arial" w:eastAsia="Arial" w:hAnsi="Arial"/>
          <w:sz w:val="20"/>
          <w:szCs w:val="20"/>
          <w:color w:val="auto"/>
        </w:rPr>
      </w:pPr>
    </w:p>
    <w:p>
      <w:pPr>
        <w:jc w:val="both"/>
        <w:ind w:firstLine="642"/>
        <w:spacing w:after="0" w:line="252" w:lineRule="auto"/>
        <w:tabs>
          <w:tab w:leader="none" w:pos="118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judgment or order by a court of competent jurisdiction for the payment of money in excess of $200,000,000 (to the extent not covered by (i) insurance as to which the insurer has been notified of such judgment or order and has not denied its obligation or (ii) another applicable indemnity or escrow arrangement) shall be rendered against the Company or any Principal Subsidiary and such judgment or order is not satisfied, vacated, discharged, stayed or bonded for a period of sixty consecutive days;</w:t>
      </w:r>
    </w:p>
    <w:p>
      <w:pPr>
        <w:spacing w:after="0" w:line="142" w:lineRule="exact"/>
        <w:rPr>
          <w:rFonts w:ascii="Arial" w:cs="Arial" w:eastAsia="Arial" w:hAnsi="Arial"/>
          <w:sz w:val="19"/>
          <w:szCs w:val="19"/>
          <w:color w:val="auto"/>
        </w:rPr>
      </w:pPr>
    </w:p>
    <w:p>
      <w:pPr>
        <w:ind w:firstLine="633"/>
        <w:spacing w:after="0" w:line="239" w:lineRule="auto"/>
        <w:tabs>
          <w:tab w:leader="none" w:pos="127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Company shall deny or disaffirm in writing its obligations under Article 10 with respect to any Eligible Subsidiary, or Article 10 or any material provision thereof shall cease to be in full force and effect;</w:t>
      </w:r>
    </w:p>
    <w:p>
      <w:pPr>
        <w:spacing w:after="0" w:line="155" w:lineRule="exact"/>
        <w:rPr>
          <w:sz w:val="20"/>
          <w:szCs w:val="20"/>
          <w:color w:val="auto"/>
        </w:rPr>
      </w:pPr>
    </w:p>
    <w:p>
      <w:pPr>
        <w:ind w:firstLine="721"/>
        <w:spacing w:after="0" w:line="239" w:lineRule="auto"/>
        <w:tabs>
          <w:tab w:leader="none" w:pos="1275" w:val="left"/>
        </w:tabs>
        <w:numPr>
          <w:ilvl w:val="1"/>
          <w:numId w:val="103"/>
        </w:numPr>
        <w:rPr>
          <w:rFonts w:ascii="Arial" w:cs="Arial" w:eastAsia="Arial" w:hAnsi="Arial"/>
          <w:sz w:val="21"/>
          <w:szCs w:val="21"/>
          <w:color w:val="auto"/>
        </w:rPr>
      </w:pPr>
      <w:r>
        <w:rPr>
          <w:rFonts w:ascii="Arial" w:cs="Arial" w:eastAsia="Arial" w:hAnsi="Arial"/>
          <w:sz w:val="21"/>
          <w:szCs w:val="21"/>
          <w:color w:val="auto"/>
        </w:rPr>
        <w:t>(i) acceleration of the maturity of any Material Debt or (ii) the Company or any Subsidiary obligated with respect thereto shall fail to pay the principal amount of any Material Debt within three days of the date when due; or</w:t>
      </w:r>
    </w:p>
    <w:p>
      <w:pPr>
        <w:spacing w:after="0" w:line="155" w:lineRule="exact"/>
        <w:rPr>
          <w:rFonts w:ascii="Arial" w:cs="Arial" w:eastAsia="Arial" w:hAnsi="Arial"/>
          <w:sz w:val="21"/>
          <w:szCs w:val="21"/>
          <w:color w:val="auto"/>
        </w:rPr>
      </w:pPr>
    </w:p>
    <w:p>
      <w:pPr>
        <w:ind w:left="1100" w:hanging="458"/>
        <w:spacing w:after="0"/>
        <w:tabs>
          <w:tab w:leader="none" w:pos="11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 Change of Control Triggering Event shall have occurred.</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then, and in every such event, the Administrative Agent shall (i) if requested by Lenders having more than 50% in aggregate amount of the Commitments, by notice to the Company terminate the Commitments and they shall thereupon terminate, and (ii) if requested by Lenders holding more than 50% of the aggregate principal amount of the Loans, by notice to the Company declare the Loans (together with accrued interest thereon) to be, and the Loans shall thereupon become, immediately due and payable without presentment, demand, protest or other notice of any kind, all of which are hereby waived by each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of the Events of Default specified in clause (e) or (f) above with respect to any Borrower, without any notice to any Borrower or any other act by the Administrative Agent or the Lenders, the Commitments shall thereupon terminate and the Loans (together with accrued interest thereon) shall become immediately due and payable without presentment, demand, protest or other notice of any kind, all of which are hereby waived by each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63" w:lineRule="exact"/>
        <w:rPr>
          <w:sz w:val="20"/>
          <w:szCs w:val="20"/>
          <w:color w:val="auto"/>
        </w:rPr>
      </w:pPr>
    </w:p>
    <w:p>
      <w:pPr>
        <w:jc w:val="both"/>
        <w:ind w:firstLine="557"/>
        <w:spacing w:after="0" w:line="239"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i w:val="1"/>
          <w:iCs w:val="1"/>
          <w:color w:val="auto"/>
        </w:rPr>
        <w:t>Notice of Default</w:t>
      </w:r>
      <w:r>
        <w:rPr>
          <w:rFonts w:ascii="Arial" w:cs="Arial" w:eastAsia="Arial" w:hAnsi="Arial"/>
          <w:sz w:val="21"/>
          <w:szCs w:val="21"/>
          <w:color w:val="auto"/>
        </w:rPr>
        <w:t>. The Administrative Agent shall give notice to the Company under Section 6.01(c) promptly upon being requested to do so by any Lender and shall thereupon notify all the Lenders thereof.</w:t>
      </w:r>
    </w:p>
    <w:p>
      <w:pPr>
        <w:spacing w:after="0" w:line="155"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Cash Cover</w:t>
      </w:r>
      <w:r>
        <w:rPr>
          <w:rFonts w:ascii="Arial" w:cs="Arial" w:eastAsia="Arial" w:hAnsi="Arial"/>
          <w:sz w:val="20"/>
          <w:szCs w:val="20"/>
          <w:color w:val="auto"/>
        </w:rPr>
        <w:t xml:space="preserve">. Each Borrower agrees, in addition to the provisions of Section 6.01 hereof, that upon the occurrence and during the continuance of any Event of Default, it shall, if requested by the Administrative Agent upon the instruction of Lenders having more than 50% of the Letter of Credit Liabilities (exclusive of the Letter of Credit Liabilities of any Defaulting Lender), pay to the Administrative Agent an amount in immediately available funds (which funds shall be held as collateral pursuant to arrangements satisfactory to the Administrative Agent) equal to the aggregate amount available for drawing under all Letters of Credit outstanding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the occurrence of any Event of Default specified in Section 6.01(e) or 6.01(f) with respect to any Borrower, each Borrower shall pay such amount forthwith without any notice or demand or any other act by the Administrative Agent or the Lenders.</w:t>
      </w:r>
    </w:p>
    <w:p>
      <w:pPr>
        <w:spacing w:after="0" w:line="160"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i w:val="1"/>
          <w:iCs w:val="1"/>
          <w:color w:val="auto"/>
        </w:rPr>
        <w:t>Application of Payments</w:t>
      </w:r>
      <w:r>
        <w:rPr>
          <w:rFonts w:ascii="Arial" w:cs="Arial" w:eastAsia="Arial" w:hAnsi="Arial"/>
          <w:sz w:val="21"/>
          <w:szCs w:val="21"/>
          <w:color w:val="auto"/>
        </w:rPr>
        <w:t>. Notwithstanding anything herein to the contrary, following the occurrence and during the continuance of an Event of Default, and notice thereof to the Administrative Agent by the Company or the Required Lenders:</w:t>
      </w:r>
    </w:p>
    <w:p>
      <w:pPr>
        <w:spacing w:after="0" w:line="154" w:lineRule="exact"/>
        <w:rPr>
          <w:sz w:val="20"/>
          <w:szCs w:val="20"/>
          <w:color w:val="auto"/>
        </w:rPr>
      </w:pPr>
    </w:p>
    <w:p>
      <w:pPr>
        <w:ind w:firstLine="642"/>
        <w:spacing w:after="0" w:line="239" w:lineRule="auto"/>
        <w:tabs>
          <w:tab w:leader="none" w:pos="121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payments received on account of the Obligations shall, subject to Section 2.21, be applied by the Administrative Agent as follows:</w:t>
      </w:r>
    </w:p>
    <w:p>
      <w:pPr>
        <w:spacing w:after="0" w:line="155" w:lineRule="exact"/>
        <w:rPr>
          <w:rFonts w:ascii="Arial" w:cs="Arial" w:eastAsia="Arial" w:hAnsi="Arial"/>
          <w:sz w:val="21"/>
          <w:szCs w:val="21"/>
          <w:color w:val="auto"/>
        </w:rPr>
      </w:pPr>
    </w:p>
    <w:p>
      <w:pPr>
        <w:jc w:val="both"/>
        <w:ind w:left="320" w:firstLine="878"/>
        <w:spacing w:after="0" w:line="242" w:lineRule="auto"/>
        <w:tabs>
          <w:tab w:leader="none" w:pos="1480" w:val="left"/>
        </w:tabs>
        <w:numPr>
          <w:ilvl w:val="1"/>
          <w:numId w:val="105"/>
        </w:numPr>
        <w:rPr>
          <w:rFonts w:ascii="Arial" w:cs="Arial" w:eastAsia="Arial" w:hAnsi="Arial"/>
          <w:sz w:val="20"/>
          <w:szCs w:val="20"/>
          <w:color w:val="auto"/>
        </w:rPr>
      </w:pPr>
      <w:r>
        <w:rPr>
          <w:rFonts w:ascii="Arial" w:cs="Arial" w:eastAsia="Arial" w:hAnsi="Arial"/>
          <w:sz w:val="20"/>
          <w:szCs w:val="20"/>
          <w:i w:val="1"/>
          <w:iCs w:val="1"/>
          <w:u w:val="single" w:color="auto"/>
          <w:color w:val="auto"/>
        </w:rPr>
        <w:t>first</w:t>
      </w:r>
      <w:r>
        <w:rPr>
          <w:rFonts w:ascii="Arial" w:cs="Arial" w:eastAsia="Arial" w:hAnsi="Arial"/>
          <w:sz w:val="20"/>
          <w:szCs w:val="20"/>
          <w:color w:val="auto"/>
        </w:rPr>
        <w:t>, to payment of that portion of the Obligations constituting fees, indemnities, expenses and other amounts</w:t>
      </w:r>
      <w:r>
        <w:rPr>
          <w:rFonts w:ascii="Arial" w:cs="Arial" w:eastAsia="Arial" w:hAnsi="Arial"/>
          <w:sz w:val="20"/>
          <w:szCs w:val="20"/>
          <w:i w:val="1"/>
          <w:iCs w:val="1"/>
          <w:color w:val="auto"/>
        </w:rPr>
        <w:t xml:space="preserve"> </w:t>
      </w:r>
      <w:r>
        <w:rPr>
          <w:rFonts w:ascii="Arial" w:cs="Arial" w:eastAsia="Arial" w:hAnsi="Arial"/>
          <w:sz w:val="20"/>
          <w:szCs w:val="20"/>
          <w:color w:val="auto"/>
        </w:rPr>
        <w:t>payable to the Administrative Agent (including fees and disbursements and other charges of counsel to the Administrative Agent payable under Section 11.03 and amounts payable to the Administrative Agent in its capacity as such);</w:t>
      </w:r>
    </w:p>
    <w:p>
      <w:pPr>
        <w:spacing w:after="0" w:line="152" w:lineRule="exact"/>
        <w:rPr>
          <w:rFonts w:ascii="Arial" w:cs="Arial" w:eastAsia="Arial" w:hAnsi="Arial"/>
          <w:sz w:val="20"/>
          <w:szCs w:val="20"/>
          <w:color w:val="auto"/>
        </w:rPr>
      </w:pPr>
    </w:p>
    <w:p>
      <w:pPr>
        <w:jc w:val="both"/>
        <w:ind w:left="320" w:firstLine="878"/>
        <w:spacing w:after="0" w:line="222" w:lineRule="auto"/>
        <w:tabs>
          <w:tab w:leader="none" w:pos="1519" w:val="left"/>
        </w:tabs>
        <w:numPr>
          <w:ilvl w:val="1"/>
          <w:numId w:val="105"/>
        </w:numPr>
        <w:rPr>
          <w:rFonts w:ascii="Arial" w:cs="Arial" w:eastAsia="Arial" w:hAnsi="Arial"/>
          <w:sz w:val="21"/>
          <w:szCs w:val="21"/>
          <w:color w:val="auto"/>
        </w:rPr>
      </w:pPr>
      <w:r>
        <w:rPr>
          <w:rFonts w:ascii="Arial" w:cs="Arial" w:eastAsia="Arial" w:hAnsi="Arial"/>
          <w:sz w:val="21"/>
          <w:szCs w:val="21"/>
          <w:i w:val="1"/>
          <w:iCs w:val="1"/>
          <w:u w:val="single" w:color="auto"/>
          <w:color w:val="auto"/>
        </w:rPr>
        <w:t>second</w:t>
      </w:r>
      <w:r>
        <w:rPr>
          <w:rFonts w:ascii="Arial" w:cs="Arial" w:eastAsia="Arial" w:hAnsi="Arial"/>
          <w:sz w:val="21"/>
          <w:szCs w:val="21"/>
          <w:color w:val="auto"/>
        </w:rPr>
        <w:t>, to payment of that portion of the Obligations constituting fees, expenses, indemnities and other amounts</w:t>
      </w:r>
      <w:r>
        <w:rPr>
          <w:rFonts w:ascii="Arial" w:cs="Arial" w:eastAsia="Arial" w:hAnsi="Arial"/>
          <w:sz w:val="21"/>
          <w:szCs w:val="21"/>
          <w:i w:val="1"/>
          <w:iCs w:val="1"/>
          <w:color w:val="auto"/>
        </w:rPr>
        <w:t xml:space="preserve"> </w:t>
      </w:r>
      <w:r>
        <w:rPr>
          <w:rFonts w:ascii="Arial" w:cs="Arial" w:eastAsia="Arial" w:hAnsi="Arial"/>
          <w:sz w:val="21"/>
          <w:szCs w:val="21"/>
          <w:color w:val="auto"/>
        </w:rPr>
        <w:t>(other than principal, reimbursement obligations in respect of Letter of Credit Disbursements, interest and Letter of Credit fees) payable to the Lenders and the Issuing Lenders (including fees and disbursements and other charges of counsel to the Lenders and the Issuing Lenders payable under Section 11.03) arising under the Loan Documents, ratably among them in proportion to the respective amounts described in this clause (ii) payable to them;</w:t>
      </w:r>
    </w:p>
    <w:p>
      <w:pPr>
        <w:spacing w:after="0" w:line="155" w:lineRule="exact"/>
        <w:rPr>
          <w:rFonts w:ascii="Arial" w:cs="Arial" w:eastAsia="Arial" w:hAnsi="Arial"/>
          <w:sz w:val="21"/>
          <w:szCs w:val="21"/>
          <w:color w:val="auto"/>
        </w:rPr>
      </w:pPr>
    </w:p>
    <w:p>
      <w:pPr>
        <w:jc w:val="both"/>
        <w:ind w:left="320" w:firstLine="878"/>
        <w:spacing w:after="0" w:line="230" w:lineRule="auto"/>
        <w:tabs>
          <w:tab w:leader="none" w:pos="1592" w:val="left"/>
        </w:tabs>
        <w:numPr>
          <w:ilvl w:val="1"/>
          <w:numId w:val="105"/>
        </w:numPr>
        <w:rPr>
          <w:rFonts w:ascii="Arial" w:cs="Arial" w:eastAsia="Arial" w:hAnsi="Arial"/>
          <w:sz w:val="21"/>
          <w:szCs w:val="21"/>
          <w:color w:val="auto"/>
        </w:rPr>
      </w:pPr>
      <w:r>
        <w:rPr>
          <w:rFonts w:ascii="Arial" w:cs="Arial" w:eastAsia="Arial" w:hAnsi="Arial"/>
          <w:sz w:val="21"/>
          <w:szCs w:val="21"/>
          <w:i w:val="1"/>
          <w:iCs w:val="1"/>
          <w:u w:val="single" w:color="auto"/>
          <w:color w:val="auto"/>
        </w:rPr>
        <w:t>third</w:t>
      </w:r>
      <w:r>
        <w:rPr>
          <w:rFonts w:ascii="Arial" w:cs="Arial" w:eastAsia="Arial" w:hAnsi="Arial"/>
          <w:sz w:val="21"/>
          <w:szCs w:val="21"/>
          <w:color w:val="auto"/>
        </w:rPr>
        <w:t>, to payment of that portion of the Obligations constituting accrued and unpaid Letter of Credit fees and</w:t>
      </w:r>
      <w:r>
        <w:rPr>
          <w:rFonts w:ascii="Arial" w:cs="Arial" w:eastAsia="Arial" w:hAnsi="Arial"/>
          <w:sz w:val="21"/>
          <w:szCs w:val="21"/>
          <w:i w:val="1"/>
          <w:iCs w:val="1"/>
          <w:color w:val="auto"/>
        </w:rPr>
        <w:t xml:space="preserve"> </w:t>
      </w:r>
      <w:r>
        <w:rPr>
          <w:rFonts w:ascii="Arial" w:cs="Arial" w:eastAsia="Arial" w:hAnsi="Arial"/>
          <w:sz w:val="21"/>
          <w:szCs w:val="21"/>
          <w:color w:val="auto"/>
        </w:rPr>
        <w:t>charges and interest on the Loans and unreimbursed Letter of Credit Disbursements, ratably among the Lenders and the Issuing Lenders in proportion to the respective amounts described in this clause (iii) payable to them;</w:t>
      </w:r>
    </w:p>
    <w:p>
      <w:pPr>
        <w:spacing w:after="0" w:line="153" w:lineRule="exact"/>
        <w:rPr>
          <w:rFonts w:ascii="Arial" w:cs="Arial" w:eastAsia="Arial" w:hAnsi="Arial"/>
          <w:sz w:val="21"/>
          <w:szCs w:val="21"/>
          <w:color w:val="auto"/>
        </w:rPr>
      </w:pPr>
    </w:p>
    <w:p>
      <w:pPr>
        <w:jc w:val="both"/>
        <w:ind w:left="320" w:firstLine="878"/>
        <w:spacing w:after="0" w:line="217" w:lineRule="auto"/>
        <w:tabs>
          <w:tab w:leader="none" w:pos="1610" w:val="left"/>
        </w:tabs>
        <w:numPr>
          <w:ilvl w:val="1"/>
          <w:numId w:val="105"/>
        </w:numPr>
        <w:rPr>
          <w:rFonts w:ascii="Arial" w:cs="Arial" w:eastAsia="Arial" w:hAnsi="Arial"/>
          <w:sz w:val="21"/>
          <w:szCs w:val="21"/>
          <w:color w:val="auto"/>
        </w:rPr>
      </w:pPr>
      <w:r>
        <w:rPr>
          <w:rFonts w:ascii="Arial" w:cs="Arial" w:eastAsia="Arial" w:hAnsi="Arial"/>
          <w:sz w:val="21"/>
          <w:szCs w:val="21"/>
          <w:i w:val="1"/>
          <w:iCs w:val="1"/>
          <w:u w:val="single" w:color="auto"/>
          <w:color w:val="auto"/>
        </w:rPr>
        <w:t>fourth</w:t>
      </w:r>
      <w:r>
        <w:rPr>
          <w:rFonts w:ascii="Arial" w:cs="Arial" w:eastAsia="Arial" w:hAnsi="Arial"/>
          <w:sz w:val="21"/>
          <w:szCs w:val="21"/>
          <w:color w:val="auto"/>
        </w:rPr>
        <w:t>, (A) to payment of that portion of the Obligations constituting unpaid principal of the Loans and</w:t>
      </w:r>
      <w:r>
        <w:rPr>
          <w:rFonts w:ascii="Arial" w:cs="Arial" w:eastAsia="Arial" w:hAnsi="Arial"/>
          <w:sz w:val="21"/>
          <w:szCs w:val="21"/>
          <w:i w:val="1"/>
          <w:iCs w:val="1"/>
          <w:color w:val="auto"/>
        </w:rPr>
        <w:t xml:space="preserve"> </w:t>
      </w:r>
      <w:r>
        <w:rPr>
          <w:rFonts w:ascii="Arial" w:cs="Arial" w:eastAsia="Arial" w:hAnsi="Arial"/>
          <w:sz w:val="21"/>
          <w:szCs w:val="21"/>
          <w:color w:val="auto"/>
        </w:rPr>
        <w:t>unreimbursed Letter of Credit Disbursements and (B) to cash collateralize that portion of Letter of Credit Exposure comprising the undrawn amount of Letters of Credit to the extent not otherwise cash collateralized by the Company, ratably among the Lenders and the Issuing Lenders in proportion to the respective amounts described in this clause (iv) payable to them; provided that (x) any such amounts applied pursuant to subclause (B) above shall be paid to the Administrative Agent for the ratable account of the applicable Issuing Lenders to cash collateralize Obligations in respect of Letters of Credit, (y) subject to Section 2.18 or 2.21, amounts used to cash collateralize the aggregate amount of Letters of Credit pursuant to this clause (iv) shall be used to satisfy drawings under such Letters of Credit as they occur and (z) upon the expiration of any Letter of Credit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57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63" w:lineRule="exact"/>
        <w:rPr>
          <w:sz w:val="20"/>
          <w:szCs w:val="20"/>
          <w:color w:val="auto"/>
        </w:rPr>
      </w:pPr>
    </w:p>
    <w:p>
      <w:pPr>
        <w:ind w:left="320"/>
        <w:spacing w:after="0" w:line="239" w:lineRule="auto"/>
        <w:rPr>
          <w:sz w:val="20"/>
          <w:szCs w:val="20"/>
          <w:color w:val="auto"/>
        </w:rPr>
      </w:pPr>
      <w:r>
        <w:rPr>
          <w:rFonts w:ascii="Arial" w:cs="Arial" w:eastAsia="Arial" w:hAnsi="Arial"/>
          <w:sz w:val="21"/>
          <w:szCs w:val="21"/>
          <w:color w:val="auto"/>
        </w:rPr>
        <w:t>any pending drawings), the pro rata share of cash collateral shall be distributed to the other Obligations, if any, in the order set forth in this Section 6.04;</w:t>
      </w:r>
    </w:p>
    <w:p>
      <w:pPr>
        <w:spacing w:after="0" w:line="155" w:lineRule="exact"/>
        <w:rPr>
          <w:sz w:val="20"/>
          <w:szCs w:val="20"/>
          <w:color w:val="auto"/>
        </w:rPr>
      </w:pPr>
    </w:p>
    <w:p>
      <w:pPr>
        <w:jc w:val="both"/>
        <w:ind w:left="320" w:firstLine="878"/>
        <w:spacing w:after="0" w:line="230" w:lineRule="auto"/>
        <w:tabs>
          <w:tab w:leader="none" w:pos="1521" w:val="left"/>
        </w:tabs>
        <w:numPr>
          <w:ilvl w:val="1"/>
          <w:numId w:val="106"/>
        </w:numPr>
        <w:rPr>
          <w:rFonts w:ascii="Arial" w:cs="Arial" w:eastAsia="Arial" w:hAnsi="Arial"/>
          <w:sz w:val="21"/>
          <w:szCs w:val="21"/>
          <w:color w:val="auto"/>
        </w:rPr>
      </w:pPr>
      <w:r>
        <w:rPr>
          <w:rFonts w:ascii="Arial" w:cs="Arial" w:eastAsia="Arial" w:hAnsi="Arial"/>
          <w:sz w:val="21"/>
          <w:szCs w:val="21"/>
          <w:i w:val="1"/>
          <w:iCs w:val="1"/>
          <w:u w:val="single" w:color="auto"/>
          <w:color w:val="auto"/>
        </w:rPr>
        <w:t>fifth</w:t>
      </w:r>
      <w:r>
        <w:rPr>
          <w:rFonts w:ascii="Arial" w:cs="Arial" w:eastAsia="Arial" w:hAnsi="Arial"/>
          <w:sz w:val="21"/>
          <w:szCs w:val="21"/>
          <w:color w:val="auto"/>
        </w:rPr>
        <w:t>, to the payment in full of all other Obligations, in each case ratably among the Administrative Agent, the</w:t>
      </w:r>
      <w:r>
        <w:rPr>
          <w:rFonts w:ascii="Arial" w:cs="Arial" w:eastAsia="Arial" w:hAnsi="Arial"/>
          <w:sz w:val="21"/>
          <w:szCs w:val="21"/>
          <w:i w:val="1"/>
          <w:iCs w:val="1"/>
          <w:color w:val="auto"/>
        </w:rPr>
        <w:t xml:space="preserve"> </w:t>
      </w:r>
      <w:r>
        <w:rPr>
          <w:rFonts w:ascii="Arial" w:cs="Arial" w:eastAsia="Arial" w:hAnsi="Arial"/>
          <w:sz w:val="21"/>
          <w:szCs w:val="21"/>
          <w:color w:val="auto"/>
        </w:rPr>
        <w:t>Lenders and the Issuing Lenders based upon the respective aggregate amounts of all such Obligations owing to them in accordance with the respective amounts thereof then due and payable; and</w:t>
      </w:r>
    </w:p>
    <w:p>
      <w:pPr>
        <w:spacing w:after="0" w:line="153" w:lineRule="exact"/>
        <w:rPr>
          <w:rFonts w:ascii="Arial" w:cs="Arial" w:eastAsia="Arial" w:hAnsi="Arial"/>
          <w:sz w:val="21"/>
          <w:szCs w:val="21"/>
          <w:color w:val="auto"/>
        </w:rPr>
      </w:pPr>
    </w:p>
    <w:p>
      <w:pPr>
        <w:ind w:left="320" w:firstLine="878"/>
        <w:spacing w:after="0" w:line="239" w:lineRule="auto"/>
        <w:tabs>
          <w:tab w:leader="none" w:pos="1596" w:val="left"/>
        </w:tabs>
        <w:numPr>
          <w:ilvl w:val="1"/>
          <w:numId w:val="106"/>
        </w:numPr>
        <w:rPr>
          <w:rFonts w:ascii="Arial" w:cs="Arial" w:eastAsia="Arial" w:hAnsi="Arial"/>
          <w:sz w:val="21"/>
          <w:szCs w:val="21"/>
          <w:color w:val="auto"/>
        </w:rPr>
      </w:pPr>
      <w:r>
        <w:rPr>
          <w:rFonts w:ascii="Arial" w:cs="Arial" w:eastAsia="Arial" w:hAnsi="Arial"/>
          <w:sz w:val="21"/>
          <w:szCs w:val="21"/>
          <w:i w:val="1"/>
          <w:iCs w:val="1"/>
          <w:u w:val="single" w:color="auto"/>
          <w:color w:val="auto"/>
        </w:rPr>
        <w:t>finally</w:t>
      </w:r>
      <w:r>
        <w:rPr>
          <w:rFonts w:ascii="Arial" w:cs="Arial" w:eastAsia="Arial" w:hAnsi="Arial"/>
          <w:sz w:val="21"/>
          <w:szCs w:val="21"/>
          <w:color w:val="auto"/>
        </w:rPr>
        <w:t>, the balance, if any, after all Obligations have been indefeasibly paid in full, to the Company or as</w:t>
      </w:r>
      <w:r>
        <w:rPr>
          <w:rFonts w:ascii="Arial" w:cs="Arial" w:eastAsia="Arial" w:hAnsi="Arial"/>
          <w:sz w:val="21"/>
          <w:szCs w:val="21"/>
          <w:i w:val="1"/>
          <w:iCs w:val="1"/>
          <w:color w:val="auto"/>
        </w:rPr>
        <w:t xml:space="preserve"> </w:t>
      </w:r>
      <w:r>
        <w:rPr>
          <w:rFonts w:ascii="Arial" w:cs="Arial" w:eastAsia="Arial" w:hAnsi="Arial"/>
          <w:sz w:val="21"/>
          <w:szCs w:val="21"/>
          <w:color w:val="auto"/>
        </w:rPr>
        <w:t>otherwise required by law; and</w:t>
      </w:r>
    </w:p>
    <w:p>
      <w:pPr>
        <w:spacing w:after="0" w:line="155" w:lineRule="exact"/>
        <w:rPr>
          <w:rFonts w:ascii="Arial" w:cs="Arial" w:eastAsia="Arial" w:hAnsi="Arial"/>
          <w:sz w:val="21"/>
          <w:szCs w:val="21"/>
          <w:color w:val="auto"/>
        </w:rPr>
      </w:pPr>
    </w:p>
    <w:p>
      <w:pPr>
        <w:jc w:val="both"/>
        <w:ind w:firstLine="642"/>
        <w:spacing w:after="0" w:line="230" w:lineRule="auto"/>
        <w:tabs>
          <w:tab w:leader="none" w:pos="118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any amount remains on deposit as cash collateral after all Letters of Credit have either been fully drawn or expired (without any pending drawings), such remaining amount shall be applied to the other Obligations, if any, in the order set forth above.</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7</w:t>
      </w:r>
    </w:p>
    <w:p>
      <w:pPr>
        <w:ind w:left="4520"/>
        <w:spacing w:after="0"/>
        <w:rPr>
          <w:sz w:val="20"/>
          <w:szCs w:val="20"/>
          <w:color w:val="auto"/>
        </w:rPr>
      </w:pPr>
      <w:r>
        <w:rPr>
          <w:rFonts w:ascii="Arial" w:cs="Arial" w:eastAsia="Arial" w:hAnsi="Arial"/>
          <w:sz w:val="21"/>
          <w:szCs w:val="21"/>
          <w:color w:val="auto"/>
        </w:rPr>
        <w:t>The Administrative Agent</w:t>
      </w:r>
    </w:p>
    <w:p>
      <w:pPr>
        <w:spacing w:after="0" w:line="165" w:lineRule="exact"/>
        <w:rPr>
          <w:sz w:val="20"/>
          <w:szCs w:val="20"/>
          <w:color w:val="auto"/>
        </w:rPr>
      </w:pPr>
    </w:p>
    <w:p>
      <w:pPr>
        <w:ind w:left="960"/>
        <w:spacing w:after="0"/>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Authorization and Action</w:t>
      </w:r>
      <w:r>
        <w:rPr>
          <w:rFonts w:ascii="Arial" w:cs="Arial" w:eastAsia="Arial" w:hAnsi="Arial"/>
          <w:sz w:val="21"/>
          <w:szCs w:val="21"/>
          <w:color w:val="auto"/>
        </w:rPr>
        <w:t>.</w:t>
      </w:r>
    </w:p>
    <w:p>
      <w:pPr>
        <w:spacing w:after="0" w:line="183" w:lineRule="exact"/>
        <w:rPr>
          <w:sz w:val="20"/>
          <w:szCs w:val="20"/>
          <w:color w:val="auto"/>
        </w:rPr>
      </w:pPr>
    </w:p>
    <w:p>
      <w:pPr>
        <w:jc w:val="both"/>
        <w:ind w:firstLine="642"/>
        <w:spacing w:after="0" w:line="218" w:lineRule="auto"/>
        <w:tabs>
          <w:tab w:leader="none" w:pos="95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Each Lender and each Issuing Lender hereby irrevocably appoints the entity named as Administrative Agent in the heading of this Agreement and its successors and assigns to serve as the administrative agent under the Loan Documents and each Lender and each Issuing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3" w:lineRule="exact"/>
        <w:rPr>
          <w:rFonts w:ascii="Arial" w:cs="Arial" w:eastAsia="Arial" w:hAnsi="Arial"/>
          <w:sz w:val="21"/>
          <w:szCs w:val="21"/>
          <w:color w:val="auto"/>
        </w:rPr>
      </w:pPr>
    </w:p>
    <w:p>
      <w:pPr>
        <w:jc w:val="both"/>
        <w:ind w:firstLine="642"/>
        <w:spacing w:after="0" w:line="237" w:lineRule="auto"/>
        <w:tabs>
          <w:tab w:leader="none" w:pos="96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6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56" w:lineRule="exact"/>
        <w:rPr>
          <w:sz w:val="20"/>
          <w:szCs w:val="20"/>
          <w:color w:val="auto"/>
        </w:rPr>
      </w:pPr>
    </w:p>
    <w:p>
      <w:pPr>
        <w:jc w:val="both"/>
        <w:ind w:firstLine="642"/>
        <w:spacing w:after="0" w:line="225" w:lineRule="auto"/>
        <w:tabs>
          <w:tab w:leader="none" w:pos="92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Without limiting the generality of the foregoing:</w:t>
      </w:r>
    </w:p>
    <w:p>
      <w:pPr>
        <w:spacing w:after="0" w:line="154" w:lineRule="exact"/>
        <w:rPr>
          <w:rFonts w:ascii="Arial" w:cs="Arial" w:eastAsia="Arial" w:hAnsi="Arial"/>
          <w:sz w:val="21"/>
          <w:szCs w:val="21"/>
          <w:color w:val="auto"/>
        </w:rPr>
      </w:pPr>
    </w:p>
    <w:p>
      <w:pPr>
        <w:jc w:val="both"/>
        <w:ind w:left="720" w:firstLine="1274"/>
        <w:spacing w:after="0" w:line="216" w:lineRule="auto"/>
        <w:tabs>
          <w:tab w:leader="none" w:pos="2267" w:val="left"/>
        </w:tabs>
        <w:numPr>
          <w:ilvl w:val="2"/>
          <w:numId w:val="109"/>
        </w:numPr>
        <w:rPr>
          <w:rFonts w:ascii="Arial" w:cs="Arial" w:eastAsia="Arial" w:hAnsi="Arial"/>
          <w:sz w:val="21"/>
          <w:szCs w:val="21"/>
          <w:color w:val="auto"/>
        </w:rPr>
      </w:pPr>
      <w:r>
        <w:rPr>
          <w:rFonts w:ascii="Arial" w:cs="Arial" w:eastAsia="Arial" w:hAnsi="Arial"/>
          <w:sz w:val="21"/>
          <w:szCs w:val="21"/>
          <w:color w:val="auto"/>
        </w:rPr>
        <w:t>the Administrative Agent does not assume and shall not be deemed to have assumed any obligation or duty or any other relationship as the agent, fiduciary or trustee of or for any Lender or Issuing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158" w:lineRule="exact"/>
        <w:rPr>
          <w:rFonts w:ascii="Arial" w:cs="Arial" w:eastAsia="Arial" w:hAnsi="Arial"/>
          <w:sz w:val="21"/>
          <w:szCs w:val="21"/>
          <w:color w:val="auto"/>
        </w:rPr>
      </w:pPr>
    </w:p>
    <w:p>
      <w:pPr>
        <w:ind w:left="720" w:firstLine="1274"/>
        <w:spacing w:after="0" w:line="263" w:lineRule="auto"/>
        <w:tabs>
          <w:tab w:leader="none" w:pos="2321" w:val="left"/>
        </w:tabs>
        <w:numPr>
          <w:ilvl w:val="2"/>
          <w:numId w:val="109"/>
        </w:numPr>
        <w:rPr>
          <w:rFonts w:ascii="Arial" w:cs="Arial" w:eastAsia="Arial" w:hAnsi="Arial"/>
          <w:sz w:val="20"/>
          <w:szCs w:val="20"/>
          <w:color w:val="auto"/>
        </w:rPr>
      </w:pPr>
      <w:r>
        <w:rPr>
          <w:rFonts w:ascii="Arial" w:cs="Arial" w:eastAsia="Arial" w:hAnsi="Arial"/>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31" w:lineRule="exact"/>
        <w:rPr>
          <w:rFonts w:ascii="Arial" w:cs="Arial" w:eastAsia="Arial" w:hAnsi="Arial"/>
          <w:sz w:val="20"/>
          <w:szCs w:val="20"/>
          <w:color w:val="auto"/>
        </w:rPr>
      </w:pPr>
    </w:p>
    <w:p>
      <w:pPr>
        <w:jc w:val="both"/>
        <w:ind w:firstLine="1198"/>
        <w:spacing w:after="0" w:line="228" w:lineRule="auto"/>
        <w:tabs>
          <w:tab w:leader="none" w:pos="1491"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0" w:lineRule="exact"/>
        <w:rPr>
          <w:rFonts w:ascii="Arial" w:cs="Arial" w:eastAsia="Arial" w:hAnsi="Arial"/>
          <w:sz w:val="20"/>
          <w:szCs w:val="20"/>
          <w:color w:val="auto"/>
        </w:rPr>
      </w:pPr>
    </w:p>
    <w:p>
      <w:pPr>
        <w:jc w:val="both"/>
        <w:ind w:firstLine="1198"/>
        <w:spacing w:after="0" w:line="242" w:lineRule="auto"/>
        <w:tabs>
          <w:tab w:leader="none" w:pos="149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None of any Syndication Agent or any Joint Lead Arranger and Joint Bookrunner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52" w:lineRule="exact"/>
        <w:rPr>
          <w:rFonts w:ascii="Arial" w:cs="Arial" w:eastAsia="Arial" w:hAnsi="Arial"/>
          <w:sz w:val="20"/>
          <w:szCs w:val="20"/>
          <w:color w:val="auto"/>
        </w:rPr>
      </w:pPr>
    </w:p>
    <w:p>
      <w:pPr>
        <w:jc w:val="both"/>
        <w:ind w:firstLine="1198"/>
        <w:spacing w:after="0" w:line="230" w:lineRule="auto"/>
        <w:tabs>
          <w:tab w:leader="none" w:pos="1464"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In case of the pendency of any proceeding with respect to the Company or any other Borrower under any Federal, state or foreign bankruptcy, insolvency, receivership or similar law now or hereafter in effect, the Administrative Agent (irrespective of whether the principal of any Loan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Reimbursement Obligation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54" w:lineRule="exact"/>
        <w:rPr>
          <w:sz w:val="20"/>
          <w:szCs w:val="20"/>
          <w:color w:val="auto"/>
        </w:rPr>
      </w:pPr>
    </w:p>
    <w:p>
      <w:pPr>
        <w:jc w:val="both"/>
        <w:ind w:firstLine="1278"/>
        <w:spacing w:after="0" w:line="222" w:lineRule="auto"/>
        <w:tabs>
          <w:tab w:leader="none" w:pos="1543"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the principal and interest owing and unpaid in respect of the Loans, Letter of Credit Disbursements and all other Obligations of any Borrower that are owing and unpaid under any Loan Document and to file such other documents as may be necessary or advisable in order to have the claims of the Lenders, the Issuing Lenders and the Administrative Agent (including any claim under Sections 2.06, 2.07, 8.04 and 11.03) allowed in such judicial proceeding; and</w:t>
      </w:r>
    </w:p>
    <w:p>
      <w:pPr>
        <w:spacing w:after="0" w:line="155" w:lineRule="exact"/>
        <w:rPr>
          <w:rFonts w:ascii="Arial" w:cs="Arial" w:eastAsia="Arial" w:hAnsi="Arial"/>
          <w:sz w:val="21"/>
          <w:szCs w:val="21"/>
          <w:color w:val="auto"/>
        </w:rPr>
      </w:pPr>
    </w:p>
    <w:p>
      <w:pPr>
        <w:ind w:left="1600" w:hanging="322"/>
        <w:spacing w:after="0"/>
        <w:tabs>
          <w:tab w:leader="none" w:pos="16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same;</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proceeding is hereby authorized by each Lender and each Issuing Lender to make such payments to the Administrative Agent and, in the event that the Administrative Agent shall consent to the making of such payments directly to the Lenders or the Issuing Lenders, to pay to the Administrative Agent any amount due to it, in its capacity as the Administrative Agent, under the Loan Documents (including under Section 11.03). Nothing contained herein shall be deemed to authorize the Administrative Agent to authorize or consent to or accept or adopt on behalf of any Lender or Issuing Lender any plan of reorganization, arrangement, adjustment or composition affecting the Obligations of the Company or any other Borrower hereunder or the rights of any Lender or Issuing Lender or to authorize the Administrative Agent to vote in respect of the claim of any Lender or Issuing Lender in any such proceeding.</w:t>
      </w:r>
    </w:p>
    <w:p>
      <w:pPr>
        <w:spacing w:after="0" w:line="200" w:lineRule="exact"/>
        <w:rPr>
          <w:sz w:val="20"/>
          <w:szCs w:val="20"/>
          <w:color w:val="auto"/>
        </w:rPr>
      </w:pPr>
    </w:p>
    <w:p>
      <w:pPr>
        <w:spacing w:after="0" w:line="218" w:lineRule="exact"/>
        <w:rPr>
          <w:sz w:val="20"/>
          <w:szCs w:val="20"/>
          <w:color w:val="auto"/>
        </w:rPr>
      </w:pPr>
    </w:p>
    <w:p>
      <w:pPr>
        <w:jc w:val="both"/>
        <w:ind w:firstLine="6"/>
        <w:spacing w:after="0" w:line="264" w:lineRule="auto"/>
        <w:tabs>
          <w:tab w:leader="none" w:pos="31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provisions of this Article are solely for the benefit of the Administrative Agent, the Lenders and the Issuing Lenders, and, except solely to the extent of the Company’s rights to consent pursuant to and subject to the conditions set forth in this Article, none of the Company or any Subsidiary, or any of their respective affiliates, shall have any rights as a third party beneficiary under any such provisions.</w:t>
      </w:r>
    </w:p>
    <w:p>
      <w:pPr>
        <w:spacing w:after="0" w:line="170"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i w:val="1"/>
          <w:iCs w:val="1"/>
          <w:color w:val="auto"/>
        </w:rPr>
        <w:t>Administrative Agent and Affiliates</w:t>
      </w:r>
      <w:r>
        <w:rPr>
          <w:rFonts w:ascii="Arial" w:cs="Arial" w:eastAsia="Arial" w:hAnsi="Arial"/>
          <w:sz w:val="21"/>
          <w:szCs w:val="21"/>
          <w:color w:val="auto"/>
        </w:rPr>
        <w:t>. JPMorgan Chase Bank, N.A. shall have the same rights and powers under this Agreement as any other Lender and may exercise or refrain from exercising the same as though it were not the Administrative Agent, and JPMorgan Chase Bank, N.A. and its affiliates may accept deposits from, lend money to, and generally engage in any kind of business with any Borrower or any Subsidiary or affiliate of any Borrower as if it were not the Administrative Agent.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i w:val="1"/>
          <w:iCs w:val="1"/>
          <w:color w:val="auto"/>
        </w:rPr>
        <w:t>Administrative Agent’s Reliance, Limitation of Liability, Etc</w:t>
      </w:r>
      <w:r>
        <w:rPr>
          <w:rFonts w:ascii="Arial" w:cs="Arial" w:eastAsia="Arial" w:hAnsi="Arial"/>
          <w:sz w:val="21"/>
          <w:szCs w:val="21"/>
          <w:color w:val="auto"/>
        </w:rPr>
        <w:t>.</w:t>
      </w:r>
    </w:p>
    <w:p>
      <w:pPr>
        <w:spacing w:after="0" w:line="183" w:lineRule="exact"/>
        <w:rPr>
          <w:sz w:val="20"/>
          <w:szCs w:val="20"/>
          <w:color w:val="auto"/>
        </w:rPr>
      </w:pPr>
    </w:p>
    <w:p>
      <w:pPr>
        <w:jc w:val="both"/>
        <w:ind w:firstLine="642"/>
        <w:spacing w:after="0" w:line="220" w:lineRule="auto"/>
        <w:tabs>
          <w:tab w:leader="none" w:pos="9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6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determined by a court of competent jurisdiction by a final and non-appealable judgment) or (ii) responsible in any manner to any of the Lenders for any recitals, statements, representations or warranties made by any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Borrower to perform its obligations hereunder or thereunder.</w:t>
      </w:r>
    </w:p>
    <w:p>
      <w:pPr>
        <w:spacing w:after="0" w:line="160" w:lineRule="exact"/>
        <w:rPr>
          <w:sz w:val="20"/>
          <w:szCs w:val="20"/>
          <w:color w:val="auto"/>
        </w:rPr>
      </w:pPr>
    </w:p>
    <w:p>
      <w:pPr>
        <w:jc w:val="both"/>
        <w:ind w:firstLine="642"/>
        <w:spacing w:after="0" w:line="226" w:lineRule="auto"/>
        <w:tabs>
          <w:tab w:leader="none" w:pos="96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Administrative Agent shall be deemed not to have knowledge of any notice of any Default or Event of Default unless and until written notice thereof (stating that it is a “notice of Default” or a “notice of an Event of Default”) is given to the Administrative Agent by the Company, a Lender or an Issuing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3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61" w:lineRule="exact"/>
        <w:rPr>
          <w:rFonts w:ascii="Arial" w:cs="Arial" w:eastAsia="Arial" w:hAnsi="Arial"/>
          <w:sz w:val="20"/>
          <w:szCs w:val="20"/>
          <w:color w:val="auto"/>
        </w:rPr>
      </w:pPr>
    </w:p>
    <w:p>
      <w:pPr>
        <w:jc w:val="both"/>
        <w:ind w:firstLine="642"/>
        <w:spacing w:after="0" w:line="237" w:lineRule="auto"/>
        <w:tabs>
          <w:tab w:leader="none" w:pos="94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Without limiting the foregoing, the Administrative Agent (i) may treat the payee of any promissory note as its holder until such promissory note has been assigned in accordance with Section 11.06, (ii)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(iii) makes no warranty or representation to any Lender or Issuing Lender and shall not be responsible to any Lender or Issuing Lender for any statements, warranties or representations made by or on behalf of any Borrower in connection with this Agreement or any other Loan Document, (iv)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i w:val="1"/>
          <w:iCs w:val="1"/>
          <w:u w:val="single" w:color="auto"/>
          <w:color w:val="auto"/>
        </w:rPr>
        <w:t>Posting of Communications</w:t>
      </w:r>
      <w:r>
        <w:rPr>
          <w:rFonts w:ascii="Arial" w:cs="Arial" w:eastAsia="Arial" w:hAnsi="Arial"/>
          <w:sz w:val="21"/>
          <w:szCs w:val="21"/>
          <w:color w:val="auto"/>
        </w:rPr>
        <w:t>. (a) The Company agrees that the Administrative Agent may, but shall not be obligated to, make any Communications available to the Lenders and the Issuing Lenders by posting the Communications on IntraLinks™,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61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DebtDomain, SyndTrak, ClearPar or any other electronic platform chosen by the Administrative Agent to be its electronic transmission system (the “</w:t>
      </w:r>
      <w:r>
        <w:rPr>
          <w:rFonts w:ascii="Arial" w:cs="Arial" w:eastAsia="Arial" w:hAnsi="Arial"/>
          <w:sz w:val="21"/>
          <w:szCs w:val="21"/>
          <w:b w:val="1"/>
          <w:bCs w:val="1"/>
          <w:color w:val="auto"/>
        </w:rPr>
        <w:t>Approved Electronic Platform</w:t>
      </w:r>
      <w:r>
        <w:rPr>
          <w:rFonts w:ascii="Arial" w:cs="Arial" w:eastAsia="Arial" w:hAnsi="Arial"/>
          <w:sz w:val="21"/>
          <w:szCs w:val="21"/>
          <w:color w:val="auto"/>
        </w:rPr>
        <w:t>”).</w:t>
      </w:r>
    </w:p>
    <w:p>
      <w:pPr>
        <w:spacing w:after="0" w:line="155" w:lineRule="exact"/>
        <w:rPr>
          <w:sz w:val="20"/>
          <w:szCs w:val="20"/>
          <w:color w:val="auto"/>
        </w:rPr>
      </w:pPr>
    </w:p>
    <w:p>
      <w:pPr>
        <w:jc w:val="both"/>
        <w:ind w:firstLine="642"/>
        <w:spacing w:after="0"/>
        <w:tabs>
          <w:tab w:leader="none" w:pos="94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Lenders and the Company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Company hereby approves distribution of the Communications through the Approved Electronic Platform and understands and assumes the risks of such distribution.</w:t>
      </w:r>
    </w:p>
    <w:p>
      <w:pPr>
        <w:spacing w:after="0" w:line="153" w:lineRule="exact"/>
        <w:rPr>
          <w:rFonts w:ascii="Arial" w:cs="Arial" w:eastAsia="Arial" w:hAnsi="Arial"/>
          <w:sz w:val="19"/>
          <w:szCs w:val="19"/>
          <w:color w:val="auto"/>
        </w:rPr>
      </w:pPr>
    </w:p>
    <w:p>
      <w:pPr>
        <w:jc w:val="both"/>
        <w:ind w:firstLine="642"/>
        <w:spacing w:after="0" w:line="225" w:lineRule="auto"/>
        <w:tabs>
          <w:tab w:leader="none" w:pos="95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JOINT LEAD ARRANGER AND JOINT BOOKRUNNER, ANY SYNDICATION AGENT OR ANY OF THEIR RESPECTIVE RELATED PARTIES (COLLECTIVELY, “</w:t>
      </w:r>
      <w:r>
        <w:rPr>
          <w:rFonts w:ascii="Arial" w:cs="Arial" w:eastAsia="Arial" w:hAnsi="Arial"/>
          <w:sz w:val="20"/>
          <w:szCs w:val="20"/>
          <w:b w:val="1"/>
          <w:bCs w:val="1"/>
          <w:i w:val="1"/>
          <w:iCs w:val="1"/>
          <w:color w:val="auto"/>
        </w:rPr>
        <w:t>APPLICABLE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HAVE ANY LIABILITY TO ANY BORROWER, ANY LENDER, ANY ISSUING LENDER OR ANY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PERSON OR ENTITY FOR DAMAGES OF ANY KIND, INCLUDING DIRECT OR INDIRECT, SPECIAL, INCIDENTAL OR CONSEQUENTIAL DAMAGES, LOSSES OR EXPENSES (WHETHER IN TORT, CONTRACT OR OTHERWISE) ARISING OUT OF ANY BORROWER’S OR THE ADMINISTRATIVE AGENT’S TRANSMISSION OF COMMUNICATIONS THROUGH THE INTERNET OR THE APPROVED ELECTRONIC PLATFORM.</w:t>
      </w:r>
    </w:p>
    <w:p>
      <w:pPr>
        <w:spacing w:after="0" w:line="15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Communications</w:t>
      </w:r>
      <w:r>
        <w:rPr>
          <w:rFonts w:ascii="Arial" w:cs="Arial" w:eastAsia="Arial" w:hAnsi="Arial"/>
          <w:sz w:val="21"/>
          <w:szCs w:val="21"/>
          <w:color w:val="auto"/>
        </w:rPr>
        <w:t>” means, collectively, any notice, demand, communication, information, document or other material provided by or on behalf of the Company pursuant to any Loan Document or the transactions contemplated therein which is distributed by the Administrative Agent, any Lender or any Issuing Lender by means of electronic communications pursuant to this Section, including through an Approved Electronic Platform.</w:t>
      </w:r>
    </w:p>
    <w:p>
      <w:pPr>
        <w:spacing w:after="0" w:line="156" w:lineRule="exact"/>
        <w:rPr>
          <w:sz w:val="20"/>
          <w:szCs w:val="20"/>
          <w:color w:val="auto"/>
        </w:rPr>
      </w:pPr>
    </w:p>
    <w:p>
      <w:pPr>
        <w:jc w:val="both"/>
        <w:ind w:firstLine="642"/>
        <w:spacing w:after="0" w:line="222" w:lineRule="auto"/>
        <w:tabs>
          <w:tab w:leader="none" w:pos="98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Administrative Agent in writing (which could be in the form of electronic communication) from time to time of such Lender’s or Issuing Lender’s (as applicable) email address to which the foregoing notice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62</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sent by electronic transmission and (ii) that the foregoing notice may be sent to such email address.</w:t>
      </w:r>
    </w:p>
    <w:p>
      <w:pPr>
        <w:spacing w:after="0" w:line="183" w:lineRule="exact"/>
        <w:rPr>
          <w:sz w:val="20"/>
          <w:szCs w:val="20"/>
          <w:color w:val="auto"/>
        </w:rPr>
      </w:pPr>
    </w:p>
    <w:p>
      <w:pPr>
        <w:jc w:val="both"/>
        <w:ind w:firstLine="721"/>
        <w:spacing w:after="0" w:line="242" w:lineRule="auto"/>
        <w:tabs>
          <w:tab w:leader="none" w:pos="103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Each of the Lenders, each of the Issuing Lenders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2" w:lineRule="exact"/>
        <w:rPr>
          <w:rFonts w:ascii="Arial" w:cs="Arial" w:eastAsia="Arial" w:hAnsi="Arial"/>
          <w:sz w:val="20"/>
          <w:szCs w:val="20"/>
          <w:color w:val="auto"/>
        </w:rPr>
      </w:pPr>
    </w:p>
    <w:p>
      <w:pPr>
        <w:ind w:firstLine="642"/>
        <w:spacing w:after="0" w:line="263" w:lineRule="auto"/>
        <w:tabs>
          <w:tab w:leader="none" w:pos="90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any Issuing Lender to give any notice or other communication pursuant to any Loan Document in any other manner specified in such Loan Document.</w:t>
      </w:r>
    </w:p>
    <w:p>
      <w:pPr>
        <w:spacing w:after="0" w:line="132"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i w:val="1"/>
          <w:iCs w:val="1"/>
          <w:color w:val="auto"/>
        </w:rPr>
        <w:t>The Administrative Agent Individuall</w:t>
      </w:r>
      <w:r>
        <w:rPr>
          <w:rFonts w:ascii="Arial" w:cs="Arial" w:eastAsia="Arial" w:hAnsi="Arial"/>
          <w:sz w:val="19"/>
          <w:szCs w:val="19"/>
          <w:b w:val="1"/>
          <w:bCs w:val="1"/>
          <w:i w:val="1"/>
          <w:iCs w:val="1"/>
          <w:color w:val="auto"/>
        </w:rPr>
        <w:t>y</w:t>
      </w:r>
      <w:r>
        <w:rPr>
          <w:rFonts w:ascii="Arial" w:cs="Arial" w:eastAsia="Arial" w:hAnsi="Arial"/>
          <w:sz w:val="19"/>
          <w:szCs w:val="19"/>
          <w:color w:val="auto"/>
        </w:rPr>
        <w:t>. With respect to its Commitment, Loans and Letters of Credit, the Person serving as the Administrative Agent shall have and may exercise the same rights and powers hereunder and is subject to the same obligations and liabilities as and to the extent set forth herein for any other Lender or Issuing Lender, as the case may be. The terms “Issuing Lenders”, “Lenders”, “Required Lenders” and any similar terms shall, unless the context clearly otherwise indicates, include the Administrative Agent in its individual capacity as a Lender, Issuing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and without any duty to account therefor to the Lenders or the Issuing Lenders.</w:t>
      </w:r>
    </w:p>
    <w:p>
      <w:pPr>
        <w:spacing w:after="0" w:line="154"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i w:val="1"/>
          <w:iCs w:val="1"/>
          <w:color w:val="auto"/>
        </w:rPr>
        <w:t>Successor Administrative Agent</w:t>
      </w:r>
      <w:r>
        <w:rPr>
          <w:rFonts w:ascii="Arial" w:cs="Arial" w:eastAsia="Arial" w:hAnsi="Arial"/>
          <w:sz w:val="19"/>
          <w:szCs w:val="19"/>
          <w:color w:val="auto"/>
        </w:rPr>
        <w:t>. (a) The Administrative Agent may resign at any time by giving 30 days’ prior written notice thereof to the Lenders, the Issuing Lenders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Lenders,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6" w:lineRule="exact"/>
        <w:rPr>
          <w:sz w:val="20"/>
          <w:szCs w:val="20"/>
          <w:color w:val="auto"/>
        </w:rPr>
      </w:pPr>
    </w:p>
    <w:p>
      <w:pPr>
        <w:jc w:val="both"/>
        <w:ind w:firstLine="642"/>
        <w:spacing w:after="0" w:line="225" w:lineRule="auto"/>
        <w:tabs>
          <w:tab w:leader="none" w:pos="97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Lenders and the Company, whereupon, on the date of effectiveness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63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Lender. Following the effectiveness of the Administrative Agent’s resignation from its capacity as such, the provisions of this Article and Section 11.03,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5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i w:val="1"/>
          <w:iCs w:val="1"/>
          <w:color w:val="auto"/>
        </w:rPr>
        <w:t>Administrative Agent’s Fee</w:t>
      </w:r>
      <w:r>
        <w:rPr>
          <w:rFonts w:ascii="Arial" w:cs="Arial" w:eastAsia="Arial" w:hAnsi="Arial"/>
          <w:sz w:val="20"/>
          <w:szCs w:val="20"/>
          <w:color w:val="auto"/>
        </w:rPr>
        <w:t>. The Company shall pay to the Administrative Agent for its own account fees in the amounts and at the times previously agreed upon between the Company and the Administrative Agent.</w:t>
      </w:r>
    </w:p>
    <w:p>
      <w:pPr>
        <w:spacing w:after="0" w:line="132"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i w:val="1"/>
          <w:iCs w:val="1"/>
          <w:color w:val="auto"/>
        </w:rPr>
        <w:t>Acknowledgements of Lenders and Issuing Lenders</w:t>
      </w:r>
      <w:r>
        <w:rPr>
          <w:rFonts w:ascii="Arial" w:cs="Arial" w:eastAsia="Arial" w:hAnsi="Arial"/>
          <w:sz w:val="19"/>
          <w:szCs w:val="19"/>
          <w:color w:val="auto"/>
        </w:rPr>
        <w:t>. (a) 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Joint Lead Arranger and Joint Bookrunner, any Syndication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Joint Lead Arranger and Joint Bookrunner, any Syndication Agent or any other Lender or Issuing Lender,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1" w:lineRule="exact"/>
        <w:rPr>
          <w:sz w:val="20"/>
          <w:szCs w:val="20"/>
          <w:color w:val="auto"/>
        </w:rPr>
      </w:pPr>
    </w:p>
    <w:p>
      <w:pPr>
        <w:jc w:val="both"/>
        <w:ind w:firstLine="642"/>
        <w:spacing w:after="0" w:line="252" w:lineRule="auto"/>
        <w:tabs>
          <w:tab w:leader="none" w:pos="94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64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63" w:lineRule="exact"/>
        <w:rPr>
          <w:sz w:val="20"/>
          <w:szCs w:val="20"/>
          <w:color w:val="auto"/>
        </w:rPr>
      </w:pPr>
    </w:p>
    <w:p>
      <w:pPr>
        <w:jc w:val="both"/>
        <w:ind w:firstLine="642"/>
        <w:spacing w:after="0" w:line="235" w:lineRule="auto"/>
        <w:tabs>
          <w:tab w:leader="none" w:pos="927"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b w:val="1"/>
          <w:bCs w:val="1"/>
          <w:color w:val="auto"/>
        </w:rPr>
        <w:t>Payment</w:t>
      </w:r>
      <w:r>
        <w:rPr>
          <w:rFonts w:ascii="Arial" w:cs="Arial" w:eastAsia="Arial" w:hAnsi="Arial"/>
          <w:sz w:val="19"/>
          <w:szCs w:val="19"/>
          <w:color w:val="auto"/>
        </w:rPr>
        <w: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w:t>
      </w:r>
    </w:p>
    <w:p>
      <w:pPr>
        <w:jc w:val="both"/>
        <w:ind w:firstLine="6"/>
        <w:spacing w:after="0" w:line="218" w:lineRule="auto"/>
        <w:tabs>
          <w:tab w:leader="none" w:pos="31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7.08(c) shall be conclusive, absent manifest error.</w:t>
      </w:r>
    </w:p>
    <w:p>
      <w:pPr>
        <w:spacing w:after="0" w:line="157" w:lineRule="exact"/>
        <w:rPr>
          <w:rFonts w:ascii="Arial" w:cs="Arial" w:eastAsia="Arial" w:hAnsi="Arial"/>
          <w:sz w:val="21"/>
          <w:szCs w:val="21"/>
          <w:color w:val="auto"/>
        </w:rPr>
      </w:pPr>
    </w:p>
    <w:p>
      <w:pPr>
        <w:jc w:val="both"/>
        <w:ind w:firstLine="1278"/>
        <w:spacing w:after="0" w:line="238" w:lineRule="auto"/>
        <w:tabs>
          <w:tab w:leader="none" w:pos="1615" w:val="left"/>
        </w:tabs>
        <w:numPr>
          <w:ilvl w:val="2"/>
          <w:numId w:val="121"/>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b w:val="1"/>
          <w:bCs w:val="1"/>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0" w:lineRule="exact"/>
        <w:rPr>
          <w:rFonts w:ascii="Arial" w:cs="Arial" w:eastAsia="Arial" w:hAnsi="Arial"/>
          <w:sz w:val="19"/>
          <w:szCs w:val="19"/>
          <w:color w:val="auto"/>
        </w:rPr>
      </w:pPr>
    </w:p>
    <w:p>
      <w:pPr>
        <w:ind w:right="60" w:firstLine="1278"/>
        <w:spacing w:after="0" w:line="219" w:lineRule="auto"/>
        <w:tabs>
          <w:tab w:leader="none" w:pos="1639" w:val="left"/>
        </w:tabs>
        <w:numPr>
          <w:ilvl w:val="2"/>
          <w:numId w:val="121"/>
        </w:numPr>
        <w:rPr>
          <w:rFonts w:ascii="Arial" w:cs="Arial" w:eastAsia="Arial" w:hAnsi="Arial"/>
          <w:sz w:val="21"/>
          <w:szCs w:val="21"/>
          <w:color w:val="auto"/>
        </w:rPr>
      </w:pPr>
      <w:r>
        <w:rPr>
          <w:rFonts w:ascii="Arial" w:cs="Arial" w:eastAsia="Arial" w:hAnsi="Arial"/>
          <w:sz w:val="21"/>
          <w:szCs w:val="21"/>
          <w:color w:val="auto"/>
        </w:rPr>
        <w:t>The Company and each Eligible Subsidiary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other Eligible Subsidiary; except, in each case, to the extent such erroneous Payment is, and solely with respect to the amount of such erroneous Payment that is, comprised of funds received by the Administrative Agent from (or on behalf of ) the Company or any Eligible Subsidiary for the purpose of making such Payment.</w:t>
      </w:r>
    </w:p>
    <w:p>
      <w:pPr>
        <w:spacing w:after="0" w:line="153" w:lineRule="exact"/>
        <w:rPr>
          <w:rFonts w:ascii="Arial" w:cs="Arial" w:eastAsia="Arial" w:hAnsi="Arial"/>
          <w:sz w:val="21"/>
          <w:szCs w:val="21"/>
          <w:color w:val="auto"/>
        </w:rPr>
      </w:pPr>
    </w:p>
    <w:p>
      <w:pPr>
        <w:jc w:val="both"/>
        <w:ind w:firstLine="1278"/>
        <w:spacing w:after="0" w:line="230" w:lineRule="auto"/>
        <w:tabs>
          <w:tab w:leader="none" w:pos="1699" w:val="left"/>
        </w:tabs>
        <w:numPr>
          <w:ilvl w:val="2"/>
          <w:numId w:val="121"/>
        </w:numPr>
        <w:rPr>
          <w:rFonts w:ascii="Arial" w:cs="Arial" w:eastAsia="Arial" w:hAnsi="Arial"/>
          <w:sz w:val="21"/>
          <w:szCs w:val="21"/>
          <w:color w:val="auto"/>
        </w:rPr>
      </w:pPr>
      <w:r>
        <w:rPr>
          <w:rFonts w:ascii="Arial" w:cs="Arial" w:eastAsia="Arial" w:hAnsi="Arial"/>
          <w:sz w:val="21"/>
          <w:szCs w:val="21"/>
          <w:color w:val="auto"/>
        </w:rPr>
        <w:t>Each party’s obligations under this Section 7.08(c)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65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63"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i w:val="1"/>
          <w:iCs w:val="1"/>
          <w:color w:val="auto"/>
        </w:rPr>
        <w:t>Certain ERISA Matters</w:t>
      </w:r>
      <w:r>
        <w:rPr>
          <w:rFonts w:ascii="Arial" w:cs="Arial" w:eastAsia="Arial" w:hAnsi="Arial"/>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Joint Bookrunner and their respective affiliates, and not, for the avoidance of doubt, to or for the benefit of any Borrower, that at least one of the following is and will be true:</w:t>
      </w:r>
    </w:p>
    <w:p>
      <w:pPr>
        <w:spacing w:after="0" w:line="155" w:lineRule="exact"/>
        <w:rPr>
          <w:sz w:val="20"/>
          <w:szCs w:val="20"/>
          <w:color w:val="auto"/>
        </w:rPr>
      </w:pPr>
    </w:p>
    <w:p>
      <w:pPr>
        <w:ind w:left="640" w:firstLine="956"/>
        <w:spacing w:after="0" w:line="239" w:lineRule="auto"/>
        <w:tabs>
          <w:tab w:leader="none" w:pos="1912" w:val="left"/>
        </w:tabs>
        <w:numPr>
          <w:ilvl w:val="2"/>
          <w:numId w:val="122"/>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the Plan Asset Regulations) of one or more Benefit Plans in connection with the Loans, the Letters of Credit or the Commitments,</w:t>
      </w:r>
    </w:p>
    <w:p>
      <w:pPr>
        <w:spacing w:after="0" w:line="155" w:lineRule="exact"/>
        <w:rPr>
          <w:rFonts w:ascii="Arial" w:cs="Arial" w:eastAsia="Arial" w:hAnsi="Arial"/>
          <w:sz w:val="21"/>
          <w:szCs w:val="21"/>
          <w:color w:val="auto"/>
        </w:rPr>
      </w:pPr>
    </w:p>
    <w:p>
      <w:pPr>
        <w:jc w:val="both"/>
        <w:ind w:left="640" w:firstLine="956"/>
        <w:spacing w:after="0" w:line="230" w:lineRule="auto"/>
        <w:tabs>
          <w:tab w:leader="none" w:pos="1912" w:val="left"/>
        </w:tabs>
        <w:numPr>
          <w:ilvl w:val="2"/>
          <w:numId w:val="122"/>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rFonts w:ascii="Arial" w:cs="Arial" w:eastAsia="Arial" w:hAnsi="Arial"/>
          <w:sz w:val="20"/>
          <w:szCs w:val="20"/>
          <w:color w:val="auto"/>
        </w:rPr>
      </w:pPr>
    </w:p>
    <w:p>
      <w:pPr>
        <w:jc w:val="both"/>
        <w:ind w:left="640" w:firstLine="956"/>
        <w:spacing w:after="0" w:line="236" w:lineRule="auto"/>
        <w:tabs>
          <w:tab w:leader="none" w:pos="1912" w:val="left"/>
        </w:tabs>
        <w:numPr>
          <w:ilvl w:val="2"/>
          <w:numId w:val="12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3" w:lineRule="exact"/>
        <w:rPr>
          <w:rFonts w:ascii="Arial" w:cs="Arial" w:eastAsia="Arial" w:hAnsi="Arial"/>
          <w:sz w:val="19"/>
          <w:szCs w:val="19"/>
          <w:color w:val="auto"/>
        </w:rPr>
      </w:pPr>
    </w:p>
    <w:p>
      <w:pPr>
        <w:jc w:val="both"/>
        <w:ind w:left="640" w:firstLine="2"/>
        <w:spacing w:after="0" w:line="224" w:lineRule="auto"/>
        <w:tabs>
          <w:tab w:leader="none" w:pos="1018"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3" w:lineRule="exact"/>
        <w:rPr>
          <w:rFonts w:ascii="Arial" w:cs="Arial" w:eastAsia="Arial" w:hAnsi="Arial"/>
          <w:sz w:val="21"/>
          <w:szCs w:val="21"/>
          <w:color w:val="auto"/>
        </w:rPr>
      </w:pPr>
    </w:p>
    <w:p>
      <w:pPr>
        <w:ind w:left="640" w:firstLine="956"/>
        <w:spacing w:after="0" w:line="239" w:lineRule="auto"/>
        <w:tabs>
          <w:tab w:leader="none" w:pos="1912" w:val="left"/>
        </w:tabs>
        <w:numPr>
          <w:ilvl w:val="2"/>
          <w:numId w:val="123"/>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55" w:lineRule="exact"/>
        <w:rPr>
          <w:rFonts w:ascii="Arial" w:cs="Arial" w:eastAsia="Arial" w:hAnsi="Arial"/>
          <w:sz w:val="21"/>
          <w:szCs w:val="21"/>
          <w:color w:val="auto"/>
        </w:rPr>
      </w:pPr>
    </w:p>
    <w:p>
      <w:pPr>
        <w:jc w:val="both"/>
        <w:ind w:firstLine="633"/>
        <w:spacing w:after="0" w:line="228" w:lineRule="auto"/>
        <w:tabs>
          <w:tab w:leader="none" w:pos="127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Joint Bookrunner and their respective affiliates, and not, for the avoidance of doubt, to or for the benefit of the Company or any other Borrower, that none of the Administrative Agent, or any Joint Lead Arranger and Joint Bookrunner, any 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66</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69"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8</w:t>
      </w:r>
    </w:p>
    <w:p>
      <w:pPr>
        <w:ind w:left="4540"/>
        <w:spacing w:after="0"/>
        <w:rPr>
          <w:sz w:val="20"/>
          <w:szCs w:val="20"/>
          <w:color w:val="auto"/>
        </w:rPr>
      </w:pPr>
      <w:r>
        <w:rPr>
          <w:rFonts w:ascii="Arial" w:cs="Arial" w:eastAsia="Arial" w:hAnsi="Arial"/>
          <w:sz w:val="21"/>
          <w:szCs w:val="21"/>
          <w:color w:val="auto"/>
        </w:rPr>
        <w:t>Change in Circumstances</w:t>
      </w:r>
    </w:p>
    <w:p>
      <w:pPr>
        <w:spacing w:after="0" w:line="165" w:lineRule="exact"/>
        <w:rPr>
          <w:sz w:val="20"/>
          <w:szCs w:val="20"/>
          <w:color w:val="auto"/>
        </w:rPr>
      </w:pPr>
    </w:p>
    <w:p>
      <w:pPr>
        <w:ind w:left="960"/>
        <w:spacing w:after="0"/>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i w:val="1"/>
          <w:iCs w:val="1"/>
          <w:color w:val="auto"/>
        </w:rPr>
        <w:t>Alternate Rate of Interest</w:t>
      </w:r>
      <w:r>
        <w:rPr>
          <w:rFonts w:ascii="Arial" w:cs="Arial" w:eastAsia="Arial" w:hAnsi="Arial"/>
          <w:sz w:val="21"/>
          <w:szCs w:val="21"/>
          <w:color w:val="auto"/>
        </w:rPr>
        <w:t>.</w:t>
      </w:r>
    </w:p>
    <w:p>
      <w:pPr>
        <w:spacing w:after="0" w:line="183" w:lineRule="exact"/>
        <w:rPr>
          <w:sz w:val="20"/>
          <w:szCs w:val="20"/>
          <w:color w:val="auto"/>
        </w:rPr>
      </w:pPr>
    </w:p>
    <w:p>
      <w:pPr>
        <w:ind w:firstLine="1151"/>
        <w:spacing w:after="0" w:line="239" w:lineRule="auto"/>
        <w:tabs>
          <w:tab w:leader="none" w:pos="143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Subject to clauses (b), (c), (d), (e)</w:t>
      </w:r>
      <w:r>
        <w:rPr>
          <w:rFonts w:ascii="Arial" w:cs="Arial" w:eastAsia="Arial" w:hAnsi="Arial"/>
          <w:sz w:val="21"/>
          <w:szCs w:val="21"/>
          <w:color w:val="FF0000"/>
          <w:strike w:val="1"/>
        </w:rPr>
        <w:t>,</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and</w:t>
      </w:r>
      <w:r>
        <w:rPr>
          <w:rFonts w:ascii="Arial" w:cs="Arial" w:eastAsia="Arial" w:hAnsi="Arial"/>
          <w:sz w:val="21"/>
          <w:szCs w:val="21"/>
          <w:color w:val="auto"/>
        </w:rPr>
        <w:t xml:space="preserve"> (f) </w:t>
      </w:r>
      <w:r>
        <w:rPr>
          <w:rFonts w:ascii="Arial" w:cs="Arial" w:eastAsia="Arial" w:hAnsi="Arial"/>
          <w:sz w:val="21"/>
          <w:szCs w:val="21"/>
          <w:color w:val="FF0000"/>
          <w:strike w:val="1"/>
        </w:rPr>
        <w:t>and (g)</w:t>
      </w:r>
      <w:r>
        <w:rPr>
          <w:rFonts w:ascii="Arial" w:cs="Arial" w:eastAsia="Arial" w:hAnsi="Arial"/>
          <w:sz w:val="21"/>
          <w:szCs w:val="21"/>
          <w:color w:val="auto"/>
        </w:rPr>
        <w:t xml:space="preserve"> of this Section 8.01, if on or prior to the first day of any Interest Period for any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w:t>
      </w:r>
      <w:r>
        <w:rPr>
          <w:rFonts w:ascii="Arial" w:cs="Arial" w:eastAsia="Arial" w:hAnsi="Arial"/>
          <w:sz w:val="21"/>
          <w:szCs w:val="21"/>
          <w:color w:val="auto"/>
        </w:rPr>
        <w:t xml:space="preserve"> Loan:</w:t>
      </w:r>
    </w:p>
    <w:p>
      <w:pPr>
        <w:spacing w:after="0" w:line="159" w:lineRule="exact"/>
        <w:rPr>
          <w:rFonts w:ascii="Arial" w:cs="Arial" w:eastAsia="Arial" w:hAnsi="Arial"/>
          <w:sz w:val="21"/>
          <w:szCs w:val="21"/>
          <w:color w:val="auto"/>
        </w:rPr>
      </w:pPr>
    </w:p>
    <w:p>
      <w:pPr>
        <w:ind w:right="220" w:firstLine="1278"/>
        <w:spacing w:after="0" w:line="226" w:lineRule="auto"/>
        <w:tabs>
          <w:tab w:leader="none" w:pos="150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t>
      </w:r>
      <w:r>
        <w:rPr>
          <w:rFonts w:ascii="Arial" w:cs="Arial" w:eastAsia="Arial" w:hAnsi="Arial"/>
          <w:sz w:val="19"/>
          <w:szCs w:val="19"/>
          <w:u w:val="single" w:color="auto"/>
          <w:color w:val="0000FF"/>
        </w:rPr>
        <w:t>(which determination shall be conclusive absent manifest error) (A) prior to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commencement of any Interest Period for a Term Benchmark Borrowing,</w:t>
      </w:r>
      <w:r>
        <w:rPr>
          <w:rFonts w:ascii="Arial" w:cs="Arial" w:eastAsia="Arial" w:hAnsi="Arial"/>
          <w:sz w:val="19"/>
          <w:szCs w:val="19"/>
          <w:color w:val="0000FF"/>
        </w:rPr>
        <w:t xml:space="preserve"> </w:t>
      </w:r>
      <w:r>
        <w:rPr>
          <w:rFonts w:ascii="Arial" w:cs="Arial" w:eastAsia="Arial" w:hAnsi="Arial"/>
          <w:sz w:val="19"/>
          <w:szCs w:val="19"/>
          <w:color w:val="000000"/>
        </w:rPr>
        <w:t>that adequate and</w:t>
      </w:r>
      <w:r>
        <w:rPr>
          <w:rFonts w:ascii="Arial" w:cs="Arial" w:eastAsia="Arial" w:hAnsi="Arial"/>
          <w:sz w:val="19"/>
          <w:szCs w:val="19"/>
          <w:color w:val="0000FF"/>
        </w:rPr>
        <w:t xml:space="preserve"> </w:t>
      </w:r>
      <w:r>
        <w:rPr>
          <w:rFonts w:ascii="Arial" w:cs="Arial" w:eastAsia="Arial" w:hAnsi="Arial"/>
          <w:sz w:val="19"/>
          <w:szCs w:val="19"/>
          <w:color w:val="FF0000"/>
          <w:strike w:val="1"/>
        </w:rPr>
        <w:t>fair</w:t>
      </w:r>
      <w:r>
        <w:rPr>
          <w:rFonts w:ascii="Arial" w:cs="Arial" w:eastAsia="Arial" w:hAnsi="Arial"/>
          <w:sz w:val="19"/>
          <w:szCs w:val="19"/>
          <w:u w:val="single" w:color="auto"/>
          <w:color w:val="0000FF"/>
        </w:rPr>
        <w:t>reasonable</w:t>
      </w:r>
      <w:r>
        <w:rPr>
          <w:rFonts w:ascii="Arial" w:cs="Arial" w:eastAsia="Arial" w:hAnsi="Arial"/>
          <w:sz w:val="19"/>
          <w:szCs w:val="19"/>
          <w:color w:val="0000FF"/>
        </w:rPr>
        <w:t xml:space="preserve"> </w:t>
      </w:r>
      <w:r>
        <w:rPr>
          <w:rFonts w:ascii="Arial" w:cs="Arial" w:eastAsia="Arial" w:hAnsi="Arial"/>
          <w:sz w:val="19"/>
          <w:szCs w:val="19"/>
          <w:color w:val="000000"/>
        </w:rPr>
        <w:t>means do not exist for</w:t>
      </w:r>
      <w:r>
        <w:rPr>
          <w:rFonts w:ascii="Arial" w:cs="Arial" w:eastAsia="Arial" w:hAnsi="Arial"/>
          <w:sz w:val="19"/>
          <w:szCs w:val="19"/>
          <w:color w:val="0000FF"/>
        </w:rPr>
        <w:t xml:space="preserve"> </w:t>
      </w:r>
      <w:r>
        <w:rPr>
          <w:rFonts w:ascii="Arial" w:cs="Arial" w:eastAsia="Arial" w:hAnsi="Arial"/>
          <w:sz w:val="19"/>
          <w:szCs w:val="19"/>
          <w:color w:val="FF0000"/>
          <w:strike w:val="1"/>
        </w:rPr>
        <w:t>determining</w:t>
      </w:r>
      <w:r>
        <w:rPr>
          <w:rFonts w:ascii="Arial" w:cs="Arial" w:eastAsia="Arial" w:hAnsi="Arial"/>
          <w:sz w:val="19"/>
          <w:szCs w:val="19"/>
          <w:color w:val="0000FF"/>
        </w:rPr>
        <w:t xml:space="preserve"> </w:t>
      </w:r>
      <w:r>
        <w:rPr>
          <w:rFonts w:ascii="Arial" w:cs="Arial" w:eastAsia="Arial" w:hAnsi="Arial"/>
          <w:sz w:val="19"/>
          <w:szCs w:val="19"/>
          <w:color w:val="FF0000"/>
          <w:strike w:val="1"/>
        </w:rPr>
        <w:t xml:space="preserve">the Euro-Dollar Rate </w:t>
      </w:r>
      <w:r>
        <w:rPr>
          <w:rFonts w:ascii="Arial" w:cs="Arial" w:eastAsia="Arial" w:hAnsi="Arial"/>
          <w:sz w:val="19"/>
          <w:szCs w:val="19"/>
          <w:u w:val="single" w:color="auto"/>
          <w:color w:val="0000FF"/>
          <w:strike w:val="1"/>
        </w:rPr>
        <w:t>ascertaining the Adjusted Term SOFR Rate (including because the Term SOFR Reference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Rate is not available or</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published on a current</w:t>
      </w:r>
      <w:r>
        <w:rPr>
          <w:rFonts w:ascii="Arial" w:cs="Arial" w:eastAsia="Arial" w:hAnsi="Arial"/>
          <w:sz w:val="19"/>
          <w:szCs w:val="19"/>
          <w:color w:val="008000"/>
          <w:strike w:val="1"/>
        </w:rPr>
        <w:t xml:space="preserve"> </w:t>
      </w:r>
      <w:r>
        <w:rPr>
          <w:rFonts w:ascii="Arial" w:cs="Arial" w:eastAsia="Arial" w:hAnsi="Arial"/>
          <w:sz w:val="19"/>
          <w:szCs w:val="19"/>
          <w:u w:val="single" w:color="auto"/>
          <w:color w:val="0000FF"/>
          <w:strike w:val="1"/>
        </w:rPr>
        <w:t>basis),</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for such Interest Period</w:t>
      </w:r>
      <w:r>
        <w:rPr>
          <w:rFonts w:ascii="Arial" w:cs="Arial" w:eastAsia="Arial" w:hAnsi="Arial"/>
          <w:sz w:val="19"/>
          <w:szCs w:val="19"/>
          <w:color w:val="FF0000"/>
          <w:strike w:val="1"/>
        </w:rPr>
        <w:t>,</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or</w:t>
      </w:r>
      <w:r>
        <w:rPr>
          <w:rFonts w:ascii="Arial" w:cs="Arial" w:eastAsia="Arial" w:hAnsi="Arial"/>
          <w:sz w:val="19"/>
          <w:szCs w:val="19"/>
          <w:color w:val="008000"/>
          <w:strike w:val="1"/>
        </w:rPr>
        <w:t xml:space="preserve"> </w:t>
      </w:r>
      <w:r>
        <w:rPr>
          <w:rFonts w:ascii="Arial" w:cs="Arial" w:eastAsia="Arial" w:hAnsi="Arial"/>
          <w:sz w:val="19"/>
          <w:szCs w:val="19"/>
          <w:color w:val="0000FF"/>
          <w:strike w:val="1"/>
        </w:rPr>
        <w:t>(B) at any time, that adequate and reasonable means do not exist for ascertaining</w:t>
      </w:r>
      <w:r>
        <w:rPr>
          <w:rFonts w:ascii="Arial" w:cs="Arial" w:eastAsia="Arial" w:hAnsi="Arial"/>
          <w:sz w:val="19"/>
          <w:szCs w:val="19"/>
          <w:color w:val="008000"/>
          <w:strike w:val="1"/>
        </w:rPr>
        <w:t xml:space="preserve"> </w:t>
      </w:r>
      <w:r>
        <w:rPr>
          <w:rFonts w:ascii="Arial" w:cs="Arial" w:eastAsia="Arial" w:hAnsi="Arial"/>
          <w:sz w:val="19"/>
          <w:szCs w:val="19"/>
          <w:u w:val="single" w:color="auto"/>
          <w:color w:val="0000FF"/>
          <w:strike w:val="1"/>
        </w:rPr>
        <w:t>Adjusted Daily Simple SOFR; or</w:t>
      </w:r>
    </w:p>
    <w:p>
      <w:pPr>
        <w:spacing w:after="0" w:line="185" w:lineRule="exact"/>
        <w:rPr>
          <w:rFonts w:ascii="Arial" w:cs="Arial" w:eastAsia="Arial" w:hAnsi="Arial"/>
          <w:sz w:val="19"/>
          <w:szCs w:val="19"/>
          <w:color w:val="auto"/>
        </w:rPr>
      </w:pPr>
    </w:p>
    <w:p>
      <w:pPr>
        <w:jc w:val="both"/>
        <w:ind w:firstLine="1278"/>
        <w:spacing w:after="0" w:line="218" w:lineRule="auto"/>
        <w:tabs>
          <w:tab w:leader="none" w:pos="1653"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the </w:t>
      </w:r>
      <w:r>
        <w:rPr>
          <w:rFonts w:ascii="Arial" w:cs="Arial" w:eastAsia="Arial" w:hAnsi="Arial"/>
          <w:sz w:val="21"/>
          <w:szCs w:val="21"/>
          <w:color w:val="FF0000"/>
          <w:strike w:val="1"/>
        </w:rPr>
        <w:t>Required Lenders advise the</w:t>
      </w:r>
      <w:r>
        <w:rPr>
          <w:rFonts w:ascii="Arial" w:cs="Arial" w:eastAsia="Arial" w:hAnsi="Arial"/>
          <w:sz w:val="21"/>
          <w:szCs w:val="21"/>
          <w:color w:val="auto"/>
        </w:rPr>
        <w:t xml:space="preserve"> Administrative Agent </w:t>
      </w:r>
      <w:r>
        <w:rPr>
          <w:rFonts w:ascii="Arial" w:cs="Arial" w:eastAsia="Arial" w:hAnsi="Arial"/>
          <w:sz w:val="21"/>
          <w:szCs w:val="21"/>
          <w:color w:val="FF0000"/>
          <w:strike w:val="1"/>
        </w:rPr>
        <w:t>that the Euro-Dollar Rate as determined by the</w:t>
      </w:r>
      <w:r>
        <w:rPr>
          <w:rFonts w:ascii="Arial" w:cs="Arial" w:eastAsia="Arial" w:hAnsi="Arial"/>
          <w:sz w:val="21"/>
          <w:szCs w:val="21"/>
          <w:color w:val="auto"/>
        </w:rPr>
        <w:t xml:space="preserve"> </w:t>
      </w:r>
      <w:r>
        <w:rPr>
          <w:rFonts w:ascii="Arial" w:cs="Arial" w:eastAsia="Arial" w:hAnsi="Arial"/>
          <w:sz w:val="21"/>
          <w:szCs w:val="21"/>
          <w:color w:val="FF0000"/>
          <w:strike w:val="1"/>
        </w:rPr>
        <w:t>Administrative Agent</w:t>
      </w:r>
      <w:r>
        <w:rPr>
          <w:rFonts w:ascii="Arial" w:cs="Arial" w:eastAsia="Arial" w:hAnsi="Arial"/>
          <w:sz w:val="21"/>
          <w:szCs w:val="21"/>
          <w:u w:val="single" w:color="auto"/>
          <w:color w:val="0000FF"/>
          <w:strike w:val="1"/>
        </w:rPr>
        <w:t>is advised by the Required Lenders that (A) prior to the commencement of any Interest Period for a Term</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Benchmark Borrowing, the Adjusted Term SOFR Rate for such Interest Period</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will not adequately and fairly reflect the cost to such</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 xml:space="preserve">Lenders </w:t>
      </w:r>
      <w:r>
        <w:rPr>
          <w:rFonts w:ascii="Arial" w:cs="Arial" w:eastAsia="Arial" w:hAnsi="Arial"/>
          <w:sz w:val="21"/>
          <w:szCs w:val="21"/>
          <w:color w:val="FF0000"/>
          <w:strike w:val="1"/>
        </w:rPr>
        <w:t>of funding their Euro-Dollar Loans (including because the Euro-Dollar Screen</w:t>
      </w:r>
      <w:r>
        <w:rPr>
          <w:rFonts w:ascii="Arial" w:cs="Arial" w:eastAsia="Arial" w:hAnsi="Arial"/>
          <w:sz w:val="21"/>
          <w:szCs w:val="21"/>
          <w:color w:val="000000"/>
          <w:strike w:val="1"/>
        </w:rPr>
        <w:t xml:space="preserve"> </w:t>
      </w:r>
      <w:r>
        <w:rPr>
          <w:rFonts w:ascii="Arial" w:cs="Arial" w:eastAsia="Arial" w:hAnsi="Arial"/>
          <w:sz w:val="21"/>
          <w:szCs w:val="21"/>
          <w:color w:val="008000"/>
          <w:strike w:val="1"/>
        </w:rPr>
        <w:t>Rate is not available or published on a</w:t>
      </w:r>
      <w:r>
        <w:rPr>
          <w:rFonts w:ascii="Arial" w:cs="Arial" w:eastAsia="Arial" w:hAnsi="Arial"/>
          <w:sz w:val="21"/>
          <w:szCs w:val="21"/>
          <w:color w:val="000000"/>
          <w:strike w:val="1"/>
        </w:rPr>
        <w:t xml:space="preserve"> </w:t>
      </w:r>
      <w:r>
        <w:rPr>
          <w:rFonts w:ascii="Arial" w:cs="Arial" w:eastAsia="Arial" w:hAnsi="Arial"/>
          <w:sz w:val="21"/>
          <w:szCs w:val="21"/>
          <w:color w:val="008000"/>
          <w:strike w:val="1"/>
        </w:rPr>
        <w:t xml:space="preserve">current </w:t>
      </w:r>
      <w:r>
        <w:rPr>
          <w:rFonts w:ascii="Arial" w:cs="Arial" w:eastAsia="Arial" w:hAnsi="Arial"/>
          <w:sz w:val="21"/>
          <w:szCs w:val="21"/>
          <w:color w:val="FF0000"/>
          <w:strike w:val="1"/>
        </w:rPr>
        <w:t>bases)</w:t>
      </w:r>
      <w:r>
        <w:rPr>
          <w:rFonts w:ascii="Arial" w:cs="Arial" w:eastAsia="Arial" w:hAnsi="Arial"/>
          <w:sz w:val="21"/>
          <w:szCs w:val="21"/>
          <w:u w:val="single" w:color="auto"/>
          <w:color w:val="0000FF"/>
          <w:strike w:val="1"/>
        </w:rPr>
        <w:t>(or Lender) of making or maintaining their Loans (or its Loan) included in such Borrowing</w:t>
      </w:r>
      <w:r>
        <w:rPr>
          <w:rFonts w:ascii="Arial" w:cs="Arial" w:eastAsia="Arial" w:hAnsi="Arial"/>
          <w:sz w:val="21"/>
          <w:szCs w:val="21"/>
          <w:color w:val="008000"/>
          <w:strike w:val="1"/>
        </w:rPr>
        <w:t xml:space="preserve"> </w:t>
      </w:r>
      <w:r>
        <w:rPr>
          <w:rFonts w:ascii="Arial" w:cs="Arial" w:eastAsia="Arial" w:hAnsi="Arial"/>
          <w:sz w:val="21"/>
          <w:szCs w:val="21"/>
          <w:color w:val="000000"/>
          <w:strike w:val="1"/>
        </w:rPr>
        <w:t>for such Interest Period</w:t>
      </w:r>
      <w:r>
        <w:rPr>
          <w:rFonts w:ascii="Arial" w:cs="Arial" w:eastAsia="Arial" w:hAnsi="Arial"/>
          <w:sz w:val="21"/>
          <w:szCs w:val="21"/>
          <w:color w:val="FF0000"/>
          <w:strike w:val="1"/>
        </w:rPr>
        <w:t>;</w:t>
      </w:r>
      <w:r>
        <w:rPr>
          <w:rFonts w:ascii="Arial" w:cs="Arial" w:eastAsia="Arial" w:hAnsi="Arial"/>
          <w:sz w:val="21"/>
          <w:szCs w:val="21"/>
          <w:color w:val="008000"/>
          <w:strike w:val="1"/>
        </w:rPr>
        <w:t xml:space="preserve"> </w:t>
      </w:r>
      <w:r>
        <w:rPr>
          <w:rFonts w:ascii="Arial" w:cs="Arial" w:eastAsia="Arial" w:hAnsi="Arial"/>
          <w:sz w:val="21"/>
          <w:szCs w:val="21"/>
          <w:u w:val="single" w:color="auto"/>
          <w:color w:val="FF0000"/>
          <w:strike w:val="1"/>
        </w:rPr>
        <w:t xml:space="preserve">provided </w:t>
      </w:r>
      <w:r>
        <w:rPr>
          <w:rFonts w:ascii="Arial" w:cs="Arial" w:eastAsia="Arial" w:hAnsi="Arial"/>
          <w:sz w:val="21"/>
          <w:szCs w:val="21"/>
          <w:color w:val="FF0000"/>
          <w:strike w:val="1"/>
        </w:rPr>
        <w:t>that no Benchmark Transition Event shall have occurred at such time,</w:t>
      </w:r>
      <w:r>
        <w:rPr>
          <w:rFonts w:ascii="Arial" w:cs="Arial" w:eastAsia="Arial" w:hAnsi="Arial"/>
          <w:sz w:val="21"/>
          <w:szCs w:val="21"/>
          <w:u w:val="single" w:color="auto"/>
          <w:color w:val="FF0000"/>
          <w:strike w:val="1"/>
        </w:rPr>
        <w:t xml:space="preserve"> </w:t>
      </w:r>
      <w:r>
        <w:rPr>
          <w:rFonts w:ascii="Arial" w:cs="Arial" w:eastAsia="Arial" w:hAnsi="Arial"/>
          <w:sz w:val="21"/>
          <w:szCs w:val="21"/>
          <w:u w:val="single" w:color="auto"/>
          <w:color w:val="0000FF"/>
          <w:strike w:val="1"/>
        </w:rPr>
        <w:t>or (B) at any time, Adjusted Daily Simple SOFR</w:t>
      </w:r>
      <w:r>
        <w:rPr>
          <w:rFonts w:ascii="Arial" w:cs="Arial" w:eastAsia="Arial" w:hAnsi="Arial"/>
          <w:sz w:val="21"/>
          <w:szCs w:val="21"/>
          <w:u w:val="single" w:color="auto"/>
          <w:color w:val="FF0000"/>
          <w:strike w:val="1"/>
        </w:rPr>
        <w:t xml:space="preserve"> </w:t>
      </w:r>
      <w:r>
        <w:rPr>
          <w:rFonts w:ascii="Arial" w:cs="Arial" w:eastAsia="Arial" w:hAnsi="Arial"/>
          <w:sz w:val="21"/>
          <w:szCs w:val="21"/>
          <w:u w:val="single" w:color="auto"/>
          <w:color w:val="0000FF"/>
          <w:strike w:val="1"/>
        </w:rPr>
        <w:t>will not adequately and fairly reflect the cost to such Lenders (or Lender) of making or maintaining their Loans (or its Loan)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-1386205</wp:posOffset>
            </wp:positionV>
            <wp:extent cx="40100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010025" cy="8255"/>
                    </a:xfrm>
                    <a:prstGeom prst="rect">
                      <a:avLst/>
                    </a:prstGeom>
                    <a:noFill/>
                  </pic:spPr>
                </pic:pic>
              </a:graphicData>
            </a:graphic>
          </wp:anchor>
        </w:drawing>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u w:val="single" w:color="auto"/>
          <w:color w:val="0000FF"/>
        </w:rPr>
        <w:t>then</w:t>
      </w:r>
      <w:r>
        <w:rPr>
          <w:rFonts w:ascii="Arial" w:cs="Arial" w:eastAsia="Arial" w:hAnsi="Arial"/>
          <w:sz w:val="19"/>
          <w:szCs w:val="19"/>
          <w:color w:val="0000FF"/>
        </w:rPr>
        <w:t xml:space="preserve"> </w:t>
      </w:r>
      <w:r>
        <w:rPr>
          <w:rFonts w:ascii="Arial" w:cs="Arial" w:eastAsia="Arial" w:hAnsi="Arial"/>
          <w:sz w:val="19"/>
          <w:szCs w:val="19"/>
          <w:color w:val="000000"/>
        </w:rPr>
        <w:t>the Administrative Agent shall</w:t>
      </w:r>
      <w:r>
        <w:rPr>
          <w:rFonts w:ascii="Arial" w:cs="Arial" w:eastAsia="Arial" w:hAnsi="Arial"/>
          <w:sz w:val="19"/>
          <w:szCs w:val="19"/>
          <w:color w:val="0000FF"/>
        </w:rPr>
        <w:t xml:space="preserve"> </w:t>
      </w:r>
      <w:r>
        <w:rPr>
          <w:rFonts w:ascii="Arial" w:cs="Arial" w:eastAsia="Arial" w:hAnsi="Arial"/>
          <w:sz w:val="19"/>
          <w:szCs w:val="19"/>
          <w:color w:val="FF0000"/>
          <w:strike w:val="1"/>
        </w:rPr>
        <w:t>forthwith</w:t>
      </w:r>
      <w:r>
        <w:rPr>
          <w:rFonts w:ascii="Arial" w:cs="Arial" w:eastAsia="Arial" w:hAnsi="Arial"/>
          <w:sz w:val="19"/>
          <w:szCs w:val="19"/>
          <w:color w:val="0000FF"/>
        </w:rPr>
        <w:t xml:space="preserve"> </w:t>
      </w:r>
      <w:r>
        <w:rPr>
          <w:rFonts w:ascii="Arial" w:cs="Arial" w:eastAsia="Arial" w:hAnsi="Arial"/>
          <w:sz w:val="19"/>
          <w:szCs w:val="19"/>
          <w:color w:val="000000"/>
        </w:rPr>
        <w:t>give notice thereof to the Company and the Lenders</w:t>
      </w:r>
      <w:r>
        <w:rPr>
          <w:rFonts w:ascii="Arial" w:cs="Arial" w:eastAsia="Arial" w:hAnsi="Arial"/>
          <w:sz w:val="19"/>
          <w:szCs w:val="19"/>
          <w:color w:val="FF0000"/>
          <w:strike w:val="1"/>
        </w:rPr>
        <w:t>, whereupon</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by telephone,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telecopy or electronic mail as promptly as practicable thereafter and,</w:t>
      </w:r>
      <w:r>
        <w:rPr>
          <w:rFonts w:ascii="Arial" w:cs="Arial" w:eastAsia="Arial" w:hAnsi="Arial"/>
          <w:sz w:val="19"/>
          <w:szCs w:val="19"/>
          <w:color w:val="0000FF"/>
        </w:rPr>
        <w:t xml:space="preserve"> </w:t>
      </w:r>
      <w:r>
        <w:rPr>
          <w:rFonts w:ascii="Arial" w:cs="Arial" w:eastAsia="Arial" w:hAnsi="Arial"/>
          <w:sz w:val="19"/>
          <w:szCs w:val="19"/>
          <w:color w:val="000000"/>
        </w:rPr>
        <w:t>until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(x)</w:t>
      </w:r>
      <w:r>
        <w:rPr>
          <w:rFonts w:ascii="Arial" w:cs="Arial" w:eastAsia="Arial" w:hAnsi="Arial"/>
          <w:sz w:val="19"/>
          <w:szCs w:val="19"/>
          <w:color w:val="0000FF"/>
        </w:rPr>
        <w:t xml:space="preserve"> </w:t>
      </w:r>
      <w:r>
        <w:rPr>
          <w:rFonts w:ascii="Arial" w:cs="Arial" w:eastAsia="Arial" w:hAnsi="Arial"/>
          <w:sz w:val="19"/>
          <w:szCs w:val="19"/>
          <w:color w:val="000000"/>
        </w:rPr>
        <w:t>the Administrative Agent notifies the Company</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the Lenders</w:t>
      </w:r>
      <w:r>
        <w:rPr>
          <w:rFonts w:ascii="Arial" w:cs="Arial" w:eastAsia="Arial" w:hAnsi="Arial"/>
          <w:sz w:val="19"/>
          <w:szCs w:val="19"/>
          <w:color w:val="0000FF"/>
        </w:rPr>
        <w:t xml:space="preserve"> </w:t>
      </w:r>
      <w:r>
        <w:rPr>
          <w:rFonts w:ascii="Arial" w:cs="Arial" w:eastAsia="Arial" w:hAnsi="Arial"/>
          <w:sz w:val="19"/>
          <w:szCs w:val="19"/>
          <w:color w:val="000000"/>
        </w:rPr>
        <w:t>that the circumstances giving rise to such</w:t>
      </w:r>
      <w:r>
        <w:rPr>
          <w:rFonts w:ascii="Arial" w:cs="Arial" w:eastAsia="Arial" w:hAnsi="Arial"/>
          <w:sz w:val="19"/>
          <w:szCs w:val="19"/>
          <w:color w:val="0000FF"/>
        </w:rPr>
        <w:t xml:space="preserve"> </w:t>
      </w:r>
      <w:r>
        <w:rPr>
          <w:rFonts w:ascii="Arial" w:cs="Arial" w:eastAsia="Arial" w:hAnsi="Arial"/>
          <w:sz w:val="19"/>
          <w:szCs w:val="19"/>
          <w:color w:val="FF0000"/>
          <w:strike w:val="1"/>
        </w:rPr>
        <w:t>suspension</w:t>
      </w:r>
      <w:r>
        <w:rPr>
          <w:rFonts w:ascii="Arial" w:cs="Arial" w:eastAsia="Arial" w:hAnsi="Arial"/>
          <w:sz w:val="19"/>
          <w:szCs w:val="19"/>
          <w:u w:val="single" w:color="auto"/>
          <w:color w:val="0000FF"/>
        </w:rPr>
        <w:t>notice</w:t>
      </w:r>
      <w:r>
        <w:rPr>
          <w:rFonts w:ascii="Arial" w:cs="Arial" w:eastAsia="Arial" w:hAnsi="Arial"/>
          <w:sz w:val="19"/>
          <w:szCs w:val="19"/>
          <w:color w:val="0000FF"/>
        </w:rPr>
        <w:t xml:space="preserve"> </w:t>
      </w:r>
      <w:r>
        <w:rPr>
          <w:rFonts w:ascii="Arial" w:cs="Arial" w:eastAsia="Arial" w:hAnsi="Arial"/>
          <w:sz w:val="19"/>
          <w:szCs w:val="19"/>
          <w:color w:val="000000"/>
        </w:rPr>
        <w:t>no longer exist</w:t>
      </w:r>
      <w:r>
        <w:rPr>
          <w:rFonts w:ascii="Arial" w:cs="Arial" w:eastAsia="Arial" w:hAnsi="Arial"/>
          <w:sz w:val="19"/>
          <w:szCs w:val="19"/>
          <w:color w:val="FF0000"/>
          <w:strike w:val="1"/>
        </w:rPr>
        <w:t>, (iii) the obligations of the Lenders to make</w:t>
      </w:r>
      <w:r>
        <w:rPr>
          <w:rFonts w:ascii="Arial" w:cs="Arial" w:eastAsia="Arial" w:hAnsi="Arial"/>
          <w:sz w:val="19"/>
          <w:szCs w:val="19"/>
          <w:color w:val="0000FF"/>
        </w:rPr>
        <w:t xml:space="preserve"> </w:t>
      </w:r>
      <w:r>
        <w:rPr>
          <w:rFonts w:ascii="Arial" w:cs="Arial" w:eastAsia="Arial" w:hAnsi="Arial"/>
          <w:sz w:val="19"/>
          <w:szCs w:val="19"/>
          <w:color w:val="FF0000"/>
          <w:strike w:val="1"/>
        </w:rPr>
        <w:t xml:space="preserve">Euro-Dollar Loans or to continue or convert outstanding Loans as or into Euro-Dollar Loans shall be suspended and (iv) each outstanding Euro-Dollar Loan shall be converted into a Base Rate Loan </w:t>
      </w:r>
      <w:r>
        <w:rPr>
          <w:rFonts w:ascii="Arial" w:cs="Arial" w:eastAsia="Arial" w:hAnsi="Arial"/>
          <w:sz w:val="19"/>
          <w:szCs w:val="19"/>
          <w:u w:val="single" w:color="auto"/>
          <w:color w:val="0000FF"/>
          <w:strike w:val="1"/>
        </w:rPr>
        <w:t>with respect to the relevant Benchmark and (y)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 xml:space="preserve">applicable Borrower delivers a new Notice of Interest Rate Election in accordance with the terms of Section 2.09 or a new Notice of Borrowing in accordance with the terms of Section 2.02, (1) any Notice of Interest Rate Election that requests the conversion of any Borrowing to, or continuation of any Borrowing as, a Term Benchmark Borrowing and any Notice of Borrowing that requests a Term Benchmark </w:t>
      </w:r>
      <w:r>
        <w:rPr>
          <w:rFonts w:ascii="Arial" w:cs="Arial" w:eastAsia="Arial" w:hAnsi="Arial"/>
          <w:sz w:val="19"/>
          <w:szCs w:val="19"/>
          <w:u w:val="single" w:color="auto"/>
          <w:color w:val="008000"/>
          <w:strike w:val="1"/>
        </w:rPr>
        <w:t>Borrowing shall instead be</w:t>
      </w:r>
      <w:r>
        <w:rPr>
          <w:rFonts w:ascii="Arial" w:cs="Arial" w:eastAsia="Arial" w:hAnsi="Arial"/>
          <w:sz w:val="19"/>
          <w:szCs w:val="19"/>
          <w:u w:val="single" w:color="auto"/>
          <w:color w:val="0000FF"/>
          <w:strike w:val="1"/>
        </w:rPr>
        <w:t xml:space="preserve"> deemed to be an Notice of </w:t>
      </w:r>
      <w:r>
        <w:rPr>
          <w:rFonts w:ascii="Arial" w:cs="Arial" w:eastAsia="Arial" w:hAnsi="Arial"/>
          <w:sz w:val="19"/>
          <w:szCs w:val="19"/>
          <w:u w:val="single" w:color="auto"/>
          <w:color w:val="008000"/>
          <w:strike w:val="1"/>
        </w:rPr>
        <w:t>Interest Rate Election or</w:t>
      </w:r>
      <w:r>
        <w:rPr>
          <w:rFonts w:ascii="Arial" w:cs="Arial" w:eastAsia="Arial" w:hAnsi="Arial"/>
          <w:sz w:val="19"/>
          <w:szCs w:val="19"/>
          <w:u w:val="single" w:color="auto"/>
          <w:color w:val="0000FF"/>
          <w:strike w:val="1"/>
        </w:rPr>
        <w:t xml:space="preserve"> a Notice of Borrowing, as applicable, for (x) an RFR Borrowing so long as Adjusted Daily Simple SOFR is not also the subject of Section 8.01(a)(i) or (ii) above or (y) </w:t>
      </w:r>
      <w:r>
        <w:rPr>
          <w:rFonts w:ascii="Arial" w:cs="Arial" w:eastAsia="Arial" w:hAnsi="Arial"/>
          <w:sz w:val="19"/>
          <w:szCs w:val="19"/>
          <w:u w:val="single" w:color="auto"/>
          <w:color w:val="008000"/>
          <w:strike w:val="1"/>
        </w:rPr>
        <w:t>a Base Rate Borrowing</w:t>
      </w:r>
      <w:r>
        <w:rPr>
          <w:rFonts w:ascii="Arial" w:cs="Arial" w:eastAsia="Arial" w:hAnsi="Arial"/>
          <w:sz w:val="19"/>
          <w:szCs w:val="19"/>
          <w:u w:val="single" w:color="auto"/>
          <w:color w:val="0000FF"/>
          <w:strike w:val="1"/>
        </w:rPr>
        <w:t xml:space="preserve"> if Adjusted Daily Simple SOFR is also the subject of Section 8.01(a)(i) or (ii) above and (2) any Notice of Borrowing that requests an RFR Borrowing shall instead be deemed to be a Notice of Borrowing, as applicable, for </w:t>
      </w:r>
      <w:r>
        <w:rPr>
          <w:rFonts w:ascii="Arial" w:cs="Arial" w:eastAsia="Arial" w:hAnsi="Arial"/>
          <w:sz w:val="19"/>
          <w:szCs w:val="19"/>
          <w:u w:val="single" w:color="auto"/>
          <w:color w:val="008000"/>
          <w:strike w:val="1"/>
        </w:rPr>
        <w:t>a</w:t>
      </w:r>
      <w:r>
        <w:rPr>
          <w:rFonts w:ascii="Arial" w:cs="Arial" w:eastAsia="Arial" w:hAnsi="Arial"/>
          <w:sz w:val="19"/>
          <w:szCs w:val="19"/>
          <w:u w:val="single" w:color="auto"/>
          <w:color w:val="0000FF"/>
          <w:strike w:val="1"/>
        </w:rPr>
        <w:t xml:space="preserve"> </w:t>
      </w:r>
      <w:r>
        <w:rPr>
          <w:rFonts w:ascii="Arial" w:cs="Arial" w:eastAsia="Arial" w:hAnsi="Arial"/>
          <w:sz w:val="19"/>
          <w:szCs w:val="19"/>
          <w:u w:val="single" w:color="auto"/>
          <w:color w:val="008000"/>
          <w:strike w:val="1"/>
        </w:rPr>
        <w:t>Base Rate Borrowing</w:t>
      </w:r>
      <w:r>
        <w:rPr>
          <w:rFonts w:ascii="Arial" w:cs="Arial" w:eastAsia="Arial" w:hAnsi="Arial"/>
          <w:sz w:val="19"/>
          <w:szCs w:val="19"/>
          <w:u w:val="single" w:color="auto"/>
          <w:color w:val="0000FF"/>
          <w:strike w:val="1"/>
        </w:rPr>
        <w:t>; provided that if the circumstances giving rise to such notice affect only one Type of Borrowings, then all</w:t>
      </w:r>
      <w:r>
        <w:rPr>
          <w:rFonts w:ascii="Arial" w:cs="Arial" w:eastAsia="Arial" w:hAnsi="Arial"/>
          <w:sz w:val="19"/>
          <w:szCs w:val="19"/>
          <w:u w:val="single" w:color="auto"/>
          <w:color w:val="008000"/>
          <w:strike w:val="1"/>
        </w:rPr>
        <w:t xml:space="preserve"> </w:t>
      </w:r>
      <w:r>
        <w:rPr>
          <w:rFonts w:ascii="Arial" w:cs="Arial" w:eastAsia="Arial" w:hAnsi="Arial"/>
          <w:sz w:val="19"/>
          <w:szCs w:val="19"/>
          <w:u w:val="single" w:color="auto"/>
          <w:color w:val="0000FF"/>
          <w:strike w:val="1"/>
        </w:rPr>
        <w:t>other Types of Borrowings shall be permitted. Furthermore, if any Term Benchmark Loan or RFR Loan is outstanding on the date of the Company’s receipt of the notice from the Administrative Agent referred to in this Section 8.01(a)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Notice of Interest Rate Election in accordance with the terms of Section 2.09 or a new Notice of Borrowing in accordance with the terms of Section 2.02, (1) any Term Benchmark Loan shall</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on the last day of 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then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67</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63"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 xml:space="preserve">Interest Period applicable </w:t>
      </w:r>
      <w:r>
        <w:rPr>
          <w:rFonts w:ascii="Arial" w:cs="Arial" w:eastAsia="Arial" w:hAnsi="Arial"/>
          <w:sz w:val="20"/>
          <w:szCs w:val="20"/>
          <w:color w:val="FF0000"/>
          <w:strike w:val="1"/>
        </w:rPr>
        <w:t>thereto. Unless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to such Loan, be converted</w:t>
      </w:r>
      <w:r>
        <w:rPr>
          <w:rFonts w:ascii="Arial" w:cs="Arial" w:eastAsia="Arial" w:hAnsi="Arial"/>
          <w:sz w:val="20"/>
          <w:szCs w:val="20"/>
          <w:color w:val="auto"/>
        </w:rPr>
        <w:t xml:space="preserve"> </w:t>
      </w:r>
      <w:r>
        <w:rPr>
          <w:rFonts w:ascii="Arial" w:cs="Arial" w:eastAsia="Arial" w:hAnsi="Arial"/>
          <w:sz w:val="20"/>
          <w:szCs w:val="20"/>
          <w:u w:val="single" w:color="auto"/>
          <w:color w:val="008000"/>
        </w:rPr>
        <w:t>by the Administrative Agent to</w:t>
      </w:r>
      <w:r>
        <w:rPr>
          <w:rFonts w:ascii="Arial" w:cs="Arial" w:eastAsia="Arial" w:hAnsi="Arial"/>
          <w:sz w:val="20"/>
          <w:szCs w:val="20"/>
          <w:u w:val="single" w:color="auto"/>
          <w:color w:val="0000FF"/>
        </w:rPr>
        <w:t>, and shall constitute, (x) an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 xml:space="preserve">RFR Borrowing so long as Adjusted Daily Simple SOFR is not also the subject of Section 8.01(a)(i) or (ii) above or (y) a Base Rate Loan if Adjusted Daily Simple SOFR is also the subject of Section 8.01(a)(i) or (ii) above, on such day, and (2) any RFR Loan shall on and from such day be converted by </w:t>
      </w:r>
      <w:r>
        <w:rPr>
          <w:rFonts w:ascii="Arial" w:cs="Arial" w:eastAsia="Arial" w:hAnsi="Arial"/>
          <w:sz w:val="20"/>
          <w:szCs w:val="20"/>
          <w:u w:val="single" w:color="auto"/>
          <w:color w:val="008000"/>
        </w:rPr>
        <w:t>the Administrative Agent to</w:t>
      </w:r>
      <w:r>
        <w:rPr>
          <w:rFonts w:ascii="Arial" w:cs="Arial" w:eastAsia="Arial" w:hAnsi="Arial"/>
          <w:sz w:val="20"/>
          <w:szCs w:val="20"/>
          <w:u w:val="single" w:color="auto"/>
          <w:color w:val="0000FF"/>
        </w:rPr>
        <w:t xml:space="preserve">, and shall constitute a Base Rate Loan, in each case, unless the </w:t>
      </w:r>
      <w:r>
        <w:rPr>
          <w:rFonts w:ascii="Arial" w:cs="Arial" w:eastAsia="Arial" w:hAnsi="Arial"/>
          <w:sz w:val="20"/>
          <w:szCs w:val="20"/>
          <w:color w:val="000000"/>
        </w:rPr>
        <w:t xml:space="preserve">Company notifies the Administrative Agent at least two Domestic Business </w:t>
      </w:r>
      <w:r>
        <w:rPr>
          <w:rFonts w:ascii="Arial" w:cs="Arial" w:eastAsia="Arial" w:hAnsi="Arial"/>
          <w:sz w:val="20"/>
          <w:szCs w:val="20"/>
          <w:color w:val="FF0000"/>
          <w:strike w:val="1"/>
        </w:rPr>
        <w:t>Days</w:t>
      </w:r>
      <w:r>
        <w:rPr>
          <w:rFonts w:ascii="Arial" w:cs="Arial" w:eastAsia="Arial" w:hAnsi="Arial"/>
          <w:sz w:val="20"/>
          <w:szCs w:val="20"/>
          <w:u w:val="single" w:color="auto"/>
          <w:color w:val="0000FF"/>
        </w:rPr>
        <w:t>days</w:t>
      </w:r>
      <w:r>
        <w:rPr>
          <w:rFonts w:ascii="Arial" w:cs="Arial" w:eastAsia="Arial" w:hAnsi="Arial"/>
          <w:sz w:val="20"/>
          <w:szCs w:val="20"/>
          <w:color w:val="000000"/>
        </w:rPr>
        <w:t xml:space="preserve"> before the date of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Benchmark</w:t>
      </w:r>
      <w:r>
        <w:rPr>
          <w:rFonts w:ascii="Arial" w:cs="Arial" w:eastAsia="Arial" w:hAnsi="Arial"/>
          <w:sz w:val="20"/>
          <w:szCs w:val="20"/>
          <w:color w:val="0000FF"/>
        </w:rPr>
        <w:t xml:space="preserve"> </w:t>
      </w:r>
      <w:r>
        <w:rPr>
          <w:rFonts w:ascii="Arial" w:cs="Arial" w:eastAsia="Arial" w:hAnsi="Arial"/>
          <w:sz w:val="20"/>
          <w:szCs w:val="20"/>
          <w:color w:val="000000"/>
        </w:rPr>
        <w:t>Borrowing for which a Notice of Borrowing has previously been given that it elects not to borrow on such date</w:t>
      </w:r>
      <w:r>
        <w:rPr>
          <w:rFonts w:ascii="Arial" w:cs="Arial" w:eastAsia="Arial" w:hAnsi="Arial"/>
          <w:sz w:val="20"/>
          <w:szCs w:val="20"/>
          <w:color w:val="FF0000"/>
          <w:strike w:val="1"/>
        </w:rPr>
        <w:t>, such</w:t>
      </w:r>
      <w:r>
        <w:rPr>
          <w:rFonts w:ascii="Arial" w:cs="Arial" w:eastAsia="Arial" w:hAnsi="Arial"/>
          <w:sz w:val="20"/>
          <w:szCs w:val="20"/>
          <w:color w:val="0000FF"/>
        </w:rPr>
        <w:t xml:space="preserve"> </w:t>
      </w:r>
      <w:r>
        <w:rPr>
          <w:rFonts w:ascii="Arial" w:cs="Arial" w:eastAsia="Arial" w:hAnsi="Arial"/>
          <w:sz w:val="20"/>
          <w:szCs w:val="20"/>
          <w:color w:val="008000"/>
          <w:strike w:val="1"/>
        </w:rPr>
        <w:t>Borrowing shall instead be</w:t>
      </w:r>
      <w:r>
        <w:rPr>
          <w:rFonts w:ascii="Arial" w:cs="Arial" w:eastAsia="Arial" w:hAnsi="Arial"/>
          <w:sz w:val="20"/>
          <w:szCs w:val="20"/>
          <w:color w:val="008000"/>
        </w:rPr>
        <w:t xml:space="preserve"> </w:t>
      </w:r>
      <w:r>
        <w:rPr>
          <w:rFonts w:ascii="Arial" w:cs="Arial" w:eastAsia="Arial" w:hAnsi="Arial"/>
          <w:sz w:val="20"/>
          <w:szCs w:val="20"/>
          <w:color w:val="FF0000"/>
          <w:strike w:val="1"/>
        </w:rPr>
        <w:t>made as</w:t>
      </w:r>
      <w:r>
        <w:rPr>
          <w:rFonts w:ascii="Arial" w:cs="Arial" w:eastAsia="Arial" w:hAnsi="Arial"/>
          <w:sz w:val="20"/>
          <w:szCs w:val="20"/>
          <w:color w:val="008000"/>
        </w:rPr>
        <w:t xml:space="preserve"> </w:t>
      </w:r>
      <w:r>
        <w:rPr>
          <w:rFonts w:ascii="Arial" w:cs="Arial" w:eastAsia="Arial" w:hAnsi="Arial"/>
          <w:sz w:val="20"/>
          <w:szCs w:val="20"/>
          <w:color w:val="008000"/>
          <w:strike w:val="1"/>
        </w:rPr>
        <w:t>a Base Rate Borrowing</w:t>
      </w:r>
      <w:r>
        <w:rPr>
          <w:rFonts w:ascii="Arial" w:cs="Arial" w:eastAsia="Arial" w:hAnsi="Arial"/>
          <w:sz w:val="20"/>
          <w:szCs w:val="20"/>
          <w:color w:val="000000"/>
        </w:rPr>
        <w:t>.</w:t>
      </w:r>
    </w:p>
    <w:p>
      <w:pPr>
        <w:spacing w:after="0" w:line="153" w:lineRule="exact"/>
        <w:rPr>
          <w:sz w:val="20"/>
          <w:szCs w:val="20"/>
          <w:color w:val="auto"/>
        </w:rPr>
      </w:pPr>
    </w:p>
    <w:p>
      <w:pPr>
        <w:jc w:val="both"/>
        <w:ind w:firstLine="633"/>
        <w:spacing w:after="0" w:line="237" w:lineRule="auto"/>
        <w:tabs>
          <w:tab w:leader="none" w:pos="127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(b) Notwithstanding anything to the contrary herein or in any other Loan Document, if a Benchmark Transition Event</w:t>
      </w:r>
      <w:r>
        <w:rPr>
          <w:rFonts w:ascii="Arial" w:cs="Arial" w:eastAsia="Arial" w:hAnsi="Arial"/>
          <w:sz w:val="19"/>
          <w:szCs w:val="19"/>
          <w:color w:val="FF0000"/>
          <w:strike w:val="1"/>
        </w:rPr>
        <w:t>, an Early Opt-in Election or an Other Benchmark Rate Election, as applicable,</w:t>
      </w:r>
      <w:r>
        <w:rPr>
          <w:rFonts w:ascii="Arial" w:cs="Arial" w:eastAsia="Arial" w:hAnsi="Arial"/>
          <w:sz w:val="19"/>
          <w:szCs w:val="19"/>
          <w:color w:val="auto"/>
        </w:rPr>
        <w:t xml:space="preserve"> and its related Benchmark Replacement Date have occurred prior to the Reference Time in respect of any setting of the then-current Benchmark, then (x) if a Benchmark Replacement is determined in accordance with clause (1) </w:t>
      </w:r>
      <w:r>
        <w:rPr>
          <w:rFonts w:ascii="Arial" w:cs="Arial" w:eastAsia="Arial" w:hAnsi="Arial"/>
          <w:sz w:val="19"/>
          <w:szCs w:val="19"/>
          <w:color w:val="FF0000"/>
          <w:strike w:val="1"/>
        </w:rPr>
        <w:t>or (2)</w:t>
      </w:r>
      <w:r>
        <w:rPr>
          <w:rFonts w:ascii="Arial" w:cs="Arial" w:eastAsia="Arial" w:hAnsi="Arial"/>
          <w:sz w:val="19"/>
          <w:szCs w:val="19"/>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19"/>
          <w:szCs w:val="19"/>
          <w:color w:val="FF0000"/>
          <w:strike w:val="1"/>
        </w:rPr>
        <w:t>3</w:t>
      </w:r>
      <w:r>
        <w:rPr>
          <w:rFonts w:ascii="Arial" w:cs="Arial" w:eastAsia="Arial" w:hAnsi="Arial"/>
          <w:sz w:val="19"/>
          <w:szCs w:val="19"/>
          <w:u w:val="single" w:color="auto"/>
          <w:color w:val="0000FF"/>
        </w:rPr>
        <w:t>2</w:t>
      </w:r>
      <w:r>
        <w:rPr>
          <w:rFonts w:ascii="Arial" w:cs="Arial" w:eastAsia="Arial" w:hAnsi="Arial"/>
          <w:sz w:val="19"/>
          <w:szCs w:val="19"/>
          <w:color w:val="auto"/>
        </w:rPr>
        <w:t>)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3" w:lineRule="exact"/>
        <w:rPr>
          <w:rFonts w:ascii="Arial" w:cs="Arial" w:eastAsia="Arial" w:hAnsi="Arial"/>
          <w:sz w:val="19"/>
          <w:szCs w:val="19"/>
          <w:color w:val="auto"/>
        </w:rPr>
      </w:pPr>
    </w:p>
    <w:p>
      <w:pPr>
        <w:jc w:val="both"/>
        <w:ind w:firstLine="833"/>
        <w:spacing w:after="0" w:line="241" w:lineRule="auto"/>
        <w:tabs>
          <w:tab w:leader="none" w:pos="1131" w:val="left"/>
        </w:tabs>
        <w:numPr>
          <w:ilvl w:val="1"/>
          <w:numId w:val="126"/>
        </w:numPr>
        <w:rPr>
          <w:rFonts w:ascii="Arial" w:cs="Arial" w:eastAsia="Arial" w:hAnsi="Arial"/>
          <w:sz w:val="19"/>
          <w:szCs w:val="19"/>
          <w:color w:val="FF0000"/>
          <w:strike w:val="1"/>
        </w:rPr>
      </w:pPr>
      <w:r>
        <w:rPr>
          <w:rFonts w:ascii="Arial" w:cs="Arial" w:eastAsia="Arial" w:hAnsi="Arial"/>
          <w:sz w:val="19"/>
          <w:szCs w:val="19"/>
          <w:color w:val="008000"/>
          <w:strike w:val="1"/>
        </w:rPr>
        <w:t xml:space="preserve">Notwithstanding anything to the contrary herein or in any other Loan Document </w:t>
      </w:r>
      <w:r>
        <w:rPr>
          <w:rFonts w:ascii="Arial" w:cs="Arial" w:eastAsia="Arial" w:hAnsi="Arial"/>
          <w:sz w:val="19"/>
          <w:szCs w:val="19"/>
          <w:color w:val="FF0000"/>
          <w:strike w:val="1"/>
        </w:rPr>
        <w:t>and subject to the proviso below in</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this clause (c) shall not be effective unless the Administrative Agent has delivered to the Lenders and the Company a Term SOFR Notice</w:t>
      </w:r>
      <w:r>
        <w:rPr>
          <w:rFonts w:ascii="Arial" w:cs="Arial" w:eastAsia="Arial" w:hAnsi="Arial"/>
          <w:sz w:val="19"/>
          <w:szCs w:val="19"/>
          <w:color w:val="008000"/>
          <w:strike w:val="1"/>
        </w:rPr>
        <w:t>. For the avoidance of doubt</w:t>
      </w:r>
      <w:r>
        <w:rPr>
          <w:rFonts w:ascii="Arial" w:cs="Arial" w:eastAsia="Arial" w:hAnsi="Arial"/>
          <w:sz w:val="19"/>
          <w:szCs w:val="19"/>
          <w:color w:val="FF0000"/>
          <w:strike w:val="1"/>
        </w:rPr>
        <w:t>, the Administrative Agent shall not be required to deliver a Term SOFR Notice after the occurrence of a Term SOFR Transition Event and may do so in its sole discretion.</w:t>
      </w:r>
    </w:p>
    <w:p>
      <w:pPr>
        <w:spacing w:after="0" w:line="153"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3051F2"/>
          <w:strike w:val="1"/>
        </w:rPr>
        <w:t>(</w:t>
      </w:r>
      <w:r>
        <w:rPr>
          <w:rFonts w:ascii="Arial" w:cs="Arial" w:eastAsia="Arial" w:hAnsi="Arial"/>
          <w:sz w:val="21"/>
          <w:szCs w:val="21"/>
          <w:color w:val="3051F2"/>
        </w:rPr>
        <w:t xml:space="preserve">c) </w:t>
      </w:r>
      <w:r>
        <w:rPr>
          <w:rFonts w:ascii="Arial" w:cs="Arial" w:eastAsia="Arial" w:hAnsi="Arial"/>
          <w:sz w:val="21"/>
          <w:szCs w:val="21"/>
          <w:color w:val="FF0000"/>
        </w:rPr>
        <w:t>(d)</w:t>
      </w:r>
      <w:r>
        <w:rPr>
          <w:rFonts w:ascii="Arial" w:cs="Arial" w:eastAsia="Arial" w:hAnsi="Arial"/>
          <w:sz w:val="21"/>
          <w:szCs w:val="21"/>
          <w:color w:val="3051F2"/>
        </w:rPr>
        <w:t xml:space="preserve"> </w:t>
      </w:r>
      <w:r>
        <w:rPr>
          <w:rFonts w:ascii="Arial" w:cs="Arial" w:eastAsia="Arial" w:hAnsi="Arial"/>
          <w:sz w:val="21"/>
          <w:szCs w:val="21"/>
          <w:color w:val="FF0000"/>
          <w:strike w:val="1"/>
        </w:rPr>
        <w:t>In connection with the implementation of a Benchmark Replacement</w:t>
      </w:r>
      <w:r>
        <w:rPr>
          <w:rFonts w:ascii="Arial" w:cs="Arial" w:eastAsia="Arial" w:hAnsi="Arial"/>
          <w:sz w:val="21"/>
          <w:szCs w:val="21"/>
          <w:u w:val="single" w:color="auto"/>
          <w:color w:val="008000"/>
        </w:rPr>
        <w:t>Notwithstanding anything to the contrary</w:t>
      </w:r>
      <w:r>
        <w:rPr>
          <w:rFonts w:ascii="Arial" w:cs="Arial" w:eastAsia="Arial" w:hAnsi="Arial"/>
          <w:sz w:val="21"/>
          <w:szCs w:val="21"/>
          <w:color w:val="3051F2"/>
        </w:rPr>
        <w:t xml:space="preserve"> </w:t>
      </w:r>
      <w:r>
        <w:rPr>
          <w:rFonts w:ascii="Arial" w:cs="Arial" w:eastAsia="Arial" w:hAnsi="Arial"/>
          <w:sz w:val="21"/>
          <w:szCs w:val="21"/>
          <w:u w:val="single" w:color="auto"/>
          <w:color w:val="008000"/>
        </w:rPr>
        <w:t>herein or in any other Loan Document</w:t>
      </w:r>
      <w:r>
        <w:rPr>
          <w:rFonts w:ascii="Arial" w:cs="Arial" w:eastAsia="Arial" w:hAnsi="Arial"/>
          <w:sz w:val="21"/>
          <w:szCs w:val="21"/>
          <w:u w:val="single" w:color="auto"/>
          <w:color w:val="0000FF"/>
        </w:rPr>
        <w:t>,</w:t>
      </w:r>
      <w:r>
        <w:rPr>
          <w:rFonts w:ascii="Arial" w:cs="Arial" w:eastAsia="Arial" w:hAnsi="Arial"/>
          <w:sz w:val="21"/>
          <w:szCs w:val="21"/>
          <w:color w:val="000000"/>
        </w:rPr>
        <w:t>, the Administrative Agent will have the right to make Benchmark Replacement Conforming</w:t>
      </w:r>
      <w:r>
        <w:rPr>
          <w:rFonts w:ascii="Arial" w:cs="Arial" w:eastAsia="Arial" w:hAnsi="Arial"/>
          <w:sz w:val="21"/>
          <w:szCs w:val="21"/>
          <w:color w:val="008000"/>
        </w:rPr>
        <w:t xml:space="preserve"> </w:t>
      </w:r>
      <w:r>
        <w:rPr>
          <w:rFonts w:ascii="Arial" w:cs="Arial" w:eastAsia="Arial" w:hAnsi="Arial"/>
          <w:sz w:val="21"/>
          <w:szCs w:val="21"/>
          <w:color w:val="000000"/>
        </w:rPr>
        <w:t>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-619125</wp:posOffset>
            </wp:positionV>
            <wp:extent cx="255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5905" cy="8255"/>
                    </a:xfrm>
                    <a:prstGeom prst="rect">
                      <a:avLst/>
                    </a:prstGeom>
                    <a:noFill/>
                  </pic:spPr>
                </pic:pic>
              </a:graphicData>
            </a:graphic>
          </wp:anchor>
        </w:drawing>
      </w:r>
    </w:p>
    <w:p>
      <w:pPr>
        <w:spacing w:after="0" w:line="135" w:lineRule="exact"/>
        <w:rPr>
          <w:sz w:val="20"/>
          <w:szCs w:val="20"/>
          <w:color w:val="auto"/>
        </w:rPr>
      </w:pPr>
    </w:p>
    <w:p>
      <w:pPr>
        <w:jc w:val="both"/>
        <w:ind w:firstLine="642"/>
        <w:spacing w:after="0" w:line="230" w:lineRule="auto"/>
        <w:tabs>
          <w:tab w:leader="none" w:pos="947" w:val="left"/>
        </w:tabs>
        <w:numPr>
          <w:ilvl w:val="0"/>
          <w:numId w:val="127"/>
        </w:numPr>
        <w:rPr>
          <w:rFonts w:ascii="Arial" w:cs="Arial" w:eastAsia="Arial" w:hAnsi="Arial"/>
          <w:sz w:val="21"/>
          <w:szCs w:val="21"/>
          <w:color w:val="3051F2"/>
        </w:rPr>
      </w:pPr>
      <w:r>
        <w:rPr>
          <w:rFonts w:ascii="Arial" w:cs="Arial" w:eastAsia="Arial" w:hAnsi="Arial"/>
          <w:sz w:val="21"/>
          <w:szCs w:val="21"/>
          <w:color w:val="FF0000"/>
        </w:rPr>
        <w:t xml:space="preserve">(e) </w:t>
      </w:r>
      <w:r>
        <w:rPr>
          <w:rFonts w:ascii="Arial" w:cs="Arial" w:eastAsia="Arial" w:hAnsi="Arial"/>
          <w:sz w:val="21"/>
          <w:szCs w:val="21"/>
          <w:color w:val="000000"/>
        </w:rPr>
        <w:t>The Administrative Agent will promptly notify the Company and the Lenders of (i) any occurrence of a Benchmark</w:t>
      </w:r>
      <w:r>
        <w:rPr>
          <w:rFonts w:ascii="Arial" w:cs="Arial" w:eastAsia="Arial" w:hAnsi="Arial"/>
          <w:sz w:val="21"/>
          <w:szCs w:val="21"/>
          <w:color w:val="FF0000"/>
        </w:rPr>
        <w:t xml:space="preserve"> </w:t>
      </w:r>
      <w:r>
        <w:rPr>
          <w:rFonts w:ascii="Arial" w:cs="Arial" w:eastAsia="Arial" w:hAnsi="Arial"/>
          <w:sz w:val="21"/>
          <w:szCs w:val="21"/>
          <w:color w:val="000000"/>
        </w:rPr>
        <w:t xml:space="preserve">Transition Event, </w:t>
      </w:r>
      <w:r>
        <w:rPr>
          <w:rFonts w:ascii="Arial" w:cs="Arial" w:eastAsia="Arial" w:hAnsi="Arial"/>
          <w:sz w:val="21"/>
          <w:szCs w:val="21"/>
          <w:color w:val="FF0000"/>
          <w:strike w:val="1"/>
        </w:rPr>
        <w:t>an Early Opt-in Election or an Other Benchmark Rate Election, as applicable,</w:t>
      </w:r>
      <w:r>
        <w:rPr>
          <w:rFonts w:ascii="Arial" w:cs="Arial" w:eastAsia="Arial" w:hAnsi="Arial"/>
          <w:sz w:val="21"/>
          <w:szCs w:val="21"/>
          <w:color w:val="000000"/>
        </w:rPr>
        <w:t xml:space="preserve"> (ii) the implementation of any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-351155</wp:posOffset>
            </wp:positionV>
            <wp:extent cx="228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68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63"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8.01,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8.01.</w:t>
      </w:r>
    </w:p>
    <w:p>
      <w:pPr>
        <w:spacing w:after="0" w:line="153" w:lineRule="exact"/>
        <w:rPr>
          <w:sz w:val="20"/>
          <w:szCs w:val="20"/>
          <w:color w:val="auto"/>
        </w:rPr>
      </w:pPr>
    </w:p>
    <w:p>
      <w:pPr>
        <w:ind w:right="80" w:firstLine="721"/>
        <w:spacing w:after="0" w:line="216" w:lineRule="auto"/>
        <w:tabs>
          <w:tab w:leader="none" w:pos="1004" w:val="left"/>
        </w:tabs>
        <w:numPr>
          <w:ilvl w:val="1"/>
          <w:numId w:val="128"/>
        </w:numPr>
        <w:rPr>
          <w:rFonts w:ascii="Arial" w:cs="Arial" w:eastAsia="Arial" w:hAnsi="Arial"/>
          <w:sz w:val="21"/>
          <w:szCs w:val="21"/>
          <w:color w:val="3051F2"/>
        </w:rPr>
      </w:pPr>
      <w:r>
        <w:rPr>
          <w:rFonts w:ascii="Arial" w:cs="Arial" w:eastAsia="Arial" w:hAnsi="Arial"/>
          <w:sz w:val="21"/>
          <w:szCs w:val="21"/>
          <w:color w:val="FF0000"/>
        </w:rPr>
        <w:t xml:space="preserve">(f) </w:t>
      </w:r>
      <w:r>
        <w:rPr>
          <w:rFonts w:ascii="Arial" w:cs="Arial" w:eastAsia="Arial" w:hAnsi="Arial"/>
          <w:sz w:val="19"/>
          <w:szCs w:val="19"/>
          <w:color w:val="000000"/>
        </w:rPr>
        <w:t>Notwithstanding anything to the contrary herein or in any other Loan Document, at any time (including in connection with the</w:t>
      </w:r>
      <w:r>
        <w:rPr>
          <w:rFonts w:ascii="Arial" w:cs="Arial" w:eastAsia="Arial" w:hAnsi="Arial"/>
          <w:sz w:val="21"/>
          <w:szCs w:val="21"/>
          <w:color w:val="FF0000"/>
        </w:rPr>
        <w:t xml:space="preserve"> </w:t>
      </w:r>
      <w:r>
        <w:rPr>
          <w:rFonts w:ascii="Arial" w:cs="Arial" w:eastAsia="Arial" w:hAnsi="Arial"/>
          <w:sz w:val="19"/>
          <w:szCs w:val="19"/>
          <w:color w:val="000000"/>
        </w:rPr>
        <w:t>implementation of a Benchmark Replacement), (</w:t>
      </w:r>
      <w:r>
        <w:rPr>
          <w:rFonts w:ascii="Arial" w:cs="Arial" w:eastAsia="Arial" w:hAnsi="Arial"/>
          <w:sz w:val="19"/>
          <w:szCs w:val="19"/>
          <w:color w:val="FF0000"/>
          <w:strike w:val="1"/>
        </w:rPr>
        <w:t>i</w:t>
      </w:r>
      <w:r>
        <w:rPr>
          <w:rFonts w:ascii="Arial" w:cs="Arial" w:eastAsia="Arial" w:hAnsi="Arial"/>
          <w:sz w:val="19"/>
          <w:szCs w:val="19"/>
          <w:u w:val="single" w:color="auto"/>
          <w:color w:val="0000FF"/>
        </w:rPr>
        <w:t>1</w:t>
      </w:r>
      <w:r>
        <w:rPr>
          <w:rFonts w:ascii="Arial" w:cs="Arial" w:eastAsia="Arial" w:hAnsi="Arial"/>
          <w:sz w:val="19"/>
          <w:szCs w:val="19"/>
          <w:color w:val="000000"/>
        </w:rPr>
        <w:t xml:space="preserve">) if the then-current Benchmark is a term rate (including </w:t>
      </w:r>
      <w:r>
        <w:rPr>
          <w:rFonts w:ascii="Arial" w:cs="Arial" w:eastAsia="Arial" w:hAnsi="Arial"/>
          <w:sz w:val="19"/>
          <w:szCs w:val="19"/>
          <w:u w:val="single" w:color="auto"/>
          <w:color w:val="0000FF"/>
        </w:rPr>
        <w:t>the</w:t>
      </w:r>
      <w:r>
        <w:rPr>
          <w:rFonts w:ascii="Arial" w:cs="Arial" w:eastAsia="Arial" w:hAnsi="Arial"/>
          <w:sz w:val="19"/>
          <w:szCs w:val="19"/>
          <w:color w:val="000000"/>
        </w:rPr>
        <w:t xml:space="preserve"> Term SOFR </w:t>
      </w:r>
      <w:r>
        <w:rPr>
          <w:rFonts w:ascii="Arial" w:cs="Arial" w:eastAsia="Arial" w:hAnsi="Arial"/>
          <w:sz w:val="19"/>
          <w:szCs w:val="19"/>
          <w:color w:val="FF0000"/>
          <w:strike w:val="1"/>
        </w:rPr>
        <w:t>or Euro-Dollar</w:t>
      </w:r>
      <w:r>
        <w:rPr>
          <w:rFonts w:ascii="Arial" w:cs="Arial" w:eastAsia="Arial" w:hAnsi="Arial"/>
          <w:sz w:val="19"/>
          <w:szCs w:val="19"/>
          <w:color w:val="000000"/>
        </w:rPr>
        <w:t xml:space="preserve"> Rate) and either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w:t>
      </w:r>
      <w:r>
        <w:rPr>
          <w:rFonts w:ascii="Arial" w:cs="Arial" w:eastAsia="Arial" w:hAnsi="Arial"/>
          <w:sz w:val="19"/>
          <w:szCs w:val="19"/>
          <w:color w:val="000000"/>
        </w:rPr>
        <w:t>) any tenor for such Benchmark is not displayed on a screen or other information service that publishes such rate from time to time as selected by the Administrative Agent in its reasonable discretion or (</w:t>
      </w:r>
      <w:r>
        <w:rPr>
          <w:rFonts w:ascii="Arial" w:cs="Arial" w:eastAsia="Arial" w:hAnsi="Arial"/>
          <w:sz w:val="19"/>
          <w:szCs w:val="19"/>
          <w:color w:val="FF0000"/>
          <w:strike w:val="1"/>
        </w:rPr>
        <w:t>B</w:t>
      </w:r>
      <w:r>
        <w:rPr>
          <w:rFonts w:ascii="Arial" w:cs="Arial" w:eastAsia="Arial" w:hAnsi="Arial"/>
          <w:sz w:val="19"/>
          <w:szCs w:val="19"/>
          <w:u w:val="single" w:color="auto"/>
          <w:color w:val="0000FF"/>
        </w:rPr>
        <w:t>b</w:t>
      </w:r>
      <w:r>
        <w:rPr>
          <w:rFonts w:ascii="Arial" w:cs="Arial" w:eastAsia="Arial" w:hAnsi="Arial"/>
          <w:sz w:val="19"/>
          <w:szCs w:val="19"/>
          <w:color w:val="000000"/>
        </w:rPr>
        <w:t>)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2</w:t>
      </w:r>
      <w:r>
        <w:rPr>
          <w:rFonts w:ascii="Arial" w:cs="Arial" w:eastAsia="Arial" w:hAnsi="Arial"/>
          <w:sz w:val="19"/>
          <w:szCs w:val="19"/>
          <w:color w:val="000000"/>
        </w:rPr>
        <w:t>) if a tenor that was removed pursuant to clause (i) above either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w:t>
      </w:r>
      <w:r>
        <w:rPr>
          <w:rFonts w:ascii="Arial" w:cs="Arial" w:eastAsia="Arial" w:hAnsi="Arial"/>
          <w:sz w:val="19"/>
          <w:szCs w:val="19"/>
          <w:color w:val="000000"/>
        </w:rPr>
        <w:t>) is subsequently displayed on a screen or information service for a Benchmark (including a Benchmark Replacement) or (</w:t>
      </w:r>
      <w:r>
        <w:rPr>
          <w:rFonts w:ascii="Arial" w:cs="Arial" w:eastAsia="Arial" w:hAnsi="Arial"/>
          <w:sz w:val="19"/>
          <w:szCs w:val="19"/>
          <w:color w:val="FF0000"/>
          <w:strike w:val="1"/>
        </w:rPr>
        <w:t>B)</w:t>
      </w:r>
      <w:r>
        <w:rPr>
          <w:rFonts w:ascii="Arial" w:cs="Arial" w:eastAsia="Arial" w:hAnsi="Arial"/>
          <w:sz w:val="19"/>
          <w:szCs w:val="19"/>
          <w:u w:val="single" w:color="auto"/>
          <w:color w:val="0000FF"/>
        </w:rPr>
        <w:t>b)</w:t>
      </w:r>
      <w:r>
        <w:rPr>
          <w:rFonts w:ascii="Arial" w:cs="Arial" w:eastAsia="Arial" w:hAnsi="Arial"/>
          <w:sz w:val="19"/>
          <w:szCs w:val="19"/>
          <w:color w:val="000000"/>
        </w:rPr>
        <w:t xml:space="preserve">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3" w:lineRule="exact"/>
        <w:rPr>
          <w:rFonts w:ascii="Arial" w:cs="Arial" w:eastAsia="Arial" w:hAnsi="Arial"/>
          <w:sz w:val="21"/>
          <w:szCs w:val="21"/>
          <w:color w:val="3051F2"/>
        </w:rPr>
      </w:pPr>
    </w:p>
    <w:p>
      <w:pPr>
        <w:ind w:firstLine="642"/>
        <w:spacing w:after="0" w:line="225" w:lineRule="auto"/>
        <w:tabs>
          <w:tab w:leader="none" w:pos="936" w:val="left"/>
        </w:tabs>
        <w:numPr>
          <w:ilvl w:val="0"/>
          <w:numId w:val="129"/>
        </w:numPr>
        <w:rPr>
          <w:rFonts w:ascii="Arial" w:cs="Arial" w:eastAsia="Arial" w:hAnsi="Arial"/>
          <w:sz w:val="20"/>
          <w:szCs w:val="20"/>
          <w:color w:val="FF0000"/>
          <w:strike w:val="1"/>
        </w:rPr>
      </w:pPr>
      <w:r>
        <w:rPr>
          <w:rFonts w:ascii="Arial" w:cs="Arial" w:eastAsia="Arial" w:hAnsi="Arial"/>
          <w:sz w:val="20"/>
          <w:szCs w:val="20"/>
          <w:u w:val="single" w:color="auto"/>
          <w:color w:val="0000FF"/>
        </w:rPr>
        <w:t>(f)</w:t>
      </w:r>
      <w:r>
        <w:rPr>
          <w:rFonts w:ascii="Arial" w:cs="Arial" w:eastAsia="Arial" w:hAnsi="Arial"/>
          <w:sz w:val="20"/>
          <w:szCs w:val="20"/>
          <w:color w:val="0000FF"/>
        </w:rPr>
        <w:t xml:space="preserve"> </w:t>
      </w:r>
      <w:r>
        <w:rPr>
          <w:rFonts w:ascii="Arial" w:cs="Arial" w:eastAsia="Arial" w:hAnsi="Arial"/>
          <w:sz w:val="20"/>
          <w:szCs w:val="20"/>
          <w:color w:val="000000"/>
        </w:rPr>
        <w:t>Upon the Company’s receipt of notice of the commencement of a Benchmark Unavailability Period, any Borrower</w:t>
      </w:r>
      <w:r>
        <w:rPr>
          <w:rFonts w:ascii="Arial" w:cs="Arial" w:eastAsia="Arial" w:hAnsi="Arial"/>
          <w:sz w:val="20"/>
          <w:szCs w:val="20"/>
          <w:color w:val="0000FF"/>
        </w:rPr>
        <w:t xml:space="preserve"> </w:t>
      </w:r>
      <w:r>
        <w:rPr>
          <w:rFonts w:ascii="Arial" w:cs="Arial" w:eastAsia="Arial" w:hAnsi="Arial"/>
          <w:sz w:val="20"/>
          <w:szCs w:val="20"/>
          <w:color w:val="000000"/>
        </w:rPr>
        <w:t xml:space="preserve">may revoke any request for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Borrowing or RFR</w:t>
      </w:r>
      <w:r>
        <w:rPr>
          <w:rFonts w:ascii="Arial" w:cs="Arial" w:eastAsia="Arial" w:hAnsi="Arial"/>
          <w:sz w:val="20"/>
          <w:szCs w:val="20"/>
          <w:color w:val="000000"/>
        </w:rPr>
        <w:t xml:space="preserve"> Borrowing of, conversion to or continuation of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FF0000"/>
        </w:rPr>
        <w:t xml:space="preserve"> </w:t>
      </w:r>
      <w:r>
        <w:rPr>
          <w:rFonts w:ascii="Arial" w:cs="Arial" w:eastAsia="Arial" w:hAnsi="Arial"/>
          <w:sz w:val="20"/>
          <w:szCs w:val="20"/>
          <w:color w:val="000000"/>
        </w:rPr>
        <w:t>Loans to be made, converted or continued during any Benchmark Unavailability Period and, failing</w:t>
      </w:r>
      <w:r>
        <w:rPr>
          <w:rFonts w:ascii="Arial" w:cs="Arial" w:eastAsia="Arial" w:hAnsi="Arial"/>
          <w:sz w:val="20"/>
          <w:szCs w:val="20"/>
          <w:color w:val="FF0000"/>
        </w:rPr>
        <w:t xml:space="preserve"> </w:t>
      </w:r>
      <w:r>
        <w:rPr>
          <w:rFonts w:ascii="Arial" w:cs="Arial" w:eastAsia="Arial" w:hAnsi="Arial"/>
          <w:sz w:val="20"/>
          <w:szCs w:val="20"/>
          <w:color w:val="000000"/>
        </w:rPr>
        <w:t xml:space="preserve">that, each Borrower will be deemed to have converted any </w:t>
      </w:r>
      <w:r>
        <w:rPr>
          <w:rFonts w:ascii="Arial" w:cs="Arial" w:eastAsia="Arial" w:hAnsi="Arial"/>
          <w:sz w:val="20"/>
          <w:szCs w:val="20"/>
          <w:color w:val="FF0000"/>
          <w:strike w:val="1"/>
        </w:rPr>
        <w:t>such</w:t>
      </w:r>
      <w:r>
        <w:rPr>
          <w:rFonts w:ascii="Arial" w:cs="Arial" w:eastAsia="Arial" w:hAnsi="Arial"/>
          <w:sz w:val="20"/>
          <w:szCs w:val="20"/>
          <w:color w:val="000000"/>
        </w:rPr>
        <w:t xml:space="preserve"> request </w:t>
      </w:r>
      <w:r>
        <w:rPr>
          <w:rFonts w:ascii="Arial" w:cs="Arial" w:eastAsia="Arial" w:hAnsi="Arial"/>
          <w:sz w:val="20"/>
          <w:szCs w:val="20"/>
          <w:u w:val="single" w:color="auto"/>
          <w:color w:val="0000FF"/>
        </w:rPr>
        <w:t>for a Term Benchmark Borrowing</w:t>
      </w:r>
      <w:r>
        <w:rPr>
          <w:rFonts w:ascii="Arial" w:cs="Arial" w:eastAsia="Arial" w:hAnsi="Arial"/>
          <w:sz w:val="20"/>
          <w:szCs w:val="20"/>
          <w:color w:val="000000"/>
        </w:rPr>
        <w:t xml:space="preserve"> into a request for a Borrowing of or conversion to </w:t>
      </w:r>
      <w:r>
        <w:rPr>
          <w:rFonts w:ascii="Arial" w:cs="Arial" w:eastAsia="Arial" w:hAnsi="Arial"/>
          <w:sz w:val="20"/>
          <w:szCs w:val="20"/>
          <w:color w:val="FF0000"/>
          <w:strike w:val="1"/>
        </w:rPr>
        <w:t>Base Rate Loans</w:t>
      </w:r>
      <w:r>
        <w:rPr>
          <w:rFonts w:ascii="Arial" w:cs="Arial" w:eastAsia="Arial" w:hAnsi="Arial"/>
          <w:sz w:val="20"/>
          <w:szCs w:val="20"/>
          <w:u w:val="single" w:color="auto"/>
          <w:color w:val="0000FF"/>
        </w:rPr>
        <w:t>(A) an RFR Borrowing so long as Adjusted Daily Simple SOFR is not the subject of</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 xml:space="preserve">a Benchmark Transition Event or (B) a Base Rate Borrowing if Adjusted Daily Simple SOFR is the subject of </w:t>
      </w:r>
      <w:r>
        <w:rPr>
          <w:rFonts w:ascii="Arial" w:cs="Arial" w:eastAsia="Arial" w:hAnsi="Arial"/>
          <w:sz w:val="20"/>
          <w:szCs w:val="20"/>
          <w:u w:val="single" w:color="auto"/>
          <w:color w:val="008000"/>
        </w:rPr>
        <w:t>a Benchmark</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Transition Event</w:t>
      </w:r>
      <w:r>
        <w:rPr>
          <w:rFonts w:ascii="Arial" w:cs="Arial" w:eastAsia="Arial" w:hAnsi="Arial"/>
          <w:sz w:val="20"/>
          <w:szCs w:val="20"/>
          <w:color w:val="000000"/>
        </w:rPr>
        <w:t>. During any Benchmark Unavailability Period or at any time that a tenor for the then-current Benchmark is not an</w:t>
      </w:r>
      <w:r>
        <w:rPr>
          <w:rFonts w:ascii="Arial" w:cs="Arial" w:eastAsia="Arial" w:hAnsi="Arial"/>
          <w:sz w:val="20"/>
          <w:szCs w:val="20"/>
          <w:color w:val="008000"/>
        </w:rPr>
        <w:t xml:space="preserve"> </w:t>
      </w:r>
      <w:r>
        <w:rPr>
          <w:rFonts w:ascii="Arial" w:cs="Arial" w:eastAsia="Arial" w:hAnsi="Arial"/>
          <w:sz w:val="20"/>
          <w:szCs w:val="20"/>
          <w:color w:val="000000"/>
        </w:rPr>
        <w:t xml:space="preserve">Available Tenor, the component of Base Rate based upon the then-current Benchmark or such tenor for such Benchmark, as applicable, will not be used in any determination of Base Rate. </w:t>
      </w:r>
      <w:r>
        <w:rPr>
          <w:rFonts w:ascii="Arial" w:cs="Arial" w:eastAsia="Arial" w:hAnsi="Arial"/>
          <w:sz w:val="20"/>
          <w:szCs w:val="20"/>
          <w:u w:val="single" w:color="auto"/>
          <w:color w:val="0000FF"/>
        </w:rPr>
        <w:t>Furthermore, if any Term Benchmark Loan or RFR Loan is</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 xml:space="preserve">outstanding on the date of the Company’s receipt of notice of the commencement of a Benchmark Unavailability Period with respect to a Relevant Rate applicable to such Term Benchmark Loan or RFR Loan, then until such time as a Benchmark Replacement is implemented pursuant to this Section 8.01, (1) any Term Benchmark Loan shall on the last day of the Interest Period applicable to such Loan, be converted </w:t>
      </w:r>
      <w:r>
        <w:rPr>
          <w:rFonts w:ascii="Arial" w:cs="Arial" w:eastAsia="Arial" w:hAnsi="Arial"/>
          <w:sz w:val="20"/>
          <w:szCs w:val="20"/>
          <w:u w:val="single" w:color="auto"/>
          <w:color w:val="008000"/>
        </w:rPr>
        <w:t>by the Administrative Agent to</w:t>
      </w:r>
      <w:r>
        <w:rPr>
          <w:rFonts w:ascii="Arial" w:cs="Arial" w:eastAsia="Arial" w:hAnsi="Arial"/>
          <w:sz w:val="20"/>
          <w:szCs w:val="20"/>
          <w:u w:val="single" w:color="auto"/>
          <w:color w:val="0000FF"/>
        </w:rPr>
        <w:t xml:space="preserve">, and shall constitute, (x) an RFR Borrowing so long as Adjusted Daily Simple SOFR is not the subject of a Benchmark Transition Event or (y) a Base Rate Loan if Adjusted Daily Simple SOFR is the subject </w:t>
      </w:r>
      <w:r>
        <w:rPr>
          <w:rFonts w:ascii="Arial" w:cs="Arial" w:eastAsia="Arial" w:hAnsi="Arial"/>
          <w:sz w:val="20"/>
          <w:szCs w:val="20"/>
          <w:u w:val="single" w:color="auto"/>
          <w:color w:val="008000"/>
        </w:rPr>
        <w:t>of a Benchmark Transition Event,</w:t>
      </w:r>
      <w:r>
        <w:rPr>
          <w:rFonts w:ascii="Arial" w:cs="Arial" w:eastAsia="Arial" w:hAnsi="Arial"/>
          <w:sz w:val="20"/>
          <w:szCs w:val="20"/>
          <w:u w:val="single" w:color="auto"/>
          <w:color w:val="0000FF"/>
        </w:rPr>
        <w:t xml:space="preserve"> on such day and (2) any RFR Loan shall on and from such day be converted by the Administrative Agent to, and shall constitute a Base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-3623310</wp:posOffset>
            </wp:positionV>
            <wp:extent cx="2019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3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i w:val="1"/>
          <w:iCs w:val="1"/>
          <w:color w:val="auto"/>
        </w:rPr>
        <w:t xml:space="preserve">SECTION 8.02. Illegality. </w:t>
      </w:r>
      <w:r>
        <w:rPr>
          <w:rFonts w:ascii="Arial" w:cs="Arial" w:eastAsia="Arial" w:hAnsi="Arial"/>
          <w:sz w:val="21"/>
          <w:szCs w:val="21"/>
          <w:color w:val="auto"/>
        </w:rPr>
        <w:t>(a) If any Change in Law shall make it unlawful or impossible for any Lender</w:t>
      </w:r>
      <w:r>
        <w:rPr>
          <w:rFonts w:ascii="Arial" w:cs="Arial" w:eastAsia="Arial" w:hAnsi="Arial"/>
          <w:sz w:val="21"/>
          <w:szCs w:val="21"/>
          <w:i w:val="1"/>
          <w:iCs w:val="1"/>
          <w:color w:val="auto"/>
        </w:rPr>
        <w:t xml:space="preserve"> </w:t>
      </w:r>
      <w:r>
        <w:rPr>
          <w:rFonts w:ascii="Arial" w:cs="Arial" w:eastAsia="Arial" w:hAnsi="Arial"/>
          <w:sz w:val="21"/>
          <w:szCs w:val="21"/>
          <w:color w:val="FF0000"/>
          <w:strike w:val="1"/>
        </w:rPr>
        <w:t>(or its Euro-Dollar</w:t>
      </w:r>
      <w:r>
        <w:rPr>
          <w:rFonts w:ascii="Arial" w:cs="Arial" w:eastAsia="Arial" w:hAnsi="Arial"/>
          <w:sz w:val="21"/>
          <w:szCs w:val="21"/>
          <w:i w:val="1"/>
          <w:iCs w:val="1"/>
          <w:color w:val="auto"/>
        </w:rPr>
        <w:t xml:space="preserve"> </w:t>
      </w:r>
      <w:r>
        <w:rPr>
          <w:rFonts w:ascii="Arial" w:cs="Arial" w:eastAsia="Arial" w:hAnsi="Arial"/>
          <w:sz w:val="21"/>
          <w:szCs w:val="21"/>
          <w:color w:val="FF0000"/>
          <w:strike w:val="1"/>
        </w:rPr>
        <w:t>Lending Office)</w:t>
      </w:r>
      <w:r>
        <w:rPr>
          <w:rFonts w:ascii="Arial" w:cs="Arial" w:eastAsia="Arial" w:hAnsi="Arial"/>
          <w:sz w:val="21"/>
          <w:szCs w:val="21"/>
          <w:color w:val="FF0000"/>
        </w:rPr>
        <w:t xml:space="preserve"> </w:t>
      </w:r>
      <w:r>
        <w:rPr>
          <w:rFonts w:ascii="Arial" w:cs="Arial" w:eastAsia="Arial" w:hAnsi="Arial"/>
          <w:sz w:val="21"/>
          <w:szCs w:val="21"/>
          <w:color w:val="000000"/>
        </w:rPr>
        <w:t>to make, maintain or fund its</w:t>
      </w:r>
      <w:r>
        <w:rPr>
          <w:rFonts w:ascii="Arial" w:cs="Arial" w:eastAsia="Arial" w:hAnsi="Arial"/>
          <w:sz w:val="21"/>
          <w:szCs w:val="21"/>
          <w:color w:val="FF0000"/>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Term Benchmark Loans or RFR</w:t>
      </w:r>
      <w:r>
        <w:rPr>
          <w:rFonts w:ascii="Arial" w:cs="Arial" w:eastAsia="Arial" w:hAnsi="Arial"/>
          <w:sz w:val="21"/>
          <w:szCs w:val="21"/>
          <w:color w:val="FF0000"/>
        </w:rPr>
        <w:t xml:space="preserve"> </w:t>
      </w:r>
      <w:r>
        <w:rPr>
          <w:rFonts w:ascii="Arial" w:cs="Arial" w:eastAsia="Arial" w:hAnsi="Arial"/>
          <w:sz w:val="21"/>
          <w:szCs w:val="21"/>
          <w:color w:val="000000"/>
        </w:rPr>
        <w:t>Loans to any Borrower and such Lender</w:t>
      </w:r>
      <w:r>
        <w:rPr>
          <w:rFonts w:ascii="Arial" w:cs="Arial" w:eastAsia="Arial" w:hAnsi="Arial"/>
          <w:sz w:val="21"/>
          <w:szCs w:val="21"/>
          <w:color w:val="FF0000"/>
        </w:rPr>
        <w:t xml:space="preserve"> </w:t>
      </w:r>
      <w:r>
        <w:rPr>
          <w:rFonts w:ascii="Arial" w:cs="Arial" w:eastAsia="Arial" w:hAnsi="Arial"/>
          <w:sz w:val="21"/>
          <w:szCs w:val="21"/>
          <w:color w:val="000000"/>
        </w:rPr>
        <w:t>shall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69</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6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notify the Administrative Agent, the Administrative Agent shall forthwith give notice thereof to the other Lenders and the Company, whereupon until such Lender notifies the Company and the Administrative Agent that the circumstances giving rise to such suspension no longer exist, the obligation of such Lender to make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Loans or RFR</w:t>
      </w:r>
      <w:r>
        <w:rPr>
          <w:rFonts w:ascii="Arial" w:cs="Arial" w:eastAsia="Arial" w:hAnsi="Arial"/>
          <w:sz w:val="20"/>
          <w:szCs w:val="20"/>
          <w:color w:val="auto"/>
        </w:rPr>
        <w:t xml:space="preserve"> Loans to such Borrower, or to convert outstanding Loans to such Borrower into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Loans or RFR</w:t>
      </w:r>
      <w:r>
        <w:rPr>
          <w:rFonts w:ascii="Arial" w:cs="Arial" w:eastAsia="Arial" w:hAnsi="Arial"/>
          <w:sz w:val="20"/>
          <w:szCs w:val="20"/>
          <w:color w:val="auto"/>
        </w:rPr>
        <w:t xml:space="preserve"> Loans, shall be suspended. Before giving any notice to the Administrative Agent pursuant to this Section, such Lender shall designate a different </w:t>
      </w:r>
      <w:r>
        <w:rPr>
          <w:rFonts w:ascii="Arial" w:cs="Arial" w:eastAsia="Arial" w:hAnsi="Arial"/>
          <w:sz w:val="20"/>
          <w:szCs w:val="20"/>
          <w:color w:val="FF0000"/>
          <w:strike w:val="1"/>
        </w:rPr>
        <w:t>Euro-Dollar</w:t>
      </w:r>
      <w:r>
        <w:rPr>
          <w:rFonts w:ascii="Arial" w:cs="Arial" w:eastAsia="Arial" w:hAnsi="Arial"/>
          <w:sz w:val="20"/>
          <w:szCs w:val="20"/>
          <w:color w:val="FF0000"/>
        </w:rPr>
        <w:t xml:space="preserve"> </w:t>
      </w:r>
      <w:r>
        <w:rPr>
          <w:rFonts w:ascii="Arial" w:cs="Arial" w:eastAsia="Arial" w:hAnsi="Arial"/>
          <w:sz w:val="20"/>
          <w:szCs w:val="20"/>
          <w:color w:val="000000"/>
        </w:rPr>
        <w:t>Lending Office if such designation will avoid the need for giving such notice and will not, in the judgment of such</w:t>
      </w:r>
      <w:r>
        <w:rPr>
          <w:rFonts w:ascii="Arial" w:cs="Arial" w:eastAsia="Arial" w:hAnsi="Arial"/>
          <w:sz w:val="20"/>
          <w:szCs w:val="20"/>
          <w:color w:val="FF0000"/>
        </w:rPr>
        <w:t xml:space="preserve"> </w:t>
      </w:r>
      <w:r>
        <w:rPr>
          <w:rFonts w:ascii="Arial" w:cs="Arial" w:eastAsia="Arial" w:hAnsi="Arial"/>
          <w:sz w:val="20"/>
          <w:szCs w:val="20"/>
          <w:color w:val="000000"/>
        </w:rPr>
        <w:t xml:space="preserve">Lender, be otherwise disadvantageous to such Lender. If such notice is given, each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Loan or RFR</w:t>
      </w:r>
      <w:r>
        <w:rPr>
          <w:rFonts w:ascii="Arial" w:cs="Arial" w:eastAsia="Arial" w:hAnsi="Arial"/>
          <w:sz w:val="20"/>
          <w:szCs w:val="20"/>
          <w:color w:val="000000"/>
        </w:rPr>
        <w:t xml:space="preserve"> Loan of such Lender then outstanding to such Borrower shall be converted to a Base Rate Loan either (i) </w:t>
      </w:r>
      <w:r>
        <w:rPr>
          <w:rFonts w:ascii="Arial" w:cs="Arial" w:eastAsia="Arial" w:hAnsi="Arial"/>
          <w:sz w:val="20"/>
          <w:szCs w:val="20"/>
          <w:u w:val="single" w:color="auto"/>
          <w:color w:val="008000"/>
        </w:rPr>
        <w:t>in the case of a Term</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Benchmark Loan,</w:t>
      </w:r>
      <w:r>
        <w:rPr>
          <w:rFonts w:ascii="Arial" w:cs="Arial" w:eastAsia="Arial" w:hAnsi="Arial"/>
          <w:sz w:val="20"/>
          <w:szCs w:val="20"/>
          <w:color w:val="0000FF"/>
        </w:rPr>
        <w:t xml:space="preserve"> </w:t>
      </w:r>
      <w:r>
        <w:rPr>
          <w:rFonts w:ascii="Arial" w:cs="Arial" w:eastAsia="Arial" w:hAnsi="Arial"/>
          <w:sz w:val="20"/>
          <w:szCs w:val="20"/>
          <w:color w:val="000000"/>
        </w:rPr>
        <w:t>on the last day of the then current Interest Period applicable to such</w:t>
      </w:r>
      <w:r>
        <w:rPr>
          <w:rFonts w:ascii="Arial" w:cs="Arial" w:eastAsia="Arial" w:hAnsi="Arial"/>
          <w:sz w:val="20"/>
          <w:szCs w:val="20"/>
          <w:color w:val="0000FF"/>
        </w:rPr>
        <w:t xml:space="preserv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0000FF"/>
        </w:rPr>
        <w:t xml:space="preserve"> </w:t>
      </w:r>
      <w:r>
        <w:rPr>
          <w:rFonts w:ascii="Arial" w:cs="Arial" w:eastAsia="Arial" w:hAnsi="Arial"/>
          <w:sz w:val="20"/>
          <w:szCs w:val="20"/>
          <w:color w:val="000000"/>
        </w:rPr>
        <w:t>Loan if such</w:t>
      </w:r>
      <w:r>
        <w:rPr>
          <w:rFonts w:ascii="Arial" w:cs="Arial" w:eastAsia="Arial" w:hAnsi="Arial"/>
          <w:sz w:val="20"/>
          <w:szCs w:val="20"/>
          <w:color w:val="0000FF"/>
        </w:rPr>
        <w:t xml:space="preserve"> </w:t>
      </w:r>
      <w:r>
        <w:rPr>
          <w:rFonts w:ascii="Arial" w:cs="Arial" w:eastAsia="Arial" w:hAnsi="Arial"/>
          <w:sz w:val="20"/>
          <w:szCs w:val="20"/>
          <w:color w:val="000000"/>
        </w:rPr>
        <w:t>Lender may lawfully continue to maintain and fund such Loan to such day or (ii) immediately if such Lender shall determine that it may not lawfully continue to maintain and fund such Loan to such day.</w:t>
      </w:r>
    </w:p>
    <w:p>
      <w:pPr>
        <w:spacing w:after="0" w:line="162" w:lineRule="exact"/>
        <w:rPr>
          <w:sz w:val="20"/>
          <w:szCs w:val="20"/>
          <w:color w:val="auto"/>
        </w:rPr>
      </w:pPr>
    </w:p>
    <w:p>
      <w:pPr>
        <w:jc w:val="both"/>
        <w:ind w:firstLine="642"/>
        <w:spacing w:after="0" w:line="238" w:lineRule="auto"/>
        <w:tabs>
          <w:tab w:leader="none" w:pos="9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If by reason of the fact that an Eligible Subsidiary is organized in, or conducts business in, a jurisdiction outside the United States, it is unlawful, in the sole determination of any Lender, for such Lender (or its Applicable Lending Office) to make or maintain Loans to such Eligible Subsidiary and such Lender shall so notify the Administrative Agent, the Administrative Agent shall forthwith give notice thereof to the other Lenders and the Company, whereupon until such Lender notifies the Company and the Administrative Agent that the circumstances giving rise to such suspension no longer exist, the obligation of such Lender to make or maintain Loans to such Eligible Subsidiary shall be suspended. If such notice is given, each Loan of such Lender then outstanding to such Eligible Subsidiary shall either (i) if such Lender, the Company and the Administrative Agent agree, be made or transferred (as applicable) to the Company as Borrower (but shall otherwise continue to be part of the same Borrowing to such Eligible Subsidiary for other purposes of this Agreement) or (ii) if clause (i) does not apply, shall be prepaid either (x)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Benchmark</w:t>
      </w:r>
      <w:r>
        <w:rPr>
          <w:rFonts w:ascii="Arial" w:cs="Arial" w:eastAsia="Arial" w:hAnsi="Arial"/>
          <w:sz w:val="19"/>
          <w:szCs w:val="19"/>
          <w:color w:val="auto"/>
        </w:rPr>
        <w:t xml:space="preserve"> Loan, on the last day of the then current Interest Period applicable thereto if such Lender may lawfully continue to maintain such Loan to such day or (y) immediately if clause (x) does not apply.</w:t>
      </w:r>
    </w:p>
    <w:p>
      <w:pPr>
        <w:spacing w:after="0" w:line="161"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Increased Cost and Reduced Return</w:t>
      </w:r>
      <w:r>
        <w:rPr>
          <w:rFonts w:ascii="Arial" w:cs="Arial" w:eastAsia="Arial" w:hAnsi="Arial"/>
          <w:sz w:val="19"/>
          <w:szCs w:val="19"/>
          <w:color w:val="auto"/>
        </w:rPr>
        <w:t>. (a) If any Change in Law shall impose, modify or deem applicable any reserve (including, without limitation, any such requirement imposed by the Federal Reserve Board</w:t>
      </w:r>
      <w:r>
        <w:rPr>
          <w:rFonts w:ascii="Arial" w:cs="Arial" w:eastAsia="Arial" w:hAnsi="Arial"/>
          <w:sz w:val="19"/>
          <w:szCs w:val="19"/>
          <w:color w:val="FF0000"/>
          <w:strike w:val="1"/>
        </w:rPr>
        <w:t>, but excluding</w:t>
      </w:r>
      <w:r>
        <w:rPr>
          <w:rFonts w:ascii="Arial" w:cs="Arial" w:eastAsia="Arial" w:hAnsi="Arial"/>
          <w:sz w:val="19"/>
          <w:szCs w:val="19"/>
          <w:color w:val="auto"/>
        </w:rPr>
        <w:t xml:space="preserve"> </w:t>
      </w:r>
      <w:r>
        <w:rPr>
          <w:rFonts w:ascii="Arial" w:cs="Arial" w:eastAsia="Arial" w:hAnsi="Arial"/>
          <w:sz w:val="19"/>
          <w:szCs w:val="19"/>
          <w:color w:val="008000"/>
          <w:strike w:val="1"/>
        </w:rPr>
        <w:t>with respect to</w:t>
      </w:r>
      <w:r>
        <w:rPr>
          <w:rFonts w:ascii="Arial" w:cs="Arial" w:eastAsia="Arial" w:hAnsi="Arial"/>
          <w:sz w:val="19"/>
          <w:szCs w:val="19"/>
          <w:color w:val="auto"/>
        </w:rPr>
        <w:t xml:space="preserve"> </w:t>
      </w:r>
      <w:r>
        <w:rPr>
          <w:rFonts w:ascii="Arial" w:cs="Arial" w:eastAsia="Arial" w:hAnsi="Arial"/>
          <w:sz w:val="19"/>
          <w:szCs w:val="19"/>
          <w:color w:val="008000"/>
          <w:strike w:val="1"/>
        </w:rPr>
        <w:t>any</w:t>
      </w:r>
      <w:r>
        <w:rPr>
          <w:rFonts w:ascii="Arial" w:cs="Arial" w:eastAsia="Arial" w:hAnsi="Arial"/>
          <w:sz w:val="19"/>
          <w:szCs w:val="19"/>
          <w:color w:val="008000"/>
        </w:rPr>
        <w:t xml:space="preserve"> </w:t>
      </w:r>
      <w:r>
        <w:rPr>
          <w:rFonts w:ascii="Arial" w:cs="Arial" w:eastAsia="Arial" w:hAnsi="Arial"/>
          <w:sz w:val="19"/>
          <w:szCs w:val="19"/>
          <w:color w:val="FF0000"/>
          <w:strike w:val="1"/>
        </w:rPr>
        <w:t>Euro-Dollar Loan any such requirement included in an applicable Euro-Dollar Reserve Percentage</w:t>
      </w:r>
      <w:r>
        <w:rPr>
          <w:rFonts w:ascii="Arial" w:cs="Arial" w:eastAsia="Arial" w:hAnsi="Arial"/>
          <w:sz w:val="19"/>
          <w:szCs w:val="19"/>
          <w:color w:val="000000"/>
        </w:rPr>
        <w:t>), special deposit, insurance</w:t>
      </w:r>
      <w:r>
        <w:rPr>
          <w:rFonts w:ascii="Arial" w:cs="Arial" w:eastAsia="Arial" w:hAnsi="Arial"/>
          <w:sz w:val="19"/>
          <w:szCs w:val="19"/>
          <w:color w:val="008000"/>
        </w:rPr>
        <w:t xml:space="preserve"> </w:t>
      </w:r>
      <w:r>
        <w:rPr>
          <w:rFonts w:ascii="Arial" w:cs="Arial" w:eastAsia="Arial" w:hAnsi="Arial"/>
          <w:sz w:val="19"/>
          <w:szCs w:val="19"/>
          <w:color w:val="000000"/>
        </w:rPr>
        <w:t>assessment or similar requirement against assets of, deposits with or for the account of, or credit extended by, any Lender (or its Applicable Lending Office) or shall subject any Lender to any taxes (other than (i) any taxes indemnified under Section 8.04,</w:t>
      </w:r>
    </w:p>
    <w:p>
      <w:pPr>
        <w:spacing w:after="0" w:line="4" w:lineRule="exact"/>
        <w:rPr>
          <w:sz w:val="20"/>
          <w:szCs w:val="20"/>
          <w:color w:val="auto"/>
        </w:rPr>
      </w:pPr>
    </w:p>
    <w:p>
      <w:pPr>
        <w:jc w:val="both"/>
        <w:ind w:firstLine="6"/>
        <w:spacing w:after="0" w:line="225" w:lineRule="auto"/>
        <w:tabs>
          <w:tab w:leader="none" w:pos="31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taxes excluded in the definition of Taxes (other than those described in clause (i) of such definition) or (iii) Connection Income Taxes) on its Loans, loan principal, Letters of Credit, Commitments, or other obligations, or its deposits, reserves, other liabilities or capital attributable or allocated thereto, or impose on any Lender (or its Applicable Lending Office) or on the London interbank market any other condition (other than the imposition of any taxes) affecting its </w:t>
      </w:r>
      <w:r>
        <w:rPr>
          <w:rFonts w:ascii="Arial" w:cs="Arial" w:eastAsia="Arial" w:hAnsi="Arial"/>
          <w:sz w:val="20"/>
          <w:szCs w:val="20"/>
          <w:color w:val="FF0000"/>
          <w:strike w:val="1"/>
        </w:rPr>
        <w:t>Euro-Dollar</w:t>
      </w:r>
      <w:r>
        <w:rPr>
          <w:rFonts w:ascii="Arial" w:cs="Arial" w:eastAsia="Arial" w:hAnsi="Arial"/>
          <w:sz w:val="20"/>
          <w:szCs w:val="20"/>
          <w:color w:val="auto"/>
        </w:rPr>
        <w:t xml:space="preserve"> Loans, its Notes, its participation in the Letters of Credit or its obligation to make </w:t>
      </w:r>
      <w:r>
        <w:rPr>
          <w:rFonts w:ascii="Arial" w:cs="Arial" w:eastAsia="Arial" w:hAnsi="Arial"/>
          <w:sz w:val="20"/>
          <w:szCs w:val="20"/>
          <w:color w:val="FF0000"/>
          <w:strike w:val="1"/>
        </w:rPr>
        <w:t>Euro-Dollar</w:t>
      </w:r>
      <w:r>
        <w:rPr>
          <w:rFonts w:ascii="Arial" w:cs="Arial" w:eastAsia="Arial" w:hAnsi="Arial"/>
          <w:sz w:val="20"/>
          <w:szCs w:val="20"/>
          <w:color w:val="auto"/>
        </w:rPr>
        <w:t xml:space="preserve"> Loans or to issue or participate in Letters of Credit and the result of any of the foregoing is to increase the cost to such Lender (or its Applicable Lending Office) of making or maintaining any </w:t>
      </w:r>
      <w:r>
        <w:rPr>
          <w:rFonts w:ascii="Arial" w:cs="Arial" w:eastAsia="Arial" w:hAnsi="Arial"/>
          <w:sz w:val="20"/>
          <w:szCs w:val="20"/>
          <w:color w:val="FF0000"/>
          <w:strike w:val="1"/>
        </w:rPr>
        <w:t>Euro-Dollar</w:t>
      </w:r>
      <w:r>
        <w:rPr>
          <w:rFonts w:ascii="Arial" w:cs="Arial" w:eastAsia="Arial" w:hAnsi="Arial"/>
          <w:sz w:val="20"/>
          <w:szCs w:val="20"/>
          <w:color w:val="auto"/>
        </w:rPr>
        <w:t xml:space="preserve"> Loan (or, in the case of a Change in Law with respect to taxes, any Loan) or of issuing, maintaining or participating in any Letter of Credit, or to reduce the amount of any sum received or receivable by such Lender (or its Applicable Lending Office) under this Agreement or under its Notes with respect thereto, by an amount deemed by such Lender to be material, then, within 15 days after demand by such Lender (with a copy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70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Administrative Agent), the Company shall pay (or shall cause another Borrower to pay) to such Lender such additional amount or amounts as will compensate such Lender for such increased cost or reduction.</w:t>
      </w:r>
    </w:p>
    <w:p>
      <w:pPr>
        <w:spacing w:after="0" w:line="155" w:lineRule="exact"/>
        <w:rPr>
          <w:sz w:val="20"/>
          <w:szCs w:val="20"/>
          <w:color w:val="auto"/>
        </w:rPr>
      </w:pPr>
    </w:p>
    <w:p>
      <w:pPr>
        <w:jc w:val="both"/>
        <w:ind w:firstLine="574"/>
        <w:spacing w:after="0" w:line="244" w:lineRule="auto"/>
        <w:tabs>
          <w:tab w:leader="none" w:pos="127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any Lender shall have determined that any Change in Law regarding capital or liquidity requirements has or would have the effect of reducing the rate of return on capital of such Lender (or its Parent) as a consequence of such Lender’s obligations hereunder to a level below that which such Lender (or its Parent) could have achieved but for such Change in Law (taking into consideration its policies with respect to capital adequacy and liquidity) by an amount deemed by such Lender to be material, then from time to time, within 15 days after demand by such Lender (with a copy to the Administrative Agent), the Company shall pay to such Lender such additional amount or amounts as will compensate such Lender (or its Parent) for such reduction.</w:t>
      </w:r>
    </w:p>
    <w:p>
      <w:pPr>
        <w:spacing w:after="0" w:line="151" w:lineRule="exact"/>
        <w:rPr>
          <w:rFonts w:ascii="Arial" w:cs="Arial" w:eastAsia="Arial" w:hAnsi="Arial"/>
          <w:sz w:val="19"/>
          <w:szCs w:val="19"/>
          <w:color w:val="auto"/>
        </w:rPr>
      </w:pPr>
    </w:p>
    <w:p>
      <w:pPr>
        <w:jc w:val="both"/>
        <w:ind w:firstLine="515"/>
        <w:spacing w:after="0" w:line="244" w:lineRule="auto"/>
        <w:tabs>
          <w:tab w:leader="none" w:pos="127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Each Lender will promptly notify the Company and the Administrative Agent of any event of which it has knowledge, occurring after the date hereof, which will entitle such Lender to compensation pursuant to this Section and will designate a different lending office if such designation will avoid the need for, or reduce the amount of, such compensation and will not, in the judgment of such Lender, be otherwise disadvantageous to such Lender. A certificate of any Lender claiming compensation under this Section and setting forth the additional amount or amounts to be paid to it hereunder shall be conclusive in the absence of manifest error. In determining such amount, such Lender may use any reasonable averaging and attribution methods.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Taxes</w:t>
      </w:r>
      <w:r>
        <w:rPr>
          <w:rFonts w:ascii="Arial" w:cs="Arial" w:eastAsia="Arial" w:hAnsi="Arial"/>
          <w:sz w:val="21"/>
          <w:szCs w:val="21"/>
          <w:color w:val="auto"/>
        </w:rPr>
        <w:t>. (a) For the purposes of this Section 8.04, the following terms have the following meanings:</w:t>
      </w:r>
    </w:p>
    <w:p>
      <w:pPr>
        <w:spacing w:after="0" w:line="177"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xml:space="preserve">” means any and all present or future taxes, duties, levies, imposts, deductions, charges or withholdings with respect to any payment by any Borrower or the Company pursuant to this Agreement or under any Note, and all liabilities with respect thereto, </w:t>
      </w:r>
      <w:r>
        <w:rPr>
          <w:rFonts w:ascii="Arial" w:cs="Arial" w:eastAsia="Arial" w:hAnsi="Arial"/>
          <w:sz w:val="20"/>
          <w:szCs w:val="20"/>
          <w:u w:val="single" w:color="auto"/>
          <w:color w:val="auto"/>
        </w:rPr>
        <w:t>excluding</w:t>
      </w:r>
      <w:r>
        <w:rPr>
          <w:rFonts w:ascii="Arial" w:cs="Arial" w:eastAsia="Arial" w:hAnsi="Arial"/>
          <w:sz w:val="20"/>
          <w:szCs w:val="20"/>
          <w:color w:val="auto"/>
        </w:rPr>
        <w:t xml:space="preserve"> (i) in the case of each Lender and the Administrative Agent, taxes imposed on its net income, and franchise or similar taxes (x) imposed on it, by a jurisdiction under the laws of which such Lender or the Administrative Agent (as the case may be) is organized or in which its principal executive office is located or, in the case of each Lender, in which its Applicable Lending Office is located or (y) that are Other Connection Taxes, (ii) in the case of each Lender, any United States withholding tax imposed on such payments, but only up to the rate (if any) at which United States withholding tax would apply to such payments to such Lender at the time such Lender first becomes a party to this Agreement or such Lender changes its Applicable Lending Office and (iii) any United States withholding tax imposed under FATCA.</w:t>
      </w:r>
    </w:p>
    <w:p>
      <w:pPr>
        <w:spacing w:after="0" w:line="154"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Taxes</w:t>
      </w:r>
      <w:r>
        <w:rPr>
          <w:rFonts w:ascii="Arial" w:cs="Arial" w:eastAsia="Arial" w:hAnsi="Arial"/>
          <w:sz w:val="21"/>
          <w:szCs w:val="21"/>
          <w:color w:val="auto"/>
        </w:rPr>
        <w:t>” means any present or future stamp or documentary taxes and any other excise or property taxes, or similar charges or levies, which arise from any payment made pursuant to this Agreement or under any Note or from the execution, performance, enforcement or delivery of, or otherwise with respect to, this Agreement or any Note.</w:t>
      </w:r>
    </w:p>
    <w:p>
      <w:pPr>
        <w:spacing w:after="0" w:line="154" w:lineRule="exact"/>
        <w:rPr>
          <w:sz w:val="20"/>
          <w:szCs w:val="20"/>
          <w:color w:val="auto"/>
        </w:rPr>
      </w:pPr>
    </w:p>
    <w:p>
      <w:pPr>
        <w:jc w:val="both"/>
        <w:ind w:firstLine="642"/>
        <w:spacing w:after="0" w:line="220" w:lineRule="auto"/>
        <w:tabs>
          <w:tab w:leader="none" w:pos="93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Any and all payments by or on account of any obligation of any Borrower or the Company to or for the account of any Lender or the Administrative Agent hereunder or under any Note shall be made without deduction for any Taxes or Other Taxes, except as required by applicable law. If any Borrower, the Company or the Administrative Agent shall be required by law to deduct any Taxes or Other Taxes from any such payments, (i) the sum payable by the Borrower or the Company shall be increased as necessary so that after all required deductions (including deductions applicable to additional sums payable under this Section)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71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Administrative Agent (as the case may be) receives an amount equal to the sum it would have received had no such deductions been made, (ii) the Borrower, the Company or the Administrative Agent, as applicable, shall make such deductions, (iii) the Borrower, the Company or the Administrative Agent, as applicable, shall pay the full amount deducted to the relevant taxation authority or other authority in accordance with applicable law and (iv) if the withholding agent is the Borrower or the Company, the Borrower or the Company shall promptly furnish to the Administrative Agent, at its address referred to in Section 11.01, the original or a certified copy of a receipt evidencing payment thereof, a copy of the return reporting payment thereof or other evidence of payment thereof reasonably satisfactory to the Administrative Agent.</w:t>
      </w:r>
    </w:p>
    <w:p>
      <w:pPr>
        <w:spacing w:after="0" w:line="153"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(c ) The Company shall timely pay to the relevant taxation authority in accordance with applicable law, or at the option of the Administrative Agent timely reimburse it for the payment of, any Other Taxes.</w:t>
      </w:r>
    </w:p>
    <w:p>
      <w:pPr>
        <w:spacing w:after="0" w:line="155" w:lineRule="exact"/>
        <w:rPr>
          <w:sz w:val="20"/>
          <w:szCs w:val="20"/>
          <w:color w:val="auto"/>
        </w:rPr>
      </w:pPr>
    </w:p>
    <w:p>
      <w:pPr>
        <w:jc w:val="both"/>
        <w:ind w:firstLine="642"/>
        <w:spacing w:after="0" w:line="219" w:lineRule="auto"/>
        <w:tabs>
          <w:tab w:leader="none" w:pos="961"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Company agrees to indemnify each Lender and the Administrative Agent for the full amount of Taxes or Other Taxes (including, without limitation, any Taxes or Other Taxes imposed or asserted by any jurisdiction on amounts payable under this Section) paid by such Lender or the Administrative Agent (as the case may be) and any liability (including penalties, interest and expenses) arising therefrom or with respect thereto. Such Lender or the Administrative Agent shall provide a certificate as to the amount of such payment or liability delivered to the Company setting forth in reasonable detail the basis and calculation of such amounts. This indemnification shall be paid within 15 days after such Lender or the Administrative Agent (as the case may be) makes demand therefor.</w:t>
      </w:r>
    </w:p>
    <w:p>
      <w:pPr>
        <w:spacing w:after="0" w:line="153" w:lineRule="exact"/>
        <w:rPr>
          <w:rFonts w:ascii="Arial" w:cs="Arial" w:eastAsia="Arial" w:hAnsi="Arial"/>
          <w:sz w:val="21"/>
          <w:szCs w:val="21"/>
          <w:color w:val="auto"/>
        </w:rPr>
      </w:pPr>
    </w:p>
    <w:p>
      <w:pPr>
        <w:jc w:val="both"/>
        <w:ind w:firstLine="642"/>
        <w:spacing w:after="0" w:line="236" w:lineRule="auto"/>
        <w:tabs>
          <w:tab w:leader="none" w:pos="93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Lender organized under the laws of a jurisdiction outside the United States, on or prior to the date of its execution and delivery of this Agreement in the case of each Lender listed on the signature pages hereof and on or prior to the date on which it becomes a Lender in the case of each other Lender, and from time to time thereafter if requested in writing by the Company or the Administrative Agent (but only so long as such Lender remains lawfully able to do so), shall provide the Company and the Administrative Agent with Internal Revenue Service form W-8BEN or W-8BEN-E (together with, in the case of a Lender claiming the benefits of the exemption for portfolio interest under Section 881(c) of the Code, a certificate to the effect that such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W-8IMY (accompanied by form W-8ECI, form W-8BEN or W-8BEN-E, a U.S. Tax Compliance Certificate, form W-9, and/or other certification documents from each beneficial owner, as applicable) or W-8ECI, as appropriate, or any successor form prescribed by the Internal Revenue Service. Each Lender that is organized under the laws of a jurisdiction in the United States, on or prior to the date of its execution and delivery of this Agreement in the case of each Lender listed on the signature pages hereof and on or prior to the date on which it becomes a Lender in the case of each other Lender, and from time to time thereafter if requested in writing by the Company or the Administrative Agent (but only so long as such Lender remains lawfully able to do so), shall provide the Company and the Administrative Agent with Internal Revenue Service form W-9 certifying that such Lender is exempt from U.S. federal backup withholding.</w:t>
      </w:r>
    </w:p>
    <w:p>
      <w:pPr>
        <w:spacing w:after="0" w:line="166" w:lineRule="exact"/>
        <w:rPr>
          <w:rFonts w:ascii="Arial" w:cs="Arial" w:eastAsia="Arial" w:hAnsi="Arial"/>
          <w:sz w:val="19"/>
          <w:szCs w:val="19"/>
          <w:color w:val="auto"/>
        </w:rPr>
      </w:pPr>
    </w:p>
    <w:p>
      <w:pPr>
        <w:jc w:val="both"/>
        <w:ind w:firstLine="642"/>
        <w:spacing w:after="0" w:line="225" w:lineRule="auto"/>
        <w:tabs>
          <w:tab w:leader="none" w:pos="914" w:val="left"/>
        </w:tabs>
        <w:numPr>
          <w:ilvl w:val="0"/>
          <w:numId w:val="134"/>
        </w:numPr>
        <w:rPr>
          <w:rFonts w:ascii="Arial" w:cs="Arial" w:eastAsia="Arial" w:hAnsi="Arial"/>
          <w:sz w:val="21"/>
          <w:szCs w:val="21"/>
          <w:color w:val="auto"/>
        </w:rPr>
      </w:pPr>
      <w:r>
        <w:rPr>
          <w:rFonts w:ascii="Arial" w:cs="Arial" w:eastAsia="Arial" w:hAnsi="Arial"/>
          <w:sz w:val="21"/>
          <w:szCs w:val="21"/>
          <w:color w:val="auto"/>
        </w:rPr>
        <w:t>For any period with respect to which a Lender has failed to provide the Company or the Administrative Agent with the appropriate form pursuant to Section 8.04(e) (unless such failure is due to a change in treaty, law or regulation occurring subsequent to the date on which such form originally was required to be provided), such Lender shall not be entitled to indemnification under Section 8.04(b) or (d) with respect to Taxes imposed by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72</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Lender, which is otherwise exempt from or subject to a reduced rate of withholding tax, becomes subject to Taxes because of its failure to deliver a form required hereunder, the Borrowers shall take such steps as such Lender shall reasonably request to assist such Lender to recover such Taxes.</w:t>
      </w:r>
    </w:p>
    <w:p>
      <w:pPr>
        <w:spacing w:after="0" w:line="154" w:lineRule="exact"/>
        <w:rPr>
          <w:sz w:val="20"/>
          <w:szCs w:val="20"/>
          <w:color w:val="auto"/>
        </w:rPr>
      </w:pPr>
    </w:p>
    <w:p>
      <w:pPr>
        <w:jc w:val="both"/>
        <w:ind w:firstLine="721"/>
        <w:spacing w:after="0" w:line="227" w:lineRule="auto"/>
        <w:tabs>
          <w:tab w:leader="none" w:pos="104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If a payment made to a Lender under this Agreement or any Note would be subject to U.S. federal withholding tax imposed by FATCA if such Lender were to fail to comply with the applicable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the purposes of this Section 8.04(g), “FATCA” shall include any amendments made to FATCA after the date of this Agreement, whether or not included in the definition of FATCA.</w:t>
      </w:r>
    </w:p>
    <w:p>
      <w:pPr>
        <w:spacing w:after="0" w:line="156" w:lineRule="exact"/>
        <w:rPr>
          <w:rFonts w:ascii="Arial" w:cs="Arial" w:eastAsia="Arial" w:hAnsi="Arial"/>
          <w:sz w:val="20"/>
          <w:szCs w:val="20"/>
          <w:color w:val="auto"/>
        </w:rPr>
      </w:pPr>
    </w:p>
    <w:p>
      <w:pPr>
        <w:jc w:val="both"/>
        <w:ind w:firstLine="721"/>
        <w:spacing w:after="0" w:line="225" w:lineRule="auto"/>
        <w:tabs>
          <w:tab w:leader="none" w:pos="1026" w:val="left"/>
        </w:tabs>
        <w:numPr>
          <w:ilvl w:val="1"/>
          <w:numId w:val="135"/>
        </w:numPr>
        <w:rPr>
          <w:rFonts w:ascii="Arial" w:cs="Arial" w:eastAsia="Arial" w:hAnsi="Arial"/>
          <w:sz w:val="21"/>
          <w:szCs w:val="21"/>
          <w:color w:val="auto"/>
        </w:rPr>
      </w:pPr>
      <w:r>
        <w:rPr>
          <w:rFonts w:ascii="Arial" w:cs="Arial" w:eastAsia="Arial" w:hAnsi="Arial"/>
          <w:sz w:val="21"/>
          <w:szCs w:val="21"/>
          <w:color w:val="auto"/>
        </w:rPr>
        <w:t>If any Borrower or the Company is required to pay additional amounts to or for the account of any Lender pursuant to this Section, then such Lender will change the jurisdiction of its Applicable Lending Office if, in the judgment of such Lender, such change (i) will eliminate or reduce any such additional payment which may thereafter accrue and (ii) is not otherwise disadvantageous to such Lender.</w:t>
      </w:r>
    </w:p>
    <w:p>
      <w:pPr>
        <w:spacing w:after="0" w:line="154" w:lineRule="exact"/>
        <w:rPr>
          <w:rFonts w:ascii="Arial" w:cs="Arial" w:eastAsia="Arial" w:hAnsi="Arial"/>
          <w:sz w:val="21"/>
          <w:szCs w:val="21"/>
          <w:color w:val="auto"/>
        </w:rPr>
      </w:pPr>
    </w:p>
    <w:p>
      <w:pPr>
        <w:jc w:val="both"/>
        <w:ind w:firstLine="642"/>
        <w:spacing w:after="0" w:line="220" w:lineRule="auto"/>
        <w:tabs>
          <w:tab w:leader="none" w:pos="90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Each Lender shall severally indemnify the Administrative Agent for any Taxes and Other Taxes (but only to the extent that the Borrowers have not already indemnified the Administrative Agent for such Taxes and Other Taxes and without limiting the obligation, if any, of the Borrowers to do so) or any taxes excluded from the definition of “Taxes”, in each case attributable to such Lender that are paid or payable by the Administrative Agent in connection with this Agreement, and any reasonable expenses arising therefrom or with respect thereto. This indemnification shall be made within 15 days from the date the Administrative Agent makes demand therefor.</w:t>
      </w:r>
    </w:p>
    <w:p>
      <w:pPr>
        <w:spacing w:after="0" w:line="155" w:lineRule="exact"/>
        <w:rPr>
          <w:rFonts w:ascii="Arial" w:cs="Arial" w:eastAsia="Arial" w:hAnsi="Arial"/>
          <w:sz w:val="21"/>
          <w:szCs w:val="21"/>
          <w:color w:val="auto"/>
        </w:rPr>
      </w:pPr>
    </w:p>
    <w:p>
      <w:pPr>
        <w:ind w:firstLine="642"/>
        <w:spacing w:after="0" w:line="225" w:lineRule="auto"/>
        <w:tabs>
          <w:tab w:leader="none" w:pos="88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If any party determines, in its sole reasonable discretion exercised in good faith, that it has received a refund of any taxes as to which it has been indemnified pursuant to this Section 8.04 (including by the payment of additional amounts pursuant to this Section 8.04),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taxing authority with respect to such refund). Such indemnifying party, upon the request of such indemnified party, shall repay to such indemnified party the amount paid over pursuant to this Section 8.04(j) (plus any penalties, interest or other charges imposed by the relevant taxing authority) in the event that such indemnified party is required to repay such refund to such taxing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 the indemnification and giving rise to such refund had not been deducted, withheld or otherwise imposed and the indemnity payments with respect to such tax had never been paid. This paragraph shall not be construed to require any indemnified party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73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63" w:lineRule="exact"/>
        <w:rPr>
          <w:sz w:val="20"/>
          <w:szCs w:val="20"/>
          <w:color w:val="auto"/>
        </w:rPr>
      </w:pPr>
    </w:p>
    <w:p>
      <w:pPr>
        <w:ind w:right="320"/>
        <w:spacing w:after="0" w:line="239" w:lineRule="auto"/>
        <w:rPr>
          <w:sz w:val="20"/>
          <w:szCs w:val="20"/>
          <w:color w:val="auto"/>
        </w:rPr>
      </w:pPr>
      <w:r>
        <w:rPr>
          <w:rFonts w:ascii="Arial" w:cs="Arial" w:eastAsia="Arial" w:hAnsi="Arial"/>
          <w:sz w:val="21"/>
          <w:szCs w:val="21"/>
          <w:color w:val="auto"/>
        </w:rPr>
        <w:t>available its tax returns (or any other information relating to its taxes that it deems confidential) to the indemnifying party or any other Person.</w:t>
      </w:r>
    </w:p>
    <w:p>
      <w:pPr>
        <w:spacing w:after="0" w:line="155" w:lineRule="exact"/>
        <w:rPr>
          <w:sz w:val="20"/>
          <w:szCs w:val="20"/>
          <w:color w:val="auto"/>
        </w:rPr>
      </w:pPr>
    </w:p>
    <w:p>
      <w:pPr>
        <w:jc w:val="both"/>
        <w:ind w:firstLine="1151"/>
        <w:spacing w:after="0" w:line="230" w:lineRule="auto"/>
        <w:tabs>
          <w:tab w:leader="none" w:pos="1453"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Each party’s obligations under this Section 8.04 shall survive the resignation or replacement of the Administrative Agent or any assignment of rights by, or the replacement of, a Lender, the termination of the Commitments and the repayment, satisfaction or discharge of all obligations under this Agreement.</w:t>
      </w:r>
    </w:p>
    <w:p>
      <w:pPr>
        <w:spacing w:after="0" w:line="154" w:lineRule="exact"/>
        <w:rPr>
          <w:sz w:val="20"/>
          <w:szCs w:val="20"/>
          <w:color w:val="auto"/>
        </w:rPr>
      </w:pPr>
    </w:p>
    <w:p>
      <w:pPr>
        <w:jc w:val="both"/>
        <w:ind w:firstLine="557"/>
        <w:spacing w:after="0" w:line="225" w:lineRule="auto"/>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i w:val="1"/>
          <w:iCs w:val="1"/>
          <w:color w:val="auto"/>
        </w:rPr>
        <w:t>Base Rate Loans Substituted for Affected</w:t>
      </w:r>
      <w:r>
        <w:rPr>
          <w:rFonts w:ascii="Arial" w:cs="Arial" w:eastAsia="Arial" w:hAnsi="Arial"/>
          <w:sz w:val="20"/>
          <w:szCs w:val="20"/>
          <w:color w:val="auto"/>
        </w:rPr>
        <w:t xml:space="preserve"> </w:t>
      </w:r>
      <w:r>
        <w:rPr>
          <w:rFonts w:ascii="Arial" w:cs="Arial" w:eastAsia="Arial" w:hAnsi="Arial"/>
          <w:sz w:val="20"/>
          <w:szCs w:val="20"/>
          <w:i w:val="1"/>
          <w:iCs w:val="1"/>
          <w:color w:val="FF0000"/>
          <w:strike w:val="1"/>
        </w:rPr>
        <w:t>Euro-Dollar Rate</w:t>
      </w:r>
      <w:r>
        <w:rPr>
          <w:rFonts w:ascii="Arial" w:cs="Arial" w:eastAsia="Arial" w:hAnsi="Arial"/>
          <w:sz w:val="20"/>
          <w:szCs w:val="20"/>
          <w:i w:val="1"/>
          <w:iCs w:val="1"/>
          <w:u w:val="single" w:color="auto"/>
          <w:color w:val="0000FF"/>
        </w:rPr>
        <w:t>Loans</w:t>
      </w:r>
      <w:r>
        <w:rPr>
          <w:rFonts w:ascii="Arial" w:cs="Arial" w:eastAsia="Arial" w:hAnsi="Arial"/>
          <w:sz w:val="20"/>
          <w:szCs w:val="20"/>
          <w:color w:val="auto"/>
        </w:rPr>
        <w:t xml:space="preserve">. If (i) the obligation of any Lender to make, or convert outstanding Loans to,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auto"/>
        </w:rPr>
        <w:t xml:space="preserve"> Loans </w:t>
      </w:r>
      <w:r>
        <w:rPr>
          <w:rFonts w:ascii="Arial" w:cs="Arial" w:eastAsia="Arial" w:hAnsi="Arial"/>
          <w:sz w:val="20"/>
          <w:szCs w:val="20"/>
          <w:u w:val="single" w:color="auto"/>
          <w:color w:val="0000FF"/>
        </w:rPr>
        <w:t>or RFR Loans</w:t>
      </w:r>
      <w:r>
        <w:rPr>
          <w:rFonts w:ascii="Arial" w:cs="Arial" w:eastAsia="Arial" w:hAnsi="Arial"/>
          <w:sz w:val="20"/>
          <w:szCs w:val="20"/>
          <w:color w:val="auto"/>
        </w:rPr>
        <w:t xml:space="preserve"> to any Borrower has been suspended pursuant to Section 8.02 or (ii) any Lender has demanded compensation under Section 8.03 or 8.04 with respect to its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Loans or RFR</w:t>
      </w:r>
      <w:r>
        <w:rPr>
          <w:rFonts w:ascii="Arial" w:cs="Arial" w:eastAsia="Arial" w:hAnsi="Arial"/>
          <w:sz w:val="20"/>
          <w:szCs w:val="20"/>
          <w:color w:val="FF0000"/>
        </w:rPr>
        <w:t xml:space="preserve"> </w:t>
      </w:r>
      <w:r>
        <w:rPr>
          <w:rFonts w:ascii="Arial" w:cs="Arial" w:eastAsia="Arial" w:hAnsi="Arial"/>
          <w:sz w:val="20"/>
          <w:szCs w:val="20"/>
          <w:color w:val="000000"/>
        </w:rPr>
        <w:t>Loans and the relevant Borrower shall, by at least five</w:t>
      </w:r>
      <w:r>
        <w:rPr>
          <w:rFonts w:ascii="Arial" w:cs="Arial" w:eastAsia="Arial" w:hAnsi="Arial"/>
          <w:sz w:val="20"/>
          <w:szCs w:val="20"/>
          <w:color w:val="FF0000"/>
        </w:rPr>
        <w:t xml:space="preserve"> </w:t>
      </w:r>
      <w:r>
        <w:rPr>
          <w:rFonts w:ascii="Arial" w:cs="Arial" w:eastAsia="Arial" w:hAnsi="Arial"/>
          <w:sz w:val="20"/>
          <w:szCs w:val="20"/>
          <w:color w:val="FF0000"/>
          <w:strike w:val="1"/>
        </w:rPr>
        <w:t>Euro-Dollar</w:t>
      </w:r>
      <w:r>
        <w:rPr>
          <w:rFonts w:ascii="Arial" w:cs="Arial" w:eastAsia="Arial" w:hAnsi="Arial"/>
          <w:sz w:val="20"/>
          <w:szCs w:val="20"/>
          <w:color w:val="FF0000"/>
        </w:rPr>
        <w:t xml:space="preserve"> </w:t>
      </w:r>
      <w:r>
        <w:rPr>
          <w:rFonts w:ascii="Arial" w:cs="Arial" w:eastAsia="Arial" w:hAnsi="Arial"/>
          <w:sz w:val="20"/>
          <w:szCs w:val="20"/>
          <w:color w:val="000000"/>
        </w:rPr>
        <w:t>Business Days’ prior</w:t>
      </w:r>
      <w:r>
        <w:rPr>
          <w:rFonts w:ascii="Arial" w:cs="Arial" w:eastAsia="Arial" w:hAnsi="Arial"/>
          <w:sz w:val="20"/>
          <w:szCs w:val="20"/>
          <w:color w:val="FF0000"/>
        </w:rPr>
        <w:t xml:space="preserve"> </w:t>
      </w:r>
      <w:r>
        <w:rPr>
          <w:rFonts w:ascii="Arial" w:cs="Arial" w:eastAsia="Arial" w:hAnsi="Arial"/>
          <w:sz w:val="20"/>
          <w:szCs w:val="20"/>
          <w:color w:val="000000"/>
        </w:rPr>
        <w:t xml:space="preserve">notice to such Lender through the Administrative Agent, have elected that the provisions of this Section shall apply to such Lender, then, unless and until such Lender notifies the Company that the circumstances giving rise to such suspension or demand for compensation no longer exist, all Loans to such Borrower which would otherwise be made by such Lender as (or continued as or converted into)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Loans or RFR</w:t>
      </w:r>
      <w:r>
        <w:rPr>
          <w:rFonts w:ascii="Arial" w:cs="Arial" w:eastAsia="Arial" w:hAnsi="Arial"/>
          <w:sz w:val="20"/>
          <w:szCs w:val="20"/>
          <w:color w:val="000000"/>
        </w:rPr>
        <w:t xml:space="preserve"> Loans shall instead be Base Rate Loans (on which interest and principal shall be payable contemporaneously with the related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 Loans or RFR</w:t>
      </w:r>
      <w:r>
        <w:rPr>
          <w:rFonts w:ascii="Arial" w:cs="Arial" w:eastAsia="Arial" w:hAnsi="Arial"/>
          <w:sz w:val="20"/>
          <w:szCs w:val="20"/>
          <w:color w:val="000000"/>
        </w:rPr>
        <w:t xml:space="preserve"> Loans of the other Lenders). If such Lender notifies the Company that the circumstances giving rise to such notice no longer apply, the principal amount of each such Base Rate Loan shall be converted into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000000"/>
        </w:rPr>
        <w:t xml:space="preserve"> Loan on the first day of the next succeeding Interest Period applicable to the related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Benchmark</w:t>
      </w:r>
      <w:r>
        <w:rPr>
          <w:rFonts w:ascii="Arial" w:cs="Arial" w:eastAsia="Arial" w:hAnsi="Arial"/>
          <w:sz w:val="20"/>
          <w:szCs w:val="20"/>
          <w:color w:val="000000"/>
        </w:rPr>
        <w:t xml:space="preserve"> Loans of the other Lenders </w:t>
      </w:r>
      <w:r>
        <w:rPr>
          <w:rFonts w:ascii="Arial" w:cs="Arial" w:eastAsia="Arial" w:hAnsi="Arial"/>
          <w:sz w:val="20"/>
          <w:szCs w:val="20"/>
          <w:color w:val="0000FF"/>
        </w:rPr>
        <w:t>or, if applicable</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pursuant to Section 8.01, shall be converted immediately into a RFR Loan</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6184900</wp:posOffset>
            </wp:positionH>
            <wp:positionV relativeFrom="paragraph">
              <wp:posOffset>-158750</wp:posOffset>
            </wp:positionV>
            <wp:extent cx="9537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240"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9</w:t>
      </w:r>
    </w:p>
    <w:p>
      <w:pPr>
        <w:ind w:left="3260"/>
        <w:spacing w:after="0"/>
        <w:rPr>
          <w:sz w:val="20"/>
          <w:szCs w:val="20"/>
          <w:color w:val="auto"/>
        </w:rPr>
      </w:pPr>
      <w:r>
        <w:rPr>
          <w:rFonts w:ascii="Arial" w:cs="Arial" w:eastAsia="Arial" w:hAnsi="Arial"/>
          <w:sz w:val="21"/>
          <w:szCs w:val="21"/>
          <w:color w:val="auto"/>
        </w:rPr>
        <w:t>Representations and Warranties of Eligible Subsidiaries</w:t>
      </w:r>
    </w:p>
    <w:p>
      <w:pPr>
        <w:spacing w:after="0" w:line="16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Each Eligible Subsidiary shall be deemed by the execution and delivery of its Election to Participate to have represented and warranted as of the date thereof that:</w:t>
      </w:r>
    </w:p>
    <w:p>
      <w:pPr>
        <w:spacing w:after="0" w:line="15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i w:val="1"/>
          <w:iCs w:val="1"/>
          <w:color w:val="auto"/>
        </w:rPr>
        <w:t>Organizational Existence and Power</w:t>
      </w:r>
      <w:r>
        <w:rPr>
          <w:rFonts w:ascii="Arial" w:cs="Arial" w:eastAsia="Arial" w:hAnsi="Arial"/>
          <w:sz w:val="21"/>
          <w:szCs w:val="21"/>
          <w:color w:val="auto"/>
        </w:rPr>
        <w:t>. It is duly organized, validly existing and in good standing under the laws of its jurisdiction of organization and is a Wholly-Owned Principal Subsidiary.</w:t>
      </w:r>
    </w:p>
    <w:p>
      <w:pPr>
        <w:spacing w:after="0" w:line="155"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i w:val="1"/>
          <w:iCs w:val="1"/>
          <w:color w:val="auto"/>
        </w:rPr>
        <w:t>Organizational and Governmental Authorization; No Contravention</w:t>
      </w:r>
      <w:r>
        <w:rPr>
          <w:rFonts w:ascii="Arial" w:cs="Arial" w:eastAsia="Arial" w:hAnsi="Arial"/>
          <w:sz w:val="21"/>
          <w:szCs w:val="21"/>
          <w:color w:val="auto"/>
        </w:rPr>
        <w:t>. The execution and delivery by it of its Election to Participate and its Notes, and the performance by it of this Agreement and its Notes, are within its organizational powers, have been duly authorized by all necessary organizational action, require no action by or in respect of, or filing with, any governmental body, agency or official and do not contravene, or constitute a default under, any provision of applicable law or regulation or of its organizational documents or of any agreement, judgment, injunction, order, decree or other instrument binding upon the Company or such Eligible Subsidiary or result in the creation or imposition of any Lien on any asset of the Company or any of its Subsidiaries.</w:t>
      </w:r>
    </w:p>
    <w:p>
      <w:pPr>
        <w:spacing w:after="0" w:line="154"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i w:val="1"/>
          <w:iCs w:val="1"/>
          <w:color w:val="auto"/>
        </w:rPr>
        <w:t>Binding Effect</w:t>
      </w:r>
      <w:r>
        <w:rPr>
          <w:rFonts w:ascii="Arial" w:cs="Arial" w:eastAsia="Arial" w:hAnsi="Arial"/>
          <w:sz w:val="20"/>
          <w:szCs w:val="20"/>
          <w:color w:val="auto"/>
        </w:rPr>
        <w:t>. This Agreement constitutes a valid and binding agreement of such Eligible Subsidiary and its Notes, when and if executed and delivered in accordance with this Agreement, will constitute valid and binding obligations of such Eligible Subsidiary, in each case enforceable in accordance with its terms except as the same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74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limited by bankruptcy, insolvency or similar laws affecting creditors’ rights generally and by general principles of equity.</w:t>
      </w:r>
    </w:p>
    <w:p>
      <w:pPr>
        <w:spacing w:after="0" w:line="183"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i w:val="1"/>
          <w:iCs w:val="1"/>
          <w:color w:val="auto"/>
        </w:rPr>
        <w:t>Taxes</w:t>
      </w:r>
      <w:r>
        <w:rPr>
          <w:rFonts w:ascii="Arial" w:cs="Arial" w:eastAsia="Arial" w:hAnsi="Arial"/>
          <w:sz w:val="21"/>
          <w:szCs w:val="21"/>
          <w:color w:val="auto"/>
        </w:rPr>
        <w:t>. Except as disclosed in such Election to Participate, there is no income, stamp or other tax of any country, or any taxing authority thereof or therein, imposed by or in the nature of withholding or otherwise, which is imposed on any payment to be made by such Eligible Subsidiary pursuant hereto or on its Notes, or is imposed on or by virtue of the execution, delivery or enforcement of its Election to Participate or of its Notes.</w:t>
      </w:r>
    </w:p>
    <w:p>
      <w:pPr>
        <w:spacing w:after="0" w:line="249"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10</w:t>
      </w:r>
    </w:p>
    <w:p>
      <w:pPr>
        <w:ind w:left="5220"/>
        <w:spacing w:after="0"/>
        <w:rPr>
          <w:sz w:val="20"/>
          <w:szCs w:val="20"/>
          <w:color w:val="auto"/>
        </w:rPr>
      </w:pPr>
      <w:r>
        <w:rPr>
          <w:rFonts w:ascii="Arial" w:cs="Arial" w:eastAsia="Arial" w:hAnsi="Arial"/>
          <w:sz w:val="21"/>
          <w:szCs w:val="21"/>
          <w:color w:val="auto"/>
        </w:rPr>
        <w:t>Guaranty</w:t>
      </w:r>
    </w:p>
    <w:p>
      <w:pPr>
        <w:spacing w:after="0" w:line="165"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21"/>
          <w:szCs w:val="21"/>
          <w:color w:val="auto"/>
        </w:rPr>
        <w:t>SECTION 10.01</w:t>
      </w:r>
      <w:r>
        <w:rPr>
          <w:rFonts w:ascii="Arial" w:cs="Arial" w:eastAsia="Arial" w:hAnsi="Arial"/>
          <w:sz w:val="21"/>
          <w:szCs w:val="21"/>
          <w:i w:val="1"/>
          <w:iCs w:val="1"/>
          <w:color w:val="auto"/>
        </w:rPr>
        <w:t>. The Guaranty.</w:t>
      </w:r>
      <w:r>
        <w:rPr>
          <w:rFonts w:ascii="Arial" w:cs="Arial" w:eastAsia="Arial" w:hAnsi="Arial"/>
          <w:sz w:val="21"/>
          <w:szCs w:val="21"/>
          <w:color w:val="auto"/>
        </w:rPr>
        <w:t xml:space="preserve"> The Company hereby unconditionally, absolutely and irrevocably guarantees the full and punctual payment (whether at stated maturity, upon acceleration or otherwise) of the principal of and interest on each Loan made to and each Reimbursement Obligation incurred by each Eligible Subsidiary pursuant to this Agreement, and the full and punctual payment of all other amounts payable by each Eligible Subsidiary under this Agreement. Upon failure by any Eligible Subsidiary to pay punctually any such amount, the Company shall forthwith on demand pay the amount not so paid at the place and in the manner specified in this Agreement.</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i w:val="1"/>
          <w:iCs w:val="1"/>
          <w:color w:val="auto"/>
        </w:rPr>
        <w:t>Guaranty Unconditional</w:t>
      </w:r>
      <w:r>
        <w:rPr>
          <w:rFonts w:ascii="Arial" w:cs="Arial" w:eastAsia="Arial" w:hAnsi="Arial"/>
          <w:sz w:val="21"/>
          <w:szCs w:val="21"/>
          <w:color w:val="auto"/>
        </w:rPr>
        <w:t>. The obligations of the Company hereunder shall be unconditional and absolute and, without limiting the generality of the foregoing, shall not be released, discharged or otherwise affected by:</w:t>
      </w:r>
    </w:p>
    <w:p>
      <w:pPr>
        <w:spacing w:after="0" w:line="155" w:lineRule="exact"/>
        <w:rPr>
          <w:sz w:val="20"/>
          <w:szCs w:val="20"/>
          <w:color w:val="auto"/>
        </w:rPr>
      </w:pPr>
    </w:p>
    <w:p>
      <w:pPr>
        <w:ind w:firstLine="642"/>
        <w:spacing w:after="0" w:line="239" w:lineRule="auto"/>
        <w:tabs>
          <w:tab w:leader="none" w:pos="92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any extension, renewal, settlement, compromise, waiver or release in respect of any obligation of any Eligible Subsidiary under this Agreement or any Note, by operation of law or otherwise;</w:t>
      </w:r>
    </w:p>
    <w:p>
      <w:pPr>
        <w:spacing w:after="0" w:line="155" w:lineRule="exact"/>
        <w:rPr>
          <w:rFonts w:ascii="Arial" w:cs="Arial" w:eastAsia="Arial" w:hAnsi="Arial"/>
          <w:sz w:val="21"/>
          <w:szCs w:val="21"/>
          <w:color w:val="auto"/>
        </w:rPr>
      </w:pPr>
    </w:p>
    <w:p>
      <w:pPr>
        <w:ind w:left="940" w:hanging="298"/>
        <w:spacing w:after="0"/>
        <w:tabs>
          <w:tab w:leader="none" w:pos="94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any modification or amendment of or supplement to this Agreement or any Note;</w:t>
      </w:r>
    </w:p>
    <w:p>
      <w:pPr>
        <w:spacing w:after="0" w:line="183"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(c ) any release, impairment, non-perfection or invalidity of any direct or indirect security for any obligation of any Eligible Subsidiary under this Agreement or any Note;</w:t>
      </w:r>
    </w:p>
    <w:p>
      <w:pPr>
        <w:spacing w:after="0" w:line="155" w:lineRule="exact"/>
        <w:rPr>
          <w:sz w:val="20"/>
          <w:szCs w:val="20"/>
          <w:color w:val="auto"/>
        </w:rPr>
      </w:pPr>
    </w:p>
    <w:p>
      <w:pPr>
        <w:jc w:val="both"/>
        <w:ind w:firstLine="642"/>
        <w:spacing w:after="0" w:line="230" w:lineRule="auto"/>
        <w:tabs>
          <w:tab w:leader="none" w:pos="945"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any change in the corporate existence, structure or ownership of any Eligible Subsidiary, or any insolvency, bankruptcy, reorganization or other similar proceeding affecting any Eligible Subsidiary or its assets or any resulting release or discharge of any obligation of any Eligible Subsidiary contained in this Agreement or any Note;</w:t>
      </w:r>
    </w:p>
    <w:p>
      <w:pPr>
        <w:spacing w:after="0" w:line="153" w:lineRule="exact"/>
        <w:rPr>
          <w:rFonts w:ascii="Arial" w:cs="Arial" w:eastAsia="Arial" w:hAnsi="Arial"/>
          <w:sz w:val="21"/>
          <w:szCs w:val="21"/>
          <w:color w:val="auto"/>
        </w:rPr>
      </w:pPr>
    </w:p>
    <w:p>
      <w:pPr>
        <w:jc w:val="both"/>
        <w:ind w:firstLine="642"/>
        <w:spacing w:after="0" w:line="261" w:lineRule="auto"/>
        <w:tabs>
          <w:tab w:leader="none" w:pos="96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existence of any claim, set-off or other rights which the Company may have at any time against any Eligible Subsidiary, the Administrative Agent, any Lender or any other Person, whether in connection herewith or any unrelated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assertion of any such claim by separate suit or compulsory counterclaim;</w:t>
      </w:r>
    </w:p>
    <w:p>
      <w:pPr>
        <w:spacing w:after="0" w:line="135" w:lineRule="exact"/>
        <w:rPr>
          <w:sz w:val="20"/>
          <w:szCs w:val="20"/>
          <w:color w:val="auto"/>
        </w:rPr>
      </w:pPr>
    </w:p>
    <w:p>
      <w:pPr>
        <w:jc w:val="both"/>
        <w:ind w:firstLine="721"/>
        <w:spacing w:after="0" w:line="230" w:lineRule="auto"/>
        <w:tabs>
          <w:tab w:leader="none" w:pos="988" w:val="left"/>
        </w:tabs>
        <w:numPr>
          <w:ilvl w:val="1"/>
          <w:numId w:val="140"/>
        </w:numPr>
        <w:rPr>
          <w:rFonts w:ascii="Arial" w:cs="Arial" w:eastAsia="Arial" w:hAnsi="Arial"/>
          <w:sz w:val="21"/>
          <w:szCs w:val="21"/>
          <w:color w:val="auto"/>
        </w:rPr>
      </w:pPr>
      <w:r>
        <w:rPr>
          <w:rFonts w:ascii="Arial" w:cs="Arial" w:eastAsia="Arial" w:hAnsi="Arial"/>
          <w:sz w:val="21"/>
          <w:szCs w:val="21"/>
          <w:color w:val="auto"/>
        </w:rPr>
        <w:t>any invalidity or unenforceability relating to or against any Eligible Subsidiary for any reason of this Agreement or any Note, or any provision of applicable law or regulation purporting to prohibit the payment by any Eligible Subsidiary of the principal of or interest on any Note or any other amount payable by it under this Agreement; or</w:t>
      </w:r>
    </w:p>
    <w:p>
      <w:pPr>
        <w:spacing w:after="0" w:line="153" w:lineRule="exact"/>
        <w:rPr>
          <w:rFonts w:ascii="Arial" w:cs="Arial" w:eastAsia="Arial" w:hAnsi="Arial"/>
          <w:sz w:val="21"/>
          <w:szCs w:val="21"/>
          <w:color w:val="auto"/>
        </w:rPr>
      </w:pPr>
    </w:p>
    <w:p>
      <w:pPr>
        <w:ind w:left="80" w:firstLine="562"/>
        <w:spacing w:after="0" w:line="239" w:lineRule="auto"/>
        <w:tabs>
          <w:tab w:leader="none" w:pos="939"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any other act or omission to act or delay of any kind by any Eligible Subsidiary, the Administrative Agent, any Lender or any other Person or any other circumstance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75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63" w:lineRule="exact"/>
        <w:rPr>
          <w:sz w:val="20"/>
          <w:szCs w:val="20"/>
          <w:color w:val="auto"/>
        </w:rPr>
      </w:pPr>
    </w:p>
    <w:p>
      <w:pPr>
        <w:ind w:left="80"/>
        <w:spacing w:after="0" w:line="239" w:lineRule="auto"/>
        <w:rPr>
          <w:sz w:val="20"/>
          <w:szCs w:val="20"/>
          <w:color w:val="auto"/>
        </w:rPr>
      </w:pPr>
      <w:r>
        <w:rPr>
          <w:rFonts w:ascii="Arial" w:cs="Arial" w:eastAsia="Arial" w:hAnsi="Arial"/>
          <w:sz w:val="21"/>
          <w:szCs w:val="21"/>
          <w:color w:val="auto"/>
        </w:rPr>
        <w:t>which might, but for the provisions of this paragraph, constitute a legal or equitable discharge of or defense to the Company’s obligations hereunder.</w:t>
      </w:r>
    </w:p>
    <w:p>
      <w:pPr>
        <w:spacing w:after="0" w:line="15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i w:val="1"/>
          <w:iCs w:val="1"/>
          <w:color w:val="auto"/>
        </w:rPr>
        <w:t>Discharge Only upon Payment in Full; Reinstatement in Certain Circumstances</w:t>
      </w:r>
      <w:r>
        <w:rPr>
          <w:rFonts w:ascii="Arial" w:cs="Arial" w:eastAsia="Arial" w:hAnsi="Arial"/>
          <w:sz w:val="19"/>
          <w:szCs w:val="19"/>
          <w:color w:val="auto"/>
        </w:rPr>
        <w:t>. The Company’s obligations hereunder shall remain in full force and effect until the Commitments shall have terminated and the principal of and interest on the Loans, the Reimbursement Obligations and all other amounts payable by the Company and each Eligible Subsidiary under this Agreement shall have been paid in full. If at any time any payment of the principal of or interest on any Loan or any other amount payable by any Eligible Subsidiary under this Agreement is rescinded or must be otherwise restored or returned upon the insolvency, bankruptcy or reorganization of any Eligible Subsidiary or otherwise, the Company’s obligations hereunder with respect to such payment shall be reinstated at such time as though such payment had been due but not made at such time.</w:t>
      </w:r>
    </w:p>
    <w:p>
      <w:pPr>
        <w:spacing w:after="0" w:line="15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i w:val="1"/>
          <w:iCs w:val="1"/>
          <w:color w:val="auto"/>
        </w:rPr>
        <w:t>Waiver by the Company</w:t>
      </w:r>
      <w:r>
        <w:rPr>
          <w:rFonts w:ascii="Arial" w:cs="Arial" w:eastAsia="Arial" w:hAnsi="Arial"/>
          <w:sz w:val="21"/>
          <w:szCs w:val="21"/>
          <w:color w:val="auto"/>
        </w:rPr>
        <w:t>. The Company irrevocably waives acceptance hereof, presentment, demand, protest and any notice not provided for herein, as well as any requirement that at any time any action be taken by any Person against any Eligible Subsidiary or any other Person.</w:t>
      </w:r>
    </w:p>
    <w:p>
      <w:pPr>
        <w:spacing w:after="0" w:line="154" w:lineRule="exact"/>
        <w:rPr>
          <w:sz w:val="20"/>
          <w:szCs w:val="20"/>
          <w:color w:val="auto"/>
        </w:rPr>
      </w:pPr>
    </w:p>
    <w:p>
      <w:pPr>
        <w:jc w:val="both"/>
        <w:ind w:firstLine="715"/>
        <w:spacing w:after="0" w:line="252"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i w:val="1"/>
          <w:iCs w:val="1"/>
          <w:color w:val="auto"/>
        </w:rPr>
        <w:t>Subrogation</w:t>
      </w:r>
      <w:r>
        <w:rPr>
          <w:rFonts w:ascii="Arial" w:cs="Arial" w:eastAsia="Arial" w:hAnsi="Arial"/>
          <w:sz w:val="19"/>
          <w:szCs w:val="19"/>
          <w:color w:val="auto"/>
        </w:rPr>
        <w:t xml:space="preserve">. Upon making any payment with respect to any Eligible Subsidiary hereunder, the Company shall be subrogated to the rights of the payee against such Eligible Subsidiary with respect to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enforce any payment by way of subrogation unless all amounts of principal of and interest on the Loans to such Eligible Subsidiary and all other amounts payable by such Eligible Subsidiary under this Agreement have been paid in full.</w:t>
      </w:r>
    </w:p>
    <w:p>
      <w:pPr>
        <w:spacing w:after="0" w:line="142" w:lineRule="exact"/>
        <w:rPr>
          <w:sz w:val="20"/>
          <w:szCs w:val="20"/>
          <w:color w:val="auto"/>
        </w:rPr>
      </w:pPr>
    </w:p>
    <w:p>
      <w:pPr>
        <w:jc w:val="both"/>
        <w:ind w:firstLine="715"/>
        <w:spacing w:after="0" w:line="236" w:lineRule="auto"/>
        <w:rPr>
          <w:sz w:val="20"/>
          <w:szCs w:val="20"/>
          <w:color w:val="auto"/>
        </w:rPr>
      </w:pPr>
      <w:r>
        <w:rPr>
          <w:rFonts w:ascii="Arial" w:cs="Arial" w:eastAsia="Arial" w:hAnsi="Arial"/>
          <w:sz w:val="20"/>
          <w:szCs w:val="20"/>
          <w:color w:val="auto"/>
        </w:rPr>
        <w:t xml:space="preserve">SECTION 10.06. </w:t>
      </w:r>
      <w:r>
        <w:rPr>
          <w:rFonts w:ascii="Arial" w:cs="Arial" w:eastAsia="Arial" w:hAnsi="Arial"/>
          <w:sz w:val="20"/>
          <w:szCs w:val="20"/>
          <w:i w:val="1"/>
          <w:iCs w:val="1"/>
          <w:color w:val="auto"/>
        </w:rPr>
        <w:t>Stay of Acceleration</w:t>
      </w:r>
      <w:r>
        <w:rPr>
          <w:rFonts w:ascii="Arial" w:cs="Arial" w:eastAsia="Arial" w:hAnsi="Arial"/>
          <w:sz w:val="20"/>
          <w:szCs w:val="20"/>
          <w:color w:val="auto"/>
        </w:rPr>
        <w:t>. If acceleration of the time for payment of any amount payable by any Eligible Subsidiary under this Agreement or its Notes is stayed upon insolvency, bankruptcy or reorganization of such Eligible Subsidiary, all such amounts otherwise subject to acceleration under the terms of this Agreement shall nonetheless be payable by the Company hereunder forthwith on demand by the Administrative Agent made at the request of the Required Lenders.</w:t>
      </w:r>
    </w:p>
    <w:p>
      <w:pPr>
        <w:spacing w:after="0" w:line="250"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11</w:t>
      </w:r>
    </w:p>
    <w:p>
      <w:pPr>
        <w:ind w:left="5020"/>
        <w:spacing w:after="0"/>
        <w:rPr>
          <w:sz w:val="20"/>
          <w:szCs w:val="20"/>
          <w:color w:val="auto"/>
        </w:rPr>
      </w:pPr>
      <w:r>
        <w:rPr>
          <w:rFonts w:ascii="Arial" w:cs="Arial" w:eastAsia="Arial" w:hAnsi="Arial"/>
          <w:sz w:val="21"/>
          <w:szCs w:val="21"/>
          <w:color w:val="auto"/>
        </w:rPr>
        <w:t>Miscellaneous</w:t>
      </w:r>
    </w:p>
    <w:p>
      <w:pPr>
        <w:spacing w:after="0" w:line="165" w:lineRule="exact"/>
        <w:rPr>
          <w:sz w:val="20"/>
          <w:szCs w:val="20"/>
          <w:color w:val="auto"/>
        </w:rPr>
      </w:pPr>
    </w:p>
    <w:p>
      <w:pPr>
        <w:jc w:val="both"/>
        <w:ind w:firstLine="557"/>
        <w:spacing w:after="0" w:line="226" w:lineRule="auto"/>
        <w:rPr>
          <w:sz w:val="20"/>
          <w:szCs w:val="20"/>
          <w:color w:val="auto"/>
        </w:rPr>
      </w:pPr>
      <w:r>
        <w:rPr>
          <w:rFonts w:ascii="Arial" w:cs="Arial" w:eastAsia="Arial" w:hAnsi="Arial"/>
          <w:sz w:val="20"/>
          <w:szCs w:val="20"/>
          <w:color w:val="auto"/>
        </w:rPr>
        <w:t>SECTION 11.01</w:t>
      </w:r>
      <w:r>
        <w:rPr>
          <w:rFonts w:ascii="Arial" w:cs="Arial" w:eastAsia="Arial" w:hAnsi="Arial"/>
          <w:sz w:val="20"/>
          <w:szCs w:val="20"/>
          <w:i w:val="1"/>
          <w:iCs w:val="1"/>
          <w:color w:val="auto"/>
        </w:rPr>
        <w:t>. Notices.</w:t>
      </w:r>
      <w:r>
        <w:rPr>
          <w:rFonts w:ascii="Arial" w:cs="Arial" w:eastAsia="Arial" w:hAnsi="Arial"/>
          <w:sz w:val="20"/>
          <w:szCs w:val="20"/>
          <w:color w:val="auto"/>
        </w:rPr>
        <w:t xml:space="preserve"> All notices, requests and other communications to any party hereunder shall be in writing (including bank wire, telex, facsimile transmission or similar writing) and shall be given to such party: in the case of the Company or the Administrative Agent, at its address, facsimile number or telex number set forth on the signature pages hereof (or, in the case of an Eligible Subsidiary, in its Election to Participate), in the case of any Lender, at its address, facsimile number or telex number set forth in its Administrative Questionnaire or in the case of any party, at such other address, facsimile number or telex number as such party may hereafter specify for the purpose by notice to the Administrative Agent and the Company. Each such notice, request or other communication shall be effective (i) if given by telex, when such telex is transmitted to the telex number specified in this Section and the appropriate answerback is received, (ii) if given by facsimile transmission, when transmitted to the facsimile number specified in this Section and confirmation of receipt is received, (iii) if given by mail, 72 hours after such communication is deposited in the mails with first class postage prepaid, addressed as aforesaid or (iv) if given by any other means, when delivered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76</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xml:space="preserve">address specified in this Section 11.01;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notices to the Administrative Agent under Article 2 or Article 8 shall not be effective until received.</w:t>
      </w:r>
    </w:p>
    <w:p>
      <w:pPr>
        <w:spacing w:after="0" w:line="155" w:lineRule="exact"/>
        <w:rPr>
          <w:sz w:val="20"/>
          <w:szCs w:val="20"/>
          <w:color w:val="auto"/>
        </w:rPr>
      </w:pPr>
    </w:p>
    <w:p>
      <w:pPr>
        <w:jc w:val="both"/>
        <w:ind w:firstLine="715"/>
        <w:spacing w:after="0" w:line="225" w:lineRule="auto"/>
        <w:rPr>
          <w:sz w:val="20"/>
          <w:szCs w:val="20"/>
          <w:color w:val="auto"/>
        </w:rPr>
      </w:pPr>
      <w:r>
        <w:rPr>
          <w:rFonts w:ascii="Arial" w:cs="Arial" w:eastAsia="Arial" w:hAnsi="Arial"/>
          <w:sz w:val="21"/>
          <w:szCs w:val="21"/>
          <w:i w:val="1"/>
          <w:iCs w:val="1"/>
          <w:color w:val="auto"/>
        </w:rPr>
        <w:t xml:space="preserve">SECTION 11.02. No Waivers. </w:t>
      </w:r>
      <w:r>
        <w:rPr>
          <w:rFonts w:ascii="Arial" w:cs="Arial" w:eastAsia="Arial" w:hAnsi="Arial"/>
          <w:sz w:val="21"/>
          <w:szCs w:val="21"/>
          <w:color w:val="auto"/>
        </w:rPr>
        <w:t>No failure or delay by the Administrative Agent or any Lender in exercising any right, power</w:t>
      </w:r>
      <w:r>
        <w:rPr>
          <w:rFonts w:ascii="Arial" w:cs="Arial" w:eastAsia="Arial" w:hAnsi="Arial"/>
          <w:sz w:val="21"/>
          <w:szCs w:val="21"/>
          <w:i w:val="1"/>
          <w:iCs w:val="1"/>
          <w:color w:val="auto"/>
        </w:rPr>
        <w:t xml:space="preserve"> </w:t>
      </w:r>
      <w:r>
        <w:rPr>
          <w:rFonts w:ascii="Arial" w:cs="Arial" w:eastAsia="Arial" w:hAnsi="Arial"/>
          <w:sz w:val="21"/>
          <w:szCs w:val="21"/>
          <w:color w:val="auto"/>
        </w:rPr>
        <w:t>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4"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auto"/>
        </w:rPr>
        <w:t>SECTION 11.03</w:t>
      </w:r>
      <w:r>
        <w:rPr>
          <w:rFonts w:ascii="Arial" w:cs="Arial" w:eastAsia="Arial" w:hAnsi="Arial"/>
          <w:sz w:val="21"/>
          <w:szCs w:val="21"/>
          <w:i w:val="1"/>
          <w:iCs w:val="1"/>
          <w:color w:val="auto"/>
        </w:rPr>
        <w:t>. Expenses; Limitation of Liability; Indemnification.</w:t>
      </w:r>
      <w:r>
        <w:rPr>
          <w:rFonts w:ascii="Arial" w:cs="Arial" w:eastAsia="Arial" w:hAnsi="Arial"/>
          <w:sz w:val="21"/>
          <w:szCs w:val="21"/>
          <w:color w:val="auto"/>
        </w:rPr>
        <w:t xml:space="preserve"> (a) The Company shall pay (i) all reasonable out-of-pocket expenses of the Administrative Agent, including reasonable fees and disbursements of special counsel for the Administrative Agent, in connection with the preparation and administration of this Agreement, any waiver or consent hereunder or any amendment hereof or any Default or alleged Default hereunder and (ii) if an Event of Default occurs, all out-of-pocket expenses incurred by the Administrative Agent and each Lender, including (without duplication) the fees and disbursements of outside counsel and the allocated cost of inside counsel, in connection with such Event of Default and collection, bankruptcy, insolvency and other enforcement proceedings resulting therefrom.</w:t>
      </w:r>
    </w:p>
    <w:p>
      <w:pPr>
        <w:spacing w:after="0" w:line="154" w:lineRule="exact"/>
        <w:rPr>
          <w:sz w:val="20"/>
          <w:szCs w:val="20"/>
          <w:color w:val="auto"/>
        </w:rPr>
      </w:pPr>
    </w:p>
    <w:p>
      <w:pPr>
        <w:jc w:val="both"/>
        <w:ind w:firstLine="563"/>
        <w:spacing w:after="0" w:line="218" w:lineRule="auto"/>
        <w:tabs>
          <w:tab w:leader="none" w:pos="85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law,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Letter of Credit or the use of the proceeds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Section 11.03(b) shall relieve the Company and each other Borrower of (i) any obligation it may have to indemnify an Indemnitee, as provided in Section 11.03(c), against any special, indirect, consequential or punitive damages asserted against such Indemnitee by a third party or (ii) any other obligation of the Company or any other Borrower that is expressly provided for pursuant to the terms of this Agreement.</w:t>
      </w:r>
    </w:p>
    <w:p>
      <w:pPr>
        <w:spacing w:after="0" w:line="153" w:lineRule="exact"/>
        <w:rPr>
          <w:rFonts w:ascii="Arial" w:cs="Arial" w:eastAsia="Arial" w:hAnsi="Arial"/>
          <w:sz w:val="21"/>
          <w:szCs w:val="21"/>
          <w:color w:val="auto"/>
        </w:rPr>
      </w:pPr>
    </w:p>
    <w:p>
      <w:pPr>
        <w:jc w:val="both"/>
        <w:ind w:firstLine="642"/>
        <w:spacing w:after="0" w:line="236" w:lineRule="auto"/>
        <w:tabs>
          <w:tab w:leader="none" w:pos="972" w:val="left"/>
        </w:tabs>
        <w:numPr>
          <w:ilvl w:val="1"/>
          <w:numId w:val="142"/>
        </w:numPr>
        <w:rPr>
          <w:rFonts w:ascii="Arial" w:cs="Arial" w:eastAsia="Arial" w:hAnsi="Arial"/>
          <w:sz w:val="19"/>
          <w:szCs w:val="19"/>
          <w:color w:val="auto"/>
        </w:rPr>
      </w:pPr>
      <w:r>
        <w:rPr>
          <w:rFonts w:ascii="Arial" w:cs="Arial" w:eastAsia="Arial" w:hAnsi="Arial"/>
          <w:sz w:val="19"/>
          <w:szCs w:val="19"/>
          <w:color w:val="auto"/>
        </w:rPr>
        <w:t>The Company agrees to (i) indemnify each Agent, Joint Lead Arranger and Joint Bookrunner, and Lender, their respective affiliates and the respective directors, officers, agents and employees of the foregoing (each an “</w:t>
      </w:r>
      <w:r>
        <w:rPr>
          <w:rFonts w:ascii="Arial" w:cs="Arial" w:eastAsia="Arial" w:hAnsi="Arial"/>
          <w:sz w:val="19"/>
          <w:szCs w:val="19"/>
          <w:b w:val="1"/>
          <w:bCs w:val="1"/>
          <w:color w:val="auto"/>
        </w:rPr>
        <w:t>Indemnitee</w:t>
      </w:r>
      <w:r>
        <w:rPr>
          <w:rFonts w:ascii="Arial" w:cs="Arial" w:eastAsia="Arial" w:hAnsi="Arial"/>
          <w:sz w:val="19"/>
          <w:szCs w:val="19"/>
          <w:color w:val="auto"/>
        </w:rPr>
        <w:t xml:space="preserve">”) and hold each Indemnitee harmless from and against any and all Liabilities and related expenses of any kind which may be incurred by such Indemnitee in connection with any claim, litigation, arbitration or investigative, administrative or judicial or regulatory action or proceeding (whether or not such Indemnitee shall be designated a party thereto) brought or threatened relating to or arising out of this Agreement, the actual or proposed use of proceeds of Loans or Letters of Credit hereunder, including proceedings brought or threatened by the Company or any of its affiliates, equity holders or creditors and (ii) reimburse each Indemnitee within 30 days after receipt of a reasonably detailed written invoice therefor (together with, if reasonably requested, documentation supporting such reimbursement request) for any reasonable and documented out-of-pocket expenses (including legal expenses of one firm of counsel for all such Indemnitees, taken as a whole, and, if necessary, of a single local counsel in each appropriate jurisdiction (which may include a single special counsel acting in multiple jurisdictions) for all such Indemnitees, taken as a whole (and, in the case of an actual or perceived conflict of interest where the Indemnitee affected by such conflict informs you of such conflict and thereafter retains its own counsel, of another firm of counsel for such affected Indemnitees)) incurred in connection with investigating or defending any of the foregoing, regardless of whether in connection with any pending or threatened proceeding to which any Indemnitees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shall have the right to be indemnified hereunder for (A) (1) such Indemnitee’s own gross negligence or willful misconduct or (2) a material breach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77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Indemnitee of the express provisions of this Agreement, in each case, as determined by a final, non-appealable judgment of a court of competent jurisdiction or (B) any taxes other than taxes that solely represent losses, claims, damages, etc. arising from any non-tax claim.</w:t>
      </w:r>
    </w:p>
    <w:p>
      <w:pPr>
        <w:spacing w:after="0" w:line="154" w:lineRule="exact"/>
        <w:rPr>
          <w:sz w:val="20"/>
          <w:szCs w:val="20"/>
          <w:color w:val="auto"/>
        </w:rPr>
      </w:pPr>
    </w:p>
    <w:p>
      <w:pPr>
        <w:jc w:val="both"/>
        <w:ind w:firstLine="642"/>
        <w:spacing w:after="0" w:line="236" w:lineRule="auto"/>
        <w:tabs>
          <w:tab w:leader="none" w:pos="9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Lender severally agrees to pay any amount required to be paid by the Company under paragraphs (a), (b) or (c) of this Section 11.03 to the Administrative Agent, each Issuing Lender and each Related Party of any of the foregoing Persons (each, an “</w:t>
      </w:r>
      <w:r>
        <w:rPr>
          <w:rFonts w:ascii="Arial" w:cs="Arial" w:eastAsia="Arial" w:hAnsi="Arial"/>
          <w:sz w:val="19"/>
          <w:szCs w:val="19"/>
          <w:b w:val="1"/>
          <w:bCs w:val="1"/>
          <w:color w:val="auto"/>
        </w:rPr>
        <w:t>Agent-Related Person</w:t>
      </w:r>
      <w:r>
        <w:rPr>
          <w:rFonts w:ascii="Arial" w:cs="Arial" w:eastAsia="Arial" w:hAnsi="Arial"/>
          <w:sz w:val="19"/>
          <w:szCs w:val="19"/>
          <w:color w:val="auto"/>
        </w:rPr>
        <w:t xml:space="preserve">”) (to the extent not reimbursed by the Company and without limiting the obligation of the Company to do so), ratably according to their respective Commitment in effect on the date on which such payment is sought under this Section (or, if such payment is sought after the date upon which the Commitments shall have terminated and the Loans shall have been paid in full, ratably in accordance with such Commitment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from such Agent-Related Person’s gross negligence or willful misconduct. The agreements in this Section shall survive the termination of this Agreement and the payment of the Loans and all other amounts payable hereunder.</w:t>
      </w:r>
    </w:p>
    <w:p>
      <w:pPr>
        <w:spacing w:after="0" w:line="166" w:lineRule="exact"/>
        <w:rPr>
          <w:rFonts w:ascii="Arial" w:cs="Arial" w:eastAsia="Arial" w:hAnsi="Arial"/>
          <w:sz w:val="19"/>
          <w:szCs w:val="19"/>
          <w:color w:val="auto"/>
        </w:rPr>
      </w:pPr>
    </w:p>
    <w:p>
      <w:pPr>
        <w:jc w:val="both"/>
        <w:ind w:firstLine="642"/>
        <w:spacing w:after="0" w:line="222" w:lineRule="auto"/>
        <w:tabs>
          <w:tab w:leader="none" w:pos="921"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Company shall not be liable for any settlement without its prior written consent (such consent not to be unreasonably withheld, conditioned or delayed), but, if settled with the Company’s prior written consent or if there is a final non-appealable judgment by a court of competent jurisdiction, the Company will indemnify and hold harmless each Indemnitee for Liabilities by reason of such settlement or judgment in accordance with and to the extent such indemnification could have been or is sought pursuant to this Section 11.03.</w:t>
      </w:r>
    </w:p>
    <w:p>
      <w:pPr>
        <w:spacing w:after="0" w:line="155" w:lineRule="exact"/>
        <w:rPr>
          <w:rFonts w:ascii="Arial" w:cs="Arial" w:eastAsia="Arial" w:hAnsi="Arial"/>
          <w:sz w:val="21"/>
          <w:szCs w:val="21"/>
          <w:color w:val="auto"/>
        </w:rPr>
      </w:pPr>
    </w:p>
    <w:p>
      <w:pPr>
        <w:jc w:val="both"/>
        <w:ind w:firstLine="642"/>
        <w:spacing w:after="0" w:line="225" w:lineRule="auto"/>
        <w:tabs>
          <w:tab w:leader="none" w:pos="90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Notwithstanding anything in this Section 11.03 to the contrary, each Indemnitee shall be obligated to refund or return any and all amounts paid by you under the paragraph above to such indemnified person for any Liabilities or expenses to the extent such indemnified person is found in a final, non-appealable judgment by a court of competent jurisdiction to not be entitled to payment of such amounts in accordance with the terms hereof.</w:t>
      </w:r>
    </w:p>
    <w:p>
      <w:pPr>
        <w:spacing w:after="0" w:line="154" w:lineRule="exact"/>
        <w:rPr>
          <w:sz w:val="20"/>
          <w:szCs w:val="20"/>
          <w:color w:val="auto"/>
        </w:rPr>
      </w:pPr>
    </w:p>
    <w:p>
      <w:pPr>
        <w:jc w:val="both"/>
        <w:ind w:firstLine="636"/>
        <w:spacing w:after="0"/>
        <w:rPr>
          <w:sz w:val="20"/>
          <w:szCs w:val="20"/>
          <w:color w:val="auto"/>
        </w:rPr>
      </w:pPr>
      <w:r>
        <w:rPr>
          <w:rFonts w:ascii="Arial" w:cs="Arial" w:eastAsia="Arial" w:hAnsi="Arial"/>
          <w:sz w:val="19"/>
          <w:szCs w:val="19"/>
          <w:i w:val="1"/>
          <w:iCs w:val="1"/>
          <w:color w:val="auto"/>
        </w:rPr>
        <w:t xml:space="preserve">SECTION 11.04. Sharing of Set-offs. </w:t>
      </w:r>
      <w:r>
        <w:rPr>
          <w:rFonts w:ascii="Arial" w:cs="Arial" w:eastAsia="Arial" w:hAnsi="Arial"/>
          <w:sz w:val="19"/>
          <w:szCs w:val="19"/>
          <w:color w:val="auto"/>
        </w:rPr>
        <w:t>(a) Each Lender agrees that if it shall, by exercising any right of set-off or counterclaim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otherwise, receive payment of a proportion of the aggregate amount of principal and interest due with respect to the Loans and Reimbursement Obligations of any Borrower held by it which is greater than the proportion received by any other Lender in respect of the aggregate amount of principal and interest due with respect to the Loans and Reimbursement Obligations of such Borrower held by such other Lender, the Lender receiving such proportionately greater payment shall purchase such participations in the Loans and Reimbursement Obligations of such Borrower held by the other Lenders, and such other adjustments shall be made, as may be required so that all such payments of principal and interest due with respect to the Loans and Reimbursement Obligations of such Borrower held by the Lenders shall be shared by the Lenders pro rata;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Section 11.04(a) shall impair the right of any Lender to exercise any right of set-off or counterclaim it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78</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and to apply the amount subject to such exercise to the payment of indebtedness of a Borrower other than its indebtedness hereunder.</w:t>
      </w:r>
    </w:p>
    <w:p>
      <w:pPr>
        <w:spacing w:after="0" w:line="155" w:lineRule="exact"/>
        <w:rPr>
          <w:sz w:val="20"/>
          <w:szCs w:val="20"/>
          <w:color w:val="auto"/>
        </w:rPr>
      </w:pPr>
    </w:p>
    <w:p>
      <w:pPr>
        <w:jc w:val="both"/>
        <w:ind w:left="80" w:firstLine="562"/>
        <w:spacing w:after="0" w:line="225" w:lineRule="auto"/>
        <w:tabs>
          <w:tab w:leader="none" w:pos="99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Each Borrower agrees, to the fullest extent it may effectively do so under applicable law, that any holder of a participation in a Loan to such Borrower, whether or not acquired pursuant to the foregoing arrangements, may exercise rights of set-off or counterclaim and other rights with respect to such participation as fully as if such holder of a participation were a direct creditor of such Borrower in the amount of such participation.</w:t>
      </w:r>
    </w:p>
    <w:p>
      <w:pPr>
        <w:spacing w:after="0" w:line="154"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0"/>
          <w:szCs w:val="20"/>
          <w:color w:val="auto"/>
        </w:rPr>
        <w:t>SECTION 11.05</w:t>
      </w:r>
      <w:r>
        <w:rPr>
          <w:rFonts w:ascii="Arial" w:cs="Arial" w:eastAsia="Arial" w:hAnsi="Arial"/>
          <w:sz w:val="20"/>
          <w:szCs w:val="20"/>
          <w:i w:val="1"/>
          <w:iCs w:val="1"/>
          <w:color w:val="auto"/>
        </w:rPr>
        <w:t>. Amendments and Waivers.</w:t>
      </w:r>
      <w:r>
        <w:rPr>
          <w:rFonts w:ascii="Arial" w:cs="Arial" w:eastAsia="Arial" w:hAnsi="Arial"/>
          <w:sz w:val="20"/>
          <w:szCs w:val="20"/>
          <w:color w:val="auto"/>
        </w:rPr>
        <w:t xml:space="preserve"> Any provision of this Agreement or the Notes may be amended or waived if, but only if, such amendment or waiver is in writing and is signed by the Company and the Required Lenders (and, if the rights or duties of any Issuing Lender or Agent are affected thereby,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or waiver shall:</w:t>
      </w:r>
    </w:p>
    <w:p>
      <w:pPr>
        <w:spacing w:after="0" w:line="152" w:lineRule="exact"/>
        <w:rPr>
          <w:sz w:val="20"/>
          <w:szCs w:val="20"/>
          <w:color w:val="auto"/>
        </w:rPr>
      </w:pPr>
    </w:p>
    <w:p>
      <w:pPr>
        <w:jc w:val="both"/>
        <w:ind w:firstLine="642"/>
        <w:spacing w:after="0" w:line="234" w:lineRule="auto"/>
        <w:tabs>
          <w:tab w:leader="none" w:pos="96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 xml:space="preserve">unless signed by each affected Lender, (i) increase the Commitment of any Lender or subject any Lender to any additional obligation, (ii) reduce the principal of or rate of interest on any Loan or Reimbursement Obligation or any fees hereunder or (iii) postpone the date fixed for any payment of principal of or interest on any Loan or Reimbursement Obligation or any fees hereunder or for the termination of any Commitment or (except as expressly provided in Section 2.18) the expiry date of any Letter of Credit or (iv) release the Company from its obligations under Article 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amendment or waiver shall (i) unless signed by all the Lenders, change Sections 2.08, 2.12(b) or 2.12(d) in a manner that would alter the ratable reduction of Commitments or the pro rata sharing of payments required thereby or change the payment waterfall provisions of Sections 2.21(a)(ii) or 6.04 and (ii), unless signed by all the Lenders (other than any Defaulting Lender unless such Defaulting Lender is disproportionately adversely affected by such change) change the percentage of the Credit Exposures which shall be required for the Lenders or any of them to take any action under this Section 11.05 or any other provision of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amendment, waiver or modification shall, unless signed by an Eligible Subsidiary, (w) subject such Eligible Subsidiary to any additional obligation, (x) increase the principal of or rate of interest on any outstanding Loan of such Eligible Subsidiary or</w:t>
      </w:r>
    </w:p>
    <w:p>
      <w:pPr>
        <w:spacing w:after="0" w:line="5" w:lineRule="exact"/>
        <w:rPr>
          <w:rFonts w:ascii="Arial" w:cs="Arial" w:eastAsia="Arial" w:hAnsi="Arial"/>
          <w:sz w:val="19"/>
          <w:szCs w:val="19"/>
          <w:color w:val="auto"/>
        </w:rPr>
      </w:pPr>
    </w:p>
    <w:p>
      <w:pPr>
        <w:ind w:left="300" w:hanging="294"/>
        <w:spacing w:after="0"/>
        <w:tabs>
          <w:tab w:leader="none" w:pos="3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accelerate the stated maturity of any outstanding Loan of such Eligible Subsidiary; or</w:t>
      </w:r>
    </w:p>
    <w:p>
      <w:pPr>
        <w:spacing w:after="0" w:line="164" w:lineRule="exact"/>
        <w:rPr>
          <w:rFonts w:ascii="Arial" w:cs="Arial" w:eastAsia="Arial" w:hAnsi="Arial"/>
          <w:sz w:val="21"/>
          <w:szCs w:val="21"/>
          <w:color w:val="auto"/>
        </w:rPr>
      </w:pPr>
    </w:p>
    <w:p>
      <w:pPr>
        <w:jc w:val="both"/>
        <w:ind w:left="80" w:firstLine="562"/>
        <w:spacing w:after="0" w:line="230" w:lineRule="auto"/>
        <w:tabs>
          <w:tab w:leader="none" w:pos="956" w:val="left"/>
        </w:tabs>
        <w:numPr>
          <w:ilvl w:val="1"/>
          <w:numId w:val="146"/>
        </w:numPr>
        <w:rPr>
          <w:rFonts w:ascii="Arial" w:cs="Arial" w:eastAsia="Arial" w:hAnsi="Arial"/>
          <w:sz w:val="21"/>
          <w:szCs w:val="21"/>
          <w:color w:val="auto"/>
        </w:rPr>
      </w:pPr>
      <w:r>
        <w:rPr>
          <w:rFonts w:ascii="Arial" w:cs="Arial" w:eastAsia="Arial" w:hAnsi="Arial"/>
          <w:sz w:val="21"/>
          <w:szCs w:val="21"/>
          <w:color w:val="auto"/>
        </w:rPr>
        <w:t>unless signed by a Designated Lender or its Designating Lender, (i) subject such Designated Lender to any additional obligation, (ii) affect its rights hereunder (unless the rights of all the Lenders hereunder are similarly affected) or (iii) change this clause 11.05(b);</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amendment, waiver or consent shall, unless in writing and signed by the applicable Issuing Lender in addition to the Company and the Lenders required above, affect the rights or duties of the applicable Issuing Lender under this Agreement or any document relating to any Letter of Credit issued or to be issued by it and (ii) no amendment, waiver or consent shall, unless in writing and signed by the Administrative Agent in addition to the Company and the Lenders required above, affect the rights or duties of the Administrative Agent under this Agreement or any other Loan Document. Notwithstanding anything to the contrary herein, no Defaulting Lender shall have any right to approve or disapprove any amendment, waiver or consent hereunder, except that (i) the Commitment of such Defaulting Lender may not be increased or extended without the consent of such Defaulting Lender, (ii) any date fixed by this Agreement or any other Loan Document for the payment (excluding mandatory prepayments) of principal or interest due to a Defaulting Lender may not be postponed without (A) the consent of such Defaulting Lender and (B) in connection with the extension of payments of principal or interest which impact all Lenders, the consent of all other Lenders entitled to vote, (iii) the principal of, and the rate of interest specified herein on, any Loan or unreimbursed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79</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Reimbursement Obligation due to a Defaulting Lender may not be reduced without (A) the consent of such Defaulting Lender and</w:t>
      </w:r>
    </w:p>
    <w:p>
      <w:pPr>
        <w:spacing w:after="0" w:line="12" w:lineRule="exact"/>
        <w:rPr>
          <w:sz w:val="20"/>
          <w:szCs w:val="20"/>
          <w:color w:val="auto"/>
        </w:rPr>
      </w:pPr>
    </w:p>
    <w:p>
      <w:pPr>
        <w:jc w:val="both"/>
        <w:ind w:firstLine="6"/>
        <w:spacing w:after="0" w:line="235" w:lineRule="auto"/>
        <w:tabs>
          <w:tab w:leader="none" w:pos="34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in connection with a reduction of the rate of interest specified herein on any Loan or unreimbursed Reimbursement Obligation which impacts all Lenders, the consent of all other Lenders entitled to vote or (iv) this last sentence of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shall not be amended without the consent of any Lender that is a Defaulting Lender at the time of such amendment.</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Notwithstanding anything to the contrary herein, if the Administrative Agent and the Company have jointly identified any ambiguity, mistake, defect, inconsistency, obvious error, omission or any other error or omission of a technical nature, in each case, in any provision of any Loan Document, the Company and the Administrative Agent shall be permitted to effect amendments to this Agreement or any other Loan Document, as applicable, solely to address such matter and such amendment shall become effective without the consent of any other party to this Agreement so long as, in each case, the Lenders shall have received at least ten (10) Business Days’ prior written notice thereof and the Administrative Agent shall not have received, within ten (10) Business Days of the date of such notice to the Lenders, a written notice from the Required Lenders stating that the Required Lenders object to such amendment.</w:t>
      </w:r>
    </w:p>
    <w:p>
      <w:pPr>
        <w:spacing w:after="0" w:line="15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SECTION 11.06</w:t>
      </w:r>
      <w:r>
        <w:rPr>
          <w:rFonts w:ascii="Arial" w:cs="Arial" w:eastAsia="Arial" w:hAnsi="Arial"/>
          <w:sz w:val="21"/>
          <w:szCs w:val="21"/>
          <w:i w:val="1"/>
          <w:iCs w:val="1"/>
          <w:color w:val="auto"/>
        </w:rPr>
        <w:t>. Successors and Assigns.</w:t>
      </w:r>
      <w:r>
        <w:rPr>
          <w:rFonts w:ascii="Arial" w:cs="Arial" w:eastAsia="Arial" w:hAnsi="Arial"/>
          <w:sz w:val="21"/>
          <w:szCs w:val="21"/>
          <w:color w:val="auto"/>
        </w:rPr>
        <w:t xml:space="preserve"> (a) The provisions of this Agreement shall be binding upon and inure to the benefit of the parties hereto and their respective successors and assigns, except that no Borrower may assign or otherwise transfer any of its rights under this Agreement without the prior written consent of all Lenders.</w:t>
      </w:r>
    </w:p>
    <w:p>
      <w:pPr>
        <w:spacing w:after="0" w:line="154" w:lineRule="exact"/>
        <w:rPr>
          <w:sz w:val="20"/>
          <w:szCs w:val="20"/>
          <w:color w:val="auto"/>
        </w:rPr>
      </w:pPr>
    </w:p>
    <w:p>
      <w:pPr>
        <w:jc w:val="both"/>
        <w:ind w:firstLine="563"/>
        <w:spacing w:after="0" w:line="237" w:lineRule="auto"/>
        <w:tabs>
          <w:tab w:leader="none" w:pos="85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Lender may, without the consent of the Company, the Administrative Agent or any other Person, at any time grant to one or more Lenders or other institutions (other than any Borrower or any affiliate of any Borrower) (each a “</w:t>
      </w:r>
      <w:r>
        <w:rPr>
          <w:rFonts w:ascii="Arial" w:cs="Arial" w:eastAsia="Arial" w:hAnsi="Arial"/>
          <w:sz w:val="19"/>
          <w:szCs w:val="19"/>
          <w:b w:val="1"/>
          <w:bCs w:val="1"/>
          <w:color w:val="auto"/>
        </w:rPr>
        <w:t>Participant</w:t>
      </w:r>
      <w:r>
        <w:rPr>
          <w:rFonts w:ascii="Arial" w:cs="Arial" w:eastAsia="Arial" w:hAnsi="Arial"/>
          <w:sz w:val="19"/>
          <w:szCs w:val="19"/>
          <w:color w:val="auto"/>
        </w:rPr>
        <w:t xml:space="preserve">”) participating interests in its Commitment or any or all of its Loans. In the event of any such grant by a Lender of a participating interest to a Participant, whether or not upon notice to the Borrowers and the Administrative Agent, such Lender shall remain responsible for the performance of its obligations hereunder, and the Borrowers and the Administrative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Borrowers hereunder including, without limitation, the right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participation agreement may provide that such Lender will not agree to any modification, amendment or waiver of this Agreement described in clause (i), (ii), (iii) or (iv) of Section 11.05(a) without the consent of the Participant. The Borrowers agree that each Participant shall, to the extent provided in its participation agreement, be entitled to the benefits of Article 8 with respect to its participating interest. An assignment or other transfer which is not permitted by subsection (c) or (d) below shall be given effect for purposes of this Agreement only to the extent of a participating interest granted in accordance with this subsection (b).</w:t>
      </w:r>
    </w:p>
    <w:p>
      <w:pPr>
        <w:spacing w:after="0" w:line="159"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0"/>
          <w:szCs w:val="20"/>
          <w:color w:val="auto"/>
        </w:rPr>
        <w:t>(c)Any Lender may at any time assign to one or more banks or other financial institutions other than a Defaulting Lender, any Borrower or any affiliate of any Borrower (each a “</w:t>
      </w:r>
      <w:r>
        <w:rPr>
          <w:rFonts w:ascii="Arial" w:cs="Arial" w:eastAsia="Arial" w:hAnsi="Arial"/>
          <w:sz w:val="20"/>
          <w:szCs w:val="20"/>
          <w:b w:val="1"/>
          <w:bCs w:val="1"/>
          <w:color w:val="auto"/>
        </w:rPr>
        <w:t>Assignee</w:t>
      </w:r>
      <w:r>
        <w:rPr>
          <w:rFonts w:ascii="Arial" w:cs="Arial" w:eastAsia="Arial" w:hAnsi="Arial"/>
          <w:sz w:val="20"/>
          <w:szCs w:val="20"/>
          <w:color w:val="auto"/>
        </w:rPr>
        <w:t>”) all, or a proportionate part (equivalent to an initial Commitment of not less than $5,000,000 unless each of the Company and the Administrative Agent otherwise consents) of all, of its rights and obligations under this Agreement and its Notes with respect to Loans and Letters of Credit, and each such Assignee shall assume such rights and obligations, pursuant to an Assignment and Assumption Agreement in substantially the form of Exhibit D (an “</w:t>
      </w:r>
      <w:r>
        <w:rPr>
          <w:rFonts w:ascii="Arial" w:cs="Arial" w:eastAsia="Arial" w:hAnsi="Arial"/>
          <w:sz w:val="20"/>
          <w:szCs w:val="20"/>
          <w:b w:val="1"/>
          <w:bCs w:val="1"/>
          <w:color w:val="auto"/>
        </w:rPr>
        <w:t>Assignment and Assumption</w:t>
      </w:r>
      <w:r>
        <w:rPr>
          <w:rFonts w:ascii="Arial" w:cs="Arial" w:eastAsia="Arial" w:hAnsi="Arial"/>
          <w:sz w:val="20"/>
          <w:szCs w:val="20"/>
          <w:color w:val="auto"/>
        </w:rPr>
        <w:t>”) hereto executed by such Assignee and such transferor Lender, with (and subject to) the subscribed consent of the Administrative Agent, each Issuing Lender and (so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80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 at the time no Event of Default exists) the Company, which consent will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2" w:lineRule="exact"/>
        <w:rPr>
          <w:sz w:val="20"/>
          <w:szCs w:val="20"/>
          <w:color w:val="auto"/>
        </w:rPr>
      </w:pPr>
    </w:p>
    <w:p>
      <w:pPr>
        <w:jc w:val="both"/>
        <w:ind w:firstLine="6"/>
        <w:spacing w:after="0" w:line="224" w:lineRule="auto"/>
        <w:tabs>
          <w:tab w:leader="none" w:pos="27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 such consent of the Company shall be required if such Assignee is an affiliate of such transferor Lender, a Lender prior to such assignment or an Approved Fund, (ii) the Company shall be deemed to have consented to any such assignment unless it shall object thereto by written notice to the Administrative Agent within 15 Domestic Business Days after having received notice thereof and (iii) if such Assignee is a Lender prior to such assignment, the assignment may be in an amount less than $5,000,000. Upon execution and delivery of such instrument and payment by such an Assignee to such transferor Lender of an amount equal to the purchase price agreed between such transferor Lender and such Assignee, such Assignee shall be a Lender party to this Agreement and shall have all the rights and obligations of a Lender with a Commitment as set forth in such instrument of assumption, and the transferor Lender shall be released from its obligations hereunder to a corresponding extent, and no further consent or action by any party shall be required. Upon the consummation of any assignment pursuant to this subsection (c), the transferor Lender, the Administrative Agent and the applicable Borrower shall make appropriate arrangements so that, if required, new Notes are issued to the relevant Assignee to evidence its Loans. In connection with any such assignment, the transferor Lender shall pay to the Administrative Agent an administrative fee for processing such assignment in the amount of $3,500. If the relevant Assignee is not incorporated under the laws of the United States or a state thereof, it shall deliver to the Company and the Administrative Agent certification as to exemption from deduction or withholding of any United States federal income taxes in accordance with Section 8.04.</w:t>
      </w:r>
    </w:p>
    <w:p>
      <w:pPr>
        <w:spacing w:after="0" w:line="154" w:lineRule="exact"/>
        <w:rPr>
          <w:rFonts w:ascii="Arial" w:cs="Arial" w:eastAsia="Arial" w:hAnsi="Arial"/>
          <w:sz w:val="20"/>
          <w:szCs w:val="20"/>
          <w:color w:val="auto"/>
        </w:rPr>
      </w:pPr>
    </w:p>
    <w:p>
      <w:pPr>
        <w:jc w:val="both"/>
        <w:ind w:firstLine="642"/>
        <w:spacing w:after="0" w:line="230" w:lineRule="auto"/>
        <w:tabs>
          <w:tab w:leader="none" w:pos="962" w:val="left"/>
        </w:tabs>
        <w:numPr>
          <w:ilvl w:val="1"/>
          <w:numId w:val="149"/>
        </w:numPr>
        <w:rPr>
          <w:rFonts w:ascii="Arial" w:cs="Arial" w:eastAsia="Arial" w:hAnsi="Arial"/>
          <w:sz w:val="21"/>
          <w:szCs w:val="21"/>
          <w:color w:val="auto"/>
        </w:rPr>
      </w:pPr>
      <w:r>
        <w:rPr>
          <w:rFonts w:ascii="Arial" w:cs="Arial" w:eastAsia="Arial" w:hAnsi="Arial"/>
          <w:sz w:val="21"/>
          <w:szCs w:val="21"/>
          <w:color w:val="auto"/>
        </w:rPr>
        <w:t>Any Lender may at any time pledge or assign all or any portion of its rights under this Agreement and its Notes, including to a Federal Reserve Bank or other central bank having jurisdiction over it. No such pledge or assignment shall release the transferor Lender from its obligations hereunder.</w:t>
      </w:r>
    </w:p>
    <w:p>
      <w:pPr>
        <w:spacing w:after="0" w:line="153" w:lineRule="exact"/>
        <w:rPr>
          <w:rFonts w:ascii="Arial" w:cs="Arial" w:eastAsia="Arial" w:hAnsi="Arial"/>
          <w:sz w:val="21"/>
          <w:szCs w:val="21"/>
          <w:color w:val="auto"/>
        </w:rPr>
      </w:pPr>
    </w:p>
    <w:p>
      <w:pPr>
        <w:jc w:val="both"/>
        <w:ind w:left="80" w:firstLine="562"/>
        <w:spacing w:after="0" w:line="222" w:lineRule="auto"/>
        <w:tabs>
          <w:tab w:leader="none" w:pos="929" w:val="left"/>
        </w:tabs>
        <w:numPr>
          <w:ilvl w:val="1"/>
          <w:numId w:val="149"/>
        </w:numPr>
        <w:rPr>
          <w:rFonts w:ascii="Arial" w:cs="Arial" w:eastAsia="Arial" w:hAnsi="Arial"/>
          <w:sz w:val="21"/>
          <w:szCs w:val="21"/>
          <w:color w:val="auto"/>
        </w:rPr>
      </w:pPr>
      <w:r>
        <w:rPr>
          <w:rFonts w:ascii="Arial" w:cs="Arial" w:eastAsia="Arial" w:hAnsi="Arial"/>
          <w:sz w:val="21"/>
          <w:szCs w:val="21"/>
          <w:color w:val="auto"/>
        </w:rPr>
        <w:t>No Assignee, Participant or other transferee of any Lender’s rights shall be entitled to receive any greater payment under Section 8.03 or 8.04 than such Lender would have been entitled to receive with respect to the rights transferred, unless such transfer is made with the Company’s prior written consent or by reason of the provisions of Section 8.02, 8.03 or 8.04 requiring such Lender to designate a different Applicable Lending Office under certain circumstances or at a time when the circumstances giving rise to such greater payment did not exist.</w:t>
      </w:r>
    </w:p>
    <w:p>
      <w:pPr>
        <w:spacing w:after="0" w:line="155" w:lineRule="exact"/>
        <w:rPr>
          <w:rFonts w:ascii="Arial" w:cs="Arial" w:eastAsia="Arial" w:hAnsi="Arial"/>
          <w:sz w:val="21"/>
          <w:szCs w:val="21"/>
          <w:color w:val="auto"/>
        </w:rPr>
      </w:pPr>
    </w:p>
    <w:p>
      <w:pPr>
        <w:jc w:val="both"/>
        <w:ind w:firstLine="721"/>
        <w:spacing w:after="0" w:line="226" w:lineRule="auto"/>
        <w:tabs>
          <w:tab w:leader="none" w:pos="1012" w:val="left"/>
        </w:tabs>
        <w:numPr>
          <w:ilvl w:val="2"/>
          <w:numId w:val="149"/>
        </w:numPr>
        <w:rPr>
          <w:rFonts w:ascii="Arial" w:cs="Arial" w:eastAsia="Arial" w:hAnsi="Arial"/>
          <w:sz w:val="20"/>
          <w:szCs w:val="20"/>
          <w:color w:val="auto"/>
        </w:rPr>
      </w:pPr>
      <w:r>
        <w:rPr>
          <w:rFonts w:ascii="Arial" w:cs="Arial" w:eastAsia="Arial" w:hAnsi="Arial"/>
          <w:sz w:val="20"/>
          <w:szCs w:val="20"/>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hereunder (the “</w:t>
      </w:r>
      <w:r>
        <w:rPr>
          <w:rFonts w:ascii="Arial" w:cs="Arial" w:eastAsia="Arial" w:hAnsi="Arial"/>
          <w:sz w:val="20"/>
          <w:szCs w:val="20"/>
          <w:b w:val="1"/>
          <w:bCs w:val="1"/>
          <w:color w:val="auto"/>
        </w:rPr>
        <w:t>Participant Register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to any Person except to the extent that such disclosure is necessary to establish that such commitment, loan, letter of credit or other obligation is in registered form under Section 5f.103-1(c) of the United States Treasury Regulations and Section 1.163-5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81</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63" w:lineRule="exact"/>
        <w:rPr>
          <w:sz w:val="20"/>
          <w:szCs w:val="20"/>
          <w:color w:val="auto"/>
        </w:rPr>
      </w:pPr>
    </w:p>
    <w:p>
      <w:pPr>
        <w:jc w:val="both"/>
        <w:ind w:firstLine="642"/>
        <w:spacing w:after="0" w:line="220" w:lineRule="auto"/>
        <w:tabs>
          <w:tab w:leader="none" w:pos="943"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6" w:lineRule="exact"/>
        <w:rPr>
          <w:sz w:val="20"/>
          <w:szCs w:val="20"/>
          <w:color w:val="auto"/>
        </w:rPr>
      </w:pPr>
    </w:p>
    <w:p>
      <w:pPr>
        <w:jc w:val="both"/>
        <w:ind w:firstLine="477"/>
        <w:spacing w:after="0"/>
        <w:rPr>
          <w:sz w:val="20"/>
          <w:szCs w:val="20"/>
          <w:color w:val="auto"/>
        </w:rPr>
      </w:pPr>
      <w:r>
        <w:rPr>
          <w:rFonts w:ascii="Arial" w:cs="Arial" w:eastAsia="Arial" w:hAnsi="Arial"/>
          <w:sz w:val="19"/>
          <w:szCs w:val="19"/>
          <w:i w:val="1"/>
          <w:iCs w:val="1"/>
          <w:color w:val="auto"/>
        </w:rPr>
        <w:t xml:space="preserve">SECTION 11.07. Designated Lenders. </w:t>
      </w:r>
      <w:r>
        <w:rPr>
          <w:rFonts w:ascii="Arial" w:cs="Arial" w:eastAsia="Arial" w:hAnsi="Arial"/>
          <w:sz w:val="19"/>
          <w:szCs w:val="19"/>
          <w:color w:val="auto"/>
        </w:rPr>
        <w:t>(a) Subject to the provisions of this subsection (a), any Lender may at any time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designate an Approved Fund to provide all or a portion of the Loans to be made by such Lender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designation shall not be effective unless the Company and the Administrative Agent consent thereto (which consent shall not be unreasonably withheld or delayed). When a Lender and its Approved Fund shall have signed an agreement substantially in the form of Exhibit E hereto (a “</w:t>
      </w:r>
      <w:r>
        <w:rPr>
          <w:rFonts w:ascii="Arial" w:cs="Arial" w:eastAsia="Arial" w:hAnsi="Arial"/>
          <w:sz w:val="19"/>
          <w:szCs w:val="19"/>
          <w:b w:val="1"/>
          <w:bCs w:val="1"/>
          <w:color w:val="auto"/>
        </w:rPr>
        <w:t>Designation Agreement</w:t>
      </w:r>
      <w:r>
        <w:rPr>
          <w:rFonts w:ascii="Arial" w:cs="Arial" w:eastAsia="Arial" w:hAnsi="Arial"/>
          <w:sz w:val="19"/>
          <w:szCs w:val="19"/>
          <w:color w:val="auto"/>
        </w:rPr>
        <w:t xml:space="preserve">”) and the Company and the Administrative Agent shall have signed their respective consents thereto, such Approved Fund shall become a Designated Lender for purposes of this Agreement. The Designating Lender shall thereafter have the right to permit such Designated Lender to provide all or a portion of the Loans to be made by such Designating Lender pursuant to Section 2.01 and the making of such Loans or portion thereof shall satisfy the obligation of the Designating Lender to the same extent, and as if, such Loans or portion thereof were made by the Designating Lender. As to any Loans or portion thereof made by it, each Designated Lender shall have all the rights that a Lender making such Loans or portion thereof would have had under this Agreement and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its voting rights under this Agreement shall be exercised solely by its Designating Lender and (y) its Designating Lender shall remain solely responsible to the other parties hereto for the performance of such Designated Lender’s obligations under this Agreement, including its obligations in respect of the Loans or portion thereof made by it. Each Designating Lender shall act as administrative agent for its Designated Lender and give and receive notices and other communications on its behalf. Any payments for the account of any Designated Lender shall be paid to its Designating Lender as administrative agent for such Designated Lender and neither the Borrower nor the Administrative Agent shall be responsible for any Designating Lender’s application of such payments. In addition, any Designated Lender may, with notice to (but without the prior written consent of) the Borrower and the Administrative Agent, (i) assign all or portions of its interest in any Loans to its Designating Lender or to any financial institutions consented to by the Borrower and the Administrative Agent that provide liquidity and/or credit facilities to or for the account of such Designated Lender to support the funding of Loans or portions thereof made by it and (ii) disclose on a confidential basis any non-public information relating to its Loans or portions thereof to any rating agency, commercial paper dealer or provider of any guarantee, surety, credit or liquidity enhancement to such Designated Lender.</w:t>
      </w:r>
    </w:p>
    <w:p>
      <w:pPr>
        <w:spacing w:after="0" w:line="281" w:lineRule="exact"/>
        <w:rPr>
          <w:sz w:val="20"/>
          <w:szCs w:val="20"/>
          <w:color w:val="auto"/>
        </w:rPr>
      </w:pPr>
    </w:p>
    <w:p>
      <w:pPr>
        <w:jc w:val="both"/>
        <w:ind w:firstLine="574"/>
        <w:spacing w:after="0" w:line="220" w:lineRule="auto"/>
        <w:tabs>
          <w:tab w:leader="none" w:pos="127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(b) Each party to this Agreement agrees that it will not institute against, or join any other person in instituting against, any Designated Lender any bankruptcy, insolvency, reorganization or other similar proceeding under any federal or state bankruptcy or similar law, for one year and a day after all outstanding senior indebtedness of such Designated Lender is paid in full. The Designating Lender for each Designated Lender agrees to indemnify, save, and hold harmless each other party hereto for any loss, cost, damage and expense arising out of its inability to institute any such proceeding against such Designated Lender. This subsection (b)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82</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63" w:lineRule="exact"/>
        <w:rPr>
          <w:sz w:val="20"/>
          <w:szCs w:val="20"/>
          <w:color w:val="auto"/>
        </w:rPr>
      </w:pPr>
    </w:p>
    <w:p>
      <w:pPr>
        <w:ind w:left="80" w:firstLine="556"/>
        <w:spacing w:after="0" w:line="290" w:lineRule="auto"/>
        <w:rPr>
          <w:sz w:val="20"/>
          <w:szCs w:val="20"/>
          <w:color w:val="auto"/>
        </w:rPr>
      </w:pPr>
      <w:r>
        <w:rPr>
          <w:rFonts w:ascii="Arial" w:cs="Arial" w:eastAsia="Arial" w:hAnsi="Arial"/>
          <w:sz w:val="19"/>
          <w:szCs w:val="19"/>
          <w:i w:val="1"/>
          <w:iCs w:val="1"/>
          <w:color w:val="auto"/>
        </w:rPr>
        <w:t xml:space="preserve">SECTION 11.08. Collateral. </w:t>
      </w:r>
      <w:r>
        <w:rPr>
          <w:rFonts w:ascii="Arial" w:cs="Arial" w:eastAsia="Arial" w:hAnsi="Arial"/>
          <w:sz w:val="19"/>
          <w:szCs w:val="19"/>
          <w:color w:val="auto"/>
        </w:rPr>
        <w:t>Each of the Lenders represents to each of the Agents and the other Lenders that it in good faith</w:t>
      </w:r>
      <w:r>
        <w:rPr>
          <w:rFonts w:ascii="Arial" w:cs="Arial" w:eastAsia="Arial" w:hAnsi="Arial"/>
          <w:sz w:val="19"/>
          <w:szCs w:val="19"/>
          <w:i w:val="1"/>
          <w:iCs w:val="1"/>
          <w:color w:val="auto"/>
        </w:rPr>
        <w:t xml:space="preserve"> </w:t>
      </w:r>
      <w:r>
        <w:rPr>
          <w:rFonts w:ascii="Arial" w:cs="Arial" w:eastAsia="Arial" w:hAnsi="Arial"/>
          <w:sz w:val="19"/>
          <w:szCs w:val="19"/>
          <w:color w:val="auto"/>
        </w:rPr>
        <w:t>is not relying upon any Margin Stock as collateral in the extension or maintenance of the credit provided for in this Agreement.</w:t>
      </w:r>
    </w:p>
    <w:p>
      <w:pPr>
        <w:spacing w:after="0" w:line="108" w:lineRule="exact"/>
        <w:rPr>
          <w:sz w:val="20"/>
          <w:szCs w:val="20"/>
          <w:color w:val="auto"/>
        </w:rPr>
      </w:pPr>
    </w:p>
    <w:p>
      <w:pPr>
        <w:jc w:val="both"/>
        <w:ind w:firstLine="557"/>
        <w:spacing w:after="0" w:line="226" w:lineRule="auto"/>
        <w:rPr>
          <w:sz w:val="20"/>
          <w:szCs w:val="20"/>
          <w:color w:val="auto"/>
        </w:rPr>
      </w:pPr>
      <w:r>
        <w:rPr>
          <w:rFonts w:ascii="Arial" w:cs="Arial" w:eastAsia="Arial" w:hAnsi="Arial"/>
          <w:sz w:val="20"/>
          <w:szCs w:val="20"/>
          <w:i w:val="1"/>
          <w:iCs w:val="1"/>
          <w:color w:val="auto"/>
        </w:rPr>
        <w:t xml:space="preserve">SECTION 11.09. Governing Law; Submission to Jurisdiction. </w:t>
      </w:r>
      <w:r>
        <w:rPr>
          <w:rFonts w:ascii="Arial" w:cs="Arial" w:eastAsia="Arial" w:hAnsi="Arial"/>
          <w:sz w:val="20"/>
          <w:szCs w:val="20"/>
          <w:color w:val="auto"/>
        </w:rPr>
        <w:t>This Agreement and each Note shall be governed by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construed in accordance with the laws of the State of New York. Each Borrower hereby irrevocably and unconditionally (i) submits to the exclusive jurisdiction of any New York State or federal court located in the City of New York, Borough of Manhattan, over any suit, action or proceeding arising out of or relating to this Agreement or the transactions contemplated hereby, (ii) accepts for itself and in respect of its property the jurisdiction of such courts, (iii) waives any objection to the laying of the venue of any such suit, action or proceeding brought in any such court and any claim that any such suit, action or proceeding has been brought in an inconvenient forum and (iv) consents to the service of any process, summons, notice or document in any such suit, action or proceeding by registered mail addressed to the Company (on behalf of the applicable Borrower) at its address specified on signature page hereof. A final judgment in any such suit, action or proceeding will be conclusive and may be enforced in other jurisdictions by suit on the judgment or in any other manner provided by law. Nothing herein will affect the right of any Lender Party to serve legal process in any other manner permitted by law or affect any Lender Party’s right to bring any suit, action or proceeding against any Borrower or its property in the courts of other jurisdictions.</w:t>
      </w:r>
    </w:p>
    <w:p>
      <w:pPr>
        <w:spacing w:after="0" w:line="157"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20"/>
          <w:szCs w:val="20"/>
          <w:color w:val="auto"/>
        </w:rPr>
        <w:t>SECTION 11.10</w:t>
      </w:r>
      <w:r>
        <w:rPr>
          <w:rFonts w:ascii="Arial" w:cs="Arial" w:eastAsia="Arial" w:hAnsi="Arial"/>
          <w:sz w:val="20"/>
          <w:szCs w:val="20"/>
          <w:i w:val="1"/>
          <w:iCs w:val="1"/>
          <w:color w:val="auto"/>
        </w:rPr>
        <w:t>. Counterparts; Integration; Effectiveness; Electronic Execution.</w:t>
      </w:r>
      <w:r>
        <w:rPr>
          <w:rFonts w:ascii="Arial" w:cs="Arial" w:eastAsia="Arial" w:hAnsi="Arial"/>
          <w:sz w:val="20"/>
          <w:szCs w:val="20"/>
          <w:color w:val="auto"/>
        </w:rPr>
        <w:t xml:space="preserve"> (a)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spacing w:after="0" w:line="155" w:lineRule="exact"/>
        <w:rPr>
          <w:sz w:val="20"/>
          <w:szCs w:val="20"/>
          <w:color w:val="auto"/>
        </w:rPr>
      </w:pPr>
    </w:p>
    <w:p>
      <w:pPr>
        <w:jc w:val="both"/>
        <w:ind w:firstLine="1151"/>
        <w:spacing w:after="0" w:line="224" w:lineRule="auto"/>
        <w:tabs>
          <w:tab w:leader="none" w:pos="1477" w:val="left"/>
        </w:tabs>
        <w:numPr>
          <w:ilvl w:val="0"/>
          <w:numId w:val="152"/>
        </w:numPr>
        <w:rPr>
          <w:rFonts w:ascii="Arial" w:cs="Arial" w:eastAsia="Arial" w:hAnsi="Arial"/>
          <w:sz w:val="20"/>
          <w:szCs w:val="20"/>
          <w:color w:val="auto"/>
        </w:rPr>
      </w:pPr>
      <w:r>
        <w:rPr>
          <w:rFonts w:ascii="Arial" w:cs="Arial" w:eastAsia="Arial" w:hAnsi="Arial"/>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11.01), certificate, request, statement, disclosure or authorization related to this Agreement, any other Loan Document and/or the transactions contemplated hereby and/or thereby (each an “</w:t>
      </w:r>
      <w:r>
        <w:rPr>
          <w:rFonts w:ascii="Arial" w:cs="Arial" w:eastAsia="Arial" w:hAnsi="Arial"/>
          <w:sz w:val="20"/>
          <w:szCs w:val="20"/>
          <w:b w:val="1"/>
          <w:bCs w:val="1"/>
          <w:color w:val="auto"/>
        </w:rPr>
        <w:t>Ancillary Document</w:t>
      </w:r>
      <w:r>
        <w:rPr>
          <w:rFonts w:ascii="Arial" w:cs="Arial" w:eastAsia="Arial" w:hAnsi="Arial"/>
          <w:sz w:val="20"/>
          <w:szCs w:val="20"/>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Borrower without further verification thereof and without any obligation to review the appearance or form of any such Electronic Signature and (ii) upon the request of the Administrative Agent or any Lender, any Electronic Signature shall be promptly followed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83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manually executed counterpart. Without limiting the generality of the foregoing, the Company and each other Borrower hereby (i) agrees that, for all purposes, including without limitation, in connection with any workout, restructuring, enforcement of remedies, bankruptcy proceedings or litigation among the Administrative Agent, the Lenders, the Company and any other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the Administrative Agent, any Joint Lead Arranger and Joint Bookrunner, any Syndication Agent, any Issuing Lender and any Lender, and any Related Party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other Borrower to use any available security measures in connection with the execution, delivery or transmission of any Electronic Signature.</w:t>
      </w:r>
    </w:p>
    <w:p>
      <w:pPr>
        <w:spacing w:after="0" w:line="162"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1"/>
          <w:szCs w:val="21"/>
          <w:color w:val="auto"/>
        </w:rPr>
        <w:t>SECTION 11.11</w:t>
      </w:r>
      <w:r>
        <w:rPr>
          <w:rFonts w:ascii="Arial" w:cs="Arial" w:eastAsia="Arial" w:hAnsi="Arial"/>
          <w:sz w:val="21"/>
          <w:szCs w:val="21"/>
          <w:i w:val="1"/>
          <w:iCs w:val="1"/>
          <w:color w:val="auto"/>
        </w:rPr>
        <w:t>. WAIVER OF JURY TRIAL.</w:t>
      </w:r>
      <w:r>
        <w:rPr>
          <w:rFonts w:ascii="Arial" w:cs="Arial" w:eastAsia="Arial" w:hAnsi="Arial"/>
          <w:sz w:val="21"/>
          <w:szCs w:val="21"/>
          <w:color w:val="auto"/>
        </w:rPr>
        <w:t xml:space="preserve"> EACH OF THE BORROWERS, THE AGENTS, THE ISSUING LENDERS AND THE LENDERS HEREBY IRREVOCABLY WAIVES ANY AND ALL RIGHT TO TRIAL BY JURY IN ANY LEGAL PROCEEDING ARISING OUT OF OR RELATING TO THIS AGREEMENT OR THE TRANSACTIONS CONTEMPLATED HEREBY.</w:t>
      </w:r>
    </w:p>
    <w:p>
      <w:pPr>
        <w:spacing w:after="0" w:line="154"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1"/>
          <w:szCs w:val="21"/>
          <w:color w:val="auto"/>
        </w:rPr>
        <w:t xml:space="preserve">SECTION 11.12 </w:t>
      </w:r>
      <w:r>
        <w:rPr>
          <w:rFonts w:ascii="Arial" w:cs="Arial" w:eastAsia="Arial" w:hAnsi="Arial"/>
          <w:sz w:val="21"/>
          <w:szCs w:val="21"/>
          <w:i w:val="1"/>
          <w:iCs w:val="1"/>
          <w:color w:val="auto"/>
        </w:rPr>
        <w:t>. USA Patriot Act.</w:t>
      </w:r>
      <w:r>
        <w:rPr>
          <w:rFonts w:ascii="Arial" w:cs="Arial" w:eastAsia="Arial" w:hAnsi="Arial"/>
          <w:sz w:val="21"/>
          <w:szCs w:val="21"/>
          <w:color w:val="auto"/>
        </w:rPr>
        <w:t xml:space="preserve"> Each Lender hereby notifies the Borrowers that pursuant to the requirements of the USA PATRIOT Act of 2001 (the “</w:t>
      </w:r>
      <w:r>
        <w:rPr>
          <w:rFonts w:ascii="Arial" w:cs="Arial" w:eastAsia="Arial" w:hAnsi="Arial"/>
          <w:sz w:val="21"/>
          <w:szCs w:val="21"/>
          <w:b w:val="1"/>
          <w:bCs w:val="1"/>
          <w:color w:val="auto"/>
        </w:rPr>
        <w:t>Patriot Act</w:t>
      </w:r>
      <w:r>
        <w:rPr>
          <w:rFonts w:ascii="Arial" w:cs="Arial" w:eastAsia="Arial" w:hAnsi="Arial"/>
          <w:sz w:val="21"/>
          <w:szCs w:val="21"/>
          <w:color w:val="auto"/>
        </w:rPr>
        <w:t>”), it is required to obtain, verify and record information that identifies each Borrower, which information includes the name and address of each Borrower and other information that will allow such Lender to identify each Borrower in accordance with the Patriot Act.</w:t>
      </w:r>
    </w:p>
    <w:p>
      <w:pPr>
        <w:spacing w:after="0" w:line="154" w:lineRule="exact"/>
        <w:rPr>
          <w:sz w:val="20"/>
          <w:szCs w:val="20"/>
          <w:color w:val="auto"/>
        </w:rPr>
      </w:pPr>
    </w:p>
    <w:p>
      <w:pPr>
        <w:jc w:val="both"/>
        <w:ind w:left="80" w:firstLine="954"/>
        <w:spacing w:after="0" w:line="230" w:lineRule="auto"/>
        <w:rPr>
          <w:sz w:val="20"/>
          <w:szCs w:val="20"/>
          <w:color w:val="auto"/>
        </w:rPr>
      </w:pPr>
      <w:r>
        <w:rPr>
          <w:rFonts w:ascii="Arial" w:cs="Arial" w:eastAsia="Arial" w:hAnsi="Arial"/>
          <w:sz w:val="20"/>
          <w:szCs w:val="20"/>
          <w:color w:val="auto"/>
        </w:rPr>
        <w:t>SECTION 11.13</w:t>
      </w:r>
      <w:r>
        <w:rPr>
          <w:rFonts w:ascii="Arial" w:cs="Arial" w:eastAsia="Arial" w:hAnsi="Arial"/>
          <w:sz w:val="20"/>
          <w:szCs w:val="20"/>
          <w:i w:val="1"/>
          <w:iCs w:val="1"/>
          <w:color w:val="auto"/>
        </w:rPr>
        <w:t>. No Fiduciary Duty; Obligations Several</w:t>
      </w:r>
      <w:r>
        <w:rPr>
          <w:rFonts w:ascii="Arial" w:cs="Arial" w:eastAsia="Arial" w:hAnsi="Arial"/>
          <w:sz w:val="20"/>
          <w:szCs w:val="20"/>
          <w:color w:val="auto"/>
        </w:rPr>
        <w:t>. Each Borrower agrees that in connection with all aspects of the Loans and Letters of Credit contemplated by this Agreement and any communications in connection therewith, the Borrowers and their respective Subsidiaries, on the one hand, and the Agents, the Lenders and their respective affiliates, on the other hand, will have a business relationship that does not create, by implication or otherwise, any fiduciary duty on the part of any Agent, the Lender or their respective affiliates, and no such duty will be deemed to have arisen in connection with any such transactions or communications. The respective obligations of the Lenders under this Agreement are several and not joint and no Lender shall be responsible for the failure of any other Lender to satisfy its obligations hereunder.</w:t>
      </w:r>
    </w:p>
    <w:p>
      <w:pPr>
        <w:spacing w:after="0" w:line="153" w:lineRule="exact"/>
        <w:rPr>
          <w:sz w:val="20"/>
          <w:szCs w:val="20"/>
          <w:color w:val="auto"/>
        </w:rPr>
      </w:pPr>
    </w:p>
    <w:p>
      <w:pPr>
        <w:jc w:val="both"/>
        <w:ind w:firstLine="557"/>
        <w:spacing w:after="0" w:line="230" w:lineRule="auto"/>
        <w:rPr>
          <w:sz w:val="20"/>
          <w:szCs w:val="20"/>
          <w:color w:val="auto"/>
        </w:rPr>
      </w:pPr>
      <w:r>
        <w:rPr>
          <w:rFonts w:ascii="Arial" w:cs="Arial" w:eastAsia="Arial" w:hAnsi="Arial"/>
          <w:sz w:val="21"/>
          <w:szCs w:val="21"/>
          <w:color w:val="auto"/>
        </w:rPr>
        <w:t>SECTION 11.14</w:t>
      </w:r>
      <w:r>
        <w:rPr>
          <w:rFonts w:ascii="Arial" w:cs="Arial" w:eastAsia="Arial" w:hAnsi="Arial"/>
          <w:sz w:val="21"/>
          <w:szCs w:val="21"/>
          <w:i w:val="1"/>
          <w:iCs w:val="1"/>
          <w:color w:val="auto"/>
        </w:rPr>
        <w:t>. Acknowledgement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84</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6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4" w:lineRule="exact"/>
        <w:rPr>
          <w:sz w:val="20"/>
          <w:szCs w:val="20"/>
          <w:color w:val="auto"/>
        </w:rPr>
      </w:pPr>
    </w:p>
    <w:p>
      <w:pPr>
        <w:ind w:left="80" w:firstLine="636"/>
        <w:spacing w:after="0" w:line="239" w:lineRule="auto"/>
        <w:rPr>
          <w:sz w:val="20"/>
          <w:szCs w:val="20"/>
          <w:color w:val="auto"/>
        </w:rPr>
      </w:pPr>
      <w:r>
        <w:rPr>
          <w:rFonts w:ascii="Arial" w:cs="Arial" w:eastAsia="Arial" w:hAnsi="Arial"/>
          <w:sz w:val="21"/>
          <w:szCs w:val="21"/>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394" w:lineRule="exact"/>
        <w:rPr>
          <w:sz w:val="20"/>
          <w:szCs w:val="20"/>
          <w:color w:val="auto"/>
        </w:rPr>
      </w:pPr>
    </w:p>
    <w:p>
      <w:pPr>
        <w:ind w:left="1460" w:hanging="309"/>
        <w:spacing w:after="0"/>
        <w:tabs>
          <w:tab w:leader="none" w:pos="14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182" w:lineRule="exact"/>
        <w:rPr>
          <w:rFonts w:ascii="Arial" w:cs="Arial" w:eastAsia="Arial" w:hAnsi="Arial"/>
          <w:sz w:val="21"/>
          <w:szCs w:val="21"/>
          <w:color w:val="auto"/>
        </w:rPr>
      </w:pPr>
    </w:p>
    <w:p>
      <w:pPr>
        <w:ind w:left="1540" w:hanging="262"/>
        <w:spacing w:after="0"/>
        <w:tabs>
          <w:tab w:leader="none" w:pos="1540" w:val="left"/>
        </w:tabs>
        <w:numPr>
          <w:ilvl w:val="2"/>
          <w:numId w:val="153"/>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182" w:lineRule="exact"/>
        <w:rPr>
          <w:rFonts w:ascii="Arial" w:cs="Arial" w:eastAsia="Arial" w:hAnsi="Arial"/>
          <w:sz w:val="21"/>
          <w:szCs w:val="21"/>
          <w:color w:val="auto"/>
        </w:rPr>
      </w:pPr>
    </w:p>
    <w:p>
      <w:pPr>
        <w:jc w:val="both"/>
        <w:ind w:left="480" w:firstLine="718"/>
        <w:spacing w:after="0" w:line="225" w:lineRule="auto"/>
        <w:tabs>
          <w:tab w:leader="none" w:pos="1522" w:val="left"/>
        </w:tabs>
        <w:numPr>
          <w:ilvl w:val="1"/>
          <w:numId w:val="153"/>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4" w:lineRule="exact"/>
        <w:rPr>
          <w:rFonts w:ascii="Arial" w:cs="Arial" w:eastAsia="Arial" w:hAnsi="Arial"/>
          <w:sz w:val="21"/>
          <w:szCs w:val="21"/>
          <w:color w:val="auto"/>
        </w:rPr>
      </w:pPr>
    </w:p>
    <w:p>
      <w:pPr>
        <w:ind w:firstLine="1278"/>
        <w:spacing w:after="0" w:line="239" w:lineRule="auto"/>
        <w:tabs>
          <w:tab w:leader="none" w:pos="1659" w:val="left"/>
        </w:tabs>
        <w:numPr>
          <w:ilvl w:val="2"/>
          <w:numId w:val="154"/>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 xml:space="preserve">SECTION 11.15. </w:t>
      </w:r>
      <w:r>
        <w:rPr>
          <w:rFonts w:ascii="Arial" w:cs="Arial" w:eastAsia="Arial" w:hAnsi="Arial"/>
          <w:sz w:val="20"/>
          <w:szCs w:val="20"/>
          <w:i w:val="1"/>
          <w:iCs w:val="1"/>
          <w:color w:val="auto"/>
        </w:rPr>
        <w:t>Acknowledgement Regarding Any Supported QFCs</w:t>
      </w:r>
      <w:r>
        <w:rPr>
          <w:rFonts w:ascii="Arial" w:cs="Arial" w:eastAsia="Arial" w:hAnsi="Arial"/>
          <w:sz w:val="20"/>
          <w:szCs w:val="20"/>
          <w:color w:val="auto"/>
        </w:rPr>
        <w:t>. To the extent that the Loan Documents provide support, through a guarantee or otherwise, for Swap Agreements or any other agreement or instrument that is a QFC (such support “</w:t>
      </w:r>
      <w:r>
        <w:rPr>
          <w:rFonts w:ascii="Arial" w:cs="Arial" w:eastAsia="Arial" w:hAnsi="Arial"/>
          <w:sz w:val="20"/>
          <w:szCs w:val="20"/>
          <w:b w:val="1"/>
          <w:bCs w:val="1"/>
          <w:color w:val="auto"/>
        </w:rPr>
        <w:t>QFC Credit Support</w:t>
      </w:r>
      <w:r>
        <w:rPr>
          <w:rFonts w:ascii="Arial" w:cs="Arial" w:eastAsia="Arial" w:hAnsi="Arial"/>
          <w:sz w:val="20"/>
          <w:szCs w:val="20"/>
          <w:color w:val="auto"/>
        </w:rPr>
        <w:t>” and each such QFC a “</w:t>
      </w:r>
      <w:r>
        <w:rPr>
          <w:rFonts w:ascii="Arial" w:cs="Arial" w:eastAsia="Arial" w:hAnsi="Arial"/>
          <w:sz w:val="20"/>
          <w:szCs w:val="20"/>
          <w:b w:val="1"/>
          <w:bCs w:val="1"/>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b w:val="1"/>
          <w:bCs w:val="1"/>
          <w:color w:val="auto"/>
        </w:rPr>
        <w:t>U.S.</w:t>
      </w:r>
      <w:r>
        <w:rPr>
          <w:rFonts w:ascii="Arial" w:cs="Arial" w:eastAsia="Arial" w:hAnsi="Arial"/>
          <w:sz w:val="20"/>
          <w:szCs w:val="20"/>
          <w:color w:val="auto"/>
        </w:rPr>
        <w:t xml:space="preserve"> </w:t>
      </w:r>
      <w:r>
        <w:rPr>
          <w:rFonts w:ascii="Arial" w:cs="Arial" w:eastAsia="Arial" w:hAnsi="Arial"/>
          <w:sz w:val="20"/>
          <w:szCs w:val="20"/>
          <w:b w:val="1"/>
          <w:bCs w:val="1"/>
          <w:color w:val="auto"/>
        </w:rPr>
        <w:t>Special Resolution Regimes</w:t>
      </w:r>
      <w:r>
        <w:rPr>
          <w:rFonts w:ascii="Arial" w:cs="Arial" w:eastAsia="Arial" w:hAnsi="Arial"/>
          <w:sz w:val="20"/>
          <w:szCs w:val="20"/>
          <w:color w:val="auto"/>
        </w:rPr>
        <w:t>”) in respect of such Supported QFC and QFC Credit Support (with the provisions below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-969645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9"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7"/>
          <w:szCs w:val="17"/>
          <w:color w:val="auto"/>
        </w:rPr>
        <w:t xml:space="preserve">In the event a Covered Entity that is party to a Supported QFC (each, a “ </w:t>
      </w:r>
      <w:r>
        <w:rPr>
          <w:rFonts w:ascii="Arial" w:cs="Arial" w:eastAsia="Arial" w:hAnsi="Arial"/>
          <w:sz w:val="17"/>
          <w:szCs w:val="17"/>
          <w:b w:val="1"/>
          <w:b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or under such Supported QFC and such QFC Credit Support, and any rights in property securing such Supported QFC or such QFC Credit Support) from such Covered Party will be effective to the same extent as the transfer would be effective under the U.S. Special Resolution</w:t>
      </w:r>
    </w:p>
    <w:p>
      <w:pPr>
        <w:spacing w:after="0" w:line="231" w:lineRule="auto"/>
        <w:rPr>
          <w:sz w:val="20"/>
          <w:szCs w:val="20"/>
          <w:color w:val="auto"/>
        </w:rPr>
      </w:pPr>
      <w:r>
        <w:rPr>
          <w:rFonts w:ascii="Arial" w:cs="Arial" w:eastAsia="Arial" w:hAnsi="Arial"/>
          <w:sz w:val="18"/>
          <w:szCs w:val="18"/>
          <w:color w:val="auto"/>
        </w:rPr>
        <w:t>Regime if the Supported QFC and such QFC Credit Support (and any such interest, obligation and rights in property) were governed by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laws of the United States or a state of the United States. In the event a Covered Party or a BHC Act Affiliate of a Covered Party becomes subject to a proceeding under a U.S. Special Resolution Regime, Default Rights under the Loan Documents that might otherwise apply to such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Supported QFC or any QFC Credit Support that may be exercised against such Covered Party are permitted to be exercised to no greater extent</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than such Default Rights could be exercised under the U.S. Special Resolution Regime if the Supported QFC and the Loan Documents were governed by the laws of the United States or a state of the United States. Without limitation of the foregoing, it is understood and agreed that</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rights and remedies of the parties with respect to a Defaulting Lender shall in no event affect the rights of any Covered Party with respect to a Supported QFC or any QFC Credit Support.</w:t>
      </w:r>
    </w:p>
    <w:p>
      <w:pPr>
        <w:spacing w:after="0" w:line="161" w:lineRule="exact"/>
        <w:rPr>
          <w:sz w:val="20"/>
          <w:szCs w:val="20"/>
          <w:color w:val="auto"/>
        </w:rPr>
      </w:pPr>
    </w:p>
    <w:p>
      <w:pPr>
        <w:ind w:left="80" w:firstLine="556"/>
        <w:spacing w:after="0" w:line="239" w:lineRule="auto"/>
        <w:rPr>
          <w:sz w:val="20"/>
          <w:szCs w:val="20"/>
          <w:color w:val="auto"/>
        </w:rPr>
      </w:pPr>
      <w:r>
        <w:rPr>
          <w:rFonts w:ascii="Arial" w:cs="Arial" w:eastAsia="Arial" w:hAnsi="Arial"/>
          <w:sz w:val="21"/>
          <w:szCs w:val="21"/>
          <w:color w:val="auto"/>
        </w:rPr>
        <w:t xml:space="preserve">SECTION 11.16 </w:t>
      </w:r>
      <w:r>
        <w:rPr>
          <w:rFonts w:ascii="Arial" w:cs="Arial" w:eastAsia="Arial" w:hAnsi="Arial"/>
          <w:sz w:val="21"/>
          <w:szCs w:val="21"/>
          <w:i w:val="1"/>
          <w:iCs w:val="1"/>
          <w:color w:val="auto"/>
        </w:rPr>
        <w:t>Confidentiality</w:t>
      </w:r>
      <w:r>
        <w:rPr>
          <w:rFonts w:ascii="Arial" w:cs="Arial" w:eastAsia="Arial" w:hAnsi="Arial"/>
          <w:sz w:val="21"/>
          <w:szCs w:val="21"/>
          <w:color w:val="auto"/>
        </w:rPr>
        <w:t>. Each of the Administrative Agent, the Issuing Lenders and the Lenders agrees to maintain the confidentiality of the Information,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-165100</wp:posOffset>
            </wp:positionV>
            <wp:extent cx="387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8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85</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63" w:lineRule="exact"/>
        <w:rPr>
          <w:sz w:val="20"/>
          <w:szCs w:val="20"/>
          <w:color w:val="auto"/>
        </w:rPr>
      </w:pPr>
    </w:p>
    <w:p>
      <w:pPr>
        <w:jc w:val="both"/>
        <w:ind w:left="80"/>
        <w:spacing w:after="0" w:line="234" w:lineRule="auto"/>
        <w:rPr>
          <w:sz w:val="20"/>
          <w:szCs w:val="20"/>
          <w:color w:val="auto"/>
        </w:rPr>
      </w:pPr>
      <w:r>
        <w:rPr>
          <w:rFonts w:ascii="Arial" w:cs="Arial" w:eastAsia="Arial" w:hAnsi="Arial"/>
          <w:sz w:val="19"/>
          <w:szCs w:val="19"/>
          <w:color w:val="auto"/>
        </w:rPr>
        <w:t>Information may be disclosed (a) to its affiliates and its and its affiliates’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and the disclosing party shall be responsible for its affiliates’ compliance with this Section 11.16), (b) to the extent requested by any Governmental Authority (including any self-regulatory authority, such as the National Association of Insurance Commissioners), (c) to the extent required by applicable laws or regulations or by any subpoena or similar legal, judicial, administrative proceeding or other process (in which case the Administrative Agent, such Issuing Lender or such Lender, as applicable, agrees (except with respect to any audit or examination conducted by bank accountants or any self-regulatory authority or governmental or regulatory authority exercising examination or regulatory authority) to inform the Company promptly thereof to the extent practicable and not prohibited by applicable law, rule or regulation), (d) to any other party to this Agreement otherwise pursuant to the terms hereof,</w:t>
      </w:r>
    </w:p>
    <w:p>
      <w:pPr>
        <w:spacing w:after="0" w:line="8" w:lineRule="exact"/>
        <w:rPr>
          <w:sz w:val="20"/>
          <w:szCs w:val="20"/>
          <w:color w:val="auto"/>
        </w:rPr>
      </w:pPr>
    </w:p>
    <w:p>
      <w:pPr>
        <w:jc w:val="both"/>
        <w:ind w:left="80" w:firstLine="6"/>
        <w:spacing w:after="0" w:line="232" w:lineRule="auto"/>
        <w:tabs>
          <w:tab w:leader="none" w:pos="37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Agreement relating to the Company and its obligations, (g) on a confidential basis to (1) any rating agency in connection with rating the Company or its Subsidiaries or the credit facilities provided for herein or (2) the CUSIP Service Bureau or any similar agency in connection with the issuance and monitoring of identification numbers with respect to the credit facilities provided for herein, (h) with the consent of the Company, (i) for purposes of establishing a “due diligence” defense,</w:t>
      </w:r>
    </w:p>
    <w:p>
      <w:pPr>
        <w:spacing w:after="0" w:line="6" w:lineRule="exact"/>
        <w:rPr>
          <w:rFonts w:ascii="Arial" w:cs="Arial" w:eastAsia="Arial" w:hAnsi="Arial"/>
          <w:sz w:val="19"/>
          <w:szCs w:val="19"/>
          <w:color w:val="auto"/>
        </w:rPr>
      </w:pPr>
    </w:p>
    <w:p>
      <w:pPr>
        <w:jc w:val="both"/>
        <w:ind w:left="80" w:firstLine="6"/>
        <w:spacing w:after="0"/>
        <w:tabs>
          <w:tab w:leader="none" w:pos="34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the extent such Information was already in the possession of such Person or is independently developed by such Person or any of its affiliates, and (k) to the extent such Information (i) becomes publicly available other than as a result of a breach of this Section or (ii) becomes available to the Administrative Agent, any Issuing Lender or any Lender on a non-confidential basis from a source other than the Company that is not, to the knowledge of the Administrative Agent, such Issuing Lender or such Lender, subject to confidentiality obligations to the Company. For the purposes of this Section,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xml:space="preserve">” means all information received from the Company relating to the Company or its business, other than any such information that is available to the Administrative Agent, any Issuing Lender or any Lender on a non-confidential basis prior to disclosure by the Company and other than information pertaining to this Agreement routinely provided by arrangers to data service providers, including league table providers, that serve the lending industry;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If the Administrative Agent, any Issuing Lender or any Lender is requested or required, by oral questions, interrogatories, requests for information or documents, subpoena, civil investigative demand or similar process (other than in connection with any audit or examination conducted by bank accountants or any self-regulatory authority or governmental or regulatory authority exercising examination or regulatory authority), to disclose any or all of the Information, the Administrative Agent, such Issuing Lender or such Lender will provide the Company with prompt notice of such event (to the extent that such notice does not contravene any applicable law or similar regulation) so that the Company may, at its own expense, seek a protective order or other appropriate remedy or waive compliance with the applicable provisions of this Agreement by the Administrative Agent, such Issuing Lender or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86</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63" w:lineRule="exact"/>
        <w:rPr>
          <w:sz w:val="20"/>
          <w:szCs w:val="20"/>
          <w:color w:val="auto"/>
        </w:rPr>
      </w:pPr>
    </w:p>
    <w:p>
      <w:pPr>
        <w:jc w:val="both"/>
        <w:ind w:left="80"/>
        <w:spacing w:after="0" w:line="242" w:lineRule="auto"/>
        <w:rPr>
          <w:sz w:val="20"/>
          <w:szCs w:val="20"/>
          <w:color w:val="auto"/>
        </w:rPr>
      </w:pPr>
      <w:r>
        <w:rPr>
          <w:rFonts w:ascii="Arial" w:cs="Arial" w:eastAsia="Arial" w:hAnsi="Arial"/>
          <w:sz w:val="20"/>
          <w:szCs w:val="20"/>
          <w:color w:val="auto"/>
        </w:rPr>
        <w:t>If the Company determines to seek such protective order or other remedy and provides written notice thereof to the Administrative Agent, such Issuing Lender or such Lender, the Administrative Agent, such Issuing Lender or such Lender will reasonably cooperate with the Company in seeking such protective order or other remedy at the Company’s own expense.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67" w:lineRule="exact"/>
        <w:rPr>
          <w:sz w:val="20"/>
          <w:szCs w:val="20"/>
          <w:color w:val="auto"/>
        </w:rPr>
      </w:pPr>
    </w:p>
    <w:p>
      <w:pPr>
        <w:jc w:val="right"/>
        <w:ind w:right="3479"/>
        <w:spacing w:after="0"/>
        <w:rPr>
          <w:sz w:val="20"/>
          <w:szCs w:val="20"/>
          <w:color w:val="auto"/>
        </w:rPr>
      </w:pPr>
      <w:r>
        <w:rPr>
          <w:rFonts w:ascii="Arial" w:cs="Arial" w:eastAsia="Arial" w:hAnsi="Arial"/>
          <w:sz w:val="19"/>
          <w:szCs w:val="19"/>
          <w:color w:val="auto"/>
        </w:rPr>
        <w:t>[Signature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0139"/>
          </w:cols>
          <w:pgMar w:left="320" w:top="1440" w:right="1440" w:bottom="1440" w:gutter="0" w:footer="0" w:header="0"/>
        </w:sectPr>
      </w:pPr>
    </w:p>
    <w:bookmarkStart w:id="136" w:name="page137"/>
    <w:bookmarkEnd w:id="136"/>
    <w:p>
      <w:pPr>
        <w:spacing w:after="0" w:line="395" w:lineRule="exact"/>
        <w:rPr>
          <w:sz w:val="20"/>
          <w:szCs w:val="20"/>
          <w:color w:val="auto"/>
        </w:rPr>
      </w:pPr>
    </w:p>
    <w:tbl>
      <w:tblPr>
        <w:tblLayout w:type="fixed"/>
        <w:tblInd w:w="360" w:type="dxa"/>
        <w:tblCellMar>
          <w:top w:w="0" w:type="dxa"/>
          <w:left w:w="0" w:type="dxa"/>
          <w:bottom w:w="0" w:type="dxa"/>
          <w:right w:w="0" w:type="dxa"/>
        </w:tblCellMar>
      </w:tblPr>
      <w:tr>
        <w:trPr>
          <w:trHeight w:val="277"/>
        </w:trPr>
        <w:tc>
          <w:tcPr>
            <w:tcW w:w="9960" w:type="dxa"/>
            <w:vAlign w:val="bottom"/>
            <w:gridSpan w:val="2"/>
          </w:tcPr>
          <w:p>
            <w:pPr>
              <w:ind w:left="3460"/>
              <w:spacing w:after="0"/>
              <w:rPr>
                <w:sz w:val="20"/>
                <w:szCs w:val="20"/>
                <w:color w:val="auto"/>
              </w:rPr>
            </w:pPr>
            <w:r>
              <w:rPr>
                <w:rFonts w:ascii="Arial" w:cs="Arial" w:eastAsia="Arial" w:hAnsi="Arial"/>
                <w:sz w:val="21"/>
                <w:szCs w:val="21"/>
                <w:b w:val="1"/>
                <w:bCs w:val="1"/>
                <w:color w:val="auto"/>
              </w:rPr>
              <w:t>COMMITMENT SCHEDULE (in US$)</w:t>
            </w:r>
          </w:p>
        </w:tc>
      </w:tr>
      <w:tr>
        <w:trPr>
          <w:trHeight w:val="50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Lender</w:t>
            </w:r>
          </w:p>
        </w:tc>
        <w:tc>
          <w:tcPr>
            <w:tcW w:w="4760" w:type="dxa"/>
            <w:vAlign w:val="bottom"/>
            <w:tcBorders>
              <w:bottom w:val="single" w:sz="8" w:color="auto"/>
            </w:tcBorders>
          </w:tcPr>
          <w:p>
            <w:pPr>
              <w:ind w:left="1360"/>
              <w:spacing w:after="0"/>
              <w:rPr>
                <w:sz w:val="20"/>
                <w:szCs w:val="20"/>
                <w:color w:val="auto"/>
              </w:rPr>
            </w:pPr>
            <w:r>
              <w:rPr>
                <w:rFonts w:ascii="Arial" w:cs="Arial" w:eastAsia="Arial" w:hAnsi="Arial"/>
                <w:sz w:val="21"/>
                <w:szCs w:val="21"/>
                <w:color w:val="auto"/>
              </w:rPr>
              <w:t>Commitment</w:t>
            </w:r>
          </w:p>
        </w:tc>
      </w:tr>
      <w:tr>
        <w:trPr>
          <w:trHeight w:val="241"/>
        </w:trPr>
        <w:tc>
          <w:tcPr>
            <w:tcW w:w="5200" w:type="dxa"/>
            <w:vAlign w:val="bottom"/>
          </w:tcPr>
          <w:p>
            <w:pPr>
              <w:ind w:left="20"/>
              <w:spacing w:after="0"/>
              <w:rPr>
                <w:sz w:val="20"/>
                <w:szCs w:val="20"/>
                <w:color w:val="auto"/>
              </w:rPr>
            </w:pPr>
            <w:r>
              <w:rPr>
                <w:rFonts w:ascii="Arial" w:cs="Arial" w:eastAsia="Arial" w:hAnsi="Arial"/>
                <w:sz w:val="19"/>
                <w:szCs w:val="19"/>
                <w:color w:val="auto"/>
              </w:rPr>
              <w:t>JPMorgan Chase Bank, N.A.</w:t>
            </w:r>
          </w:p>
        </w:tc>
        <w:tc>
          <w:tcPr>
            <w:tcW w:w="4760" w:type="dxa"/>
            <w:vAlign w:val="bottom"/>
          </w:tcPr>
          <w:p>
            <w:pPr>
              <w:ind w:left="1360"/>
              <w:spacing w:after="0"/>
              <w:rPr>
                <w:sz w:val="20"/>
                <w:szCs w:val="20"/>
                <w:color w:val="auto"/>
              </w:rPr>
            </w:pPr>
            <w:r>
              <w:rPr>
                <w:rFonts w:ascii="Arial" w:cs="Arial" w:eastAsia="Arial" w:hAnsi="Arial"/>
                <w:sz w:val="19"/>
                <w:szCs w:val="19"/>
                <w:color w:val="auto"/>
              </w:rPr>
              <w:t>$160,000,000</w:t>
            </w:r>
          </w:p>
        </w:tc>
      </w:tr>
      <w:tr>
        <w:trPr>
          <w:trHeight w:val="248"/>
        </w:trPr>
        <w:tc>
          <w:tcPr>
            <w:tcW w:w="5200" w:type="dxa"/>
            <w:vAlign w:val="bottom"/>
          </w:tcPr>
          <w:p>
            <w:pPr>
              <w:ind w:left="20"/>
              <w:spacing w:after="0"/>
              <w:rPr>
                <w:sz w:val="20"/>
                <w:szCs w:val="20"/>
                <w:color w:val="auto"/>
              </w:rPr>
            </w:pPr>
            <w:r>
              <w:rPr>
                <w:rFonts w:ascii="Arial" w:cs="Arial" w:eastAsia="Arial" w:hAnsi="Arial"/>
                <w:sz w:val="19"/>
                <w:szCs w:val="19"/>
                <w:color w:val="auto"/>
              </w:rPr>
              <w:t>Barclays Bank PLC</w:t>
            </w:r>
          </w:p>
        </w:tc>
        <w:tc>
          <w:tcPr>
            <w:tcW w:w="4760" w:type="dxa"/>
            <w:vAlign w:val="bottom"/>
          </w:tcPr>
          <w:p>
            <w:pPr>
              <w:ind w:left="1360"/>
              <w:spacing w:after="0"/>
              <w:rPr>
                <w:sz w:val="20"/>
                <w:szCs w:val="20"/>
                <w:color w:val="auto"/>
              </w:rPr>
            </w:pPr>
            <w:r>
              <w:rPr>
                <w:rFonts w:ascii="Arial" w:cs="Arial" w:eastAsia="Arial" w:hAnsi="Arial"/>
                <w:sz w:val="19"/>
                <w:szCs w:val="19"/>
                <w:color w:val="auto"/>
              </w:rPr>
              <w:t>$160,000,000</w:t>
            </w:r>
          </w:p>
        </w:tc>
      </w:tr>
      <w:tr>
        <w:trPr>
          <w:trHeight w:val="243"/>
        </w:trPr>
        <w:tc>
          <w:tcPr>
            <w:tcW w:w="5200" w:type="dxa"/>
            <w:vAlign w:val="bottom"/>
          </w:tcPr>
          <w:p>
            <w:pPr>
              <w:ind w:left="20"/>
              <w:spacing w:after="0"/>
              <w:rPr>
                <w:sz w:val="20"/>
                <w:szCs w:val="20"/>
                <w:color w:val="auto"/>
              </w:rPr>
            </w:pPr>
            <w:r>
              <w:rPr>
                <w:rFonts w:ascii="Arial" w:cs="Arial" w:eastAsia="Arial" w:hAnsi="Arial"/>
                <w:sz w:val="19"/>
                <w:szCs w:val="19"/>
                <w:color w:val="auto"/>
              </w:rPr>
              <w:t>BNP Paribas</w:t>
            </w:r>
          </w:p>
        </w:tc>
        <w:tc>
          <w:tcPr>
            <w:tcW w:w="4760" w:type="dxa"/>
            <w:vAlign w:val="bottom"/>
          </w:tcPr>
          <w:p>
            <w:pPr>
              <w:ind w:left="1360"/>
              <w:spacing w:after="0"/>
              <w:rPr>
                <w:sz w:val="20"/>
                <w:szCs w:val="20"/>
                <w:color w:val="auto"/>
              </w:rPr>
            </w:pPr>
            <w:r>
              <w:rPr>
                <w:rFonts w:ascii="Arial" w:cs="Arial" w:eastAsia="Arial" w:hAnsi="Arial"/>
                <w:sz w:val="19"/>
                <w:szCs w:val="19"/>
                <w:color w:val="auto"/>
              </w:rPr>
              <w:t>$160,000,000</w:t>
            </w:r>
          </w:p>
        </w:tc>
      </w:tr>
      <w:tr>
        <w:trPr>
          <w:trHeight w:val="247"/>
        </w:trPr>
        <w:tc>
          <w:tcPr>
            <w:tcW w:w="5200" w:type="dxa"/>
            <w:vAlign w:val="bottom"/>
          </w:tcPr>
          <w:p>
            <w:pPr>
              <w:ind w:left="20"/>
              <w:spacing w:after="0"/>
              <w:rPr>
                <w:sz w:val="20"/>
                <w:szCs w:val="20"/>
                <w:color w:val="auto"/>
              </w:rPr>
            </w:pPr>
            <w:r>
              <w:rPr>
                <w:rFonts w:ascii="Arial" w:cs="Arial" w:eastAsia="Arial" w:hAnsi="Arial"/>
                <w:sz w:val="19"/>
                <w:szCs w:val="19"/>
                <w:color w:val="auto"/>
              </w:rPr>
              <w:t>Bank of America, N.A.</w:t>
            </w:r>
          </w:p>
        </w:tc>
        <w:tc>
          <w:tcPr>
            <w:tcW w:w="4760" w:type="dxa"/>
            <w:vAlign w:val="bottom"/>
          </w:tcPr>
          <w:p>
            <w:pPr>
              <w:ind w:left="1360"/>
              <w:spacing w:after="0"/>
              <w:rPr>
                <w:sz w:val="20"/>
                <w:szCs w:val="20"/>
                <w:color w:val="auto"/>
              </w:rPr>
            </w:pPr>
            <w:r>
              <w:rPr>
                <w:rFonts w:ascii="Arial" w:cs="Arial" w:eastAsia="Arial" w:hAnsi="Arial"/>
                <w:sz w:val="19"/>
                <w:szCs w:val="19"/>
                <w:color w:val="auto"/>
              </w:rPr>
              <w:t>$160,000,000</w:t>
            </w:r>
          </w:p>
        </w:tc>
      </w:tr>
      <w:tr>
        <w:trPr>
          <w:trHeight w:val="252"/>
        </w:trPr>
        <w:tc>
          <w:tcPr>
            <w:tcW w:w="5200" w:type="dxa"/>
            <w:vAlign w:val="bottom"/>
          </w:tcPr>
          <w:p>
            <w:pPr>
              <w:ind w:left="20"/>
              <w:spacing w:after="0"/>
              <w:rPr>
                <w:sz w:val="20"/>
                <w:szCs w:val="20"/>
                <w:color w:val="auto"/>
              </w:rPr>
            </w:pPr>
            <w:r>
              <w:rPr>
                <w:rFonts w:ascii="Arial" w:cs="Arial" w:eastAsia="Arial" w:hAnsi="Arial"/>
                <w:sz w:val="19"/>
                <w:szCs w:val="19"/>
                <w:color w:val="auto"/>
              </w:rPr>
              <w:t>Citibank, N.A.</w:t>
            </w:r>
          </w:p>
        </w:tc>
        <w:tc>
          <w:tcPr>
            <w:tcW w:w="4760" w:type="dxa"/>
            <w:vAlign w:val="bottom"/>
          </w:tcPr>
          <w:p>
            <w:pPr>
              <w:ind w:left="1360"/>
              <w:spacing w:after="0"/>
              <w:rPr>
                <w:sz w:val="20"/>
                <w:szCs w:val="20"/>
                <w:color w:val="auto"/>
              </w:rPr>
            </w:pPr>
            <w:r>
              <w:rPr>
                <w:rFonts w:ascii="Arial" w:cs="Arial" w:eastAsia="Arial" w:hAnsi="Arial"/>
                <w:sz w:val="19"/>
                <w:szCs w:val="19"/>
                <w:color w:val="auto"/>
              </w:rPr>
              <w:t>$140,000,000</w:t>
            </w:r>
          </w:p>
        </w:tc>
      </w:tr>
      <w:tr>
        <w:trPr>
          <w:trHeight w:val="243"/>
        </w:trPr>
        <w:tc>
          <w:tcPr>
            <w:tcW w:w="5200" w:type="dxa"/>
            <w:vAlign w:val="bottom"/>
          </w:tcPr>
          <w:p>
            <w:pPr>
              <w:ind w:left="20"/>
              <w:spacing w:after="0"/>
              <w:rPr>
                <w:sz w:val="20"/>
                <w:szCs w:val="20"/>
                <w:color w:val="auto"/>
              </w:rPr>
            </w:pPr>
            <w:r>
              <w:rPr>
                <w:rFonts w:ascii="Arial" w:cs="Arial" w:eastAsia="Arial" w:hAnsi="Arial"/>
                <w:sz w:val="19"/>
                <w:szCs w:val="19"/>
                <w:color w:val="auto"/>
              </w:rPr>
              <w:t>Credit Suisse AG, New York Branch</w:t>
            </w:r>
          </w:p>
        </w:tc>
        <w:tc>
          <w:tcPr>
            <w:tcW w:w="4760" w:type="dxa"/>
            <w:vAlign w:val="bottom"/>
          </w:tcPr>
          <w:p>
            <w:pPr>
              <w:ind w:left="1360"/>
              <w:spacing w:after="0"/>
              <w:rPr>
                <w:sz w:val="20"/>
                <w:szCs w:val="20"/>
                <w:color w:val="auto"/>
              </w:rPr>
            </w:pPr>
            <w:r>
              <w:rPr>
                <w:rFonts w:ascii="Arial" w:cs="Arial" w:eastAsia="Arial" w:hAnsi="Arial"/>
                <w:sz w:val="19"/>
                <w:szCs w:val="19"/>
                <w:color w:val="auto"/>
              </w:rPr>
              <w:t>$140,000,000</w:t>
            </w:r>
          </w:p>
        </w:tc>
      </w:tr>
      <w:tr>
        <w:trPr>
          <w:trHeight w:val="247"/>
        </w:trPr>
        <w:tc>
          <w:tcPr>
            <w:tcW w:w="5200" w:type="dxa"/>
            <w:vAlign w:val="bottom"/>
          </w:tcPr>
          <w:p>
            <w:pPr>
              <w:ind w:left="20"/>
              <w:spacing w:after="0"/>
              <w:rPr>
                <w:sz w:val="20"/>
                <w:szCs w:val="20"/>
                <w:color w:val="auto"/>
              </w:rPr>
            </w:pPr>
            <w:r>
              <w:rPr>
                <w:rFonts w:ascii="Arial" w:cs="Arial" w:eastAsia="Arial" w:hAnsi="Arial"/>
                <w:sz w:val="19"/>
                <w:szCs w:val="19"/>
                <w:color w:val="auto"/>
              </w:rPr>
              <w:t>Wells Fargo Bank, National Association</w:t>
            </w:r>
          </w:p>
        </w:tc>
        <w:tc>
          <w:tcPr>
            <w:tcW w:w="4760" w:type="dxa"/>
            <w:vAlign w:val="bottom"/>
          </w:tcPr>
          <w:p>
            <w:pPr>
              <w:ind w:left="1360"/>
              <w:spacing w:after="0"/>
              <w:rPr>
                <w:sz w:val="20"/>
                <w:szCs w:val="20"/>
                <w:color w:val="auto"/>
              </w:rPr>
            </w:pPr>
            <w:r>
              <w:rPr>
                <w:rFonts w:ascii="Arial" w:cs="Arial" w:eastAsia="Arial" w:hAnsi="Arial"/>
                <w:sz w:val="19"/>
                <w:szCs w:val="19"/>
                <w:color w:val="auto"/>
              </w:rPr>
              <w:t>$140,000,000</w:t>
            </w:r>
          </w:p>
        </w:tc>
      </w:tr>
      <w:tr>
        <w:trPr>
          <w:trHeight w:val="252"/>
        </w:trPr>
        <w:tc>
          <w:tcPr>
            <w:tcW w:w="5200" w:type="dxa"/>
            <w:vAlign w:val="bottom"/>
          </w:tcPr>
          <w:p>
            <w:pPr>
              <w:ind w:left="20"/>
              <w:spacing w:after="0"/>
              <w:rPr>
                <w:sz w:val="20"/>
                <w:szCs w:val="20"/>
                <w:color w:val="auto"/>
              </w:rPr>
            </w:pPr>
            <w:r>
              <w:rPr>
                <w:rFonts w:ascii="Arial" w:cs="Arial" w:eastAsia="Arial" w:hAnsi="Arial"/>
                <w:sz w:val="19"/>
                <w:szCs w:val="19"/>
                <w:color w:val="auto"/>
              </w:rPr>
              <w:t>CoBank, ACB</w:t>
            </w:r>
          </w:p>
        </w:tc>
        <w:tc>
          <w:tcPr>
            <w:tcW w:w="4760" w:type="dxa"/>
            <w:vAlign w:val="bottom"/>
          </w:tcPr>
          <w:p>
            <w:pPr>
              <w:ind w:left="1360"/>
              <w:spacing w:after="0"/>
              <w:rPr>
                <w:sz w:val="20"/>
                <w:szCs w:val="20"/>
                <w:color w:val="auto"/>
              </w:rPr>
            </w:pPr>
            <w:r>
              <w:rPr>
                <w:rFonts w:ascii="Arial" w:cs="Arial" w:eastAsia="Arial" w:hAnsi="Arial"/>
                <w:sz w:val="19"/>
                <w:szCs w:val="19"/>
                <w:color w:val="auto"/>
              </w:rPr>
              <w:t>$115,000,000</w:t>
            </w:r>
          </w:p>
        </w:tc>
      </w:tr>
      <w:tr>
        <w:trPr>
          <w:trHeight w:val="243"/>
        </w:trPr>
        <w:tc>
          <w:tcPr>
            <w:tcW w:w="5200" w:type="dxa"/>
            <w:vAlign w:val="bottom"/>
          </w:tcPr>
          <w:p>
            <w:pPr>
              <w:ind w:left="20"/>
              <w:spacing w:after="0"/>
              <w:rPr>
                <w:sz w:val="20"/>
                <w:szCs w:val="20"/>
                <w:color w:val="auto"/>
              </w:rPr>
            </w:pPr>
            <w:r>
              <w:rPr>
                <w:rFonts w:ascii="Arial" w:cs="Arial" w:eastAsia="Arial" w:hAnsi="Arial"/>
                <w:sz w:val="19"/>
                <w:szCs w:val="19"/>
                <w:color w:val="auto"/>
              </w:rPr>
              <w:t>PNC Bank, National Association</w:t>
            </w:r>
          </w:p>
        </w:tc>
        <w:tc>
          <w:tcPr>
            <w:tcW w:w="4760" w:type="dxa"/>
            <w:vAlign w:val="bottom"/>
          </w:tcPr>
          <w:p>
            <w:pPr>
              <w:ind w:left="1360"/>
              <w:spacing w:after="0"/>
              <w:rPr>
                <w:sz w:val="20"/>
                <w:szCs w:val="20"/>
                <w:color w:val="auto"/>
              </w:rPr>
            </w:pPr>
            <w:r>
              <w:rPr>
                <w:rFonts w:ascii="Arial" w:cs="Arial" w:eastAsia="Arial" w:hAnsi="Arial"/>
                <w:sz w:val="19"/>
                <w:szCs w:val="19"/>
                <w:color w:val="auto"/>
              </w:rPr>
              <w:t>$115,000,000</w:t>
            </w:r>
          </w:p>
        </w:tc>
      </w:tr>
      <w:tr>
        <w:trPr>
          <w:trHeight w:val="247"/>
        </w:trPr>
        <w:tc>
          <w:tcPr>
            <w:tcW w:w="5200" w:type="dxa"/>
            <w:vAlign w:val="bottom"/>
          </w:tcPr>
          <w:p>
            <w:pPr>
              <w:ind w:left="20"/>
              <w:spacing w:after="0"/>
              <w:rPr>
                <w:sz w:val="20"/>
                <w:szCs w:val="20"/>
                <w:color w:val="auto"/>
              </w:rPr>
            </w:pPr>
            <w:r>
              <w:rPr>
                <w:rFonts w:ascii="Arial" w:cs="Arial" w:eastAsia="Arial" w:hAnsi="Arial"/>
                <w:sz w:val="19"/>
                <w:szCs w:val="19"/>
                <w:color w:val="auto"/>
              </w:rPr>
              <w:t>U.S. Bank National Association</w:t>
            </w:r>
          </w:p>
        </w:tc>
        <w:tc>
          <w:tcPr>
            <w:tcW w:w="4760" w:type="dxa"/>
            <w:vAlign w:val="bottom"/>
          </w:tcPr>
          <w:p>
            <w:pPr>
              <w:ind w:left="1360"/>
              <w:spacing w:after="0"/>
              <w:rPr>
                <w:sz w:val="20"/>
                <w:szCs w:val="20"/>
                <w:color w:val="auto"/>
              </w:rPr>
            </w:pPr>
            <w:r>
              <w:rPr>
                <w:rFonts w:ascii="Arial" w:cs="Arial" w:eastAsia="Arial" w:hAnsi="Arial"/>
                <w:sz w:val="19"/>
                <w:szCs w:val="19"/>
                <w:color w:val="auto"/>
              </w:rPr>
              <w:t>$115,000,000</w:t>
            </w:r>
          </w:p>
        </w:tc>
      </w:tr>
      <w:tr>
        <w:trPr>
          <w:trHeight w:val="243"/>
        </w:trPr>
        <w:tc>
          <w:tcPr>
            <w:tcW w:w="5200" w:type="dxa"/>
            <w:vAlign w:val="bottom"/>
          </w:tcPr>
          <w:p>
            <w:pPr>
              <w:ind w:left="20"/>
              <w:spacing w:after="0"/>
              <w:rPr>
                <w:sz w:val="20"/>
                <w:szCs w:val="20"/>
                <w:color w:val="auto"/>
              </w:rPr>
            </w:pPr>
            <w:r>
              <w:rPr>
                <w:rFonts w:ascii="Arial" w:cs="Arial" w:eastAsia="Arial" w:hAnsi="Arial"/>
                <w:sz w:val="19"/>
                <w:szCs w:val="19"/>
                <w:color w:val="auto"/>
              </w:rPr>
              <w:t>Coöperatieve Rabobank U.A., New York Branch</w:t>
            </w:r>
          </w:p>
        </w:tc>
        <w:tc>
          <w:tcPr>
            <w:tcW w:w="4760" w:type="dxa"/>
            <w:vAlign w:val="bottom"/>
          </w:tcPr>
          <w:p>
            <w:pPr>
              <w:ind w:left="1360"/>
              <w:spacing w:after="0"/>
              <w:rPr>
                <w:sz w:val="20"/>
                <w:szCs w:val="20"/>
                <w:color w:val="auto"/>
              </w:rPr>
            </w:pPr>
            <w:r>
              <w:rPr>
                <w:rFonts w:ascii="Arial" w:cs="Arial" w:eastAsia="Arial" w:hAnsi="Arial"/>
                <w:sz w:val="19"/>
                <w:szCs w:val="19"/>
                <w:color w:val="auto"/>
              </w:rPr>
              <w:t>$75,000,000</w:t>
            </w:r>
          </w:p>
        </w:tc>
      </w:tr>
      <w:tr>
        <w:trPr>
          <w:trHeight w:val="247"/>
        </w:trPr>
        <w:tc>
          <w:tcPr>
            <w:tcW w:w="5200" w:type="dxa"/>
            <w:vAlign w:val="bottom"/>
          </w:tcPr>
          <w:p>
            <w:pPr>
              <w:ind w:left="20"/>
              <w:spacing w:after="0"/>
              <w:rPr>
                <w:sz w:val="20"/>
                <w:szCs w:val="20"/>
                <w:color w:val="auto"/>
              </w:rPr>
            </w:pPr>
            <w:r>
              <w:rPr>
                <w:rFonts w:ascii="Arial" w:cs="Arial" w:eastAsia="Arial" w:hAnsi="Arial"/>
                <w:sz w:val="19"/>
                <w:szCs w:val="19"/>
                <w:color w:val="auto"/>
              </w:rPr>
              <w:t>M&amp;T Bank</w:t>
            </w:r>
          </w:p>
        </w:tc>
        <w:tc>
          <w:tcPr>
            <w:tcW w:w="4760" w:type="dxa"/>
            <w:vAlign w:val="bottom"/>
          </w:tcPr>
          <w:p>
            <w:pPr>
              <w:ind w:left="1360"/>
              <w:spacing w:after="0"/>
              <w:rPr>
                <w:sz w:val="20"/>
                <w:szCs w:val="20"/>
                <w:color w:val="auto"/>
              </w:rPr>
            </w:pPr>
            <w:r>
              <w:rPr>
                <w:rFonts w:ascii="Arial" w:cs="Arial" w:eastAsia="Arial" w:hAnsi="Arial"/>
                <w:sz w:val="19"/>
                <w:szCs w:val="19"/>
                <w:color w:val="auto"/>
              </w:rPr>
              <w:t>$75,000,000</w:t>
            </w:r>
          </w:p>
        </w:tc>
      </w:tr>
      <w:tr>
        <w:trPr>
          <w:trHeight w:val="252"/>
        </w:trPr>
        <w:tc>
          <w:tcPr>
            <w:tcW w:w="5200" w:type="dxa"/>
            <w:vAlign w:val="bottom"/>
          </w:tcPr>
          <w:p>
            <w:pPr>
              <w:ind w:left="20"/>
              <w:spacing w:after="0"/>
              <w:rPr>
                <w:sz w:val="20"/>
                <w:szCs w:val="20"/>
                <w:color w:val="auto"/>
              </w:rPr>
            </w:pPr>
            <w:r>
              <w:rPr>
                <w:rFonts w:ascii="Arial" w:cs="Arial" w:eastAsia="Arial" w:hAnsi="Arial"/>
                <w:sz w:val="19"/>
                <w:szCs w:val="19"/>
                <w:color w:val="auto"/>
              </w:rPr>
              <w:t>Sumitomo Mitsui Banking Corporation</w:t>
            </w:r>
          </w:p>
        </w:tc>
        <w:tc>
          <w:tcPr>
            <w:tcW w:w="4760" w:type="dxa"/>
            <w:vAlign w:val="bottom"/>
          </w:tcPr>
          <w:p>
            <w:pPr>
              <w:ind w:left="1360"/>
              <w:spacing w:after="0"/>
              <w:rPr>
                <w:sz w:val="20"/>
                <w:szCs w:val="20"/>
                <w:color w:val="auto"/>
              </w:rPr>
            </w:pPr>
            <w:r>
              <w:rPr>
                <w:rFonts w:ascii="Arial" w:cs="Arial" w:eastAsia="Arial" w:hAnsi="Arial"/>
                <w:sz w:val="19"/>
                <w:szCs w:val="19"/>
                <w:color w:val="auto"/>
              </w:rPr>
              <w:t>$75,000,000</w:t>
            </w:r>
          </w:p>
        </w:tc>
      </w:tr>
      <w:tr>
        <w:trPr>
          <w:trHeight w:val="243"/>
        </w:trPr>
        <w:tc>
          <w:tcPr>
            <w:tcW w:w="5200" w:type="dxa"/>
            <w:vAlign w:val="bottom"/>
          </w:tcPr>
          <w:p>
            <w:pPr>
              <w:ind w:left="20"/>
              <w:spacing w:after="0"/>
              <w:rPr>
                <w:sz w:val="20"/>
                <w:szCs w:val="20"/>
                <w:color w:val="auto"/>
              </w:rPr>
            </w:pPr>
            <w:r>
              <w:rPr>
                <w:rFonts w:ascii="Arial" w:cs="Arial" w:eastAsia="Arial" w:hAnsi="Arial"/>
                <w:sz w:val="19"/>
                <w:szCs w:val="19"/>
                <w:color w:val="auto"/>
              </w:rPr>
              <w:t>The Northern Trust Company</w:t>
            </w:r>
          </w:p>
        </w:tc>
        <w:tc>
          <w:tcPr>
            <w:tcW w:w="4760" w:type="dxa"/>
            <w:vAlign w:val="bottom"/>
          </w:tcPr>
          <w:p>
            <w:pPr>
              <w:ind w:left="1360"/>
              <w:spacing w:after="0"/>
              <w:rPr>
                <w:sz w:val="20"/>
                <w:szCs w:val="20"/>
                <w:color w:val="auto"/>
              </w:rPr>
            </w:pPr>
            <w:r>
              <w:rPr>
                <w:rFonts w:ascii="Arial" w:cs="Arial" w:eastAsia="Arial" w:hAnsi="Arial"/>
                <w:sz w:val="19"/>
                <w:szCs w:val="19"/>
                <w:color w:val="auto"/>
              </w:rPr>
              <w:t>$75,000,000</w:t>
            </w:r>
          </w:p>
        </w:tc>
      </w:tr>
      <w:tr>
        <w:trPr>
          <w:trHeight w:val="247"/>
        </w:trPr>
        <w:tc>
          <w:tcPr>
            <w:tcW w:w="5200" w:type="dxa"/>
            <w:vAlign w:val="bottom"/>
          </w:tcPr>
          <w:p>
            <w:pPr>
              <w:ind w:left="20"/>
              <w:spacing w:after="0"/>
              <w:rPr>
                <w:sz w:val="20"/>
                <w:szCs w:val="20"/>
                <w:color w:val="auto"/>
              </w:rPr>
            </w:pPr>
            <w:r>
              <w:rPr>
                <w:rFonts w:ascii="Arial" w:cs="Arial" w:eastAsia="Arial" w:hAnsi="Arial"/>
                <w:sz w:val="19"/>
                <w:szCs w:val="19"/>
                <w:color w:val="auto"/>
              </w:rPr>
              <w:t>BMO Harris Bank, N.A.</w:t>
            </w:r>
          </w:p>
        </w:tc>
        <w:tc>
          <w:tcPr>
            <w:tcW w:w="4760" w:type="dxa"/>
            <w:vAlign w:val="bottom"/>
          </w:tcPr>
          <w:p>
            <w:pPr>
              <w:ind w:left="1360"/>
              <w:spacing w:after="0"/>
              <w:rPr>
                <w:sz w:val="20"/>
                <w:szCs w:val="20"/>
                <w:color w:val="auto"/>
              </w:rPr>
            </w:pPr>
            <w:r>
              <w:rPr>
                <w:rFonts w:ascii="Arial" w:cs="Arial" w:eastAsia="Arial" w:hAnsi="Arial"/>
                <w:sz w:val="19"/>
                <w:szCs w:val="19"/>
                <w:color w:val="auto"/>
              </w:rPr>
              <w:t>$60,000,000</w:t>
            </w:r>
          </w:p>
        </w:tc>
      </w:tr>
      <w:tr>
        <w:trPr>
          <w:trHeight w:val="252"/>
        </w:trPr>
        <w:tc>
          <w:tcPr>
            <w:tcW w:w="5200" w:type="dxa"/>
            <w:vAlign w:val="bottom"/>
          </w:tcPr>
          <w:p>
            <w:pPr>
              <w:ind w:left="20"/>
              <w:spacing w:after="0"/>
              <w:rPr>
                <w:sz w:val="20"/>
                <w:szCs w:val="20"/>
                <w:color w:val="auto"/>
              </w:rPr>
            </w:pPr>
            <w:r>
              <w:rPr>
                <w:rFonts w:ascii="Arial" w:cs="Arial" w:eastAsia="Arial" w:hAnsi="Arial"/>
                <w:sz w:val="19"/>
                <w:szCs w:val="19"/>
                <w:color w:val="auto"/>
              </w:rPr>
              <w:t>MUFG Bank, Ltd.</w:t>
            </w:r>
          </w:p>
        </w:tc>
        <w:tc>
          <w:tcPr>
            <w:tcW w:w="4760" w:type="dxa"/>
            <w:vAlign w:val="bottom"/>
          </w:tcPr>
          <w:p>
            <w:pPr>
              <w:ind w:left="1360"/>
              <w:spacing w:after="0"/>
              <w:rPr>
                <w:sz w:val="20"/>
                <w:szCs w:val="20"/>
                <w:color w:val="auto"/>
              </w:rPr>
            </w:pPr>
            <w:r>
              <w:rPr>
                <w:rFonts w:ascii="Arial" w:cs="Arial" w:eastAsia="Arial" w:hAnsi="Arial"/>
                <w:sz w:val="19"/>
                <w:szCs w:val="19"/>
                <w:color w:val="auto"/>
              </w:rPr>
              <w:t>$60,000,000</w:t>
            </w:r>
          </w:p>
        </w:tc>
      </w:tr>
      <w:tr>
        <w:trPr>
          <w:trHeight w:val="233"/>
        </w:trPr>
        <w:tc>
          <w:tcPr>
            <w:tcW w:w="5200" w:type="dxa"/>
            <w:vAlign w:val="bottom"/>
          </w:tcPr>
          <w:p>
            <w:pPr>
              <w:ind w:left="20"/>
              <w:spacing w:after="0"/>
              <w:rPr>
                <w:sz w:val="20"/>
                <w:szCs w:val="20"/>
                <w:color w:val="auto"/>
              </w:rPr>
            </w:pPr>
            <w:r>
              <w:rPr>
                <w:rFonts w:ascii="Arial" w:cs="Arial" w:eastAsia="Arial" w:hAnsi="Arial"/>
                <w:sz w:val="19"/>
                <w:szCs w:val="19"/>
                <w:color w:val="auto"/>
              </w:rPr>
              <w:t>KeyBank</w:t>
            </w:r>
          </w:p>
        </w:tc>
        <w:tc>
          <w:tcPr>
            <w:tcW w:w="4760" w:type="dxa"/>
            <w:vAlign w:val="bottom"/>
          </w:tcPr>
          <w:p>
            <w:pPr>
              <w:ind w:left="1360"/>
              <w:spacing w:after="0"/>
              <w:rPr>
                <w:sz w:val="20"/>
                <w:szCs w:val="20"/>
                <w:color w:val="auto"/>
              </w:rPr>
            </w:pPr>
            <w:r>
              <w:rPr>
                <w:rFonts w:ascii="Arial" w:cs="Arial" w:eastAsia="Arial" w:hAnsi="Arial"/>
                <w:sz w:val="19"/>
                <w:szCs w:val="19"/>
                <w:color w:val="auto"/>
              </w:rPr>
              <w:t>$25,000,000</w:t>
            </w:r>
          </w:p>
        </w:tc>
      </w:tr>
      <w:tr>
        <w:trPr>
          <w:trHeight w:val="277"/>
        </w:trPr>
        <w:tc>
          <w:tcPr>
            <w:tcW w:w="5200" w:type="dxa"/>
            <w:vAlign w:val="bottom"/>
          </w:tcPr>
          <w:p>
            <w:pPr>
              <w:ind w:left="20"/>
              <w:spacing w:after="0"/>
              <w:rPr>
                <w:sz w:val="20"/>
                <w:szCs w:val="20"/>
                <w:color w:val="auto"/>
              </w:rPr>
            </w:pPr>
            <w:r>
              <w:rPr>
                <w:rFonts w:ascii="Arial" w:cs="Arial" w:eastAsia="Arial" w:hAnsi="Arial"/>
                <w:sz w:val="21"/>
                <w:szCs w:val="21"/>
                <w:b w:val="1"/>
                <w:bCs w:val="1"/>
                <w:color w:val="auto"/>
              </w:rPr>
              <w:t>Total:</w:t>
            </w:r>
          </w:p>
        </w:tc>
        <w:tc>
          <w:tcPr>
            <w:tcW w:w="4760" w:type="dxa"/>
            <w:vAlign w:val="bottom"/>
          </w:tcPr>
          <w:p>
            <w:pPr>
              <w:ind w:left="1360"/>
              <w:spacing w:after="0"/>
              <w:rPr>
                <w:sz w:val="20"/>
                <w:szCs w:val="20"/>
                <w:color w:val="auto"/>
              </w:rPr>
            </w:pPr>
            <w:r>
              <w:rPr>
                <w:rFonts w:ascii="Arial" w:cs="Arial" w:eastAsia="Arial" w:hAnsi="Arial"/>
                <w:sz w:val="21"/>
                <w:szCs w:val="21"/>
                <w:b w:val="1"/>
                <w:bCs w:val="1"/>
                <w:color w:val="auto"/>
              </w:rPr>
              <w:t>$1,850,000,000.00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0320"/>
          </w:cols>
          <w:pgMar w:left="320" w:top="1440" w:right="1259" w:bottom="1440" w:gutter="0" w:footer="0" w:header="0"/>
        </w:sectPr>
      </w:pPr>
    </w:p>
    <w:bookmarkStart w:id="137" w:name="page138"/>
    <w:bookmarkEnd w:id="137"/>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PRICING SCHEDULE</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Each of “</w:t>
      </w:r>
      <w:r>
        <w:rPr>
          <w:rFonts w:ascii="Arial" w:cs="Arial" w:eastAsia="Arial" w:hAnsi="Arial"/>
          <w:sz w:val="21"/>
          <w:szCs w:val="21"/>
          <w:b w:val="1"/>
          <w:bCs w:val="1"/>
          <w:color w:val="auto"/>
        </w:rPr>
        <w:t>Facility Fee Rate</w:t>
      </w:r>
      <w:r>
        <w:rPr>
          <w:rFonts w:ascii="Arial" w:cs="Arial" w:eastAsia="Arial" w:hAnsi="Arial"/>
          <w:sz w:val="21"/>
          <w:szCs w:val="21"/>
          <w:color w:val="auto"/>
        </w:rPr>
        <w:t>”, “</w:t>
      </w:r>
      <w:r>
        <w:rPr>
          <w:rFonts w:ascii="Arial" w:cs="Arial" w:eastAsia="Arial" w:hAnsi="Arial"/>
          <w:sz w:val="21"/>
          <w:szCs w:val="21"/>
          <w:b w:val="1"/>
          <w:bCs w:val="1"/>
          <w:color w:val="auto"/>
        </w:rPr>
        <w:t>Base Rate Margin</w:t>
      </w:r>
      <w:r>
        <w:rPr>
          <w:rFonts w:ascii="Arial" w:cs="Arial" w:eastAsia="Arial" w:hAnsi="Arial"/>
          <w:sz w:val="21"/>
          <w:szCs w:val="21"/>
          <w:color w:val="auto"/>
        </w:rPr>
        <w:t>”</w:t>
      </w:r>
      <w:r>
        <w:rPr>
          <w:rFonts w:ascii="Arial" w:cs="Arial" w:eastAsia="Arial" w:hAnsi="Arial"/>
          <w:sz w:val="21"/>
          <w:szCs w:val="21"/>
          <w:u w:val="single" w:color="auto"/>
          <w:color w:val="0000FF"/>
        </w:rPr>
        <w:t>, “</w:t>
      </w:r>
      <w:r>
        <w:rPr>
          <w:rFonts w:ascii="Arial" w:cs="Arial" w:eastAsia="Arial" w:hAnsi="Arial"/>
          <w:sz w:val="21"/>
          <w:szCs w:val="21"/>
          <w:b w:val="1"/>
          <w:bCs w:val="1"/>
          <w:u w:val="single" w:color="auto"/>
          <w:color w:val="0000FF"/>
        </w:rPr>
        <w:t>Term Benchmark Margin</w:t>
      </w:r>
      <w:r>
        <w:rPr>
          <w:rFonts w:ascii="Arial" w:cs="Arial" w:eastAsia="Arial" w:hAnsi="Arial"/>
          <w:sz w:val="21"/>
          <w:szCs w:val="21"/>
          <w:u w:val="single" w:color="auto"/>
          <w:color w:val="0000FF"/>
        </w:rPr>
        <w:t>”</w:t>
      </w:r>
      <w:r>
        <w:rPr>
          <w:rFonts w:ascii="Arial" w:cs="Arial" w:eastAsia="Arial" w:hAnsi="Arial"/>
          <w:sz w:val="21"/>
          <w:szCs w:val="21"/>
          <w:color w:val="auto"/>
        </w:rPr>
        <w:t xml:space="preserve"> and “</w:t>
      </w:r>
      <w:r>
        <w:rPr>
          <w:rFonts w:ascii="Arial" w:cs="Arial" w:eastAsia="Arial" w:hAnsi="Arial"/>
          <w:sz w:val="21"/>
          <w:szCs w:val="21"/>
          <w:b w:val="1"/>
          <w:bCs w:val="1"/>
          <w:color w:val="FF0000"/>
          <w:strike w:val="1"/>
        </w:rPr>
        <w:t>Euro-Dollar</w:t>
      </w:r>
      <w:r>
        <w:rPr>
          <w:rFonts w:ascii="Arial" w:cs="Arial" w:eastAsia="Arial" w:hAnsi="Arial"/>
          <w:sz w:val="21"/>
          <w:szCs w:val="21"/>
          <w:b w:val="1"/>
          <w:bCs w:val="1"/>
          <w:u w:val="single" w:color="auto"/>
          <w:color w:val="0000FF"/>
        </w:rPr>
        <w:t>RFR</w:t>
      </w:r>
      <w:r>
        <w:rPr>
          <w:rFonts w:ascii="Arial" w:cs="Arial" w:eastAsia="Arial" w:hAnsi="Arial"/>
          <w:sz w:val="21"/>
          <w:szCs w:val="21"/>
          <w:color w:val="auto"/>
        </w:rPr>
        <w:t xml:space="preserve"> </w:t>
      </w:r>
      <w:r>
        <w:rPr>
          <w:rFonts w:ascii="Arial" w:cs="Arial" w:eastAsia="Arial" w:hAnsi="Arial"/>
          <w:sz w:val="21"/>
          <w:szCs w:val="21"/>
          <w:b w:val="1"/>
          <w:bCs w:val="1"/>
          <w:color w:val="auto"/>
        </w:rPr>
        <w:t>Margin</w:t>
      </w:r>
      <w:r>
        <w:rPr>
          <w:rFonts w:ascii="Arial" w:cs="Arial" w:eastAsia="Arial" w:hAnsi="Arial"/>
          <w:sz w:val="21"/>
          <w:szCs w:val="21"/>
          <w:color w:val="auto"/>
        </w:rPr>
        <w:t>” means, for any day, the rate per annum set forth below in the row opposite such term and in the column corresponding to the Pricing Level that applies on such day:</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3640" w:type="dxa"/>
            <w:vAlign w:val="bottom"/>
            <w:tcBorders>
              <w:top w:val="single" w:sz="8" w:color="auto"/>
              <w:left w:val="single" w:sz="8" w:color="auto"/>
              <w:bottom w:val="single" w:sz="8" w:color="auto"/>
              <w:right w:val="single" w:sz="8" w:color="auto"/>
            </w:tcBorders>
            <w:gridSpan w:val="5"/>
          </w:tcPr>
          <w:p>
            <w:pPr>
              <w:ind w:left="40"/>
              <w:spacing w:after="0"/>
              <w:rPr>
                <w:sz w:val="20"/>
                <w:szCs w:val="20"/>
                <w:color w:val="auto"/>
              </w:rPr>
            </w:pPr>
            <w:r>
              <w:rPr>
                <w:rFonts w:ascii="Arial" w:cs="Arial" w:eastAsia="Arial" w:hAnsi="Arial"/>
                <w:sz w:val="19"/>
                <w:szCs w:val="19"/>
                <w:b w:val="1"/>
                <w:bCs w:val="1"/>
                <w:color w:val="auto"/>
              </w:rPr>
              <w:t>Pricing Level</w:t>
            </w:r>
          </w:p>
        </w:tc>
        <w:tc>
          <w:tcPr>
            <w:tcW w:w="1520" w:type="dxa"/>
            <w:vAlign w:val="bottom"/>
            <w:tcBorders>
              <w:top w:val="single" w:sz="8" w:color="auto"/>
              <w:bottom w:val="single" w:sz="8" w:color="auto"/>
              <w:right w:val="single" w:sz="8" w:color="auto"/>
            </w:tcBorders>
            <w:gridSpan w:val="2"/>
          </w:tcPr>
          <w:p>
            <w:pPr>
              <w:jc w:val="right"/>
              <w:ind w:right="480"/>
              <w:spacing w:after="0"/>
              <w:rPr>
                <w:sz w:val="20"/>
                <w:szCs w:val="20"/>
                <w:color w:val="auto"/>
              </w:rPr>
            </w:pPr>
            <w:r>
              <w:rPr>
                <w:rFonts w:ascii="Arial" w:cs="Arial" w:eastAsia="Arial" w:hAnsi="Arial"/>
                <w:sz w:val="19"/>
                <w:szCs w:val="19"/>
                <w:b w:val="1"/>
                <w:bCs w:val="1"/>
                <w:color w:val="auto"/>
              </w:rPr>
              <w:t>Level I</w:t>
            </w:r>
          </w:p>
        </w:tc>
        <w:tc>
          <w:tcPr>
            <w:tcW w:w="2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9"/>
                <w:szCs w:val="19"/>
                <w:b w:val="1"/>
                <w:bCs w:val="1"/>
                <w:color w:val="auto"/>
              </w:rPr>
              <w:t>Level II</w:t>
            </w:r>
          </w:p>
        </w:tc>
        <w:tc>
          <w:tcPr>
            <w:tcW w:w="1520" w:type="dxa"/>
            <w:vAlign w:val="bottom"/>
            <w:tcBorders>
              <w:top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9"/>
                <w:szCs w:val="19"/>
                <w:b w:val="1"/>
                <w:bCs w:val="1"/>
                <w:color w:val="auto"/>
              </w:rPr>
              <w:t>Level III</w:t>
            </w:r>
          </w:p>
        </w:tc>
        <w:tc>
          <w:tcPr>
            <w:tcW w:w="1520" w:type="dxa"/>
            <w:vAlign w:val="bottom"/>
            <w:tcBorders>
              <w:top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9"/>
                <w:szCs w:val="19"/>
                <w:b w:val="1"/>
                <w:bCs w:val="1"/>
                <w:color w:val="auto"/>
              </w:rPr>
              <w:t>Level IV</w:t>
            </w:r>
          </w:p>
        </w:tc>
        <w:tc>
          <w:tcPr>
            <w:tcW w:w="1500" w:type="dxa"/>
            <w:vAlign w:val="bottom"/>
            <w:tcBorders>
              <w:top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9"/>
                <w:szCs w:val="19"/>
                <w:b w:val="1"/>
                <w:bCs w:val="1"/>
                <w:color w:val="auto"/>
              </w:rPr>
              <w:t>Level V</w:t>
            </w:r>
          </w:p>
        </w:tc>
      </w:tr>
      <w:tr>
        <w:trPr>
          <w:trHeight w:val="243"/>
        </w:trPr>
        <w:tc>
          <w:tcPr>
            <w:tcW w:w="364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19"/>
                <w:szCs w:val="19"/>
                <w:color w:val="auto"/>
              </w:rPr>
              <w:t>Facility Fee Rate</w:t>
            </w:r>
          </w:p>
        </w:tc>
        <w:tc>
          <w:tcPr>
            <w:tcW w:w="1520" w:type="dxa"/>
            <w:vAlign w:val="bottom"/>
            <w:tcBorders>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9"/>
                <w:szCs w:val="19"/>
                <w:color w:val="auto"/>
                <w:w w:val="89"/>
              </w:rPr>
              <w:t>0.090%</w:t>
            </w:r>
          </w:p>
        </w:tc>
        <w:tc>
          <w:tcPr>
            <w:tcW w:w="1540" w:type="dxa"/>
            <w:vAlign w:val="bottom"/>
            <w:tcBorders>
              <w:bottom w:val="single" w:sz="8" w:color="auto"/>
              <w:right w:val="single" w:sz="8" w:color="auto"/>
            </w:tcBorders>
            <w:gridSpan w:val="3"/>
          </w:tcPr>
          <w:p>
            <w:pPr>
              <w:jc w:val="right"/>
              <w:ind w:right="920"/>
              <w:spacing w:after="0"/>
              <w:rPr>
                <w:sz w:val="20"/>
                <w:szCs w:val="20"/>
                <w:color w:val="auto"/>
              </w:rPr>
            </w:pPr>
            <w:r>
              <w:rPr>
                <w:rFonts w:ascii="Arial" w:cs="Arial" w:eastAsia="Arial" w:hAnsi="Arial"/>
                <w:sz w:val="19"/>
                <w:szCs w:val="19"/>
                <w:color w:val="auto"/>
                <w:w w:val="93"/>
              </w:rPr>
              <w:t>0.100%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0.125%</w:t>
            </w:r>
          </w:p>
        </w:tc>
        <w:tc>
          <w:tcPr>
            <w:tcW w:w="92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0.175%</w:t>
            </w:r>
          </w:p>
        </w:tc>
        <w:tc>
          <w:tcPr>
            <w:tcW w:w="92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0.225%</w:t>
            </w:r>
          </w:p>
        </w:tc>
        <w:tc>
          <w:tcPr>
            <w:tcW w:w="900" w:type="dxa"/>
            <w:vAlign w:val="bottom"/>
            <w:tcBorders>
              <w:bottom w:val="single" w:sz="8" w:color="auto"/>
              <w:right w:val="single" w:sz="8" w:color="auto"/>
            </w:tcBorders>
          </w:tcPr>
          <w:p>
            <w:pPr>
              <w:spacing w:after="0"/>
              <w:rPr>
                <w:sz w:val="21"/>
                <w:szCs w:val="21"/>
                <w:color w:val="auto"/>
              </w:rPr>
            </w:pPr>
          </w:p>
        </w:tc>
      </w:tr>
      <w:tr>
        <w:trPr>
          <w:trHeight w:val="234"/>
        </w:trPr>
        <w:tc>
          <w:tcPr>
            <w:tcW w:w="364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19"/>
                <w:szCs w:val="19"/>
                <w:color w:val="auto"/>
              </w:rPr>
              <w:t>Base Rate Margin</w:t>
            </w:r>
          </w:p>
        </w:tc>
        <w:tc>
          <w:tcPr>
            <w:tcW w:w="1520" w:type="dxa"/>
            <w:vAlign w:val="bottom"/>
            <w:tcBorders>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9"/>
                <w:szCs w:val="19"/>
                <w:color w:val="auto"/>
                <w:w w:val="89"/>
              </w:rPr>
              <w:t>0.000%</w:t>
            </w:r>
          </w:p>
        </w:tc>
        <w:tc>
          <w:tcPr>
            <w:tcW w:w="1540" w:type="dxa"/>
            <w:vAlign w:val="bottom"/>
            <w:tcBorders>
              <w:bottom w:val="single" w:sz="8" w:color="auto"/>
              <w:right w:val="single" w:sz="8" w:color="auto"/>
            </w:tcBorders>
            <w:gridSpan w:val="3"/>
          </w:tcPr>
          <w:p>
            <w:pPr>
              <w:jc w:val="right"/>
              <w:ind w:right="920"/>
              <w:spacing w:after="0"/>
              <w:rPr>
                <w:sz w:val="20"/>
                <w:szCs w:val="20"/>
                <w:color w:val="auto"/>
              </w:rPr>
            </w:pPr>
            <w:r>
              <w:rPr>
                <w:rFonts w:ascii="Arial" w:cs="Arial" w:eastAsia="Arial" w:hAnsi="Arial"/>
                <w:sz w:val="19"/>
                <w:szCs w:val="19"/>
                <w:color w:val="auto"/>
                <w:w w:val="93"/>
              </w:rPr>
              <w:t>0.025%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0.125%</w:t>
            </w:r>
          </w:p>
        </w:tc>
        <w:tc>
          <w:tcPr>
            <w:tcW w:w="9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0.200%</w:t>
            </w:r>
          </w:p>
        </w:tc>
        <w:tc>
          <w:tcPr>
            <w:tcW w:w="9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0.400%</w:t>
            </w:r>
          </w:p>
        </w:tc>
        <w:tc>
          <w:tcPr>
            <w:tcW w:w="900" w:type="dxa"/>
            <w:vAlign w:val="bottom"/>
            <w:tcBorders>
              <w:bottom w:val="single" w:sz="8" w:color="auto"/>
              <w:right w:val="single" w:sz="8" w:color="auto"/>
            </w:tcBorders>
          </w:tcPr>
          <w:p>
            <w:pPr>
              <w:spacing w:after="0"/>
              <w:rPr>
                <w:sz w:val="20"/>
                <w:szCs w:val="20"/>
                <w:color w:val="auto"/>
              </w:rPr>
            </w:pPr>
          </w:p>
        </w:tc>
      </w:tr>
      <w:tr>
        <w:trPr>
          <w:trHeight w:val="192"/>
        </w:trPr>
        <w:tc>
          <w:tcPr>
            <w:tcW w:w="80" w:type="dxa"/>
            <w:vAlign w:val="bottom"/>
            <w:tcBorders>
              <w:left w:val="single" w:sz="8" w:color="auto"/>
            </w:tcBorders>
          </w:tcPr>
          <w:p>
            <w:pPr>
              <w:spacing w:after="0"/>
              <w:rPr>
                <w:sz w:val="16"/>
                <w:szCs w:val="16"/>
                <w:color w:val="auto"/>
              </w:rPr>
            </w:pPr>
          </w:p>
        </w:tc>
        <w:tc>
          <w:tcPr>
            <w:tcW w:w="940" w:type="dxa"/>
            <w:vAlign w:val="bottom"/>
          </w:tcPr>
          <w:p>
            <w:pPr>
              <w:spacing w:after="0" w:line="192" w:lineRule="exact"/>
              <w:rPr>
                <w:sz w:val="20"/>
                <w:szCs w:val="20"/>
                <w:color w:val="auto"/>
              </w:rPr>
            </w:pPr>
            <w:r>
              <w:rPr>
                <w:rFonts w:ascii="Arial" w:cs="Arial" w:eastAsia="Arial" w:hAnsi="Arial"/>
                <w:sz w:val="19"/>
                <w:szCs w:val="19"/>
                <w:color w:val="FF0000"/>
                <w:strike w:val="1"/>
                <w:w w:val="95"/>
              </w:rPr>
              <w:t>Euro-Dollar</w:t>
            </w:r>
          </w:p>
        </w:tc>
        <w:tc>
          <w:tcPr>
            <w:tcW w:w="26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19"/>
                <w:szCs w:val="19"/>
                <w:color w:val="0000FF"/>
              </w:rPr>
              <w:t xml:space="preserve">Term Benchmark </w:t>
            </w:r>
            <w:r>
              <w:rPr>
                <w:rFonts w:ascii="Arial" w:cs="Arial" w:eastAsia="Arial" w:hAnsi="Arial"/>
                <w:sz w:val="19"/>
                <w:szCs w:val="19"/>
                <w:color w:val="000000"/>
              </w:rPr>
              <w:t>Margin</w:t>
            </w:r>
          </w:p>
        </w:tc>
        <w:tc>
          <w:tcPr>
            <w:tcW w:w="1520" w:type="dxa"/>
            <w:vAlign w:val="bottom"/>
            <w:tcBorders>
              <w:right w:val="single" w:sz="8" w:color="auto"/>
            </w:tcBorders>
            <w:gridSpan w:val="2"/>
          </w:tcPr>
          <w:p>
            <w:pPr>
              <w:jc w:val="right"/>
              <w:ind w:right="920"/>
              <w:spacing w:after="0" w:line="192" w:lineRule="exact"/>
              <w:rPr>
                <w:sz w:val="20"/>
                <w:szCs w:val="20"/>
                <w:color w:val="auto"/>
              </w:rPr>
            </w:pPr>
            <w:r>
              <w:rPr>
                <w:rFonts w:ascii="Arial" w:cs="Arial" w:eastAsia="Arial" w:hAnsi="Arial"/>
                <w:sz w:val="19"/>
                <w:szCs w:val="19"/>
                <w:color w:val="auto"/>
                <w:w w:val="89"/>
              </w:rPr>
              <w:t>0.910%</w:t>
            </w:r>
          </w:p>
        </w:tc>
        <w:tc>
          <w:tcPr>
            <w:tcW w:w="1540" w:type="dxa"/>
            <w:vAlign w:val="bottom"/>
            <w:tcBorders>
              <w:right w:val="single" w:sz="8" w:color="auto"/>
            </w:tcBorders>
            <w:gridSpan w:val="3"/>
          </w:tcPr>
          <w:p>
            <w:pPr>
              <w:jc w:val="right"/>
              <w:ind w:right="920"/>
              <w:spacing w:after="0" w:line="192" w:lineRule="exact"/>
              <w:rPr>
                <w:sz w:val="20"/>
                <w:szCs w:val="20"/>
                <w:color w:val="auto"/>
              </w:rPr>
            </w:pPr>
            <w:r>
              <w:rPr>
                <w:rFonts w:ascii="Arial" w:cs="Arial" w:eastAsia="Arial" w:hAnsi="Arial"/>
                <w:sz w:val="19"/>
                <w:szCs w:val="19"/>
                <w:color w:val="auto"/>
                <w:w w:val="93"/>
              </w:rPr>
              <w:t>1.025%</w:t>
            </w:r>
          </w:p>
        </w:tc>
        <w:tc>
          <w:tcPr>
            <w:tcW w:w="600" w:type="dxa"/>
            <w:vAlign w:val="bottom"/>
          </w:tcPr>
          <w:p>
            <w:pPr>
              <w:jc w:val="right"/>
              <w:spacing w:after="0" w:line="192" w:lineRule="exact"/>
              <w:rPr>
                <w:sz w:val="20"/>
                <w:szCs w:val="20"/>
                <w:color w:val="auto"/>
              </w:rPr>
            </w:pPr>
            <w:r>
              <w:rPr>
                <w:rFonts w:ascii="Arial" w:cs="Arial" w:eastAsia="Arial" w:hAnsi="Arial"/>
                <w:sz w:val="19"/>
                <w:szCs w:val="19"/>
                <w:color w:val="auto"/>
                <w:w w:val="89"/>
              </w:rPr>
              <w:t>1.125%</w:t>
            </w:r>
          </w:p>
        </w:tc>
        <w:tc>
          <w:tcPr>
            <w:tcW w:w="920" w:type="dxa"/>
            <w:vAlign w:val="bottom"/>
            <w:tcBorders>
              <w:right w:val="single" w:sz="8" w:color="auto"/>
            </w:tcBorders>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9"/>
                <w:szCs w:val="19"/>
                <w:color w:val="auto"/>
                <w:w w:val="89"/>
              </w:rPr>
              <w:t>1.200%</w:t>
            </w:r>
          </w:p>
        </w:tc>
        <w:tc>
          <w:tcPr>
            <w:tcW w:w="920" w:type="dxa"/>
            <w:vAlign w:val="bottom"/>
            <w:tcBorders>
              <w:right w:val="single" w:sz="8" w:color="auto"/>
            </w:tcBorders>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9"/>
                <w:szCs w:val="19"/>
                <w:color w:val="auto"/>
                <w:w w:val="89"/>
              </w:rPr>
              <w:t>1.400%</w:t>
            </w:r>
          </w:p>
        </w:tc>
        <w:tc>
          <w:tcPr>
            <w:tcW w:w="900" w:type="dxa"/>
            <w:vAlign w:val="bottom"/>
            <w:tcBorders>
              <w:right w:val="single" w:sz="8" w:color="auto"/>
            </w:tcBorders>
          </w:tcPr>
          <w:p>
            <w:pPr>
              <w:spacing w:after="0"/>
              <w:rPr>
                <w:sz w:val="16"/>
                <w:szCs w:val="16"/>
                <w:color w:val="auto"/>
              </w:rPr>
            </w:pPr>
          </w:p>
        </w:tc>
      </w:tr>
      <w:tr>
        <w:trPr>
          <w:trHeight w:val="33"/>
        </w:trPr>
        <w:tc>
          <w:tcPr>
            <w:tcW w:w="8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45"/>
        </w:trPr>
        <w:tc>
          <w:tcPr>
            <w:tcW w:w="3640" w:type="dxa"/>
            <w:vAlign w:val="bottom"/>
            <w:tcBorders>
              <w:left w:val="single" w:sz="8" w:color="auto"/>
              <w:bottom w:val="single" w:sz="8" w:color="auto"/>
              <w:right w:val="single" w:sz="8" w:color="auto"/>
            </w:tcBorders>
            <w:gridSpan w:val="5"/>
            <w:shd w:val="clear" w:color="auto" w:fill="E6E6FA"/>
          </w:tcPr>
          <w:p>
            <w:pPr>
              <w:ind w:left="80"/>
              <w:spacing w:after="0" w:line="192" w:lineRule="exact"/>
              <w:rPr>
                <w:sz w:val="20"/>
                <w:szCs w:val="20"/>
                <w:color w:val="auto"/>
              </w:rPr>
            </w:pPr>
            <w:r>
              <w:rPr>
                <w:rFonts w:ascii="Arial" w:cs="Arial" w:eastAsia="Arial" w:hAnsi="Arial"/>
                <w:sz w:val="19"/>
                <w:szCs w:val="19"/>
                <w:color w:val="0000FF"/>
              </w:rPr>
              <w:t>RFR Margin</w:t>
            </w:r>
          </w:p>
        </w:tc>
        <w:tc>
          <w:tcPr>
            <w:tcW w:w="1520" w:type="dxa"/>
            <w:vAlign w:val="bottom"/>
            <w:tcBorders>
              <w:bottom w:val="single" w:sz="8" w:color="auto"/>
              <w:right w:val="single" w:sz="8" w:color="auto"/>
            </w:tcBorders>
            <w:gridSpan w:val="2"/>
            <w:shd w:val="clear" w:color="auto" w:fill="E6E6FA"/>
          </w:tcPr>
          <w:p>
            <w:pPr>
              <w:jc w:val="right"/>
              <w:ind w:right="920"/>
              <w:spacing w:after="0" w:line="192" w:lineRule="exact"/>
              <w:rPr>
                <w:sz w:val="20"/>
                <w:szCs w:val="20"/>
                <w:color w:val="auto"/>
              </w:rPr>
            </w:pPr>
            <w:r>
              <w:rPr>
                <w:rFonts w:ascii="Arial" w:cs="Arial" w:eastAsia="Arial" w:hAnsi="Arial"/>
                <w:sz w:val="19"/>
                <w:szCs w:val="19"/>
                <w:color w:val="0000FF"/>
                <w:w w:val="89"/>
              </w:rPr>
              <w:t>0.910%</w:t>
            </w:r>
          </w:p>
        </w:tc>
        <w:tc>
          <w:tcPr>
            <w:tcW w:w="1540" w:type="dxa"/>
            <w:vAlign w:val="bottom"/>
            <w:tcBorders>
              <w:bottom w:val="single" w:sz="8" w:color="auto"/>
              <w:right w:val="single" w:sz="8" w:color="auto"/>
            </w:tcBorders>
            <w:gridSpan w:val="3"/>
            <w:shd w:val="clear" w:color="auto" w:fill="E6E6FA"/>
          </w:tcPr>
          <w:p>
            <w:pPr>
              <w:jc w:val="right"/>
              <w:ind w:right="920"/>
              <w:spacing w:after="0" w:line="192" w:lineRule="exact"/>
              <w:rPr>
                <w:sz w:val="20"/>
                <w:szCs w:val="20"/>
                <w:color w:val="auto"/>
              </w:rPr>
            </w:pPr>
            <w:r>
              <w:rPr>
                <w:rFonts w:ascii="Arial" w:cs="Arial" w:eastAsia="Arial" w:hAnsi="Arial"/>
                <w:sz w:val="19"/>
                <w:szCs w:val="19"/>
                <w:color w:val="0000FF"/>
                <w:w w:val="93"/>
              </w:rPr>
              <w:t>1.025%</w:t>
            </w:r>
          </w:p>
        </w:tc>
        <w:tc>
          <w:tcPr>
            <w:tcW w:w="600" w:type="dxa"/>
            <w:vAlign w:val="bottom"/>
            <w:tcBorders>
              <w:bottom w:val="single" w:sz="8" w:color="auto"/>
            </w:tcBorders>
            <w:shd w:val="clear" w:color="auto" w:fill="E6E6FA"/>
          </w:tcPr>
          <w:p>
            <w:pPr>
              <w:jc w:val="right"/>
              <w:spacing w:after="0" w:line="192" w:lineRule="exact"/>
              <w:rPr>
                <w:sz w:val="20"/>
                <w:szCs w:val="20"/>
                <w:color w:val="auto"/>
              </w:rPr>
            </w:pPr>
            <w:r>
              <w:rPr>
                <w:rFonts w:ascii="Arial" w:cs="Arial" w:eastAsia="Arial" w:hAnsi="Arial"/>
                <w:sz w:val="19"/>
                <w:szCs w:val="19"/>
                <w:color w:val="0000FF"/>
                <w:w w:val="89"/>
              </w:rPr>
              <w:t>1.125%</w:t>
            </w:r>
          </w:p>
        </w:tc>
        <w:tc>
          <w:tcPr>
            <w:tcW w:w="920" w:type="dxa"/>
            <w:vAlign w:val="bottom"/>
            <w:tcBorders>
              <w:bottom w:val="single" w:sz="8" w:color="auto"/>
              <w:right w:val="single" w:sz="8" w:color="auto"/>
            </w:tcBorders>
            <w:shd w:val="clear" w:color="auto" w:fill="E6E6FA"/>
          </w:tcPr>
          <w:p>
            <w:pPr>
              <w:spacing w:after="0"/>
              <w:rPr>
                <w:sz w:val="21"/>
                <w:szCs w:val="21"/>
                <w:color w:val="auto"/>
              </w:rPr>
            </w:pPr>
          </w:p>
        </w:tc>
        <w:tc>
          <w:tcPr>
            <w:tcW w:w="600" w:type="dxa"/>
            <w:vAlign w:val="bottom"/>
            <w:tcBorders>
              <w:bottom w:val="single" w:sz="8" w:color="auto"/>
            </w:tcBorders>
            <w:shd w:val="clear" w:color="auto" w:fill="E6E6FA"/>
          </w:tcPr>
          <w:p>
            <w:pPr>
              <w:jc w:val="right"/>
              <w:spacing w:after="0" w:line="192" w:lineRule="exact"/>
              <w:rPr>
                <w:sz w:val="20"/>
                <w:szCs w:val="20"/>
                <w:color w:val="auto"/>
              </w:rPr>
            </w:pPr>
            <w:r>
              <w:rPr>
                <w:rFonts w:ascii="Arial" w:cs="Arial" w:eastAsia="Arial" w:hAnsi="Arial"/>
                <w:sz w:val="19"/>
                <w:szCs w:val="19"/>
                <w:color w:val="0000FF"/>
                <w:w w:val="89"/>
              </w:rPr>
              <w:t>1.200%</w:t>
            </w:r>
          </w:p>
        </w:tc>
        <w:tc>
          <w:tcPr>
            <w:tcW w:w="920" w:type="dxa"/>
            <w:vAlign w:val="bottom"/>
            <w:tcBorders>
              <w:bottom w:val="single" w:sz="8" w:color="auto"/>
              <w:right w:val="single" w:sz="8" w:color="auto"/>
            </w:tcBorders>
            <w:shd w:val="clear" w:color="auto" w:fill="E6E6FA"/>
          </w:tcPr>
          <w:p>
            <w:pPr>
              <w:spacing w:after="0"/>
              <w:rPr>
                <w:sz w:val="21"/>
                <w:szCs w:val="21"/>
                <w:color w:val="auto"/>
              </w:rPr>
            </w:pPr>
          </w:p>
        </w:tc>
        <w:tc>
          <w:tcPr>
            <w:tcW w:w="600" w:type="dxa"/>
            <w:vAlign w:val="bottom"/>
            <w:tcBorders>
              <w:bottom w:val="single" w:sz="8" w:color="auto"/>
            </w:tcBorders>
            <w:shd w:val="clear" w:color="auto" w:fill="E6E6FA"/>
          </w:tcPr>
          <w:p>
            <w:pPr>
              <w:jc w:val="right"/>
              <w:spacing w:after="0" w:line="192" w:lineRule="exact"/>
              <w:rPr>
                <w:sz w:val="20"/>
                <w:szCs w:val="20"/>
                <w:color w:val="auto"/>
              </w:rPr>
            </w:pPr>
            <w:r>
              <w:rPr>
                <w:rFonts w:ascii="Arial" w:cs="Arial" w:eastAsia="Arial" w:hAnsi="Arial"/>
                <w:sz w:val="19"/>
                <w:szCs w:val="19"/>
                <w:color w:val="0000FF"/>
                <w:w w:val="89"/>
              </w:rPr>
              <w:t>1.400%</w:t>
            </w:r>
          </w:p>
        </w:tc>
        <w:tc>
          <w:tcPr>
            <w:tcW w:w="900" w:type="dxa"/>
            <w:vAlign w:val="bottom"/>
            <w:tcBorders>
              <w:bottom w:val="single" w:sz="8" w:color="auto"/>
              <w:right w:val="single" w:sz="8" w:color="auto"/>
            </w:tcBorders>
            <w:shd w:val="clear" w:color="auto" w:fill="E6E6FA"/>
          </w:tcPr>
          <w:p>
            <w:pPr>
              <w:spacing w:after="0"/>
              <w:rPr>
                <w:sz w:val="21"/>
                <w:szCs w:val="21"/>
                <w:color w:val="auto"/>
              </w:rPr>
            </w:pPr>
          </w:p>
        </w:tc>
      </w:tr>
    </w:tbl>
    <w:p>
      <w:pPr>
        <w:spacing w:after="0" w:line="2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purposes of this Schedule, the following terms have the following meanings, subject to the concluding paragraph of this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Schedule:</w:t>
      </w:r>
    </w:p>
    <w:p>
      <w:pPr>
        <w:spacing w:after="0" w:line="15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Level I Pricing</w:t>
      </w:r>
      <w:r>
        <w:rPr>
          <w:rFonts w:ascii="Arial" w:cs="Arial" w:eastAsia="Arial" w:hAnsi="Arial"/>
          <w:sz w:val="21"/>
          <w:szCs w:val="21"/>
          <w:color w:val="auto"/>
        </w:rPr>
        <w:t>” applies on any day on which the Company’s long-term debt is rated A- or higher by S&amp;P, A3 or higher by Moody’s or A- or higher by Fitch (subject to the final paragraph hereof).</w:t>
      </w:r>
    </w:p>
    <w:p>
      <w:pPr>
        <w:spacing w:after="0" w:line="143"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Level II Pricing</w:t>
      </w:r>
      <w:r>
        <w:rPr>
          <w:rFonts w:ascii="Arial" w:cs="Arial" w:eastAsia="Arial" w:hAnsi="Arial"/>
          <w:sz w:val="20"/>
          <w:szCs w:val="20"/>
          <w:color w:val="auto"/>
        </w:rPr>
        <w:t>” applies on any day on which (i) the Company’s long-term debt is rated BBB+ or higher by S&amp;P, Baa1 or higher by Moody’s or BBB+ or higher by Fitch (subject to the final paragraph hereof) and (ii) no better Pricing Level applies.</w:t>
      </w:r>
    </w:p>
    <w:p>
      <w:pPr>
        <w:spacing w:after="0" w:line="119"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Level III Pricing</w:t>
      </w:r>
      <w:r>
        <w:rPr>
          <w:rFonts w:ascii="Arial" w:cs="Arial" w:eastAsia="Arial" w:hAnsi="Arial"/>
          <w:sz w:val="20"/>
          <w:szCs w:val="20"/>
          <w:color w:val="auto"/>
        </w:rPr>
        <w:t>” applies on any day on which (i) the Company’s long-term debt is rated BBB or higher by S&amp;P, Baa2 or higher by Moody’s or BBB or higher by Fitch (subject to the final paragraph hereof) and (ii) no better Pricing Level applies.</w:t>
      </w:r>
    </w:p>
    <w:p>
      <w:pPr>
        <w:spacing w:after="0" w:line="119"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Level IV Pricing</w:t>
      </w:r>
      <w:r>
        <w:rPr>
          <w:rFonts w:ascii="Arial" w:cs="Arial" w:eastAsia="Arial" w:hAnsi="Arial"/>
          <w:sz w:val="20"/>
          <w:szCs w:val="20"/>
          <w:color w:val="auto"/>
        </w:rPr>
        <w:t>” applies on any day on which (i) the Company’s long-term debt is rated BBB- or higher by S&amp;P, Baa3 or higher by Moody’s or BBB- or higher by Fitch (subject to the final paragraph hereof) and (ii) no better Pricing Level applies.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Level V Pricing</w:t>
      </w:r>
      <w:r>
        <w:rPr>
          <w:rFonts w:ascii="Arial" w:cs="Arial" w:eastAsia="Arial" w:hAnsi="Arial"/>
          <w:sz w:val="21"/>
          <w:szCs w:val="21"/>
          <w:color w:val="auto"/>
        </w:rPr>
        <w:t>” applies on any day if no other Pricing Level applies on such day.</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Pricing Level</w:t>
      </w:r>
      <w:r>
        <w:rPr>
          <w:rFonts w:ascii="Arial" w:cs="Arial" w:eastAsia="Arial" w:hAnsi="Arial"/>
          <w:sz w:val="21"/>
          <w:szCs w:val="21"/>
          <w:color w:val="auto"/>
        </w:rPr>
        <w:t>” refers to the determination of which of Level I, Level II, Level III, Level IV or Level V Pricing applies on any day. A “better” Pricing Level is one with a lower roman numeral.</w:t>
      </w:r>
    </w:p>
    <w:p>
      <w:pPr>
        <w:spacing w:after="0" w:line="149"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0"/>
          <w:szCs w:val="20"/>
          <w:color w:val="auto"/>
        </w:rPr>
        <w:t>The credit ratings to be utilized for purposes of this Schedule are those assigned to the senior unsecured long-term debt securities of the Company without third-party credit enhancement, and any rating assigned to any other debt security of the Company shall be disregarded. The ratings in effect for any day are those in effect at the close of business on such day.</w:t>
      </w:r>
    </w:p>
    <w:p>
      <w:pPr>
        <w:spacing w:after="0" w:line="152"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If the Company has split ratings from Moody’s, S&amp;P and Fitch, (i) if such ratings are in two adjacent categories, pricing will be based on the category in which two of such ratings fall and (ii) if such ratings are in three different categories, pricing will be based on the second highest of such ratings. If any one of Moody’s, S&amp;P and Fitch shall not have a rating in effect with respect to the Company, then (i) if the remaining two ratings fall within the same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63"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pricing shall be based on that category and (ii) if the remaining two ratings fall within different categories, pricing shall be based on the higher of such categories. If the rating system of Moody’s, S&amp;P and/or Fitch shall change, or if any such rating agency shall cease to be in the business of rating corporate debt obligations, the Company and the Administrative Agent (in consultation with the Lenders) shall negotiate in good faith to amend the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Base Rate Margin”, “RFR Margin” “Term Benchmark</w:t>
      </w:r>
      <w:r>
        <w:rPr>
          <w:rFonts w:ascii="Arial" w:cs="Arial" w:eastAsia="Arial" w:hAnsi="Arial"/>
          <w:sz w:val="21"/>
          <w:szCs w:val="21"/>
          <w:color w:val="auto"/>
        </w:rPr>
        <w:t xml:space="preserve"> Margin” and “Facility Fee” definitions to reflect such changed rating system or the unavailability of ratings from such rating agency and, pending the effectiveness of any such amendment, the rating of such rating agency most recently in effect prior to such change or cessation shall be used in determining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7"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auto"/>
        </w:rPr>
        <w:t>SCHEDULE 2.18</w:t>
      </w:r>
    </w:p>
    <w:p>
      <w:pPr>
        <w:spacing w:after="0" w:line="183" w:lineRule="exact"/>
        <w:rPr>
          <w:sz w:val="20"/>
          <w:szCs w:val="20"/>
          <w:color w:val="auto"/>
        </w:rPr>
      </w:pPr>
    </w:p>
    <w:p>
      <w:pPr>
        <w:jc w:val="center"/>
        <w:ind w:right="-459"/>
        <w:spacing w:after="0"/>
        <w:rPr>
          <w:sz w:val="20"/>
          <w:szCs w:val="20"/>
          <w:color w:val="auto"/>
        </w:rPr>
      </w:pPr>
      <w:r>
        <w:rPr>
          <w:rFonts w:ascii="Arial" w:cs="Arial" w:eastAsia="Arial" w:hAnsi="Arial"/>
          <w:sz w:val="21"/>
          <w:szCs w:val="21"/>
          <w:b w:val="1"/>
          <w:bCs w:val="1"/>
          <w:color w:val="auto"/>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80" w:type="dxa"/>
        <w:tblCellMar>
          <w:top w:w="0" w:type="dxa"/>
          <w:left w:w="0" w:type="dxa"/>
          <w:bottom w:w="0" w:type="dxa"/>
          <w:right w:w="0" w:type="dxa"/>
        </w:tblCellMar>
      </w:tblPr>
      <w:tr>
        <w:trPr>
          <w:trHeight w:val="249"/>
        </w:trPr>
        <w:tc>
          <w:tcPr>
            <w:tcW w:w="900" w:type="dxa"/>
            <w:vAlign w:val="bottom"/>
          </w:tcPr>
          <w:p>
            <w:pPr>
              <w:spacing w:after="0"/>
              <w:rPr>
                <w:sz w:val="21"/>
                <w:szCs w:val="21"/>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Issuing Lender</w:t>
            </w: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Beneficiary</w:t>
            </w: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Issue Date</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9"/>
                <w:szCs w:val="19"/>
                <w:color w:val="auto"/>
              </w:rPr>
              <w:t>Expiry Date</w:t>
            </w:r>
          </w:p>
        </w:tc>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9"/>
                <w:szCs w:val="19"/>
                <w:color w:val="auto"/>
              </w:rPr>
              <w:t>Amount</w:t>
            </w:r>
          </w:p>
        </w:tc>
        <w:tc>
          <w:tcPr>
            <w:tcW w:w="198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LC Number</w:t>
            </w:r>
          </w:p>
        </w:tc>
      </w:tr>
      <w:tr>
        <w:trPr>
          <w:trHeight w:val="195"/>
        </w:trPr>
        <w:tc>
          <w:tcPr>
            <w:tcW w:w="900" w:type="dxa"/>
            <w:vAlign w:val="bottom"/>
          </w:tcPr>
          <w:p>
            <w:pPr>
              <w:jc w:val="right"/>
              <w:ind w:right="643"/>
              <w:spacing w:after="0" w:line="195" w:lineRule="exact"/>
              <w:rPr>
                <w:sz w:val="20"/>
                <w:szCs w:val="20"/>
                <w:color w:val="auto"/>
              </w:rPr>
            </w:pPr>
            <w:r>
              <w:rPr>
                <w:rFonts w:ascii="Arial" w:cs="Arial" w:eastAsia="Arial" w:hAnsi="Arial"/>
                <w:sz w:val="19"/>
                <w:szCs w:val="19"/>
                <w:color w:val="auto"/>
                <w:w w:val="88"/>
              </w:rPr>
              <w:t>1.</w:t>
            </w:r>
          </w:p>
        </w:tc>
        <w:tc>
          <w:tcPr>
            <w:tcW w:w="1520" w:type="dxa"/>
            <w:vAlign w:val="bottom"/>
          </w:tcPr>
          <w:p>
            <w:pPr>
              <w:ind w:left="60"/>
              <w:spacing w:after="0" w:line="195" w:lineRule="exact"/>
              <w:rPr>
                <w:sz w:val="20"/>
                <w:szCs w:val="20"/>
                <w:color w:val="auto"/>
              </w:rPr>
            </w:pPr>
            <w:r>
              <w:rPr>
                <w:rFonts w:ascii="Arial" w:cs="Arial" w:eastAsia="Arial" w:hAnsi="Arial"/>
                <w:sz w:val="19"/>
                <w:szCs w:val="19"/>
                <w:color w:val="auto"/>
                <w:w w:val="99"/>
              </w:rPr>
              <w:t>Bank of America,</w:t>
            </w:r>
          </w:p>
        </w:tc>
        <w:tc>
          <w:tcPr>
            <w:tcW w:w="1620" w:type="dxa"/>
            <w:vAlign w:val="bottom"/>
          </w:tcPr>
          <w:p>
            <w:pPr>
              <w:ind w:left="140"/>
              <w:spacing w:after="0" w:line="195" w:lineRule="exact"/>
              <w:rPr>
                <w:sz w:val="20"/>
                <w:szCs w:val="20"/>
                <w:color w:val="auto"/>
              </w:rPr>
            </w:pPr>
            <w:r>
              <w:rPr>
                <w:rFonts w:ascii="Arial" w:cs="Arial" w:eastAsia="Arial" w:hAnsi="Arial"/>
                <w:sz w:val="19"/>
                <w:szCs w:val="19"/>
                <w:color w:val="auto"/>
              </w:rPr>
              <w:t>Texas Workers</w:t>
            </w:r>
          </w:p>
        </w:tc>
        <w:tc>
          <w:tcPr>
            <w:tcW w:w="1360" w:type="dxa"/>
            <w:vAlign w:val="bottom"/>
          </w:tcPr>
          <w:p>
            <w:pPr>
              <w:ind w:left="140"/>
              <w:spacing w:after="0" w:line="195" w:lineRule="exact"/>
              <w:rPr>
                <w:sz w:val="20"/>
                <w:szCs w:val="20"/>
                <w:color w:val="auto"/>
              </w:rPr>
            </w:pPr>
            <w:r>
              <w:rPr>
                <w:rFonts w:ascii="Arial" w:cs="Arial" w:eastAsia="Arial" w:hAnsi="Arial"/>
                <w:sz w:val="19"/>
                <w:szCs w:val="19"/>
                <w:color w:val="auto"/>
              </w:rPr>
              <w:t>11/23/1998</w:t>
            </w:r>
          </w:p>
        </w:tc>
        <w:tc>
          <w:tcPr>
            <w:tcW w:w="1600" w:type="dxa"/>
            <w:vAlign w:val="bottom"/>
          </w:tcPr>
          <w:p>
            <w:pPr>
              <w:ind w:left="380"/>
              <w:spacing w:after="0" w:line="195" w:lineRule="exact"/>
              <w:rPr>
                <w:sz w:val="20"/>
                <w:szCs w:val="20"/>
                <w:color w:val="auto"/>
              </w:rPr>
            </w:pPr>
            <w:r>
              <w:rPr>
                <w:rFonts w:ascii="Arial" w:cs="Arial" w:eastAsia="Arial" w:hAnsi="Arial"/>
                <w:sz w:val="19"/>
                <w:szCs w:val="19"/>
                <w:color w:val="auto"/>
              </w:rPr>
              <w:t>11/22/2021</w:t>
            </w:r>
          </w:p>
        </w:tc>
        <w:tc>
          <w:tcPr>
            <w:tcW w:w="1520" w:type="dxa"/>
            <w:vAlign w:val="bottom"/>
          </w:tcPr>
          <w:p>
            <w:pPr>
              <w:ind w:left="380"/>
              <w:spacing w:after="0" w:line="195" w:lineRule="exact"/>
              <w:rPr>
                <w:sz w:val="20"/>
                <w:szCs w:val="20"/>
                <w:color w:val="auto"/>
              </w:rPr>
            </w:pPr>
            <w:r>
              <w:rPr>
                <w:rFonts w:ascii="Arial" w:cs="Arial" w:eastAsia="Arial" w:hAnsi="Arial"/>
                <w:sz w:val="19"/>
                <w:szCs w:val="19"/>
                <w:color w:val="auto"/>
              </w:rPr>
              <w:t>$300,000</w:t>
            </w:r>
          </w:p>
        </w:tc>
        <w:tc>
          <w:tcPr>
            <w:tcW w:w="1980" w:type="dxa"/>
            <w:vAlign w:val="bottom"/>
          </w:tcPr>
          <w:p>
            <w:pPr>
              <w:ind w:left="460"/>
              <w:spacing w:after="0" w:line="195" w:lineRule="exact"/>
              <w:rPr>
                <w:sz w:val="20"/>
                <w:szCs w:val="20"/>
                <w:color w:val="auto"/>
              </w:rPr>
            </w:pPr>
            <w:r>
              <w:rPr>
                <w:rFonts w:ascii="Arial" w:cs="Arial" w:eastAsia="Arial" w:hAnsi="Arial"/>
                <w:sz w:val="19"/>
                <w:szCs w:val="19"/>
                <w:color w:val="auto"/>
              </w:rPr>
              <w:t>134543</w:t>
            </w:r>
          </w:p>
        </w:tc>
      </w:tr>
      <w:tr>
        <w:trPr>
          <w:trHeight w:val="189"/>
        </w:trPr>
        <w:tc>
          <w:tcPr>
            <w:tcW w:w="900" w:type="dxa"/>
            <w:vAlign w:val="bottom"/>
          </w:tcPr>
          <w:p>
            <w:pPr>
              <w:spacing w:after="0"/>
              <w:rPr>
                <w:sz w:val="16"/>
                <w:szCs w:val="16"/>
                <w:color w:val="auto"/>
              </w:rPr>
            </w:pPr>
          </w:p>
        </w:tc>
        <w:tc>
          <w:tcPr>
            <w:tcW w:w="1520" w:type="dxa"/>
            <w:vAlign w:val="bottom"/>
          </w:tcPr>
          <w:p>
            <w:pPr>
              <w:ind w:left="60"/>
              <w:spacing w:after="0" w:line="189" w:lineRule="exact"/>
              <w:rPr>
                <w:sz w:val="20"/>
                <w:szCs w:val="20"/>
                <w:color w:val="auto"/>
              </w:rPr>
            </w:pPr>
            <w:r>
              <w:rPr>
                <w:rFonts w:ascii="Arial" w:cs="Arial" w:eastAsia="Arial" w:hAnsi="Arial"/>
                <w:sz w:val="19"/>
                <w:szCs w:val="19"/>
                <w:color w:val="auto"/>
              </w:rPr>
              <w:t>N.A.</w:t>
            </w:r>
          </w:p>
        </w:tc>
        <w:tc>
          <w:tcPr>
            <w:tcW w:w="1620" w:type="dxa"/>
            <w:vAlign w:val="bottom"/>
          </w:tcPr>
          <w:p>
            <w:pPr>
              <w:ind w:left="140"/>
              <w:spacing w:after="0" w:line="189" w:lineRule="exact"/>
              <w:rPr>
                <w:sz w:val="20"/>
                <w:szCs w:val="20"/>
                <w:color w:val="auto"/>
              </w:rPr>
            </w:pPr>
            <w:r>
              <w:rPr>
                <w:rFonts w:ascii="Arial" w:cs="Arial" w:eastAsia="Arial" w:hAnsi="Arial"/>
                <w:sz w:val="19"/>
                <w:szCs w:val="19"/>
                <w:color w:val="auto"/>
              </w:rPr>
              <w:t>Compensation</w:t>
            </w: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47"/>
        </w:trPr>
        <w:tc>
          <w:tcPr>
            <w:tcW w:w="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20" w:type="dxa"/>
            <w:vAlign w:val="bottom"/>
          </w:tcPr>
          <w:p>
            <w:pPr>
              <w:ind w:left="140"/>
              <w:spacing w:after="0"/>
              <w:rPr>
                <w:sz w:val="20"/>
                <w:szCs w:val="20"/>
                <w:color w:val="auto"/>
              </w:rPr>
            </w:pPr>
            <w:r>
              <w:rPr>
                <w:rFonts w:ascii="Arial" w:cs="Arial" w:eastAsia="Arial" w:hAnsi="Arial"/>
                <w:sz w:val="19"/>
                <w:szCs w:val="19"/>
                <w:color w:val="auto"/>
              </w:rPr>
              <w:t>Commission</w:t>
            </w: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00"/>
        </w:trPr>
        <w:tc>
          <w:tcPr>
            <w:tcW w:w="900" w:type="dxa"/>
            <w:vAlign w:val="bottom"/>
          </w:tcPr>
          <w:p>
            <w:pPr>
              <w:jc w:val="right"/>
              <w:ind w:right="643"/>
              <w:spacing w:after="0" w:line="200" w:lineRule="exact"/>
              <w:rPr>
                <w:sz w:val="20"/>
                <w:szCs w:val="20"/>
                <w:color w:val="auto"/>
              </w:rPr>
            </w:pPr>
            <w:r>
              <w:rPr>
                <w:rFonts w:ascii="Arial" w:cs="Arial" w:eastAsia="Arial" w:hAnsi="Arial"/>
                <w:sz w:val="19"/>
                <w:szCs w:val="19"/>
                <w:color w:val="auto"/>
                <w:w w:val="88"/>
              </w:rPr>
              <w:t>2.</w:t>
            </w:r>
          </w:p>
        </w:tc>
        <w:tc>
          <w:tcPr>
            <w:tcW w:w="1520" w:type="dxa"/>
            <w:vAlign w:val="bottom"/>
          </w:tcPr>
          <w:p>
            <w:pPr>
              <w:ind w:left="60"/>
              <w:spacing w:after="0" w:line="200" w:lineRule="exact"/>
              <w:rPr>
                <w:sz w:val="20"/>
                <w:szCs w:val="20"/>
                <w:color w:val="auto"/>
              </w:rPr>
            </w:pPr>
            <w:r>
              <w:rPr>
                <w:rFonts w:ascii="Arial" w:cs="Arial" w:eastAsia="Arial" w:hAnsi="Arial"/>
                <w:sz w:val="19"/>
                <w:szCs w:val="19"/>
                <w:color w:val="auto"/>
                <w:w w:val="98"/>
              </w:rPr>
              <w:t>JPMorgan Chase</w:t>
            </w:r>
          </w:p>
        </w:tc>
        <w:tc>
          <w:tcPr>
            <w:tcW w:w="1620" w:type="dxa"/>
            <w:vAlign w:val="bottom"/>
          </w:tcPr>
          <w:p>
            <w:pPr>
              <w:ind w:left="140"/>
              <w:spacing w:after="0" w:line="200" w:lineRule="exact"/>
              <w:rPr>
                <w:sz w:val="20"/>
                <w:szCs w:val="20"/>
                <w:color w:val="auto"/>
              </w:rPr>
            </w:pPr>
            <w:r>
              <w:rPr>
                <w:rFonts w:ascii="Arial" w:cs="Arial" w:eastAsia="Arial" w:hAnsi="Arial"/>
                <w:sz w:val="19"/>
                <w:szCs w:val="19"/>
                <w:color w:val="auto"/>
              </w:rPr>
              <w:t>State of</w:t>
            </w:r>
          </w:p>
        </w:tc>
        <w:tc>
          <w:tcPr>
            <w:tcW w:w="1360" w:type="dxa"/>
            <w:vAlign w:val="bottom"/>
          </w:tcPr>
          <w:p>
            <w:pPr>
              <w:ind w:left="140"/>
              <w:spacing w:after="0" w:line="200" w:lineRule="exact"/>
              <w:rPr>
                <w:sz w:val="20"/>
                <w:szCs w:val="20"/>
                <w:color w:val="auto"/>
              </w:rPr>
            </w:pPr>
            <w:r>
              <w:rPr>
                <w:rFonts w:ascii="Arial" w:cs="Arial" w:eastAsia="Arial" w:hAnsi="Arial"/>
                <w:sz w:val="19"/>
                <w:szCs w:val="19"/>
                <w:color w:val="auto"/>
              </w:rPr>
              <w:t>03/07/2003</w:t>
            </w:r>
          </w:p>
        </w:tc>
        <w:tc>
          <w:tcPr>
            <w:tcW w:w="1600" w:type="dxa"/>
            <w:vAlign w:val="bottom"/>
          </w:tcPr>
          <w:p>
            <w:pPr>
              <w:ind w:left="380"/>
              <w:spacing w:after="0" w:line="200" w:lineRule="exact"/>
              <w:rPr>
                <w:sz w:val="20"/>
                <w:szCs w:val="20"/>
                <w:color w:val="auto"/>
              </w:rPr>
            </w:pPr>
            <w:r>
              <w:rPr>
                <w:rFonts w:ascii="Arial" w:cs="Arial" w:eastAsia="Arial" w:hAnsi="Arial"/>
                <w:sz w:val="19"/>
                <w:szCs w:val="19"/>
                <w:color w:val="auto"/>
              </w:rPr>
              <w:t>03/15/2022</w:t>
            </w:r>
          </w:p>
        </w:tc>
        <w:tc>
          <w:tcPr>
            <w:tcW w:w="1520" w:type="dxa"/>
            <w:vAlign w:val="bottom"/>
          </w:tcPr>
          <w:p>
            <w:pPr>
              <w:ind w:left="380"/>
              <w:spacing w:after="0" w:line="200" w:lineRule="exact"/>
              <w:rPr>
                <w:sz w:val="20"/>
                <w:szCs w:val="20"/>
                <w:color w:val="auto"/>
              </w:rPr>
            </w:pPr>
            <w:r>
              <w:rPr>
                <w:rFonts w:ascii="Arial" w:cs="Arial" w:eastAsia="Arial" w:hAnsi="Arial"/>
                <w:sz w:val="19"/>
                <w:szCs w:val="19"/>
                <w:color w:val="auto"/>
              </w:rPr>
              <w:t>$50,000</w:t>
            </w:r>
          </w:p>
        </w:tc>
        <w:tc>
          <w:tcPr>
            <w:tcW w:w="1980" w:type="dxa"/>
            <w:vAlign w:val="bottom"/>
          </w:tcPr>
          <w:p>
            <w:pPr>
              <w:ind w:left="460"/>
              <w:spacing w:after="0" w:line="200" w:lineRule="exact"/>
              <w:rPr>
                <w:sz w:val="20"/>
                <w:szCs w:val="20"/>
                <w:color w:val="auto"/>
              </w:rPr>
            </w:pPr>
            <w:r>
              <w:rPr>
                <w:rFonts w:ascii="Arial" w:cs="Arial" w:eastAsia="Arial" w:hAnsi="Arial"/>
                <w:sz w:val="19"/>
                <w:szCs w:val="19"/>
                <w:color w:val="auto"/>
              </w:rPr>
              <w:t>P-235393</w:t>
            </w:r>
          </w:p>
        </w:tc>
      </w:tr>
      <w:tr>
        <w:trPr>
          <w:trHeight w:val="238"/>
        </w:trPr>
        <w:tc>
          <w:tcPr>
            <w:tcW w:w="900" w:type="dxa"/>
            <w:vAlign w:val="bottom"/>
          </w:tcPr>
          <w:p>
            <w:pPr>
              <w:spacing w:after="0"/>
              <w:rPr>
                <w:sz w:val="20"/>
                <w:szCs w:val="20"/>
                <w:color w:val="auto"/>
              </w:rPr>
            </w:pPr>
          </w:p>
        </w:tc>
        <w:tc>
          <w:tcPr>
            <w:tcW w:w="1520" w:type="dxa"/>
            <w:vAlign w:val="bottom"/>
          </w:tcPr>
          <w:p>
            <w:pPr>
              <w:ind w:left="60"/>
              <w:spacing w:after="0"/>
              <w:rPr>
                <w:sz w:val="20"/>
                <w:szCs w:val="20"/>
                <w:color w:val="auto"/>
              </w:rPr>
            </w:pPr>
            <w:r>
              <w:rPr>
                <w:rFonts w:ascii="Arial" w:cs="Arial" w:eastAsia="Arial" w:hAnsi="Arial"/>
                <w:sz w:val="19"/>
                <w:szCs w:val="19"/>
                <w:color w:val="auto"/>
              </w:rPr>
              <w:t>Bank, N.A.</w:t>
            </w:r>
          </w:p>
        </w:tc>
        <w:tc>
          <w:tcPr>
            <w:tcW w:w="1620" w:type="dxa"/>
            <w:vAlign w:val="bottom"/>
          </w:tcPr>
          <w:p>
            <w:pPr>
              <w:ind w:left="140"/>
              <w:spacing w:after="0"/>
              <w:rPr>
                <w:sz w:val="20"/>
                <w:szCs w:val="20"/>
                <w:color w:val="auto"/>
              </w:rPr>
            </w:pPr>
            <w:r>
              <w:rPr>
                <w:rFonts w:ascii="Arial" w:cs="Arial" w:eastAsia="Arial" w:hAnsi="Arial"/>
                <w:sz w:val="19"/>
                <w:szCs w:val="19"/>
                <w:color w:val="auto"/>
              </w:rPr>
              <w:t>Connecticut</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9"/>
        </w:trPr>
        <w:tc>
          <w:tcPr>
            <w:tcW w:w="900" w:type="dxa"/>
            <w:vAlign w:val="bottom"/>
          </w:tcPr>
          <w:p>
            <w:pPr>
              <w:jc w:val="right"/>
              <w:ind w:right="643"/>
              <w:spacing w:after="0" w:line="199" w:lineRule="exact"/>
              <w:rPr>
                <w:sz w:val="20"/>
                <w:szCs w:val="20"/>
                <w:color w:val="auto"/>
              </w:rPr>
            </w:pPr>
            <w:r>
              <w:rPr>
                <w:rFonts w:ascii="Arial" w:cs="Arial" w:eastAsia="Arial" w:hAnsi="Arial"/>
                <w:sz w:val="19"/>
                <w:szCs w:val="19"/>
                <w:color w:val="auto"/>
                <w:w w:val="88"/>
              </w:rPr>
              <w:t>3.</w:t>
            </w:r>
          </w:p>
        </w:tc>
        <w:tc>
          <w:tcPr>
            <w:tcW w:w="1520" w:type="dxa"/>
            <w:vAlign w:val="bottom"/>
          </w:tcPr>
          <w:p>
            <w:pPr>
              <w:ind w:left="60"/>
              <w:spacing w:after="0" w:line="199" w:lineRule="exact"/>
              <w:rPr>
                <w:sz w:val="20"/>
                <w:szCs w:val="20"/>
                <w:color w:val="auto"/>
              </w:rPr>
            </w:pPr>
            <w:r>
              <w:rPr>
                <w:rFonts w:ascii="Arial" w:cs="Arial" w:eastAsia="Arial" w:hAnsi="Arial"/>
                <w:sz w:val="19"/>
                <w:szCs w:val="19"/>
                <w:color w:val="auto"/>
                <w:w w:val="98"/>
              </w:rPr>
              <w:t>JPMorgan Chase</w:t>
            </w:r>
          </w:p>
        </w:tc>
        <w:tc>
          <w:tcPr>
            <w:tcW w:w="1620" w:type="dxa"/>
            <w:vAlign w:val="bottom"/>
          </w:tcPr>
          <w:p>
            <w:pPr>
              <w:ind w:left="140"/>
              <w:spacing w:after="0" w:line="199" w:lineRule="exact"/>
              <w:rPr>
                <w:sz w:val="20"/>
                <w:szCs w:val="20"/>
                <w:color w:val="auto"/>
              </w:rPr>
            </w:pPr>
            <w:r>
              <w:rPr>
                <w:rFonts w:ascii="Arial" w:cs="Arial" w:eastAsia="Arial" w:hAnsi="Arial"/>
                <w:sz w:val="19"/>
                <w:szCs w:val="19"/>
                <w:color w:val="auto"/>
              </w:rPr>
              <w:t>Lumberman’s</w:t>
            </w:r>
          </w:p>
        </w:tc>
        <w:tc>
          <w:tcPr>
            <w:tcW w:w="1360" w:type="dxa"/>
            <w:vAlign w:val="bottom"/>
          </w:tcPr>
          <w:p>
            <w:pPr>
              <w:ind w:left="140"/>
              <w:spacing w:after="0" w:line="199" w:lineRule="exact"/>
              <w:rPr>
                <w:sz w:val="20"/>
                <w:szCs w:val="20"/>
                <w:color w:val="auto"/>
              </w:rPr>
            </w:pPr>
            <w:r>
              <w:rPr>
                <w:rFonts w:ascii="Arial" w:cs="Arial" w:eastAsia="Arial" w:hAnsi="Arial"/>
                <w:sz w:val="19"/>
                <w:szCs w:val="19"/>
                <w:color w:val="auto"/>
              </w:rPr>
              <w:t>06/16/2008</w:t>
            </w:r>
          </w:p>
        </w:tc>
        <w:tc>
          <w:tcPr>
            <w:tcW w:w="1600" w:type="dxa"/>
            <w:vAlign w:val="bottom"/>
          </w:tcPr>
          <w:p>
            <w:pPr>
              <w:ind w:left="380"/>
              <w:spacing w:after="0" w:line="199" w:lineRule="exact"/>
              <w:rPr>
                <w:sz w:val="20"/>
                <w:szCs w:val="20"/>
                <w:color w:val="auto"/>
              </w:rPr>
            </w:pPr>
            <w:r>
              <w:rPr>
                <w:rFonts w:ascii="Arial" w:cs="Arial" w:eastAsia="Arial" w:hAnsi="Arial"/>
                <w:sz w:val="19"/>
                <w:szCs w:val="19"/>
                <w:color w:val="auto"/>
              </w:rPr>
              <w:t>06/15/2022</w:t>
            </w:r>
          </w:p>
        </w:tc>
        <w:tc>
          <w:tcPr>
            <w:tcW w:w="1520" w:type="dxa"/>
            <w:vAlign w:val="bottom"/>
          </w:tcPr>
          <w:p>
            <w:pPr>
              <w:ind w:left="380"/>
              <w:spacing w:after="0" w:line="199" w:lineRule="exact"/>
              <w:rPr>
                <w:sz w:val="20"/>
                <w:szCs w:val="20"/>
                <w:color w:val="auto"/>
              </w:rPr>
            </w:pPr>
            <w:r>
              <w:rPr>
                <w:rFonts w:ascii="Arial" w:cs="Arial" w:eastAsia="Arial" w:hAnsi="Arial"/>
                <w:sz w:val="19"/>
                <w:szCs w:val="19"/>
                <w:color w:val="auto"/>
              </w:rPr>
              <w:t>$20,000</w:t>
            </w:r>
          </w:p>
        </w:tc>
        <w:tc>
          <w:tcPr>
            <w:tcW w:w="1980" w:type="dxa"/>
            <w:vAlign w:val="bottom"/>
          </w:tcPr>
          <w:p>
            <w:pPr>
              <w:ind w:left="460"/>
              <w:spacing w:after="0" w:line="199" w:lineRule="exact"/>
              <w:rPr>
                <w:sz w:val="20"/>
                <w:szCs w:val="20"/>
                <w:color w:val="auto"/>
              </w:rPr>
            </w:pPr>
            <w:r>
              <w:rPr>
                <w:rFonts w:ascii="Arial" w:cs="Arial" w:eastAsia="Arial" w:hAnsi="Arial"/>
                <w:sz w:val="19"/>
                <w:szCs w:val="19"/>
                <w:color w:val="auto"/>
              </w:rPr>
              <w:t>TPTS-610730</w:t>
            </w:r>
          </w:p>
        </w:tc>
      </w:tr>
      <w:tr>
        <w:trPr>
          <w:trHeight w:val="199"/>
        </w:trPr>
        <w:tc>
          <w:tcPr>
            <w:tcW w:w="900" w:type="dxa"/>
            <w:vAlign w:val="bottom"/>
          </w:tcPr>
          <w:p>
            <w:pPr>
              <w:spacing w:after="0"/>
              <w:rPr>
                <w:sz w:val="17"/>
                <w:szCs w:val="17"/>
                <w:color w:val="auto"/>
              </w:rPr>
            </w:pPr>
          </w:p>
        </w:tc>
        <w:tc>
          <w:tcPr>
            <w:tcW w:w="1520" w:type="dxa"/>
            <w:vAlign w:val="bottom"/>
          </w:tcPr>
          <w:p>
            <w:pPr>
              <w:ind w:left="60"/>
              <w:spacing w:after="0" w:line="199" w:lineRule="exact"/>
              <w:rPr>
                <w:sz w:val="20"/>
                <w:szCs w:val="20"/>
                <w:color w:val="auto"/>
              </w:rPr>
            </w:pPr>
            <w:r>
              <w:rPr>
                <w:rFonts w:ascii="Arial" w:cs="Arial" w:eastAsia="Arial" w:hAnsi="Arial"/>
                <w:sz w:val="19"/>
                <w:szCs w:val="19"/>
                <w:color w:val="auto"/>
              </w:rPr>
              <w:t>Bank, N.A.</w:t>
            </w:r>
          </w:p>
        </w:tc>
        <w:tc>
          <w:tcPr>
            <w:tcW w:w="1620" w:type="dxa"/>
            <w:vAlign w:val="bottom"/>
          </w:tcPr>
          <w:p>
            <w:pPr>
              <w:ind w:left="140"/>
              <w:spacing w:after="0" w:line="199" w:lineRule="exact"/>
              <w:rPr>
                <w:sz w:val="20"/>
                <w:szCs w:val="20"/>
                <w:color w:val="auto"/>
              </w:rPr>
            </w:pPr>
            <w:r>
              <w:rPr>
                <w:rFonts w:ascii="Arial" w:cs="Arial" w:eastAsia="Arial" w:hAnsi="Arial"/>
                <w:sz w:val="19"/>
                <w:szCs w:val="19"/>
                <w:color w:val="auto"/>
              </w:rPr>
              <w:t>Mutual Casualty</w:t>
            </w: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8"/>
        </w:trPr>
        <w:tc>
          <w:tcPr>
            <w:tcW w:w="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tcPr>
          <w:p>
            <w:pPr>
              <w:ind w:left="140"/>
              <w:spacing w:after="0"/>
              <w:rPr>
                <w:sz w:val="20"/>
                <w:szCs w:val="20"/>
                <w:color w:val="auto"/>
              </w:rPr>
            </w:pPr>
            <w:r>
              <w:rPr>
                <w:rFonts w:ascii="Arial" w:cs="Arial" w:eastAsia="Arial" w:hAnsi="Arial"/>
                <w:sz w:val="19"/>
                <w:szCs w:val="19"/>
                <w:color w:val="auto"/>
              </w:rPr>
              <w:t>Company</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9"/>
        </w:trPr>
        <w:tc>
          <w:tcPr>
            <w:tcW w:w="900" w:type="dxa"/>
            <w:vAlign w:val="bottom"/>
          </w:tcPr>
          <w:p>
            <w:pPr>
              <w:jc w:val="right"/>
              <w:ind w:right="643"/>
              <w:spacing w:after="0" w:line="199" w:lineRule="exact"/>
              <w:rPr>
                <w:sz w:val="20"/>
                <w:szCs w:val="20"/>
                <w:color w:val="auto"/>
              </w:rPr>
            </w:pPr>
            <w:r>
              <w:rPr>
                <w:rFonts w:ascii="Arial" w:cs="Arial" w:eastAsia="Arial" w:hAnsi="Arial"/>
                <w:sz w:val="19"/>
                <w:szCs w:val="19"/>
                <w:color w:val="auto"/>
                <w:w w:val="88"/>
              </w:rPr>
              <w:t>4.</w:t>
            </w:r>
          </w:p>
        </w:tc>
        <w:tc>
          <w:tcPr>
            <w:tcW w:w="1520" w:type="dxa"/>
            <w:vAlign w:val="bottom"/>
          </w:tcPr>
          <w:p>
            <w:pPr>
              <w:ind w:left="60"/>
              <w:spacing w:after="0" w:line="199" w:lineRule="exact"/>
              <w:rPr>
                <w:sz w:val="20"/>
                <w:szCs w:val="20"/>
                <w:color w:val="auto"/>
              </w:rPr>
            </w:pPr>
            <w:r>
              <w:rPr>
                <w:rFonts w:ascii="Arial" w:cs="Arial" w:eastAsia="Arial" w:hAnsi="Arial"/>
                <w:sz w:val="19"/>
                <w:szCs w:val="19"/>
                <w:color w:val="auto"/>
                <w:w w:val="98"/>
              </w:rPr>
              <w:t>JPMorgan Chase</w:t>
            </w:r>
          </w:p>
        </w:tc>
        <w:tc>
          <w:tcPr>
            <w:tcW w:w="1620" w:type="dxa"/>
            <w:vAlign w:val="bottom"/>
          </w:tcPr>
          <w:p>
            <w:pPr>
              <w:ind w:left="140"/>
              <w:spacing w:after="0" w:line="199" w:lineRule="exact"/>
              <w:rPr>
                <w:sz w:val="20"/>
                <w:szCs w:val="20"/>
                <w:color w:val="auto"/>
              </w:rPr>
            </w:pPr>
            <w:r>
              <w:rPr>
                <w:rFonts w:ascii="Arial" w:cs="Arial" w:eastAsia="Arial" w:hAnsi="Arial"/>
                <w:sz w:val="19"/>
                <w:szCs w:val="19"/>
                <w:color w:val="auto"/>
              </w:rPr>
              <w:t>Lakeland Electric</w:t>
            </w:r>
          </w:p>
        </w:tc>
        <w:tc>
          <w:tcPr>
            <w:tcW w:w="1360" w:type="dxa"/>
            <w:vAlign w:val="bottom"/>
          </w:tcPr>
          <w:p>
            <w:pPr>
              <w:ind w:left="140"/>
              <w:spacing w:after="0" w:line="199" w:lineRule="exact"/>
              <w:rPr>
                <w:sz w:val="20"/>
                <w:szCs w:val="20"/>
                <w:color w:val="auto"/>
              </w:rPr>
            </w:pPr>
            <w:r>
              <w:rPr>
                <w:rFonts w:ascii="Arial" w:cs="Arial" w:eastAsia="Arial" w:hAnsi="Arial"/>
                <w:sz w:val="19"/>
                <w:szCs w:val="19"/>
                <w:color w:val="auto"/>
              </w:rPr>
              <w:t>08/19/2010</w:t>
            </w:r>
          </w:p>
        </w:tc>
        <w:tc>
          <w:tcPr>
            <w:tcW w:w="1600" w:type="dxa"/>
            <w:vAlign w:val="bottom"/>
          </w:tcPr>
          <w:p>
            <w:pPr>
              <w:ind w:left="380"/>
              <w:spacing w:after="0" w:line="199" w:lineRule="exact"/>
              <w:rPr>
                <w:sz w:val="20"/>
                <w:szCs w:val="20"/>
                <w:color w:val="auto"/>
              </w:rPr>
            </w:pPr>
            <w:r>
              <w:rPr>
                <w:rFonts w:ascii="Arial" w:cs="Arial" w:eastAsia="Arial" w:hAnsi="Arial"/>
                <w:sz w:val="19"/>
                <w:szCs w:val="19"/>
                <w:color w:val="auto"/>
              </w:rPr>
              <w:t>08/19/2022</w:t>
            </w:r>
          </w:p>
        </w:tc>
        <w:tc>
          <w:tcPr>
            <w:tcW w:w="1520" w:type="dxa"/>
            <w:vAlign w:val="bottom"/>
          </w:tcPr>
          <w:p>
            <w:pPr>
              <w:ind w:left="380"/>
              <w:spacing w:after="0" w:line="199" w:lineRule="exact"/>
              <w:rPr>
                <w:sz w:val="20"/>
                <w:szCs w:val="20"/>
                <w:color w:val="auto"/>
              </w:rPr>
            </w:pPr>
            <w:r>
              <w:rPr>
                <w:rFonts w:ascii="Arial" w:cs="Arial" w:eastAsia="Arial" w:hAnsi="Arial"/>
                <w:sz w:val="19"/>
                <w:szCs w:val="19"/>
                <w:color w:val="auto"/>
              </w:rPr>
              <w:t>$139,300</w:t>
            </w:r>
          </w:p>
        </w:tc>
        <w:tc>
          <w:tcPr>
            <w:tcW w:w="1980" w:type="dxa"/>
            <w:vAlign w:val="bottom"/>
          </w:tcPr>
          <w:p>
            <w:pPr>
              <w:ind w:left="460"/>
              <w:spacing w:after="0" w:line="199" w:lineRule="exact"/>
              <w:rPr>
                <w:sz w:val="20"/>
                <w:szCs w:val="20"/>
                <w:color w:val="auto"/>
              </w:rPr>
            </w:pPr>
            <w:r>
              <w:rPr>
                <w:rFonts w:ascii="Arial" w:cs="Arial" w:eastAsia="Arial" w:hAnsi="Arial"/>
                <w:sz w:val="19"/>
                <w:szCs w:val="19"/>
                <w:color w:val="auto"/>
              </w:rPr>
              <w:t>TFTS-865684</w:t>
            </w:r>
          </w:p>
        </w:tc>
      </w:tr>
      <w:tr>
        <w:trPr>
          <w:trHeight w:val="238"/>
        </w:trPr>
        <w:tc>
          <w:tcPr>
            <w:tcW w:w="900" w:type="dxa"/>
            <w:vAlign w:val="bottom"/>
          </w:tcPr>
          <w:p>
            <w:pPr>
              <w:spacing w:after="0"/>
              <w:rPr>
                <w:sz w:val="20"/>
                <w:szCs w:val="20"/>
                <w:color w:val="auto"/>
              </w:rPr>
            </w:pPr>
          </w:p>
        </w:tc>
        <w:tc>
          <w:tcPr>
            <w:tcW w:w="1520" w:type="dxa"/>
            <w:vAlign w:val="bottom"/>
          </w:tcPr>
          <w:p>
            <w:pPr>
              <w:ind w:left="60"/>
              <w:spacing w:after="0"/>
              <w:rPr>
                <w:sz w:val="20"/>
                <w:szCs w:val="20"/>
                <w:color w:val="auto"/>
              </w:rPr>
            </w:pPr>
            <w:r>
              <w:rPr>
                <w:rFonts w:ascii="Arial" w:cs="Arial" w:eastAsia="Arial" w:hAnsi="Arial"/>
                <w:sz w:val="19"/>
                <w:szCs w:val="19"/>
                <w:color w:val="auto"/>
              </w:rPr>
              <w:t>Bank, N.A.</w:t>
            </w: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9"/>
        </w:trPr>
        <w:tc>
          <w:tcPr>
            <w:tcW w:w="900" w:type="dxa"/>
            <w:vAlign w:val="bottom"/>
          </w:tcPr>
          <w:p>
            <w:pPr>
              <w:jc w:val="right"/>
              <w:ind w:right="643"/>
              <w:spacing w:after="0" w:line="199" w:lineRule="exact"/>
              <w:rPr>
                <w:sz w:val="20"/>
                <w:szCs w:val="20"/>
                <w:color w:val="auto"/>
              </w:rPr>
            </w:pPr>
            <w:r>
              <w:rPr>
                <w:rFonts w:ascii="Arial" w:cs="Arial" w:eastAsia="Arial" w:hAnsi="Arial"/>
                <w:sz w:val="19"/>
                <w:szCs w:val="19"/>
                <w:color w:val="auto"/>
                <w:w w:val="88"/>
              </w:rPr>
              <w:t>5.</w:t>
            </w:r>
          </w:p>
        </w:tc>
        <w:tc>
          <w:tcPr>
            <w:tcW w:w="1520" w:type="dxa"/>
            <w:vAlign w:val="bottom"/>
          </w:tcPr>
          <w:p>
            <w:pPr>
              <w:ind w:left="60"/>
              <w:spacing w:after="0" w:line="199" w:lineRule="exact"/>
              <w:rPr>
                <w:sz w:val="20"/>
                <w:szCs w:val="20"/>
                <w:color w:val="auto"/>
              </w:rPr>
            </w:pPr>
            <w:r>
              <w:rPr>
                <w:rFonts w:ascii="Arial" w:cs="Arial" w:eastAsia="Arial" w:hAnsi="Arial"/>
                <w:sz w:val="19"/>
                <w:szCs w:val="19"/>
                <w:color w:val="auto"/>
                <w:w w:val="98"/>
              </w:rPr>
              <w:t>JPMorgan Chase</w:t>
            </w:r>
          </w:p>
        </w:tc>
        <w:tc>
          <w:tcPr>
            <w:tcW w:w="1620" w:type="dxa"/>
            <w:vAlign w:val="bottom"/>
          </w:tcPr>
          <w:p>
            <w:pPr>
              <w:ind w:left="140"/>
              <w:spacing w:after="0" w:line="199" w:lineRule="exact"/>
              <w:rPr>
                <w:sz w:val="20"/>
                <w:szCs w:val="20"/>
                <w:color w:val="auto"/>
              </w:rPr>
            </w:pPr>
            <w:r>
              <w:rPr>
                <w:rFonts w:ascii="Arial" w:cs="Arial" w:eastAsia="Arial" w:hAnsi="Arial"/>
                <w:sz w:val="19"/>
                <w:szCs w:val="19"/>
                <w:color w:val="auto"/>
              </w:rPr>
              <w:t>Connecticut</w:t>
            </w:r>
          </w:p>
        </w:tc>
        <w:tc>
          <w:tcPr>
            <w:tcW w:w="1360" w:type="dxa"/>
            <w:vAlign w:val="bottom"/>
          </w:tcPr>
          <w:p>
            <w:pPr>
              <w:ind w:left="140"/>
              <w:spacing w:after="0" w:line="199" w:lineRule="exact"/>
              <w:rPr>
                <w:sz w:val="20"/>
                <w:szCs w:val="20"/>
                <w:color w:val="auto"/>
              </w:rPr>
            </w:pPr>
            <w:r>
              <w:rPr>
                <w:rFonts w:ascii="Arial" w:cs="Arial" w:eastAsia="Arial" w:hAnsi="Arial"/>
                <w:sz w:val="19"/>
                <w:szCs w:val="19"/>
                <w:color w:val="auto"/>
              </w:rPr>
              <w:t>06/17/2011</w:t>
            </w:r>
          </w:p>
        </w:tc>
        <w:tc>
          <w:tcPr>
            <w:tcW w:w="1600" w:type="dxa"/>
            <w:vAlign w:val="bottom"/>
          </w:tcPr>
          <w:p>
            <w:pPr>
              <w:ind w:left="380"/>
              <w:spacing w:after="0" w:line="199" w:lineRule="exact"/>
              <w:rPr>
                <w:sz w:val="20"/>
                <w:szCs w:val="20"/>
                <w:color w:val="auto"/>
              </w:rPr>
            </w:pPr>
            <w:r>
              <w:rPr>
                <w:rFonts w:ascii="Arial" w:cs="Arial" w:eastAsia="Arial" w:hAnsi="Arial"/>
                <w:sz w:val="19"/>
                <w:szCs w:val="19"/>
                <w:color w:val="auto"/>
              </w:rPr>
              <w:t>06/16/2022</w:t>
            </w:r>
          </w:p>
        </w:tc>
        <w:tc>
          <w:tcPr>
            <w:tcW w:w="1520" w:type="dxa"/>
            <w:vAlign w:val="bottom"/>
          </w:tcPr>
          <w:p>
            <w:pPr>
              <w:ind w:left="380"/>
              <w:spacing w:after="0" w:line="199" w:lineRule="exact"/>
              <w:rPr>
                <w:sz w:val="20"/>
                <w:szCs w:val="20"/>
                <w:color w:val="auto"/>
              </w:rPr>
            </w:pPr>
            <w:r>
              <w:rPr>
                <w:rFonts w:ascii="Arial" w:cs="Arial" w:eastAsia="Arial" w:hAnsi="Arial"/>
                <w:sz w:val="19"/>
                <w:szCs w:val="19"/>
                <w:color w:val="auto"/>
              </w:rPr>
              <w:t>$743,900</w:t>
            </w:r>
          </w:p>
        </w:tc>
        <w:tc>
          <w:tcPr>
            <w:tcW w:w="1980" w:type="dxa"/>
            <w:vAlign w:val="bottom"/>
          </w:tcPr>
          <w:p>
            <w:pPr>
              <w:ind w:left="460"/>
              <w:spacing w:after="0" w:line="199" w:lineRule="exact"/>
              <w:rPr>
                <w:sz w:val="20"/>
                <w:szCs w:val="20"/>
                <w:color w:val="auto"/>
              </w:rPr>
            </w:pPr>
            <w:r>
              <w:rPr>
                <w:rFonts w:ascii="Arial" w:cs="Arial" w:eastAsia="Arial" w:hAnsi="Arial"/>
                <w:sz w:val="19"/>
                <w:szCs w:val="19"/>
                <w:color w:val="auto"/>
              </w:rPr>
              <w:t>TFTS-910853</w:t>
            </w:r>
          </w:p>
        </w:tc>
      </w:tr>
      <w:tr>
        <w:trPr>
          <w:trHeight w:val="199"/>
        </w:trPr>
        <w:tc>
          <w:tcPr>
            <w:tcW w:w="900" w:type="dxa"/>
            <w:vAlign w:val="bottom"/>
          </w:tcPr>
          <w:p>
            <w:pPr>
              <w:spacing w:after="0"/>
              <w:rPr>
                <w:sz w:val="17"/>
                <w:szCs w:val="17"/>
                <w:color w:val="auto"/>
              </w:rPr>
            </w:pPr>
          </w:p>
        </w:tc>
        <w:tc>
          <w:tcPr>
            <w:tcW w:w="1520" w:type="dxa"/>
            <w:vAlign w:val="bottom"/>
          </w:tcPr>
          <w:p>
            <w:pPr>
              <w:ind w:left="60"/>
              <w:spacing w:after="0" w:line="199" w:lineRule="exact"/>
              <w:rPr>
                <w:sz w:val="20"/>
                <w:szCs w:val="20"/>
                <w:color w:val="auto"/>
              </w:rPr>
            </w:pPr>
            <w:r>
              <w:rPr>
                <w:rFonts w:ascii="Arial" w:cs="Arial" w:eastAsia="Arial" w:hAnsi="Arial"/>
                <w:sz w:val="19"/>
                <w:szCs w:val="19"/>
                <w:color w:val="auto"/>
              </w:rPr>
              <w:t>Bank, N.A.</w:t>
            </w:r>
          </w:p>
        </w:tc>
        <w:tc>
          <w:tcPr>
            <w:tcW w:w="1620" w:type="dxa"/>
            <w:vAlign w:val="bottom"/>
          </w:tcPr>
          <w:p>
            <w:pPr>
              <w:ind w:left="140"/>
              <w:spacing w:after="0" w:line="199" w:lineRule="exact"/>
              <w:rPr>
                <w:sz w:val="20"/>
                <w:szCs w:val="20"/>
                <w:color w:val="auto"/>
              </w:rPr>
            </w:pPr>
            <w:r>
              <w:rPr>
                <w:rFonts w:ascii="Arial" w:cs="Arial" w:eastAsia="Arial" w:hAnsi="Arial"/>
                <w:sz w:val="19"/>
                <w:szCs w:val="19"/>
                <w:color w:val="auto"/>
              </w:rPr>
              <w:t>Development</w:t>
            </w: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47"/>
        </w:trPr>
        <w:tc>
          <w:tcPr>
            <w:tcW w:w="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20" w:type="dxa"/>
            <w:vAlign w:val="bottom"/>
          </w:tcPr>
          <w:p>
            <w:pPr>
              <w:ind w:left="140"/>
              <w:spacing w:after="0"/>
              <w:rPr>
                <w:sz w:val="20"/>
                <w:szCs w:val="20"/>
                <w:color w:val="auto"/>
              </w:rPr>
            </w:pPr>
            <w:r>
              <w:rPr>
                <w:rFonts w:ascii="Arial" w:cs="Arial" w:eastAsia="Arial" w:hAnsi="Arial"/>
                <w:sz w:val="19"/>
                <w:szCs w:val="19"/>
                <w:color w:val="auto"/>
              </w:rPr>
              <w:t>Authority</w:t>
            </w: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ectPr>
          <w:pgSz w:w="11900" w:h="16838" w:orient="portrait"/>
          <w:cols w:equalWidth="0" w:num="1">
            <w:col w:w="10780"/>
          </w:cols>
          <w:pgMar w:left="320" w:top="1440" w:right="799" w:bottom="1440" w:gutter="0" w:footer="0" w:header="0"/>
        </w:sectPr>
      </w:pPr>
    </w:p>
    <w:bookmarkStart w:id="140" w:name="page141"/>
    <w:bookmarkEnd w:id="140"/>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A</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w:t>
      </w:r>
    </w:p>
    <w:p>
      <w:pPr>
        <w:spacing w:after="0" w:line="200" w:lineRule="exact"/>
        <w:rPr>
          <w:sz w:val="20"/>
          <w:szCs w:val="20"/>
          <w:color w:val="auto"/>
        </w:rPr>
      </w:pPr>
    </w:p>
    <w:p>
      <w:pPr>
        <w:spacing w:after="0" w:line="299"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New York, New York</w:t>
      </w:r>
    </w:p>
    <w:p>
      <w:pPr>
        <w:ind w:left="5100"/>
        <w:spacing w:after="0"/>
        <w:rPr>
          <w:sz w:val="20"/>
          <w:szCs w:val="20"/>
          <w:color w:val="auto"/>
        </w:rPr>
      </w:pPr>
      <w:r>
        <w:rPr>
          <w:rFonts w:ascii="Arial" w:cs="Arial" w:eastAsia="Arial" w:hAnsi="Arial"/>
          <w:sz w:val="19"/>
          <w:szCs w:val="19"/>
          <w:color w:val="auto"/>
        </w:rPr>
        <w:t>_____________,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4221480</wp:posOffset>
            </wp:positionH>
            <wp:positionV relativeFrom="paragraph">
              <wp:posOffset>-19685</wp:posOffset>
            </wp:positionV>
            <wp:extent cx="1231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52" w:lineRule="exact"/>
        <w:rPr>
          <w:sz w:val="20"/>
          <w:szCs w:val="20"/>
          <w:color w:val="auto"/>
        </w:rPr>
      </w:pPr>
    </w:p>
    <w:p>
      <w:pPr>
        <w:ind w:right="200" w:firstLine="636"/>
        <w:spacing w:after="0" w:line="242" w:lineRule="auto"/>
        <w:rPr>
          <w:sz w:val="20"/>
          <w:szCs w:val="20"/>
          <w:color w:val="auto"/>
        </w:rPr>
      </w:pPr>
      <w:r>
        <w:rPr>
          <w:rFonts w:ascii="Arial" w:cs="Arial" w:eastAsia="Arial" w:hAnsi="Arial"/>
          <w:sz w:val="19"/>
          <w:szCs w:val="19"/>
          <w:color w:val="auto"/>
        </w:rPr>
        <w:t>For value received, &lt;NAME OF RELEVANT BORROWER&gt;, a &lt;RELEVANT BORROWER’S JURISDICTION AND FORM OF ORGANIZATION&gt; (the “</w:t>
      </w:r>
      <w:r>
        <w:rPr>
          <w:rFonts w:ascii="Arial" w:cs="Arial" w:eastAsia="Arial" w:hAnsi="Arial"/>
          <w:sz w:val="19"/>
          <w:szCs w:val="19"/>
          <w:b w:val="1"/>
          <w:bCs w:val="1"/>
          <w:color w:val="auto"/>
        </w:rPr>
        <w:t>Borrower</w:t>
      </w:r>
      <w:r>
        <w:rPr>
          <w:rFonts w:ascii="Arial" w:cs="Arial" w:eastAsia="Arial" w:hAnsi="Arial"/>
          <w:sz w:val="19"/>
          <w:szCs w:val="19"/>
          <w:color w:val="auto"/>
        </w:rPr>
        <w:t>”), promises to pay to ______________________ (the “</w:t>
      </w:r>
      <w:r>
        <w:rPr>
          <w:rFonts w:ascii="Arial" w:cs="Arial" w:eastAsia="Arial" w:hAnsi="Arial"/>
          <w:sz w:val="19"/>
          <w:szCs w:val="19"/>
          <w:b w:val="1"/>
          <w:bCs w:val="1"/>
          <w:color w:val="auto"/>
        </w:rPr>
        <w:t>Lender</w:t>
      </w:r>
      <w:r>
        <w:rPr>
          <w:rFonts w:ascii="Arial" w:cs="Arial" w:eastAsia="Arial" w:hAnsi="Arial"/>
          <w:sz w:val="19"/>
          <w:szCs w:val="19"/>
          <w:color w:val="auto"/>
        </w:rPr>
        <w:t>”) or its registered</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assigns, the unpaid principal amount of each Loan made by the Lender to the Borrower pursuant to the Credit Agreement referred to below on the maturity date provided for in the Credit Agreement. The Borrower promises to pay interest on the unpaid principal amount of each such Loan on the dates and at the rate or rates provided for in the Credit Agreement. All such payments of principal and interest shall be made in lawful money of the United States in federal or other immediately available funds at the office of JPMorgan Chase Bank, N.A., 383 Madison Avenue New York, NY 10179.</w:t>
      </w:r>
    </w:p>
    <w:p>
      <w:pPr>
        <w:spacing w:after="0" w:line="157" w:lineRule="exact"/>
        <w:rPr>
          <w:sz w:val="20"/>
          <w:szCs w:val="20"/>
          <w:color w:val="auto"/>
        </w:rPr>
      </w:pPr>
    </w:p>
    <w:p>
      <w:pPr>
        <w:ind w:right="80" w:firstLine="636"/>
        <w:spacing w:after="0" w:line="220" w:lineRule="auto"/>
        <w:rPr>
          <w:sz w:val="20"/>
          <w:szCs w:val="20"/>
          <w:color w:val="auto"/>
        </w:rPr>
      </w:pPr>
      <w:r>
        <w:rPr>
          <w:rFonts w:ascii="Arial" w:cs="Arial" w:eastAsia="Arial" w:hAnsi="Arial"/>
          <w:sz w:val="21"/>
          <w:szCs w:val="21"/>
          <w:color w:val="auto"/>
        </w:rPr>
        <w:t xml:space="preserve">All Loans made by the Lender to the Borrower, the respective types thereof and all repayments of the principal thereof shall be recorded by the Lender and, if the Lender so elects in connection with any transfer or enforcement hereof, appropriate notations to evidence the foregoing information with respect to each such Loan then outstanding may be endorsed by the Lender on the schedule attached hereto, or on a continuation of such schedule attached to and made a part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the Lender to make any such recordation or endorsement shall not affect the obligations of the Borrower hereunder or under the Credit Agreement.</w:t>
      </w:r>
    </w:p>
    <w:p>
      <w:pPr>
        <w:spacing w:after="0" w:line="156" w:lineRule="exact"/>
        <w:rPr>
          <w:sz w:val="20"/>
          <w:szCs w:val="20"/>
          <w:color w:val="auto"/>
        </w:rPr>
      </w:pPr>
    </w:p>
    <w:p>
      <w:pPr>
        <w:ind w:right="120" w:firstLine="636"/>
        <w:spacing w:after="0" w:line="220" w:lineRule="auto"/>
        <w:rPr>
          <w:sz w:val="20"/>
          <w:szCs w:val="20"/>
          <w:color w:val="auto"/>
        </w:rPr>
      </w:pPr>
      <w:r>
        <w:rPr>
          <w:rFonts w:ascii="Arial" w:cs="Arial" w:eastAsia="Arial" w:hAnsi="Arial"/>
          <w:sz w:val="21"/>
          <w:szCs w:val="21"/>
          <w:color w:val="auto"/>
        </w:rPr>
        <w:t>This Note is one of the Notes referred to in the Five-Year Credit Agreement dated as of September 27, 2021 among Campbell Soup Company, the Eligible Subsidiaries referred to therein, the Lenders from time to time party thereto and JPMorgan Chase Bank, as Administrative Agent (as the same may be amended, restated, amended and restated, supplemented or otherwise modified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 Unless otherwise defined herein, terms defined in the Credit Agreement are used herein with the same meanings. Reference is made to the Credit Agreement for provisions for the prepayment hereof and the acceleration of the maturity hereof.</w:t>
      </w:r>
    </w:p>
    <w:p>
      <w:pPr>
        <w:spacing w:after="0" w:line="156" w:lineRule="exact"/>
        <w:rPr>
          <w:sz w:val="20"/>
          <w:szCs w:val="20"/>
          <w:color w:val="auto"/>
        </w:rPr>
      </w:pPr>
    </w:p>
    <w:p>
      <w:pPr>
        <w:ind w:right="140" w:firstLine="636"/>
        <w:spacing w:after="0" w:line="239" w:lineRule="auto"/>
        <w:rPr>
          <w:sz w:val="20"/>
          <w:szCs w:val="20"/>
          <w:color w:val="auto"/>
        </w:rPr>
      </w:pPr>
      <w:r>
        <w:rPr>
          <w:rFonts w:ascii="Arial" w:cs="Arial" w:eastAsia="Arial" w:hAnsi="Arial"/>
          <w:sz w:val="21"/>
          <w:szCs w:val="21"/>
          <w:color w:val="auto"/>
        </w:rPr>
        <w:t>THIS NOTE SHALL BE GOVERNED BY AND CONSTRUED IN ACCORDANCE WITH THE LAWS OF THE STATE OF NEW YORK.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63" w:lineRule="exact"/>
        <w:rPr>
          <w:sz w:val="20"/>
          <w:szCs w:val="20"/>
          <w:color w:val="auto"/>
        </w:rPr>
      </w:pPr>
    </w:p>
    <w:p>
      <w:pPr>
        <w:ind w:firstLine="636"/>
        <w:spacing w:after="0" w:line="259" w:lineRule="auto"/>
        <w:rPr>
          <w:sz w:val="20"/>
          <w:szCs w:val="20"/>
          <w:color w:val="auto"/>
        </w:rPr>
      </w:pPr>
      <w:r>
        <w:rPr>
          <w:rFonts w:ascii="Arial" w:cs="Arial" w:eastAsia="Arial" w:hAnsi="Arial"/>
          <w:sz w:val="21"/>
          <w:szCs w:val="21"/>
          <w:color w:val="auto"/>
        </w:rPr>
        <w:t>[The payment in full of the principal and interest on this Note has, pursuant to the provisions of the Credit Agreement, been unconditionally guaranteed by Campbell Soup Company.]</w:t>
      </w:r>
      <w:r>
        <w:rPr>
          <w:rFonts w:ascii="Arial" w:cs="Arial" w:eastAsia="Arial" w:hAnsi="Arial"/>
          <w:sz w:val="27"/>
          <w:szCs w:val="27"/>
          <w:color w:val="auto"/>
          <w:vertAlign w:val="superscript"/>
        </w:rPr>
        <w:t>1</w:t>
      </w:r>
    </w:p>
    <w:p>
      <w:pPr>
        <w:spacing w:after="0" w:line="94"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&lt;NAME OF RELEVANT</w:t>
      </w:r>
    </w:p>
    <w:p>
      <w:pPr>
        <w:ind w:left="3840"/>
        <w:spacing w:after="0"/>
        <w:rPr>
          <w:sz w:val="20"/>
          <w:szCs w:val="20"/>
          <w:color w:val="auto"/>
        </w:rPr>
      </w:pPr>
      <w:r>
        <w:rPr>
          <w:rFonts w:ascii="Arial" w:cs="Arial" w:eastAsia="Arial" w:hAnsi="Arial"/>
          <w:sz w:val="19"/>
          <w:szCs w:val="19"/>
          <w:color w:val="auto"/>
        </w:rPr>
        <w:t>BORROWER&gt;</w:t>
      </w:r>
    </w:p>
    <w:p>
      <w:pPr>
        <w:spacing w:after="0" w:line="17"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15240</wp:posOffset>
            </wp:positionV>
            <wp:extent cx="18345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382"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15240</wp:posOffset>
            </wp:positionV>
            <wp:extent cx="18345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637540</wp:posOffset>
            </wp:positionV>
            <wp:extent cx="16827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hanging="118"/>
        <w:spacing w:after="0"/>
        <w:tabs>
          <w:tab w:leader="none" w:pos="760" w:val="left"/>
        </w:tabs>
        <w:numPr>
          <w:ilvl w:val="0"/>
          <w:numId w:val="157"/>
        </w:numPr>
        <w:rPr>
          <w:rFonts w:ascii="Arial" w:cs="Arial" w:eastAsia="Arial" w:hAnsi="Arial"/>
          <w:sz w:val="25"/>
          <w:szCs w:val="25"/>
          <w:color w:val="auto"/>
          <w:vertAlign w:val="superscript"/>
        </w:rPr>
      </w:pPr>
      <w:r>
        <w:rPr>
          <w:rFonts w:ascii="Arial" w:cs="Arial" w:eastAsia="Arial" w:hAnsi="Arial"/>
          <w:sz w:val="19"/>
          <w:szCs w:val="19"/>
          <w:color w:val="auto"/>
        </w:rPr>
        <w:t>To be included only in Notes of Eligible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120"/>
          </w:cols>
          <w:pgMar w:left="320" w:top="1440" w:right="459" w:bottom="1440" w:gutter="0" w:footer="0" w:header="0"/>
        </w:sectPr>
      </w:pPr>
    </w:p>
    <w:bookmarkStart w:id="142" w:name="page143"/>
    <w:bookmarkEnd w:id="142"/>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LOANS AND PAYMENTS OF PRINCIPAL</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1400" w:val="left"/>
          <w:tab w:leader="none" w:pos="3380" w:val="left"/>
          <w:tab w:leader="none" w:pos="5060" w:val="left"/>
          <w:tab w:leader="none" w:pos="7420" w:val="left"/>
          <w:tab w:leader="none" w:pos="93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Amount of Loan</w:t>
      </w:r>
      <w:r>
        <w:rPr>
          <w:sz w:val="20"/>
          <w:szCs w:val="20"/>
          <w:color w:val="auto"/>
        </w:rPr>
        <w:tab/>
      </w:r>
      <w:r>
        <w:rPr>
          <w:rFonts w:ascii="Arial" w:cs="Arial" w:eastAsia="Arial" w:hAnsi="Arial"/>
          <w:sz w:val="19"/>
          <w:szCs w:val="19"/>
          <w:color w:val="auto"/>
        </w:rPr>
        <w:t>Type of Loan</w:t>
      </w:r>
      <w:r>
        <w:rPr>
          <w:sz w:val="20"/>
          <w:szCs w:val="20"/>
          <w:color w:val="auto"/>
        </w:rPr>
        <w:tab/>
      </w:r>
      <w:r>
        <w:rPr>
          <w:rFonts w:ascii="Arial" w:cs="Arial" w:eastAsia="Arial" w:hAnsi="Arial"/>
          <w:sz w:val="19"/>
          <w:szCs w:val="19"/>
          <w:color w:val="auto"/>
        </w:rPr>
        <w:t>Amount of Principal Repaid</w:t>
        <w:tab/>
        <w:t>Maturity Date</w:t>
      </w:r>
      <w:r>
        <w:rPr>
          <w:sz w:val="20"/>
          <w:szCs w:val="20"/>
          <w:color w:val="auto"/>
        </w:rPr>
        <w:tab/>
      </w:r>
      <w:r>
        <w:rPr>
          <w:rFonts w:ascii="Arial" w:cs="Arial" w:eastAsia="Arial" w:hAnsi="Arial"/>
          <w:sz w:val="18"/>
          <w:szCs w:val="18"/>
          <w:color w:val="auto"/>
        </w:rPr>
        <w:t>Notation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342900</wp:posOffset>
            </wp:positionV>
            <wp:extent cx="7134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637540</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932180</wp:posOffset>
            </wp:positionV>
            <wp:extent cx="7134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1217930</wp:posOffset>
            </wp:positionV>
            <wp:extent cx="7134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1512570</wp:posOffset>
            </wp:positionV>
            <wp:extent cx="7134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1807210</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2092960</wp:posOffset>
            </wp:positionV>
            <wp:extent cx="7134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2387600</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2682240</wp:posOffset>
            </wp:positionV>
            <wp:extent cx="7134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2967990</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3262630</wp:posOffset>
            </wp:positionV>
            <wp:extent cx="7134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3557270</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3843020</wp:posOffset>
            </wp:positionV>
            <wp:extent cx="7134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4137660</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4432300</wp:posOffset>
            </wp:positionV>
            <wp:extent cx="7134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4718050</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5012690</wp:posOffset>
            </wp:positionV>
            <wp:extent cx="7134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5307330</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5610225</wp:posOffset>
            </wp:positionV>
            <wp:extent cx="7134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FF0000"/>
          <w:strike w:val="1"/>
        </w:rPr>
        <w:t>96599450v1</w:t>
      </w:r>
      <w:r>
        <w:rPr>
          <w:rFonts w:ascii="Arial" w:cs="Arial" w:eastAsia="Arial" w:hAnsi="Arial"/>
          <w:sz w:val="11"/>
          <w:szCs w:val="11"/>
          <w:u w:val="single" w:color="auto"/>
          <w:color w:val="0000FF"/>
        </w:rPr>
        <w:t>96599450v11</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0800"/>
          </w:cols>
          <w:pgMar w:left="320" w:top="1440" w:right="779" w:bottom="144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223" w:lineRule="auto"/>
        <w:rPr>
          <w:sz w:val="20"/>
          <w:szCs w:val="20"/>
          <w:color w:val="auto"/>
        </w:rPr>
      </w:pPr>
      <w:r>
        <w:rPr>
          <w:rFonts w:ascii="Arial" w:cs="Arial" w:eastAsia="Arial" w:hAnsi="Arial"/>
          <w:sz w:val="12"/>
          <w:szCs w:val="12"/>
          <w:color w:val="auto"/>
        </w:rPr>
        <w:t>WEIL:\97681155\2\37073.0022</w:t>
      </w:r>
    </w:p>
    <w:p>
      <w:pPr>
        <w:spacing w:after="0" w:line="204" w:lineRule="auto"/>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u w:val="single" w:color="auto"/>
          <w:color w:val="0000FF"/>
        </w:rPr>
        <w:t>WEIL:\99042298\2\37073.0028</w:t>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B</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ELECTION TO PARTICIPATE</w:t>
      </w:r>
    </w:p>
    <w:p>
      <w:pPr>
        <w:spacing w:after="0" w:line="198" w:lineRule="exact"/>
        <w:rPr>
          <w:sz w:val="20"/>
          <w:szCs w:val="20"/>
          <w:color w:val="auto"/>
        </w:rPr>
      </w:pPr>
    </w:p>
    <w:p>
      <w:pPr>
        <w:ind w:left="9540"/>
        <w:spacing w:after="0"/>
        <w:rPr>
          <w:sz w:val="20"/>
          <w:szCs w:val="20"/>
          <w:color w:val="auto"/>
        </w:rPr>
      </w:pPr>
      <w:r>
        <w:rPr>
          <w:rFonts w:ascii="Arial" w:cs="Arial" w:eastAsia="Arial" w:hAnsi="Arial"/>
          <w:sz w:val="17"/>
          <w:szCs w:val="17"/>
          <w:color w:val="auto"/>
        </w:rPr>
        <w:t>__________ __, 20__</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ind w:left="220"/>
        <w:spacing w:after="0" w:line="218" w:lineRule="auto"/>
        <w:rPr>
          <w:sz w:val="20"/>
          <w:szCs w:val="20"/>
          <w:color w:val="auto"/>
        </w:rPr>
      </w:pPr>
      <w:r>
        <w:rPr>
          <w:rFonts w:ascii="Arial" w:cs="Arial" w:eastAsia="Arial" w:hAnsi="Arial"/>
          <w:sz w:val="19"/>
          <w:szCs w:val="19"/>
          <w:color w:val="auto"/>
        </w:rPr>
        <w:t>as Administrative Agent for the Lenders</w:t>
      </w:r>
    </w:p>
    <w:p>
      <w:pPr>
        <w:ind w:left="220"/>
        <w:spacing w:after="0" w:line="204" w:lineRule="auto"/>
        <w:rPr>
          <w:sz w:val="20"/>
          <w:szCs w:val="20"/>
          <w:color w:val="auto"/>
        </w:rPr>
      </w:pPr>
      <w:r>
        <w:rPr>
          <w:rFonts w:ascii="Arial" w:cs="Arial" w:eastAsia="Arial" w:hAnsi="Arial"/>
          <w:sz w:val="19"/>
          <w:szCs w:val="19"/>
          <w:color w:val="auto"/>
        </w:rPr>
        <w:t>party to the Five-Year Credit Agreement</w:t>
      </w:r>
    </w:p>
    <w:p>
      <w:pPr>
        <w:ind w:left="220"/>
        <w:spacing w:after="0" w:line="218" w:lineRule="auto"/>
        <w:rPr>
          <w:sz w:val="20"/>
          <w:szCs w:val="20"/>
          <w:color w:val="auto"/>
        </w:rPr>
      </w:pPr>
      <w:r>
        <w:rPr>
          <w:rFonts w:ascii="Arial" w:cs="Arial" w:eastAsia="Arial" w:hAnsi="Arial"/>
          <w:sz w:val="19"/>
          <w:szCs w:val="19"/>
          <w:color w:val="auto"/>
        </w:rPr>
        <w:t>dated as of September 27, 2021 among</w:t>
      </w:r>
    </w:p>
    <w:p>
      <w:pPr>
        <w:ind w:left="220"/>
        <w:spacing w:after="0" w:line="218" w:lineRule="auto"/>
        <w:rPr>
          <w:sz w:val="20"/>
          <w:szCs w:val="20"/>
          <w:color w:val="auto"/>
        </w:rPr>
      </w:pPr>
      <w:r>
        <w:rPr>
          <w:rFonts w:ascii="Arial" w:cs="Arial" w:eastAsia="Arial" w:hAnsi="Arial"/>
          <w:sz w:val="19"/>
          <w:szCs w:val="19"/>
          <w:color w:val="auto"/>
        </w:rPr>
        <w:t>Campbell Soup Company, the Eligible</w:t>
      </w:r>
    </w:p>
    <w:p>
      <w:pPr>
        <w:ind w:left="220"/>
        <w:spacing w:after="0" w:line="204" w:lineRule="auto"/>
        <w:rPr>
          <w:sz w:val="20"/>
          <w:szCs w:val="20"/>
          <w:color w:val="auto"/>
        </w:rPr>
      </w:pPr>
      <w:r>
        <w:rPr>
          <w:rFonts w:ascii="Arial" w:cs="Arial" w:eastAsia="Arial" w:hAnsi="Arial"/>
          <w:sz w:val="19"/>
          <w:szCs w:val="19"/>
          <w:color w:val="auto"/>
        </w:rPr>
        <w:t>Subsidiaries referred to therein, the Lenders</w:t>
      </w:r>
    </w:p>
    <w:p>
      <w:pPr>
        <w:ind w:left="220"/>
        <w:spacing w:after="0" w:line="218" w:lineRule="auto"/>
        <w:rPr>
          <w:sz w:val="20"/>
          <w:szCs w:val="20"/>
          <w:color w:val="auto"/>
        </w:rPr>
      </w:pPr>
      <w:r>
        <w:rPr>
          <w:rFonts w:ascii="Arial" w:cs="Arial" w:eastAsia="Arial" w:hAnsi="Arial"/>
          <w:sz w:val="19"/>
          <w:szCs w:val="19"/>
          <w:color w:val="auto"/>
        </w:rPr>
        <w:t>from time to time party thereto and</w:t>
      </w:r>
    </w:p>
    <w:p>
      <w:pPr>
        <w:ind w:left="220"/>
        <w:spacing w:after="0" w:line="204" w:lineRule="auto"/>
        <w:rPr>
          <w:sz w:val="20"/>
          <w:szCs w:val="20"/>
          <w:color w:val="auto"/>
        </w:rPr>
      </w:pPr>
      <w:r>
        <w:rPr>
          <w:rFonts w:ascii="Arial" w:cs="Arial" w:eastAsia="Arial" w:hAnsi="Arial"/>
          <w:sz w:val="19"/>
          <w:szCs w:val="19"/>
          <w:color w:val="auto"/>
        </w:rPr>
        <w:t>JPMorgan Chase Bank, N.A., as Administrative Agent</w:t>
      </w:r>
    </w:p>
    <w:p>
      <w:pPr>
        <w:ind w:left="220"/>
        <w:spacing w:after="0" w:line="218" w:lineRule="auto"/>
        <w:rPr>
          <w:sz w:val="20"/>
          <w:szCs w:val="20"/>
          <w:color w:val="auto"/>
        </w:rPr>
      </w:pPr>
      <w:r>
        <w:rPr>
          <w:rFonts w:ascii="Arial" w:cs="Arial" w:eastAsia="Arial" w:hAnsi="Arial"/>
          <w:sz w:val="19"/>
          <w:szCs w:val="19"/>
          <w:color w:val="auto"/>
        </w:rPr>
        <w:t>(as amended, restated, amended and restated, supplemented or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74" w:lineRule="exact"/>
        <w:rPr>
          <w:sz w:val="20"/>
          <w:szCs w:val="20"/>
          <w:color w:val="auto"/>
        </w:rPr>
      </w:pPr>
    </w:p>
    <w:p>
      <w:pPr>
        <w:ind w:right="600" w:firstLine="636"/>
        <w:spacing w:after="0" w:line="239" w:lineRule="auto"/>
        <w:rPr>
          <w:sz w:val="20"/>
          <w:szCs w:val="20"/>
          <w:color w:val="auto"/>
        </w:rPr>
      </w:pPr>
      <w:r>
        <w:rPr>
          <w:rFonts w:ascii="Arial" w:cs="Arial" w:eastAsia="Arial" w:hAnsi="Arial"/>
          <w:sz w:val="21"/>
          <w:szCs w:val="21"/>
          <w:color w:val="auto"/>
        </w:rPr>
        <w:t>Reference is made to the Credit Agreement described above. Terms not defined herein which are defined in the Credit Agreement shall have for the purposes hereof the meaning provided therein.</w:t>
      </w:r>
    </w:p>
    <w:p>
      <w:pPr>
        <w:spacing w:after="0" w:line="155" w:lineRule="exact"/>
        <w:rPr>
          <w:sz w:val="20"/>
          <w:szCs w:val="20"/>
          <w:color w:val="auto"/>
        </w:rPr>
      </w:pPr>
    </w:p>
    <w:p>
      <w:pPr>
        <w:ind w:right="80" w:firstLine="636"/>
        <w:spacing w:after="0" w:line="219" w:lineRule="auto"/>
        <w:rPr>
          <w:sz w:val="20"/>
          <w:szCs w:val="20"/>
          <w:color w:val="auto"/>
        </w:rPr>
      </w:pPr>
      <w:r>
        <w:rPr>
          <w:rFonts w:ascii="Arial" w:cs="Arial" w:eastAsia="Arial" w:hAnsi="Arial"/>
          <w:sz w:val="21"/>
          <w:szCs w:val="21"/>
          <w:color w:val="auto"/>
        </w:rPr>
        <w:t>The undersigned, [name of Eligible Subsidiary], a [jurisdiction and form of organization], hereby elects to be an Eligible Subsidiary for purposes of the Credit Agreement, effective from the date hereof until an Election to Terminate shall have been delivered on behalf of the undersigned in accordance with the Credit Agreement. The undersigned confirms that the representations and warranties set forth in Article 9 of the Credit Agreement are true and correct as to the undersigned as of the date hereof, and the undersigned hereby agrees to perform all the obligations of an Eligible Subsidiary under, and to be bound in all respects by the terms of, the Credit Agreement, including without limitation Section 11.09 thereof, as if the undersigned were a signatory party thereto.</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[Tax disclosure pursuant to Section 9.04.]</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address to which all notices to the undersigned under the Credit Agreement should be directed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6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instrument shall be governed by and construed in accordance with the laws of the State of New York.</w:t>
      </w:r>
    </w:p>
    <w:p>
      <w:pPr>
        <w:spacing w:after="0" w:line="24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Very truly yours,</w:t>
      </w:r>
    </w:p>
    <w:p>
      <w:pPr>
        <w:spacing w:after="0" w:line="242" w:lineRule="exact"/>
        <w:rPr>
          <w:sz w:val="20"/>
          <w:szCs w:val="20"/>
          <w:color w:val="auto"/>
        </w:rPr>
      </w:pPr>
    </w:p>
    <w:p>
      <w:pPr>
        <w:jc w:val="center"/>
        <w:ind w:right="1620"/>
        <w:spacing w:after="0"/>
        <w:rPr>
          <w:sz w:val="20"/>
          <w:szCs w:val="20"/>
          <w:color w:val="auto"/>
        </w:rPr>
      </w:pPr>
      <w:r>
        <w:rPr>
          <w:rFonts w:ascii="Arial" w:cs="Arial" w:eastAsia="Arial" w:hAnsi="Arial"/>
          <w:sz w:val="19"/>
          <w:szCs w:val="19"/>
          <w:color w:val="auto"/>
        </w:rPr>
        <w:t>[NAME OF ELIGIBLE</w:t>
      </w:r>
    </w:p>
    <w:p>
      <w:pPr>
        <w:jc w:val="center"/>
        <w:ind w:right="1620"/>
        <w:spacing w:after="0"/>
        <w:rPr>
          <w:sz w:val="20"/>
          <w:szCs w:val="20"/>
          <w:color w:val="auto"/>
        </w:rPr>
      </w:pPr>
      <w:r>
        <w:rPr>
          <w:rFonts w:ascii="Arial" w:cs="Arial" w:eastAsia="Arial" w:hAnsi="Arial"/>
          <w:sz w:val="19"/>
          <w:szCs w:val="19"/>
          <w:color w:val="auto"/>
        </w:rPr>
        <w:t>SUBSIDIARY]</w:t>
      </w: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15240</wp:posOffset>
            </wp:positionV>
            <wp:extent cx="18427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338"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The undersigned hereby confirms that [name of Eligible Subsidiary] is an Eligible Subsidiary for purposes of the Credit Agreement described above.</w:t>
      </w:r>
    </w:p>
    <w:p>
      <w:pPr>
        <w:spacing w:after="0" w:line="200" w:lineRule="exact"/>
        <w:rPr>
          <w:sz w:val="20"/>
          <w:szCs w:val="20"/>
          <w:color w:val="auto"/>
        </w:rPr>
      </w:pPr>
    </w:p>
    <w:p>
      <w:pPr>
        <w:spacing w:after="0" w:line="23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CAMPBELL SOUP COMPANY</w:t>
      </w:r>
    </w:p>
    <w:p>
      <w:pPr>
        <w:spacing w:after="0" w:line="245"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15240</wp:posOffset>
            </wp:positionV>
            <wp:extent cx="18345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Receipt of the above Election to Participate is hereby acknowledged on and as of the date set forth above.</w:t>
      </w:r>
    </w:p>
    <w:p>
      <w:pPr>
        <w:spacing w:after="0" w:line="200" w:lineRule="exact"/>
        <w:rPr>
          <w:sz w:val="20"/>
          <w:szCs w:val="20"/>
          <w:color w:val="auto"/>
        </w:rPr>
      </w:pPr>
    </w:p>
    <w:p>
      <w:pPr>
        <w:spacing w:after="0" w:line="267"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JPMORGAN CHASE BANK, N.A.,</w:t>
      </w:r>
    </w:p>
    <w:p>
      <w:pPr>
        <w:ind w:left="4200"/>
        <w:spacing w:after="0"/>
        <w:rPr>
          <w:sz w:val="20"/>
          <w:szCs w:val="20"/>
          <w:color w:val="auto"/>
        </w:rPr>
      </w:pPr>
      <w:r>
        <w:rPr>
          <w:rFonts w:ascii="Arial" w:cs="Arial" w:eastAsia="Arial" w:hAnsi="Arial"/>
          <w:sz w:val="19"/>
          <w:szCs w:val="19"/>
          <w:color w:val="auto"/>
        </w:rPr>
        <w:t>as Administrative Agent</w:t>
      </w:r>
    </w:p>
    <w:p>
      <w:pPr>
        <w:spacing w:after="0" w:line="229"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15240</wp:posOffset>
            </wp:positionV>
            <wp:extent cx="18427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C</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ELECTION TO TERMINATE</w:t>
      </w:r>
    </w:p>
    <w:p>
      <w:pPr>
        <w:spacing w:after="0" w:line="198" w:lineRule="exact"/>
        <w:rPr>
          <w:sz w:val="20"/>
          <w:szCs w:val="20"/>
          <w:color w:val="auto"/>
        </w:rPr>
      </w:pPr>
    </w:p>
    <w:p>
      <w:pPr>
        <w:ind w:left="9540"/>
        <w:spacing w:after="0"/>
        <w:rPr>
          <w:sz w:val="20"/>
          <w:szCs w:val="20"/>
          <w:color w:val="auto"/>
        </w:rPr>
      </w:pPr>
      <w:r>
        <w:rPr>
          <w:rFonts w:ascii="Arial" w:cs="Arial" w:eastAsia="Arial" w:hAnsi="Arial"/>
          <w:sz w:val="17"/>
          <w:szCs w:val="17"/>
          <w:color w:val="auto"/>
        </w:rPr>
        <w:t>__________ __, 20__</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ind w:left="220"/>
        <w:spacing w:after="0" w:line="218" w:lineRule="auto"/>
        <w:rPr>
          <w:sz w:val="20"/>
          <w:szCs w:val="20"/>
          <w:color w:val="auto"/>
        </w:rPr>
      </w:pPr>
      <w:r>
        <w:rPr>
          <w:rFonts w:ascii="Arial" w:cs="Arial" w:eastAsia="Arial" w:hAnsi="Arial"/>
          <w:sz w:val="19"/>
          <w:szCs w:val="19"/>
          <w:color w:val="auto"/>
        </w:rPr>
        <w:t>as Administrative Agent for the Lenders</w:t>
      </w:r>
    </w:p>
    <w:p>
      <w:pPr>
        <w:ind w:left="220"/>
        <w:spacing w:after="0" w:line="204" w:lineRule="auto"/>
        <w:rPr>
          <w:sz w:val="20"/>
          <w:szCs w:val="20"/>
          <w:color w:val="auto"/>
        </w:rPr>
      </w:pPr>
      <w:r>
        <w:rPr>
          <w:rFonts w:ascii="Arial" w:cs="Arial" w:eastAsia="Arial" w:hAnsi="Arial"/>
          <w:sz w:val="19"/>
          <w:szCs w:val="19"/>
          <w:color w:val="auto"/>
        </w:rPr>
        <w:t>party to the Five-Year Credit Agreement</w:t>
      </w:r>
    </w:p>
    <w:p>
      <w:pPr>
        <w:ind w:left="220"/>
        <w:spacing w:after="0" w:line="218" w:lineRule="auto"/>
        <w:rPr>
          <w:sz w:val="20"/>
          <w:szCs w:val="20"/>
          <w:color w:val="auto"/>
        </w:rPr>
      </w:pPr>
      <w:r>
        <w:rPr>
          <w:rFonts w:ascii="Arial" w:cs="Arial" w:eastAsia="Arial" w:hAnsi="Arial"/>
          <w:sz w:val="19"/>
          <w:szCs w:val="19"/>
          <w:color w:val="auto"/>
        </w:rPr>
        <w:t>dated as of September 27, 2021 among</w:t>
      </w:r>
    </w:p>
    <w:p>
      <w:pPr>
        <w:ind w:left="220"/>
        <w:spacing w:after="0" w:line="218" w:lineRule="auto"/>
        <w:rPr>
          <w:sz w:val="20"/>
          <w:szCs w:val="20"/>
          <w:color w:val="auto"/>
        </w:rPr>
      </w:pPr>
      <w:r>
        <w:rPr>
          <w:rFonts w:ascii="Arial" w:cs="Arial" w:eastAsia="Arial" w:hAnsi="Arial"/>
          <w:sz w:val="19"/>
          <w:szCs w:val="19"/>
          <w:color w:val="auto"/>
        </w:rPr>
        <w:t>Campbell Soup Company, the Eligible</w:t>
      </w:r>
    </w:p>
    <w:p>
      <w:pPr>
        <w:ind w:left="220"/>
        <w:spacing w:after="0" w:line="204" w:lineRule="auto"/>
        <w:rPr>
          <w:sz w:val="20"/>
          <w:szCs w:val="20"/>
          <w:color w:val="auto"/>
        </w:rPr>
      </w:pPr>
      <w:r>
        <w:rPr>
          <w:rFonts w:ascii="Arial" w:cs="Arial" w:eastAsia="Arial" w:hAnsi="Arial"/>
          <w:sz w:val="19"/>
          <w:szCs w:val="19"/>
          <w:color w:val="auto"/>
        </w:rPr>
        <w:t>Subsidiaries referred to therein, the Lenders</w:t>
      </w:r>
    </w:p>
    <w:p>
      <w:pPr>
        <w:ind w:left="220"/>
        <w:spacing w:after="0" w:line="218" w:lineRule="auto"/>
        <w:rPr>
          <w:sz w:val="20"/>
          <w:szCs w:val="20"/>
          <w:color w:val="auto"/>
        </w:rPr>
      </w:pPr>
      <w:r>
        <w:rPr>
          <w:rFonts w:ascii="Arial" w:cs="Arial" w:eastAsia="Arial" w:hAnsi="Arial"/>
          <w:sz w:val="19"/>
          <w:szCs w:val="19"/>
          <w:color w:val="auto"/>
        </w:rPr>
        <w:t>from time to time party thereto and</w:t>
      </w:r>
    </w:p>
    <w:p>
      <w:pPr>
        <w:ind w:left="220"/>
        <w:spacing w:after="0" w:line="204" w:lineRule="auto"/>
        <w:rPr>
          <w:sz w:val="20"/>
          <w:szCs w:val="20"/>
          <w:color w:val="auto"/>
        </w:rPr>
      </w:pPr>
      <w:r>
        <w:rPr>
          <w:rFonts w:ascii="Arial" w:cs="Arial" w:eastAsia="Arial" w:hAnsi="Arial"/>
          <w:sz w:val="19"/>
          <w:szCs w:val="19"/>
          <w:color w:val="auto"/>
        </w:rPr>
        <w:t>JPMorgan Chase Bank, N.A., as Administrative Agent</w:t>
      </w:r>
    </w:p>
    <w:p>
      <w:pPr>
        <w:ind w:left="220"/>
        <w:spacing w:after="0" w:line="218" w:lineRule="auto"/>
        <w:rPr>
          <w:sz w:val="20"/>
          <w:szCs w:val="20"/>
          <w:color w:val="auto"/>
        </w:rPr>
      </w:pPr>
      <w:r>
        <w:rPr>
          <w:rFonts w:ascii="Arial" w:cs="Arial" w:eastAsia="Arial" w:hAnsi="Arial"/>
          <w:sz w:val="19"/>
          <w:szCs w:val="19"/>
          <w:color w:val="auto"/>
        </w:rPr>
        <w:t>(as amended, restated, amended and restated, supplemented or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74" w:lineRule="exact"/>
        <w:rPr>
          <w:sz w:val="20"/>
          <w:szCs w:val="20"/>
          <w:color w:val="auto"/>
        </w:rPr>
      </w:pPr>
    </w:p>
    <w:p>
      <w:pPr>
        <w:ind w:right="600" w:firstLine="636"/>
        <w:spacing w:after="0" w:line="239" w:lineRule="auto"/>
        <w:rPr>
          <w:sz w:val="20"/>
          <w:szCs w:val="20"/>
          <w:color w:val="auto"/>
        </w:rPr>
      </w:pPr>
      <w:r>
        <w:rPr>
          <w:rFonts w:ascii="Arial" w:cs="Arial" w:eastAsia="Arial" w:hAnsi="Arial"/>
          <w:sz w:val="21"/>
          <w:szCs w:val="21"/>
          <w:color w:val="auto"/>
        </w:rPr>
        <w:t>Reference is made to the Credit Agreement described above. Terms not defined herein which are defined in the Credit Agreement shall have for the purposes hereof the meaning provided therein.</w:t>
      </w:r>
    </w:p>
    <w:p>
      <w:pPr>
        <w:spacing w:after="0" w:line="155" w:lineRule="exact"/>
        <w:rPr>
          <w:sz w:val="20"/>
          <w:szCs w:val="20"/>
          <w:color w:val="auto"/>
        </w:rPr>
      </w:pPr>
    </w:p>
    <w:p>
      <w:pPr>
        <w:ind w:right="180" w:firstLine="636"/>
        <w:spacing w:after="0" w:line="220" w:lineRule="auto"/>
        <w:rPr>
          <w:sz w:val="20"/>
          <w:szCs w:val="20"/>
          <w:color w:val="auto"/>
        </w:rPr>
      </w:pPr>
      <w:r>
        <w:rPr>
          <w:rFonts w:ascii="Arial" w:cs="Arial" w:eastAsia="Arial" w:hAnsi="Arial"/>
          <w:sz w:val="21"/>
          <w:szCs w:val="21"/>
          <w:color w:val="auto"/>
        </w:rPr>
        <w:t>The undersigned, [name of Eligible Subsidiary], a [jurisdiction and form of organization], hereby elects to terminate its status as an Eligible Subsidiary for purposes of the Credit Agreement, effective as of the date hereof. The undersigned hereby represents and warrants that all principal and interest on all Notes of the undersigned and all other amounts payable by the undersigned pursuant to the Credit Agreement have been paid in full on or prior to the date hereof. Notwithstanding the foregoing, this Election to Terminate shall not affect any obligation of the undersigned under the Credit Agreement or under any Note heretofore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6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instrument shall be governed by and construed in accordance with the laws of the State of New York.</w:t>
      </w:r>
    </w:p>
    <w:p>
      <w:pPr>
        <w:spacing w:after="0" w:line="24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Very truly yours,</w:t>
      </w:r>
    </w:p>
    <w:p>
      <w:pPr>
        <w:spacing w:after="0" w:line="242" w:lineRule="exact"/>
        <w:rPr>
          <w:sz w:val="20"/>
          <w:szCs w:val="20"/>
          <w:color w:val="auto"/>
        </w:rPr>
      </w:pPr>
    </w:p>
    <w:p>
      <w:pPr>
        <w:jc w:val="center"/>
        <w:ind w:right="1620"/>
        <w:spacing w:after="0"/>
        <w:rPr>
          <w:sz w:val="20"/>
          <w:szCs w:val="20"/>
          <w:color w:val="auto"/>
        </w:rPr>
      </w:pPr>
      <w:r>
        <w:rPr>
          <w:rFonts w:ascii="Arial" w:cs="Arial" w:eastAsia="Arial" w:hAnsi="Arial"/>
          <w:sz w:val="19"/>
          <w:szCs w:val="19"/>
          <w:color w:val="auto"/>
        </w:rPr>
        <w:t>[NAME OF ELIGIBLE</w:t>
      </w:r>
    </w:p>
    <w:p>
      <w:pPr>
        <w:jc w:val="center"/>
        <w:ind w:right="1620"/>
        <w:spacing w:after="0"/>
        <w:rPr>
          <w:sz w:val="20"/>
          <w:szCs w:val="20"/>
          <w:color w:val="auto"/>
        </w:rPr>
      </w:pPr>
      <w:r>
        <w:rPr>
          <w:rFonts w:ascii="Arial" w:cs="Arial" w:eastAsia="Arial" w:hAnsi="Arial"/>
          <w:sz w:val="19"/>
          <w:szCs w:val="19"/>
          <w:color w:val="auto"/>
        </w:rPr>
        <w:t>SUBSIDIARY]</w:t>
      </w: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15240</wp:posOffset>
            </wp:positionV>
            <wp:extent cx="18427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325"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The undersigned hereby confirms that the status of [name of Eligible Subsidiary] as an Eligible Subsidiary for purposes of the Credit Agreement described above is terminated as of the date hereof.</w:t>
      </w:r>
    </w:p>
    <w:p>
      <w:pPr>
        <w:spacing w:after="0" w:line="209"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CAMPBELL SOUP COMPANY</w:t>
      </w:r>
    </w:p>
    <w:p>
      <w:pPr>
        <w:spacing w:after="0" w:line="232"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15240</wp:posOffset>
            </wp:positionV>
            <wp:extent cx="1834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color w:val="auto"/>
        </w:rPr>
        <w:t>Receipt of the above Election to Terminate is hereby acknowledged on and as of the date set forth above.</w:t>
      </w:r>
    </w:p>
    <w:p>
      <w:pPr>
        <w:spacing w:after="0" w:line="242"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JPMORGAN CHASE BANK, N.A.,</w:t>
      </w:r>
    </w:p>
    <w:p>
      <w:pPr>
        <w:ind w:left="4200"/>
        <w:spacing w:after="0"/>
        <w:rPr>
          <w:sz w:val="20"/>
          <w:szCs w:val="20"/>
          <w:color w:val="auto"/>
        </w:rPr>
      </w:pPr>
      <w:r>
        <w:rPr>
          <w:rFonts w:ascii="Arial" w:cs="Arial" w:eastAsia="Arial" w:hAnsi="Arial"/>
          <w:sz w:val="19"/>
          <w:szCs w:val="19"/>
          <w:color w:val="auto"/>
        </w:rPr>
        <w:t>as Administrative Agent</w:t>
      </w:r>
    </w:p>
    <w:p>
      <w:pPr>
        <w:spacing w:after="0" w:line="216"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23495</wp:posOffset>
            </wp:positionV>
            <wp:extent cx="18427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9"/>
          <w:szCs w:val="19"/>
          <w:b w:val="1"/>
          <w:bCs w:val="1"/>
          <w:color w:val="auto"/>
        </w:rPr>
        <w:t>EXHIBIT D</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ASSIGNMENT AND ASSUMPTION AGREEMENT</w:t>
      </w:r>
    </w:p>
    <w:p>
      <w:pPr>
        <w:spacing w:after="0" w:line="198" w:lineRule="exact"/>
        <w:rPr>
          <w:sz w:val="20"/>
          <w:szCs w:val="20"/>
          <w:color w:val="auto"/>
        </w:rPr>
      </w:pPr>
    </w:p>
    <w:p>
      <w:pPr>
        <w:jc w:val="both"/>
        <w:ind w:firstLine="1272"/>
        <w:spacing w:after="0" w:line="203" w:lineRule="auto"/>
        <w:rPr>
          <w:sz w:val="20"/>
          <w:szCs w:val="20"/>
          <w:color w:val="auto"/>
        </w:rPr>
      </w:pPr>
      <w:r>
        <w:rPr>
          <w:rFonts w:ascii="Arial" w:cs="Arial" w:eastAsia="Arial" w:hAnsi="Arial"/>
          <w:sz w:val="18"/>
          <w:szCs w:val="18"/>
          <w:color w:val="auto"/>
        </w:rPr>
        <w:t>This Assignment and Assumption Agreement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[the][each]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Assignor identified in item 1 below ([the][each, an] “ </w:t>
      </w:r>
      <w:r>
        <w:rPr>
          <w:rFonts w:ascii="Arial" w:cs="Arial" w:eastAsia="Arial" w:hAnsi="Arial"/>
          <w:sz w:val="18"/>
          <w:szCs w:val="18"/>
          <w:u w:val="single" w:color="auto"/>
          <w:color w:val="auto"/>
        </w:rPr>
        <w:t>Assignor</w:t>
      </w:r>
      <w:r>
        <w:rPr>
          <w:rFonts w:ascii="Arial" w:cs="Arial" w:eastAsia="Arial" w:hAnsi="Arial"/>
          <w:sz w:val="18"/>
          <w:szCs w:val="18"/>
          <w:color w:val="auto"/>
        </w:rPr>
        <w:t>”) and [the][each]</w:t>
      </w:r>
      <w:r>
        <w:rPr>
          <w:rFonts w:ascii="Arial" w:cs="Arial" w:eastAsia="Arial" w:hAnsi="Arial"/>
          <w:sz w:val="23"/>
          <w:szCs w:val="23"/>
          <w:color w:val="auto"/>
          <w:vertAlign w:val="superscript"/>
        </w:rPr>
        <w:t>3</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7"/>
          <w:szCs w:val="17"/>
          <w:color w:val="auto"/>
        </w:rPr>
        <w:t>Assignee identified in item 2 below ([the][each, an]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Assignors] [the Assignees]</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hereunder are several and not joint.]</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Capitalized terms used but not defined herein shall have the meanings given to them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identified below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[the][each]</w:t>
      </w:r>
    </w:p>
    <w:p>
      <w:pPr>
        <w:spacing w:after="0" w:line="3"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For an agreed consideration, [the][each] Assignor hereby irrevocably sells and assigns to [the Assignee][the respective</w:t>
      </w:r>
    </w:p>
    <w:p>
      <w:pPr>
        <w:jc w:val="both"/>
        <w:spacing w:after="0" w:line="235" w:lineRule="auto"/>
        <w:rPr>
          <w:sz w:val="20"/>
          <w:szCs w:val="20"/>
          <w:color w:val="auto"/>
        </w:rPr>
      </w:pPr>
      <w:r>
        <w:rPr>
          <w:rFonts w:ascii="Arial" w:cs="Arial" w:eastAsia="Arial" w:hAnsi="Arial"/>
          <w:sz w:val="17"/>
          <w:szCs w:val="17"/>
          <w:color w:val="auto"/>
        </w:rPr>
        <w:t>Assignees], and [the][each] Assignee hereby irrevocably purchases and assumes from [the Assignor][the respective Assignors], subject to and in accordance with the Standard Terms and Conditions and the Credit Agreement, as of the Effective Date inserted by the Administrative Agent as</w:t>
      </w:r>
    </w:p>
    <w:p>
      <w:pPr>
        <w:spacing w:after="0" w:line="232" w:lineRule="auto"/>
        <w:rPr>
          <w:sz w:val="20"/>
          <w:szCs w:val="20"/>
          <w:color w:val="auto"/>
        </w:rPr>
      </w:pPr>
      <w:r>
        <w:rPr>
          <w:rFonts w:ascii="Arial" w:cs="Arial" w:eastAsia="Arial" w:hAnsi="Arial"/>
          <w:sz w:val="18"/>
          <w:szCs w:val="18"/>
          <w:color w:val="auto"/>
        </w:rPr>
        <w:t>contemplated below (i) all of [the Assignor’s][the respective Assignors’] rights and obligations in [its capacity as a Lender][their respective</w:t>
      </w:r>
    </w:p>
    <w:p>
      <w:pPr>
        <w:jc w:val="both"/>
        <w:spacing w:after="0" w:line="235" w:lineRule="auto"/>
        <w:rPr>
          <w:sz w:val="20"/>
          <w:szCs w:val="20"/>
          <w:color w:val="auto"/>
        </w:rPr>
      </w:pPr>
      <w:r>
        <w:rPr>
          <w:rFonts w:ascii="Arial" w:cs="Arial" w:eastAsia="Arial" w:hAnsi="Arial"/>
          <w:sz w:val="17"/>
          <w:szCs w:val="17"/>
          <w:color w:val="auto"/>
        </w:rPr>
        <w:t>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w:t>
      </w:r>
    </w:p>
    <w:p>
      <w:pPr>
        <w:spacing w:after="0" w:line="232" w:lineRule="auto"/>
        <w:rPr>
          <w:sz w:val="20"/>
          <w:szCs w:val="20"/>
          <w:color w:val="auto"/>
        </w:rPr>
      </w:pPr>
      <w:r>
        <w:rPr>
          <w:rFonts w:ascii="Arial" w:cs="Arial" w:eastAsia="Arial" w:hAnsi="Arial"/>
          <w:sz w:val="18"/>
          <w:szCs w:val="18"/>
          <w:color w:val="auto"/>
        </w:rPr>
        <w:t>under the respective facilities identified below (including without limitation any letters of credit, guarantees, and swingline loans included in</w:t>
      </w:r>
    </w:p>
    <w:p>
      <w:pPr>
        <w:jc w:val="both"/>
        <w:spacing w:after="0" w:line="235" w:lineRule="auto"/>
        <w:rPr>
          <w:sz w:val="20"/>
          <w:szCs w:val="20"/>
          <w:color w:val="auto"/>
        </w:rPr>
      </w:pPr>
      <w:r>
        <w:rPr>
          <w:rFonts w:ascii="Arial" w:cs="Arial" w:eastAsia="Arial" w:hAnsi="Arial"/>
          <w:sz w:val="17"/>
          <w:szCs w:val="17"/>
          <w:color w:val="auto"/>
        </w:rPr>
        <w:t>such facilities), and (ii) to the extent permitted to be assigned under applicable law, all claims, suits, causes of action and any other right of [the Assignor (in its capacity as a Lender)][the respective Assignors (in their respective capacities as Lenders)] against any Person, whether known</w:t>
      </w:r>
    </w:p>
    <w:p>
      <w:pPr>
        <w:spacing w:after="0" w:line="232" w:lineRule="auto"/>
        <w:rPr>
          <w:sz w:val="20"/>
          <w:szCs w:val="20"/>
          <w:color w:val="auto"/>
        </w:rPr>
      </w:pPr>
      <w:r>
        <w:rPr>
          <w:rFonts w:ascii="Arial" w:cs="Arial" w:eastAsia="Arial" w:hAnsi="Arial"/>
          <w:sz w:val="18"/>
          <w:szCs w:val="18"/>
          <w:color w:val="auto"/>
        </w:rPr>
        <w:t>or unknown, arising under or in connection with the Credit Agreement, any other documents or instruments delivered pursuant thereto or the</w:t>
      </w:r>
    </w:p>
    <w:p>
      <w:pPr>
        <w:jc w:val="both"/>
        <w:spacing w:after="0" w:line="222" w:lineRule="auto"/>
        <w:rPr>
          <w:sz w:val="20"/>
          <w:szCs w:val="20"/>
          <w:color w:val="auto"/>
        </w:rPr>
      </w:pPr>
      <w:r>
        <w:rPr>
          <w:rFonts w:ascii="Arial" w:cs="Arial" w:eastAsia="Arial" w:hAnsi="Arial"/>
          <w:sz w:val="18"/>
          <w:szCs w:val="18"/>
          <w:color w:val="auto"/>
        </w:rPr>
        <w:t>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w:t>
      </w:r>
    </w:p>
    <w:p>
      <w:pPr>
        <w:spacing w:after="0" w:line="231" w:lineRule="auto"/>
        <w:rPr>
          <w:sz w:val="20"/>
          <w:szCs w:val="20"/>
          <w:color w:val="auto"/>
        </w:rPr>
      </w:pPr>
      <w:r>
        <w:rPr>
          <w:rFonts w:ascii="Arial" w:cs="Arial" w:eastAsia="Arial" w:hAnsi="Arial"/>
          <w:sz w:val="18"/>
          <w:szCs w:val="18"/>
          <w:color w:val="auto"/>
        </w:rPr>
        <w:t>pursuant to clause (i) above (the rights and obligations sold and assigned by [the][any] Assignor to [the][any] Assignee pursuant to clauses (i)</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and (ii) above being referred to herein collectively as [the][an]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 [any] Assignor and, except as expressly provided in this Assignment and Assumption, without representation or warranty by [the][any]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Assignor.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 w:type="dxa"/>
            <w:vAlign w:val="bottom"/>
          </w:tcPr>
          <w:p>
            <w:pPr>
              <w:jc w:val="right"/>
              <w:spacing w:after="0"/>
              <w:rPr>
                <w:sz w:val="20"/>
                <w:szCs w:val="20"/>
                <w:color w:val="auto"/>
              </w:rPr>
            </w:pPr>
            <w:r>
              <w:rPr>
                <w:rFonts w:ascii="Arial" w:cs="Arial" w:eastAsia="Arial" w:hAnsi="Arial"/>
                <w:sz w:val="19"/>
                <w:szCs w:val="19"/>
                <w:color w:val="auto"/>
                <w:w w:val="88"/>
              </w:rPr>
              <w:t>1.</w:t>
            </w:r>
          </w:p>
        </w:tc>
        <w:tc>
          <w:tcPr>
            <w:tcW w:w="1340" w:type="dxa"/>
            <w:vAlign w:val="bottom"/>
          </w:tcPr>
          <w:p>
            <w:pPr>
              <w:ind w:left="160"/>
              <w:spacing w:after="0"/>
              <w:rPr>
                <w:sz w:val="20"/>
                <w:szCs w:val="20"/>
                <w:color w:val="auto"/>
              </w:rPr>
            </w:pPr>
            <w:r>
              <w:rPr>
                <w:rFonts w:ascii="Arial" w:cs="Arial" w:eastAsia="Arial" w:hAnsi="Arial"/>
                <w:sz w:val="19"/>
                <w:szCs w:val="19"/>
                <w:color w:val="auto"/>
              </w:rPr>
              <w:t>Assignor[s]:</w:t>
            </w:r>
          </w:p>
        </w:tc>
        <w:tc>
          <w:tcPr>
            <w:tcW w:w="7440" w:type="dxa"/>
            <w:vAlign w:val="bottom"/>
          </w:tcPr>
          <w:p>
            <w:pPr>
              <w:ind w:left="180"/>
              <w:spacing w:after="0"/>
              <w:rPr>
                <w:sz w:val="20"/>
                <w:szCs w:val="20"/>
                <w:color w:val="auto"/>
              </w:rPr>
            </w:pPr>
            <w:r>
              <w:rPr>
                <w:rFonts w:ascii="Arial" w:cs="Arial" w:eastAsia="Arial" w:hAnsi="Arial"/>
                <w:sz w:val="19"/>
                <w:szCs w:val="19"/>
                <w:color w:val="auto"/>
              </w:rPr>
              <w:t>________________________________</w:t>
            </w:r>
          </w:p>
        </w:tc>
      </w:tr>
      <w:tr>
        <w:trPr>
          <w:trHeight w:val="424"/>
        </w:trPr>
        <w:tc>
          <w:tcPr>
            <w:tcW w:w="180" w:type="dxa"/>
            <w:vAlign w:val="bottom"/>
          </w:tcPr>
          <w:p>
            <w:pPr>
              <w:spacing w:after="0"/>
              <w:rPr>
                <w:sz w:val="24"/>
                <w:szCs w:val="24"/>
                <w:color w:val="auto"/>
              </w:rPr>
            </w:pPr>
          </w:p>
        </w:tc>
        <w:tc>
          <w:tcPr>
            <w:tcW w:w="8780" w:type="dxa"/>
            <w:vAlign w:val="bottom"/>
            <w:gridSpan w:val="2"/>
          </w:tcPr>
          <w:p>
            <w:pPr>
              <w:ind w:left="600"/>
              <w:spacing w:after="0"/>
              <w:rPr>
                <w:sz w:val="20"/>
                <w:szCs w:val="20"/>
                <w:color w:val="auto"/>
              </w:rPr>
            </w:pPr>
            <w:r>
              <w:rPr>
                <w:rFonts w:ascii="Arial" w:cs="Arial" w:eastAsia="Arial" w:hAnsi="Arial"/>
                <w:sz w:val="19"/>
                <w:szCs w:val="19"/>
                <w:color w:val="auto"/>
              </w:rPr>
              <w:t>______________________________</w:t>
            </w:r>
          </w:p>
        </w:tc>
      </w:tr>
      <w:tr>
        <w:trPr>
          <w:trHeight w:val="636"/>
        </w:trPr>
        <w:tc>
          <w:tcPr>
            <w:tcW w:w="180" w:type="dxa"/>
            <w:vAlign w:val="bottom"/>
          </w:tcPr>
          <w:p>
            <w:pPr>
              <w:jc w:val="right"/>
              <w:spacing w:after="0"/>
              <w:rPr>
                <w:sz w:val="20"/>
                <w:szCs w:val="20"/>
                <w:color w:val="auto"/>
              </w:rPr>
            </w:pPr>
            <w:r>
              <w:rPr>
                <w:rFonts w:ascii="Arial" w:cs="Arial" w:eastAsia="Arial" w:hAnsi="Arial"/>
                <w:sz w:val="19"/>
                <w:szCs w:val="19"/>
                <w:color w:val="auto"/>
                <w:w w:val="88"/>
              </w:rPr>
              <w:t>2.</w:t>
            </w:r>
          </w:p>
        </w:tc>
        <w:tc>
          <w:tcPr>
            <w:tcW w:w="1340" w:type="dxa"/>
            <w:vAlign w:val="bottom"/>
          </w:tcPr>
          <w:p>
            <w:pPr>
              <w:ind w:left="160"/>
              <w:spacing w:after="0"/>
              <w:rPr>
                <w:sz w:val="20"/>
                <w:szCs w:val="20"/>
                <w:color w:val="auto"/>
              </w:rPr>
            </w:pPr>
            <w:r>
              <w:rPr>
                <w:rFonts w:ascii="Arial" w:cs="Arial" w:eastAsia="Arial" w:hAnsi="Arial"/>
                <w:sz w:val="19"/>
                <w:szCs w:val="19"/>
                <w:color w:val="auto"/>
              </w:rPr>
              <w:t>Assignee[s]:</w:t>
            </w:r>
          </w:p>
        </w:tc>
        <w:tc>
          <w:tcPr>
            <w:tcW w:w="7440" w:type="dxa"/>
            <w:vAlign w:val="bottom"/>
          </w:tcPr>
          <w:p>
            <w:pPr>
              <w:ind w:left="180"/>
              <w:spacing w:after="0"/>
              <w:rPr>
                <w:sz w:val="20"/>
                <w:szCs w:val="20"/>
                <w:color w:val="auto"/>
              </w:rPr>
            </w:pPr>
            <w:r>
              <w:rPr>
                <w:rFonts w:ascii="Arial" w:cs="Arial" w:eastAsia="Arial" w:hAnsi="Arial"/>
                <w:sz w:val="19"/>
                <w:szCs w:val="19"/>
                <w:color w:val="auto"/>
              </w:rPr>
              <w:t>______________________________</w:t>
            </w:r>
          </w:p>
        </w:tc>
      </w:tr>
      <w:tr>
        <w:trPr>
          <w:trHeight w:val="376"/>
        </w:trPr>
        <w:tc>
          <w:tcPr>
            <w:tcW w:w="180" w:type="dxa"/>
            <w:vAlign w:val="bottom"/>
          </w:tcPr>
          <w:p>
            <w:pPr>
              <w:spacing w:after="0"/>
              <w:rPr>
                <w:sz w:val="24"/>
                <w:szCs w:val="24"/>
                <w:color w:val="auto"/>
              </w:rPr>
            </w:pPr>
          </w:p>
        </w:tc>
        <w:tc>
          <w:tcPr>
            <w:tcW w:w="8780" w:type="dxa"/>
            <w:vAlign w:val="bottom"/>
            <w:gridSpan w:val="2"/>
          </w:tcPr>
          <w:p>
            <w:pPr>
              <w:ind w:left="600"/>
              <w:spacing w:after="0"/>
              <w:rPr>
                <w:sz w:val="20"/>
                <w:szCs w:val="20"/>
                <w:color w:val="auto"/>
              </w:rPr>
            </w:pPr>
            <w:r>
              <w:rPr>
                <w:rFonts w:ascii="Arial" w:cs="Arial" w:eastAsia="Arial" w:hAnsi="Arial"/>
                <w:sz w:val="19"/>
                <w:szCs w:val="19"/>
                <w:color w:val="auto"/>
              </w:rPr>
              <w:t>______________________________</w:t>
            </w:r>
          </w:p>
        </w:tc>
      </w:tr>
      <w:tr>
        <w:trPr>
          <w:trHeight w:val="247"/>
        </w:trPr>
        <w:tc>
          <w:tcPr>
            <w:tcW w:w="18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9"/>
                <w:szCs w:val="19"/>
                <w:color w:val="auto"/>
              </w:rPr>
              <w:t>[Assignee is an [affiliate][Approved Fund] of [</w:t>
            </w:r>
            <w:r>
              <w:rPr>
                <w:rFonts w:ascii="Arial" w:cs="Arial" w:eastAsia="Arial" w:hAnsi="Arial"/>
                <w:sz w:val="19"/>
                <w:szCs w:val="19"/>
                <w:i w:val="1"/>
                <w:iCs w:val="1"/>
                <w:color w:val="auto"/>
              </w:rPr>
              <w:t>identify Lender</w:t>
            </w:r>
            <w:r>
              <w:rPr>
                <w:rFonts w:ascii="Arial" w:cs="Arial" w:eastAsia="Arial" w:hAnsi="Arial"/>
                <w:sz w:val="19"/>
                <w:szCs w:val="19"/>
                <w:color w:val="auto"/>
              </w:rPr>
              <w:t>]</w:t>
            </w:r>
          </w:p>
        </w:tc>
      </w:tr>
      <w:tr>
        <w:trPr>
          <w:trHeight w:val="507"/>
        </w:trPr>
        <w:tc>
          <w:tcPr>
            <w:tcW w:w="180" w:type="dxa"/>
            <w:vAlign w:val="bottom"/>
          </w:tcPr>
          <w:p>
            <w:pPr>
              <w:jc w:val="right"/>
              <w:spacing w:after="0"/>
              <w:rPr>
                <w:sz w:val="20"/>
                <w:szCs w:val="20"/>
                <w:color w:val="auto"/>
              </w:rPr>
            </w:pPr>
            <w:r>
              <w:rPr>
                <w:rFonts w:ascii="Arial" w:cs="Arial" w:eastAsia="Arial" w:hAnsi="Arial"/>
                <w:sz w:val="19"/>
                <w:szCs w:val="19"/>
                <w:color w:val="auto"/>
                <w:w w:val="88"/>
              </w:rPr>
              <w:t>3.</w:t>
            </w:r>
          </w:p>
        </w:tc>
        <w:tc>
          <w:tcPr>
            <w:tcW w:w="1340" w:type="dxa"/>
            <w:vAlign w:val="bottom"/>
          </w:tcPr>
          <w:p>
            <w:pPr>
              <w:ind w:left="160"/>
              <w:spacing w:after="0"/>
              <w:rPr>
                <w:sz w:val="20"/>
                <w:szCs w:val="20"/>
                <w:color w:val="auto"/>
              </w:rPr>
            </w:pPr>
            <w:r>
              <w:rPr>
                <w:rFonts w:ascii="Arial" w:cs="Arial" w:eastAsia="Arial" w:hAnsi="Arial"/>
                <w:sz w:val="19"/>
                <w:szCs w:val="19"/>
                <w:color w:val="auto"/>
              </w:rPr>
              <w:t>Borrower(s):</w:t>
            </w:r>
          </w:p>
        </w:tc>
        <w:tc>
          <w:tcPr>
            <w:tcW w:w="7440" w:type="dxa"/>
            <w:vAlign w:val="bottom"/>
          </w:tcPr>
          <w:p>
            <w:pPr>
              <w:ind w:left="220"/>
              <w:spacing w:after="0"/>
              <w:rPr>
                <w:sz w:val="20"/>
                <w:szCs w:val="20"/>
                <w:color w:val="auto"/>
              </w:rPr>
            </w:pPr>
            <w:r>
              <w:rPr>
                <w:rFonts w:ascii="Arial" w:cs="Arial" w:eastAsia="Arial" w:hAnsi="Arial"/>
                <w:sz w:val="19"/>
                <w:szCs w:val="19"/>
                <w:color w:val="auto"/>
              </w:rPr>
              <w:t>[Campbell Soup Company]</w:t>
            </w:r>
            <w:r>
              <w:rPr>
                <w:rFonts w:ascii="Arial" w:cs="Arial" w:eastAsia="Arial" w:hAnsi="Arial"/>
                <w:sz w:val="25"/>
                <w:szCs w:val="25"/>
                <w:color w:val="auto"/>
                <w:vertAlign w:val="superscript"/>
              </w:rPr>
              <w:t>6</w:t>
            </w:r>
          </w:p>
        </w:tc>
      </w:tr>
      <w:tr>
        <w:trPr>
          <w:trHeight w:val="355"/>
        </w:trPr>
        <w:tc>
          <w:tcPr>
            <w:tcW w:w="180" w:type="dxa"/>
            <w:vAlign w:val="bottom"/>
          </w:tcPr>
          <w:p>
            <w:pPr>
              <w:jc w:val="right"/>
              <w:spacing w:after="0"/>
              <w:rPr>
                <w:sz w:val="20"/>
                <w:szCs w:val="20"/>
                <w:color w:val="auto"/>
              </w:rPr>
            </w:pPr>
            <w:r>
              <w:rPr>
                <w:rFonts w:ascii="Arial" w:cs="Arial" w:eastAsia="Arial" w:hAnsi="Arial"/>
                <w:sz w:val="19"/>
                <w:szCs w:val="19"/>
                <w:color w:val="auto"/>
                <w:w w:val="88"/>
              </w:rPr>
              <w:t>4.</w:t>
            </w:r>
          </w:p>
        </w:tc>
        <w:tc>
          <w:tcPr>
            <w:tcW w:w="8780" w:type="dxa"/>
            <w:vAlign w:val="bottom"/>
            <w:gridSpan w:val="2"/>
          </w:tcPr>
          <w:p>
            <w:pPr>
              <w:ind w:left="160"/>
              <w:spacing w:after="0"/>
              <w:rPr>
                <w:sz w:val="20"/>
                <w:szCs w:val="20"/>
                <w:color w:val="auto"/>
              </w:rPr>
            </w:pPr>
            <w:r>
              <w:rPr>
                <w:rFonts w:ascii="Arial" w:cs="Arial" w:eastAsia="Arial" w:hAnsi="Arial"/>
                <w:sz w:val="19"/>
                <w:szCs w:val="19"/>
                <w:color w:val="auto"/>
                <w:w w:val="93"/>
              </w:rPr>
              <w:t>Administrative Agent:   JPMorgan Chase Bank, N.A., as the administrative agent under the Credit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249555</wp:posOffset>
            </wp:positionV>
            <wp:extent cx="16827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20" w:firstLine="642"/>
        <w:spacing w:after="0" w:line="201" w:lineRule="auto"/>
        <w:tabs>
          <w:tab w:leader="none" w:pos="737" w:val="left"/>
        </w:tabs>
        <w:numPr>
          <w:ilvl w:val="0"/>
          <w:numId w:val="158"/>
        </w:numPr>
        <w:rPr>
          <w:rFonts w:ascii="Arial" w:cs="Arial" w:eastAsia="Arial" w:hAnsi="Arial"/>
          <w:sz w:val="23"/>
          <w:szCs w:val="23"/>
          <w:color w:val="auto"/>
          <w:vertAlign w:val="superscript"/>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35" w:lineRule="exact"/>
        <w:rPr>
          <w:sz w:val="20"/>
          <w:szCs w:val="20"/>
          <w:color w:val="auto"/>
        </w:rPr>
      </w:pPr>
    </w:p>
    <w:p>
      <w:pPr>
        <w:ind w:right="600" w:firstLine="642"/>
        <w:spacing w:after="0" w:line="201" w:lineRule="auto"/>
        <w:tabs>
          <w:tab w:leader="none" w:pos="737"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94" w:lineRule="exact"/>
        <w:rPr>
          <w:sz w:val="20"/>
          <w:szCs w:val="20"/>
          <w:color w:val="auto"/>
        </w:rPr>
      </w:pPr>
    </w:p>
    <w:p>
      <w:pPr>
        <w:ind w:left="740" w:hanging="98"/>
        <w:spacing w:after="0"/>
        <w:tabs>
          <w:tab w:leader="none" w:pos="740" w:val="left"/>
        </w:tabs>
        <w:numPr>
          <w:ilvl w:val="0"/>
          <w:numId w:val="160"/>
        </w:numPr>
        <w:rPr>
          <w:rFonts w:ascii="Arial" w:cs="Arial" w:eastAsia="Arial" w:hAnsi="Arial"/>
          <w:sz w:val="23"/>
          <w:szCs w:val="23"/>
          <w:color w:val="auto"/>
          <w:vertAlign w:val="superscript"/>
        </w:rPr>
      </w:pPr>
      <w:r>
        <w:rPr>
          <w:rFonts w:ascii="Arial" w:cs="Arial" w:eastAsia="Arial" w:hAnsi="Arial"/>
          <w:sz w:val="18"/>
          <w:szCs w:val="18"/>
          <w:color w:val="auto"/>
        </w:rPr>
        <w:t>Select as appropriate.</w:t>
      </w:r>
    </w:p>
    <w:p>
      <w:pPr>
        <w:spacing w:after="0" w:line="80" w:lineRule="exact"/>
        <w:rPr>
          <w:sz w:val="20"/>
          <w:szCs w:val="20"/>
          <w:color w:val="auto"/>
        </w:rPr>
      </w:pPr>
    </w:p>
    <w:p>
      <w:pPr>
        <w:ind w:left="740" w:hanging="98"/>
        <w:spacing w:after="0"/>
        <w:tabs>
          <w:tab w:leader="none" w:pos="740" w:val="left"/>
        </w:tabs>
        <w:numPr>
          <w:ilvl w:val="0"/>
          <w:numId w:val="161"/>
        </w:numPr>
        <w:rPr>
          <w:rFonts w:ascii="Arial" w:cs="Arial" w:eastAsia="Arial" w:hAnsi="Arial"/>
          <w:sz w:val="23"/>
          <w:szCs w:val="23"/>
          <w:color w:val="auto"/>
          <w:vertAlign w:val="superscript"/>
        </w:rPr>
      </w:pPr>
      <w:r>
        <w:rPr>
          <w:rFonts w:ascii="Arial" w:cs="Arial" w:eastAsia="Arial" w:hAnsi="Arial"/>
          <w:sz w:val="18"/>
          <w:szCs w:val="18"/>
          <w:color w:val="auto"/>
        </w:rPr>
        <w:t>Include bracketed language if there are either multiple Assignors or multiple Assignees.</w:t>
      </w:r>
    </w:p>
    <w:p>
      <w:pPr>
        <w:spacing w:after="0" w:line="93" w:lineRule="exact"/>
        <w:rPr>
          <w:sz w:val="20"/>
          <w:szCs w:val="20"/>
          <w:color w:val="auto"/>
        </w:rPr>
      </w:pPr>
    </w:p>
    <w:p>
      <w:pPr>
        <w:ind w:left="740" w:hanging="98"/>
        <w:spacing w:after="0"/>
        <w:tabs>
          <w:tab w:leader="none" w:pos="740" w:val="left"/>
        </w:tabs>
        <w:numPr>
          <w:ilvl w:val="0"/>
          <w:numId w:val="162"/>
        </w:numPr>
        <w:rPr>
          <w:rFonts w:ascii="Arial" w:cs="Arial" w:eastAsia="Arial" w:hAnsi="Arial"/>
          <w:sz w:val="23"/>
          <w:szCs w:val="23"/>
          <w:color w:val="auto"/>
          <w:vertAlign w:val="superscript"/>
        </w:rPr>
      </w:pPr>
      <w:r>
        <w:rPr>
          <w:rFonts w:ascii="Arial" w:cs="Arial" w:eastAsia="Arial" w:hAnsi="Arial"/>
          <w:sz w:val="18"/>
          <w:szCs w:val="18"/>
          <w:color w:val="auto"/>
        </w:rPr>
        <w:t>Update for Eligible Subsidiaries designated as Borrowers,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991" w:right="339" w:bottom="1440" w:gutter="0" w:footer="0" w:header="0"/>
        </w:sectPr>
      </w:pPr>
    </w:p>
    <w:bookmarkStart w:id="149" w:name="page150"/>
    <w:bookmarkEnd w:id="149"/>
    <w:p>
      <w:pPr>
        <w:ind w:left="2560" w:hanging="2554"/>
        <w:spacing w:after="0" w:line="227" w:lineRule="auto"/>
        <w:tabs>
          <w:tab w:leader="none" w:pos="46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Credit Agreement: The Five-Year Credit Agreement dated as of September 27, 2021 (as amended, restated, amended and restated, supplemented or otherwise modified from time to time) among Campbell Soup Company, a New Jersey corporation, the Eligible Subsidiaries referred to therein, the Lenders from time to time party thereto and JPMorgan Chase Bank, N.A., as Administrative Agent</w:t>
      </w:r>
    </w:p>
    <w:p>
      <w:pPr>
        <w:spacing w:after="0" w:line="193" w:lineRule="exact"/>
        <w:rPr>
          <w:rFonts w:ascii="Arial" w:cs="Arial" w:eastAsia="Arial" w:hAnsi="Arial"/>
          <w:sz w:val="19"/>
          <w:szCs w:val="19"/>
          <w:color w:val="auto"/>
        </w:rPr>
      </w:pPr>
    </w:p>
    <w:p>
      <w:pPr>
        <w:ind w:left="380" w:hanging="374"/>
        <w:spacing w:after="0"/>
        <w:tabs>
          <w:tab w:leader="none" w:pos="38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Assigned Interest[s]: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 w:type="dxa"/>
            <w:vAlign w:val="bottom"/>
            <w:tcBorders>
              <w:right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360" w:type="dxa"/>
            <w:vAlign w:val="bottom"/>
            <w:tcBorders>
              <w:top w:val="single" w:sz="8" w:color="auto"/>
              <w:right w:val="single" w:sz="8" w:color="auto"/>
            </w:tcBorders>
          </w:tcPr>
          <w:p>
            <w:pPr>
              <w:spacing w:after="0"/>
              <w:rPr>
                <w:sz w:val="21"/>
                <w:szCs w:val="21"/>
                <w:color w:val="auto"/>
              </w:rPr>
            </w:pPr>
          </w:p>
        </w:tc>
        <w:tc>
          <w:tcPr>
            <w:tcW w:w="1840" w:type="dxa"/>
            <w:vAlign w:val="bottom"/>
            <w:tcBorders>
              <w:top w:val="single" w:sz="8" w:color="auto"/>
              <w:right w:val="single" w:sz="8" w:color="auto"/>
            </w:tcBorders>
          </w:tcPr>
          <w:p>
            <w:pPr>
              <w:spacing w:after="0"/>
              <w:rPr>
                <w:sz w:val="21"/>
                <w:szCs w:val="21"/>
                <w:color w:val="auto"/>
              </w:rPr>
            </w:pPr>
          </w:p>
        </w:tc>
        <w:tc>
          <w:tcPr>
            <w:tcW w:w="18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9"/>
                <w:szCs w:val="19"/>
                <w:color w:val="auto"/>
                <w:w w:val="96"/>
              </w:rPr>
              <w:t>Aggregate Amount of</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Amount of</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Percentage Assigned</w:t>
            </w:r>
          </w:p>
        </w:tc>
        <w:tc>
          <w:tcPr>
            <w:tcW w:w="1840" w:type="dxa"/>
            <w:vAlign w:val="bottom"/>
            <w:tcBorders>
              <w:top w:val="single" w:sz="8" w:color="auto"/>
              <w:right w:val="single" w:sz="8" w:color="auto"/>
            </w:tcBorders>
          </w:tcPr>
          <w:p>
            <w:pPr>
              <w:spacing w:after="0"/>
              <w:rPr>
                <w:sz w:val="21"/>
                <w:szCs w:val="21"/>
                <w:color w:val="auto"/>
              </w:rPr>
            </w:pPr>
          </w:p>
        </w:tc>
      </w:tr>
      <w:tr>
        <w:trPr>
          <w:trHeight w:val="186"/>
        </w:trPr>
        <w:tc>
          <w:tcPr>
            <w:tcW w:w="120" w:type="dxa"/>
            <w:vAlign w:val="bottom"/>
            <w:tcBorders>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ind w:left="140"/>
              <w:spacing w:after="0" w:line="185" w:lineRule="exact"/>
              <w:rPr>
                <w:sz w:val="20"/>
                <w:szCs w:val="20"/>
                <w:color w:val="auto"/>
              </w:rPr>
            </w:pPr>
            <w:r>
              <w:rPr>
                <w:rFonts w:ascii="Arial" w:cs="Arial" w:eastAsia="Arial" w:hAnsi="Arial"/>
                <w:sz w:val="19"/>
                <w:szCs w:val="19"/>
                <w:color w:val="auto"/>
              </w:rPr>
              <w:t>Commitment/Loans</w:t>
            </w:r>
          </w:p>
        </w:tc>
        <w:tc>
          <w:tcPr>
            <w:tcW w:w="188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3"/>
              </w:rPr>
              <w:t>Commitment/Loans</w:t>
            </w:r>
          </w:p>
        </w:tc>
        <w:tc>
          <w:tcPr>
            <w:tcW w:w="18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6"/>
              </w:rPr>
              <w:t>of Commitment/</w:t>
            </w:r>
          </w:p>
        </w:tc>
        <w:tc>
          <w:tcPr>
            <w:tcW w:w="1840" w:type="dxa"/>
            <w:vAlign w:val="bottom"/>
            <w:tcBorders>
              <w:right w:val="single" w:sz="8" w:color="auto"/>
            </w:tcBorders>
          </w:tcPr>
          <w:p>
            <w:pPr>
              <w:spacing w:after="0"/>
              <w:rPr>
                <w:sz w:val="16"/>
                <w:szCs w:val="16"/>
                <w:color w:val="auto"/>
              </w:rPr>
            </w:pPr>
          </w:p>
        </w:tc>
      </w:tr>
      <w:tr>
        <w:trPr>
          <w:trHeight w:val="292"/>
        </w:trPr>
        <w:tc>
          <w:tcPr>
            <w:tcW w:w="12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9"/>
                <w:szCs w:val="19"/>
                <w:color w:val="auto"/>
              </w:rPr>
              <w:t>Assignor[s]</w:t>
            </w:r>
            <w:r>
              <w:rPr>
                <w:rFonts w:ascii="Arial" w:cs="Arial" w:eastAsia="Arial" w:hAnsi="Arial"/>
                <w:sz w:val="25"/>
                <w:szCs w:val="25"/>
                <w:color w:val="auto"/>
                <w:vertAlign w:val="superscript"/>
              </w:rPr>
              <w:t>7</w:t>
            </w:r>
          </w:p>
        </w:tc>
        <w:tc>
          <w:tcPr>
            <w:tcW w:w="36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9"/>
                <w:szCs w:val="19"/>
                <w:color w:val="auto"/>
              </w:rPr>
              <w:t>Assignee[s]</w:t>
            </w:r>
            <w:r>
              <w:rPr>
                <w:rFonts w:ascii="Arial" w:cs="Arial" w:eastAsia="Arial" w:hAnsi="Arial"/>
                <w:sz w:val="25"/>
                <w:szCs w:val="25"/>
                <w:color w:val="auto"/>
                <w:vertAlign w:val="superscript"/>
              </w:rPr>
              <w:t>8</w:t>
            </w:r>
          </w:p>
        </w:tc>
        <w:tc>
          <w:tcPr>
            <w:tcW w:w="18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9"/>
                <w:szCs w:val="19"/>
                <w:color w:val="auto"/>
              </w:rPr>
              <w:t>for all Lenders</w:t>
            </w:r>
            <w:r>
              <w:rPr>
                <w:rFonts w:ascii="Arial" w:cs="Arial" w:eastAsia="Arial" w:hAnsi="Arial"/>
                <w:sz w:val="25"/>
                <w:szCs w:val="25"/>
                <w:color w:val="auto"/>
                <w:vertAlign w:val="superscript"/>
              </w:rPr>
              <w:t>9</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Assigned</w:t>
            </w:r>
            <w:r>
              <w:rPr>
                <w:rFonts w:ascii="Arial" w:cs="Arial" w:eastAsia="Arial" w:hAnsi="Arial"/>
                <w:sz w:val="25"/>
                <w:szCs w:val="25"/>
                <w:color w:val="auto"/>
                <w:w w:val="89"/>
                <w:vertAlign w:val="superscript"/>
              </w:rPr>
              <w:t>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5"/>
              </w:rPr>
              <w:t>Loans</w:t>
            </w:r>
            <w:r>
              <w:rPr>
                <w:rFonts w:ascii="Arial" w:cs="Arial" w:eastAsia="Arial" w:hAnsi="Arial"/>
                <w:sz w:val="25"/>
                <w:szCs w:val="25"/>
                <w:color w:val="auto"/>
                <w:w w:val="85"/>
                <w:vertAlign w:val="superscript"/>
              </w:rPr>
              <w:t>10</w:t>
            </w:r>
          </w:p>
        </w:tc>
        <w:tc>
          <w:tcPr>
            <w:tcW w:w="18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9"/>
                <w:szCs w:val="19"/>
                <w:color w:val="auto"/>
              </w:rPr>
              <w:t>CUSIP Number</w:t>
            </w:r>
          </w:p>
        </w:tc>
      </w:tr>
      <w:tr>
        <w:trPr>
          <w:trHeight w:val="232"/>
        </w:trPr>
        <w:tc>
          <w:tcPr>
            <w:tcW w:w="120" w:type="dxa"/>
            <w:vAlign w:val="bottom"/>
            <w:tcBorders>
              <w:right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auto"/>
              <w:right w:val="single" w:sz="8" w:color="auto"/>
            </w:tcBorders>
          </w:tcPr>
          <w:p>
            <w:pPr>
              <w:jc w:val="right"/>
              <w:ind w:right="1623"/>
              <w:spacing w:after="0"/>
              <w:rPr>
                <w:sz w:val="20"/>
                <w:szCs w:val="20"/>
                <w:color w:val="auto"/>
              </w:rPr>
            </w:pPr>
            <w:r>
              <w:rPr>
                <w:rFonts w:ascii="Arial" w:cs="Arial" w:eastAsia="Arial" w:hAnsi="Arial"/>
                <w:sz w:val="19"/>
                <w:szCs w:val="19"/>
                <w:color w:val="auto"/>
              </w:rPr>
              <w:t>$</w:t>
            </w:r>
          </w:p>
        </w:tc>
        <w:tc>
          <w:tcPr>
            <w:tcW w:w="1840" w:type="dxa"/>
            <w:vAlign w:val="bottom"/>
            <w:tcBorders>
              <w:bottom w:val="single" w:sz="8" w:color="auto"/>
              <w:right w:val="single" w:sz="8" w:color="auto"/>
            </w:tcBorders>
          </w:tcPr>
          <w:p>
            <w:pPr>
              <w:jc w:val="right"/>
              <w:ind w:right="1523"/>
              <w:spacing w:after="0"/>
              <w:rPr>
                <w:sz w:val="20"/>
                <w:szCs w:val="20"/>
                <w:color w:val="auto"/>
              </w:rPr>
            </w:pPr>
            <w:r>
              <w:rPr>
                <w:rFonts w:ascii="Arial" w:cs="Arial" w:eastAsia="Arial" w:hAnsi="Arial"/>
                <w:sz w:val="19"/>
                <w:szCs w:val="19"/>
                <w:color w:val="auto"/>
              </w:rPr>
              <w:t>%</w:t>
            </w:r>
          </w:p>
        </w:tc>
        <w:tc>
          <w:tcPr>
            <w:tcW w:w="1840" w:type="dxa"/>
            <w:vAlign w:val="bottom"/>
            <w:tcBorders>
              <w:bottom w:val="single" w:sz="8" w:color="auto"/>
              <w:right w:val="single" w:sz="8" w:color="auto"/>
            </w:tcBorders>
          </w:tcPr>
          <w:p>
            <w:pPr>
              <w:spacing w:after="0"/>
              <w:rPr>
                <w:sz w:val="20"/>
                <w:szCs w:val="20"/>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auto"/>
              <w:right w:val="single" w:sz="8" w:color="auto"/>
            </w:tcBorders>
          </w:tcPr>
          <w:p>
            <w:pPr>
              <w:jc w:val="right"/>
              <w:ind w:right="1623"/>
              <w:spacing w:after="0"/>
              <w:rPr>
                <w:sz w:val="20"/>
                <w:szCs w:val="20"/>
                <w:color w:val="auto"/>
              </w:rPr>
            </w:pPr>
            <w:r>
              <w:rPr>
                <w:rFonts w:ascii="Arial" w:cs="Arial" w:eastAsia="Arial" w:hAnsi="Arial"/>
                <w:sz w:val="19"/>
                <w:szCs w:val="19"/>
                <w:color w:val="auto"/>
              </w:rPr>
              <w:t>$</w:t>
            </w:r>
          </w:p>
        </w:tc>
        <w:tc>
          <w:tcPr>
            <w:tcW w:w="1840" w:type="dxa"/>
            <w:vAlign w:val="bottom"/>
            <w:tcBorders>
              <w:bottom w:val="single" w:sz="8" w:color="auto"/>
              <w:right w:val="single" w:sz="8" w:color="auto"/>
            </w:tcBorders>
          </w:tcPr>
          <w:p>
            <w:pPr>
              <w:jc w:val="right"/>
              <w:ind w:right="1523"/>
              <w:spacing w:after="0"/>
              <w:rPr>
                <w:sz w:val="20"/>
                <w:szCs w:val="20"/>
                <w:color w:val="auto"/>
              </w:rPr>
            </w:pPr>
            <w:r>
              <w:rPr>
                <w:rFonts w:ascii="Arial" w:cs="Arial" w:eastAsia="Arial" w:hAnsi="Arial"/>
                <w:sz w:val="19"/>
                <w:szCs w:val="19"/>
                <w:color w:val="auto"/>
              </w:rPr>
              <w:t>%</w:t>
            </w:r>
          </w:p>
        </w:tc>
        <w:tc>
          <w:tcPr>
            <w:tcW w:w="1840" w:type="dxa"/>
            <w:vAlign w:val="bottom"/>
            <w:tcBorders>
              <w:bottom w:val="single" w:sz="8" w:color="auto"/>
              <w:right w:val="single" w:sz="8" w:color="auto"/>
            </w:tcBorders>
          </w:tcPr>
          <w:p>
            <w:pPr>
              <w:spacing w:after="0"/>
              <w:rPr>
                <w:sz w:val="21"/>
                <w:szCs w:val="21"/>
                <w:color w:val="auto"/>
              </w:rPr>
            </w:pPr>
          </w:p>
        </w:tc>
      </w:tr>
      <w:tr>
        <w:trPr>
          <w:trHeight w:val="245"/>
        </w:trPr>
        <w:tc>
          <w:tcPr>
            <w:tcW w:w="120" w:type="dxa"/>
            <w:vAlign w:val="bottom"/>
            <w:tcBorders>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auto"/>
              <w:right w:val="single" w:sz="8" w:color="auto"/>
            </w:tcBorders>
          </w:tcPr>
          <w:p>
            <w:pPr>
              <w:jc w:val="right"/>
              <w:ind w:right="1623"/>
              <w:spacing w:after="0"/>
              <w:rPr>
                <w:sz w:val="20"/>
                <w:szCs w:val="20"/>
                <w:color w:val="auto"/>
              </w:rPr>
            </w:pPr>
            <w:r>
              <w:rPr>
                <w:rFonts w:ascii="Arial" w:cs="Arial" w:eastAsia="Arial" w:hAnsi="Arial"/>
                <w:sz w:val="19"/>
                <w:szCs w:val="19"/>
                <w:color w:val="auto"/>
              </w:rPr>
              <w:t>$</w:t>
            </w:r>
          </w:p>
        </w:tc>
        <w:tc>
          <w:tcPr>
            <w:tcW w:w="1840" w:type="dxa"/>
            <w:vAlign w:val="bottom"/>
            <w:tcBorders>
              <w:bottom w:val="single" w:sz="8" w:color="auto"/>
              <w:right w:val="single" w:sz="8" w:color="auto"/>
            </w:tcBorders>
          </w:tcPr>
          <w:p>
            <w:pPr>
              <w:jc w:val="right"/>
              <w:ind w:right="1523"/>
              <w:spacing w:after="0"/>
              <w:rPr>
                <w:sz w:val="20"/>
                <w:szCs w:val="20"/>
                <w:color w:val="auto"/>
              </w:rPr>
            </w:pPr>
            <w:r>
              <w:rPr>
                <w:rFonts w:ascii="Arial" w:cs="Arial" w:eastAsia="Arial" w:hAnsi="Arial"/>
                <w:sz w:val="19"/>
                <w:szCs w:val="19"/>
                <w:color w:val="auto"/>
              </w:rPr>
              <w:t>%</w:t>
            </w:r>
          </w:p>
        </w:tc>
        <w:tc>
          <w:tcPr>
            <w:tcW w:w="1840" w:type="dxa"/>
            <w:vAlign w:val="bottom"/>
            <w:tcBorders>
              <w:bottom w:val="single" w:sz="8" w:color="auto"/>
              <w:right w:val="single" w:sz="8" w:color="auto"/>
            </w:tcBorders>
          </w:tcPr>
          <w:p>
            <w:pPr>
              <w:spacing w:after="0"/>
              <w:rPr>
                <w:sz w:val="21"/>
                <w:szCs w:val="21"/>
                <w:color w:val="auto"/>
              </w:rPr>
            </w:pPr>
          </w:p>
        </w:tc>
      </w:tr>
      <w:tr>
        <w:trPr>
          <w:trHeight w:val="613"/>
        </w:trPr>
        <w:tc>
          <w:tcPr>
            <w:tcW w:w="1620" w:type="dxa"/>
            <w:vAlign w:val="bottom"/>
            <w:gridSpan w:val="2"/>
          </w:tcPr>
          <w:p>
            <w:pPr>
              <w:spacing w:after="0"/>
              <w:rPr>
                <w:sz w:val="20"/>
                <w:szCs w:val="20"/>
                <w:color w:val="auto"/>
              </w:rPr>
            </w:pPr>
            <w:r>
              <w:rPr>
                <w:rFonts w:ascii="Arial" w:cs="Arial" w:eastAsia="Arial" w:hAnsi="Arial"/>
                <w:sz w:val="19"/>
                <w:szCs w:val="19"/>
                <w:color w:val="auto"/>
              </w:rPr>
              <w:t>[7.  Trade Date:</w:t>
            </w:r>
          </w:p>
        </w:tc>
        <w:tc>
          <w:tcPr>
            <w:tcW w:w="2200" w:type="dxa"/>
            <w:vAlign w:val="bottom"/>
            <w:gridSpan w:val="2"/>
          </w:tcPr>
          <w:p>
            <w:pPr>
              <w:jc w:val="right"/>
              <w:ind w:right="463"/>
              <w:spacing w:after="0"/>
              <w:rPr>
                <w:sz w:val="20"/>
                <w:szCs w:val="20"/>
                <w:color w:val="auto"/>
              </w:rPr>
            </w:pPr>
            <w:r>
              <w:rPr>
                <w:rFonts w:ascii="Arial" w:cs="Arial" w:eastAsia="Arial" w:hAnsi="Arial"/>
                <w:sz w:val="19"/>
                <w:szCs w:val="19"/>
                <w:color w:val="auto"/>
                <w:w w:val="94"/>
              </w:rPr>
              <w:t>______________]</w:t>
            </w:r>
            <w:r>
              <w:rPr>
                <w:rFonts w:ascii="Arial" w:cs="Arial" w:eastAsia="Arial" w:hAnsi="Arial"/>
                <w:sz w:val="25"/>
                <w:szCs w:val="25"/>
                <w:color w:val="auto"/>
                <w:w w:val="94"/>
                <w:vertAlign w:val="superscript"/>
              </w:rPr>
              <w:t>11</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_____________ ___, 20___ [TO BE INSERTED BY ADMINISTRATIVE AGENT AND WHICH SHALL BE THE</w:t>
      </w:r>
    </w:p>
    <w:p>
      <w:pPr>
        <w:ind w:right="3800"/>
        <w:spacing w:after="0" w:line="490" w:lineRule="auto"/>
        <w:rPr>
          <w:sz w:val="20"/>
          <w:szCs w:val="20"/>
          <w:color w:val="auto"/>
        </w:rPr>
      </w:pPr>
      <w:r>
        <w:rPr>
          <w:rFonts w:ascii="Arial" w:cs="Arial" w:eastAsia="Arial" w:hAnsi="Arial"/>
          <w:sz w:val="18"/>
          <w:szCs w:val="18"/>
          <w:color w:val="auto"/>
        </w:rPr>
        <w:t>EFFECTIVE DATE OF RECORDATION OF TRANSFER IN THE REGISTER THEREFOR.] The terms set forth in this Assignment and Assumption are hereby agreed to:</w:t>
      </w:r>
    </w:p>
    <w:p>
      <w:pPr>
        <w:ind w:left="4460"/>
        <w:spacing w:after="0" w:line="186" w:lineRule="auto"/>
        <w:rPr>
          <w:sz w:val="20"/>
          <w:szCs w:val="20"/>
          <w:color w:val="auto"/>
        </w:rPr>
      </w:pPr>
      <w:r>
        <w:rPr>
          <w:rFonts w:ascii="Arial" w:cs="Arial" w:eastAsia="Arial" w:hAnsi="Arial"/>
          <w:sz w:val="19"/>
          <w:szCs w:val="19"/>
          <w:u w:val="single" w:color="auto"/>
          <w:color w:val="auto"/>
        </w:rPr>
        <w:t>ASSIGNOR[S]</w:t>
      </w:r>
      <w:r>
        <w:rPr>
          <w:rFonts w:ascii="Arial" w:cs="Arial" w:eastAsia="Arial" w:hAnsi="Arial"/>
          <w:sz w:val="24"/>
          <w:szCs w:val="24"/>
          <w:color w:val="auto"/>
          <w:vertAlign w:val="superscript"/>
        </w:rPr>
        <w:t>12</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[NAME OF ASSIGNOR]</w:t>
      </w:r>
    </w:p>
    <w:p>
      <w:pPr>
        <w:spacing w:after="0" w:line="200" w:lineRule="exact"/>
        <w:rPr>
          <w:sz w:val="20"/>
          <w:szCs w:val="20"/>
          <w:color w:val="auto"/>
        </w:rPr>
      </w:pP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By:______________________________</w:t>
      </w:r>
    </w:p>
    <w:p>
      <w:pPr>
        <w:ind w:left="4460"/>
        <w:spacing w:after="0"/>
        <w:rPr>
          <w:sz w:val="20"/>
          <w:szCs w:val="20"/>
          <w:color w:val="auto"/>
        </w:rPr>
      </w:pPr>
      <w:r>
        <w:rPr>
          <w:rFonts w:ascii="Arial" w:cs="Arial" w:eastAsia="Arial" w:hAnsi="Arial"/>
          <w:sz w:val="19"/>
          <w:szCs w:val="19"/>
          <w:color w:val="auto"/>
        </w:rPr>
        <w:t>Title:</w:t>
      </w: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[NAME OF ASSIGNOR]</w:t>
      </w:r>
    </w:p>
    <w:p>
      <w:pPr>
        <w:spacing w:after="0" w:line="200" w:lineRule="exact"/>
        <w:rPr>
          <w:sz w:val="20"/>
          <w:szCs w:val="20"/>
          <w:color w:val="auto"/>
        </w:r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By:______________________________</w:t>
      </w:r>
    </w:p>
    <w:p>
      <w:pPr>
        <w:ind w:left="4460"/>
        <w:spacing w:after="0"/>
        <w:rPr>
          <w:sz w:val="20"/>
          <w:szCs w:val="20"/>
          <w:color w:val="auto"/>
        </w:rPr>
      </w:pPr>
      <w:r>
        <w:rPr>
          <w:rFonts w:ascii="Arial" w:cs="Arial" w:eastAsia="Arial" w:hAnsi="Arial"/>
          <w:sz w:val="19"/>
          <w:szCs w:val="19"/>
          <w:color w:val="auto"/>
        </w:rPr>
        <w:t>Title:</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9"/>
          <w:szCs w:val="19"/>
          <w:u w:val="single" w:color="auto"/>
          <w:color w:val="auto"/>
        </w:rPr>
        <w:t>ASSIGNEE[S]</w:t>
      </w:r>
      <w:r>
        <w:rPr>
          <w:rFonts w:ascii="Arial" w:cs="Arial" w:eastAsia="Arial" w:hAnsi="Arial"/>
          <w:sz w:val="25"/>
          <w:szCs w:val="25"/>
          <w:color w:val="auto"/>
          <w:vertAlign w:val="superscript"/>
        </w:rPr>
        <w:t>13</w:t>
      </w:r>
    </w:p>
    <w:p>
      <w:pPr>
        <w:ind w:left="4460"/>
        <w:spacing w:after="0"/>
        <w:rPr>
          <w:sz w:val="20"/>
          <w:szCs w:val="20"/>
          <w:color w:val="auto"/>
        </w:rPr>
      </w:pPr>
      <w:r>
        <w:rPr>
          <w:rFonts w:ascii="Arial" w:cs="Arial" w:eastAsia="Arial" w:hAnsi="Arial"/>
          <w:sz w:val="19"/>
          <w:szCs w:val="19"/>
          <w:color w:val="auto"/>
        </w:rPr>
        <w:t>[NAME OF ASSIGNEE]</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By:______________________________</w:t>
      </w:r>
    </w:p>
    <w:p>
      <w:pPr>
        <w:ind w:left="44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1682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73" w:lineRule="exact"/>
        <w:rPr>
          <w:sz w:val="20"/>
          <w:szCs w:val="20"/>
          <w:color w:val="auto"/>
        </w:rPr>
      </w:pPr>
    </w:p>
    <w:p>
      <w:pPr>
        <w:ind w:left="740" w:hanging="98"/>
        <w:spacing w:after="0"/>
        <w:tabs>
          <w:tab w:leader="none" w:pos="740" w:val="left"/>
        </w:tabs>
        <w:numPr>
          <w:ilvl w:val="0"/>
          <w:numId w:val="164"/>
        </w:numPr>
        <w:rPr>
          <w:rFonts w:ascii="Arial" w:cs="Arial" w:eastAsia="Arial" w:hAnsi="Arial"/>
          <w:sz w:val="23"/>
          <w:szCs w:val="23"/>
          <w:color w:val="auto"/>
          <w:vertAlign w:val="superscript"/>
        </w:rPr>
      </w:pPr>
      <w:r>
        <w:rPr>
          <w:rFonts w:ascii="Arial" w:cs="Arial" w:eastAsia="Arial" w:hAnsi="Arial"/>
          <w:sz w:val="18"/>
          <w:szCs w:val="18"/>
          <w:color w:val="auto"/>
        </w:rPr>
        <w:t>List each Assignor, as appropriate.</w:t>
      </w:r>
    </w:p>
    <w:p>
      <w:pPr>
        <w:spacing w:after="0" w:line="93" w:lineRule="exact"/>
        <w:rPr>
          <w:sz w:val="20"/>
          <w:szCs w:val="20"/>
          <w:color w:val="auto"/>
        </w:rPr>
      </w:pPr>
    </w:p>
    <w:p>
      <w:pPr>
        <w:ind w:left="740" w:hanging="98"/>
        <w:spacing w:after="0"/>
        <w:tabs>
          <w:tab w:leader="none" w:pos="740" w:val="left"/>
        </w:tabs>
        <w:numPr>
          <w:ilvl w:val="0"/>
          <w:numId w:val="165"/>
        </w:numPr>
        <w:rPr>
          <w:rFonts w:ascii="Arial" w:cs="Arial" w:eastAsia="Arial" w:hAnsi="Arial"/>
          <w:sz w:val="23"/>
          <w:szCs w:val="23"/>
          <w:color w:val="auto"/>
          <w:vertAlign w:val="superscript"/>
        </w:rPr>
      </w:pPr>
      <w:r>
        <w:rPr>
          <w:rFonts w:ascii="Arial" w:cs="Arial" w:eastAsia="Arial" w:hAnsi="Arial"/>
          <w:sz w:val="18"/>
          <w:szCs w:val="18"/>
          <w:color w:val="auto"/>
        </w:rPr>
        <w:t>List each Assignee, as appropriate.</w:t>
      </w:r>
    </w:p>
    <w:p>
      <w:pPr>
        <w:spacing w:after="0" w:line="79" w:lineRule="exact"/>
        <w:rPr>
          <w:sz w:val="20"/>
          <w:szCs w:val="20"/>
          <w:color w:val="auto"/>
        </w:rPr>
      </w:pPr>
    </w:p>
    <w:p>
      <w:pPr>
        <w:ind w:left="740" w:hanging="98"/>
        <w:spacing w:after="0"/>
        <w:tabs>
          <w:tab w:leader="none" w:pos="740" w:val="left"/>
        </w:tabs>
        <w:numPr>
          <w:ilvl w:val="0"/>
          <w:numId w:val="166"/>
        </w:numPr>
        <w:rPr>
          <w:rFonts w:ascii="Arial" w:cs="Arial" w:eastAsia="Arial" w:hAnsi="Arial"/>
          <w:sz w:val="21"/>
          <w:szCs w:val="21"/>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w:t>
      </w:r>
    </w:p>
    <w:p>
      <w:pPr>
        <w:spacing w:after="0"/>
        <w:rPr>
          <w:sz w:val="20"/>
          <w:szCs w:val="20"/>
          <w:color w:val="auto"/>
        </w:rPr>
      </w:pPr>
      <w:r>
        <w:rPr>
          <w:rFonts w:ascii="Arial" w:cs="Arial" w:eastAsia="Arial" w:hAnsi="Arial"/>
          <w:sz w:val="18"/>
          <w:szCs w:val="18"/>
          <w:color w:val="auto"/>
        </w:rPr>
        <w:t>Date.</w:t>
      </w:r>
    </w:p>
    <w:p>
      <w:pPr>
        <w:spacing w:after="0" w:line="119" w:lineRule="exact"/>
        <w:rPr>
          <w:sz w:val="20"/>
          <w:szCs w:val="20"/>
          <w:color w:val="auto"/>
        </w:rPr>
      </w:pPr>
    </w:p>
    <w:p>
      <w:pPr>
        <w:ind w:left="800" w:hanging="158"/>
        <w:spacing w:after="0"/>
        <w:tabs>
          <w:tab w:leader="none" w:pos="800" w:val="left"/>
        </w:tabs>
        <w:numPr>
          <w:ilvl w:val="0"/>
          <w:numId w:val="167"/>
        </w:numPr>
        <w:rPr>
          <w:rFonts w:ascii="Arial" w:cs="Arial" w:eastAsia="Arial" w:hAnsi="Arial"/>
          <w:sz w:val="21"/>
          <w:szCs w:val="21"/>
          <w:color w:val="auto"/>
          <w:vertAlign w:val="superscript"/>
        </w:rPr>
      </w:pPr>
      <w:r>
        <w:rPr>
          <w:rFonts w:ascii="Arial" w:cs="Arial" w:eastAsia="Arial" w:hAnsi="Arial"/>
          <w:sz w:val="16"/>
          <w:szCs w:val="16"/>
          <w:color w:val="auto"/>
        </w:rPr>
        <w:t>Set forth, to at least 9 decimals, as a percentage of the Commitment/Loans of all Lenders thereunder.</w:t>
      </w:r>
    </w:p>
    <w:p>
      <w:pPr>
        <w:spacing w:after="0" w:line="103" w:lineRule="exact"/>
        <w:rPr>
          <w:rFonts w:ascii="Arial" w:cs="Arial" w:eastAsia="Arial" w:hAnsi="Arial"/>
          <w:sz w:val="21"/>
          <w:szCs w:val="21"/>
          <w:color w:val="auto"/>
          <w:vertAlign w:val="superscript"/>
        </w:rPr>
      </w:pPr>
    </w:p>
    <w:p>
      <w:pPr>
        <w:ind w:left="800" w:hanging="158"/>
        <w:spacing w:after="0"/>
        <w:tabs>
          <w:tab w:leader="none" w:pos="800" w:val="left"/>
        </w:tabs>
        <w:numPr>
          <w:ilvl w:val="0"/>
          <w:numId w:val="167"/>
        </w:numPr>
        <w:rPr>
          <w:rFonts w:ascii="Arial" w:cs="Arial" w:eastAsia="Arial" w:hAnsi="Arial"/>
          <w:sz w:val="21"/>
          <w:szCs w:val="21"/>
          <w:color w:val="auto"/>
          <w:vertAlign w:val="superscript"/>
        </w:rPr>
      </w:pPr>
      <w:r>
        <w:rPr>
          <w:rFonts w:ascii="Arial" w:cs="Arial" w:eastAsia="Arial" w:hAnsi="Arial"/>
          <w:sz w:val="16"/>
          <w:szCs w:val="16"/>
          <w:color w:val="auto"/>
        </w:rPr>
        <w:t>To be completed if the Assignor(s) and the Assignee(s) intend that the minimum assignment amount is to be determined as of the Trade Date.</w:t>
      </w:r>
    </w:p>
    <w:p>
      <w:pPr>
        <w:spacing w:after="0" w:line="116" w:lineRule="exact"/>
        <w:rPr>
          <w:rFonts w:ascii="Arial" w:cs="Arial" w:eastAsia="Arial" w:hAnsi="Arial"/>
          <w:sz w:val="21"/>
          <w:szCs w:val="21"/>
          <w:color w:val="auto"/>
          <w:vertAlign w:val="superscript"/>
        </w:rPr>
      </w:pPr>
    </w:p>
    <w:p>
      <w:pPr>
        <w:ind w:left="800" w:hanging="158"/>
        <w:spacing w:after="0"/>
        <w:tabs>
          <w:tab w:leader="none" w:pos="800" w:val="left"/>
        </w:tabs>
        <w:numPr>
          <w:ilvl w:val="0"/>
          <w:numId w:val="167"/>
        </w:numPr>
        <w:rPr>
          <w:rFonts w:ascii="Arial" w:cs="Arial" w:eastAsia="Arial" w:hAnsi="Arial"/>
          <w:sz w:val="21"/>
          <w:szCs w:val="21"/>
          <w:color w:val="auto"/>
          <w:vertAlign w:val="superscript"/>
        </w:rPr>
      </w:pPr>
      <w:r>
        <w:rPr>
          <w:rFonts w:ascii="Arial" w:cs="Arial" w:eastAsia="Arial" w:hAnsi="Arial"/>
          <w:sz w:val="16"/>
          <w:szCs w:val="16"/>
          <w:color w:val="auto"/>
        </w:rPr>
        <w:t>Add additional signature blocks as needed. Include both Fund/Pension Plan and manager making the trade (if applicable).</w:t>
      </w:r>
    </w:p>
    <w:p>
      <w:pPr>
        <w:spacing w:after="0" w:line="103" w:lineRule="exact"/>
        <w:rPr>
          <w:rFonts w:ascii="Arial" w:cs="Arial" w:eastAsia="Arial" w:hAnsi="Arial"/>
          <w:sz w:val="21"/>
          <w:szCs w:val="21"/>
          <w:color w:val="auto"/>
          <w:vertAlign w:val="superscript"/>
        </w:rPr>
      </w:pPr>
    </w:p>
    <w:p>
      <w:pPr>
        <w:ind w:left="800" w:hanging="158"/>
        <w:spacing w:after="0"/>
        <w:tabs>
          <w:tab w:leader="none" w:pos="800" w:val="left"/>
        </w:tabs>
        <w:numPr>
          <w:ilvl w:val="0"/>
          <w:numId w:val="167"/>
        </w:numPr>
        <w:rPr>
          <w:rFonts w:ascii="Arial" w:cs="Arial" w:eastAsia="Arial" w:hAnsi="Arial"/>
          <w:sz w:val="21"/>
          <w:szCs w:val="21"/>
          <w:color w:val="auto"/>
          <w:vertAlign w:val="superscript"/>
        </w:rPr>
      </w:pPr>
      <w:r>
        <w:rPr>
          <w:rFonts w:ascii="Arial" w:cs="Arial" w:eastAsia="Arial" w:hAnsi="Arial"/>
          <w:sz w:val="16"/>
          <w:szCs w:val="16"/>
          <w:color w:val="auto"/>
        </w:rPr>
        <w:t>Add additional signature blocks as needed. Include both Fund/Pension Plan and manager making the trade (if applicable).</w:t>
      </w:r>
    </w:p>
    <w:p>
      <w:pPr>
        <w:sectPr>
          <w:pgSz w:w="11900" w:h="16838" w:orient="portrait"/>
          <w:cols w:equalWidth="0" w:num="1">
            <w:col w:w="11240"/>
          </w:cols>
          <w:pgMar w:left="320" w:top="9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FF0000"/>
          <w:strike w:val="1"/>
        </w:rPr>
        <w:t>96599450v1</w:t>
      </w:r>
      <w:r>
        <w:rPr>
          <w:rFonts w:ascii="Arial" w:cs="Arial" w:eastAsia="Arial" w:hAnsi="Arial"/>
          <w:sz w:val="11"/>
          <w:szCs w:val="11"/>
          <w:u w:val="single" w:color="auto"/>
          <w:color w:val="0000FF"/>
        </w:rPr>
        <w:t>96599450v11</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997" w:right="339" w:bottom="1440" w:gutter="0" w:footer="0" w:header="0"/>
          <w:type w:val="continuous"/>
        </w:sectPr>
      </w:pPr>
    </w:p>
    <w:bookmarkStart w:id="150" w:name="page151"/>
    <w:bookmarkEnd w:id="150"/>
    <w:p>
      <w:pPr>
        <w:spacing w:after="0" w:line="3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[NAME OF ASSIGNEE]</w:t>
      </w: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By:______________________________</w:t>
      </w:r>
    </w:p>
    <w:p>
      <w:pPr>
        <w:spacing w:after="0" w:line="1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0139"/>
          </w:cols>
          <w:pgMar w:left="320" w:top="1440" w:right="1440"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Consented to and Accepted: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 as</w:t>
      </w:r>
    </w:p>
    <w:p>
      <w:pPr>
        <w:spacing w:after="0"/>
        <w:rPr>
          <w:sz w:val="20"/>
          <w:szCs w:val="20"/>
          <w:color w:val="auto"/>
        </w:rPr>
      </w:pPr>
      <w:r>
        <w:rPr>
          <w:rFonts w:ascii="Arial" w:cs="Arial" w:eastAsia="Arial" w:hAnsi="Arial"/>
          <w:sz w:val="19"/>
          <w:szCs w:val="19"/>
          <w:color w:val="auto"/>
        </w:rPr>
        <w:t>Administrative Agent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rPr>
          <w:sz w:val="20"/>
          <w:szCs w:val="20"/>
          <w:color w:val="auto"/>
        </w:rPr>
      </w:pPr>
      <w:r>
        <w:rPr>
          <w:rFonts w:ascii="Arial" w:cs="Arial" w:eastAsia="Arial" w:hAnsi="Arial"/>
          <w:sz w:val="19"/>
          <w:szCs w:val="19"/>
          <w:color w:val="auto"/>
        </w:rPr>
        <w:t>Title: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[Consented to:]</w:t>
      </w:r>
      <w:r>
        <w:rPr>
          <w:rFonts w:ascii="Arial" w:cs="Arial" w:eastAsia="Arial" w:hAnsi="Arial"/>
          <w:sz w:val="25"/>
          <w:szCs w:val="25"/>
          <w:color w:val="auto"/>
          <w:vertAlign w:val="superscript"/>
        </w:rPr>
        <w:t>14</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[NAME OF RELEVANT PARTY]</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w:t>
      </w: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16827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20" w:lineRule="exact"/>
        <w:rPr>
          <w:sz w:val="20"/>
          <w:szCs w:val="20"/>
          <w:color w:val="auto"/>
        </w:rPr>
      </w:pPr>
    </w:p>
    <w:p>
      <w:pPr>
        <w:ind w:left="800" w:hanging="158"/>
        <w:spacing w:after="0"/>
        <w:tabs>
          <w:tab w:leader="none" w:pos="800" w:val="left"/>
        </w:tabs>
        <w:numPr>
          <w:ilvl w:val="0"/>
          <w:numId w:val="168"/>
        </w:numPr>
        <w:rPr>
          <w:rFonts w:ascii="Arial" w:cs="Arial" w:eastAsia="Arial" w:hAnsi="Arial"/>
          <w:sz w:val="20"/>
          <w:szCs w:val="20"/>
          <w:color w:val="auto"/>
          <w:vertAlign w:val="superscript"/>
        </w:rPr>
      </w:pPr>
      <w:r>
        <w:rPr>
          <w:rFonts w:ascii="Arial" w:cs="Arial" w:eastAsia="Arial" w:hAnsi="Arial"/>
          <w:sz w:val="15"/>
          <w:szCs w:val="15"/>
          <w:color w:val="auto"/>
        </w:rPr>
        <w:t>To be added only if the consent of the Company and/or Issuing Lenders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0139"/>
          </w:cols>
          <w:pgMar w:left="320" w:top="1236" w:right="1440" w:bottom="1440" w:gutter="0" w:footer="0" w:header="0"/>
        </w:sectPr>
      </w:pPr>
    </w:p>
    <w:bookmarkStart w:id="152" w:name="page153"/>
    <w:bookmarkEnd w:id="152"/>
    <w:p>
      <w:pPr>
        <w:spacing w:after="0" w:line="167" w:lineRule="exact"/>
        <w:rPr>
          <w:sz w:val="20"/>
          <w:szCs w:val="20"/>
          <w:color w:val="auto"/>
        </w:rPr>
      </w:pPr>
    </w:p>
    <w:p>
      <w:pPr>
        <w:ind w:left="10420"/>
        <w:spacing w:after="0"/>
        <w:rPr>
          <w:sz w:val="20"/>
          <w:szCs w:val="20"/>
          <w:color w:val="auto"/>
        </w:rPr>
      </w:pPr>
      <w:r>
        <w:rPr>
          <w:rFonts w:ascii="Arial" w:cs="Arial" w:eastAsia="Arial" w:hAnsi="Arial"/>
          <w:sz w:val="19"/>
          <w:szCs w:val="19"/>
          <w:color w:val="auto"/>
        </w:rPr>
        <w:t>ANNEX 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STANDARD TERMS AND CONDITIONS FOR</w:t>
      </w:r>
    </w:p>
    <w:p>
      <w:pPr>
        <w:jc w:val="center"/>
        <w:spacing w:after="0"/>
        <w:rPr>
          <w:sz w:val="20"/>
          <w:szCs w:val="20"/>
          <w:color w:val="auto"/>
        </w:rPr>
      </w:pPr>
      <w:r>
        <w:rPr>
          <w:rFonts w:ascii="Arial" w:cs="Arial" w:eastAsia="Arial" w:hAnsi="Arial"/>
          <w:sz w:val="19"/>
          <w:szCs w:val="19"/>
          <w:color w:val="auto"/>
        </w:rPr>
        <w:t>ASSIGNMENT AND ASSUMPTION</w:t>
      </w:r>
    </w:p>
    <w:p>
      <w:pPr>
        <w:spacing w:after="0" w:line="190" w:lineRule="exact"/>
        <w:rPr>
          <w:sz w:val="20"/>
          <w:szCs w:val="20"/>
          <w:color w:val="auto"/>
        </w:rPr>
      </w:pPr>
    </w:p>
    <w:p>
      <w:pPr>
        <w:ind w:left="740" w:hanging="346"/>
        <w:spacing w:after="0"/>
        <w:tabs>
          <w:tab w:leader="none" w:pos="74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15"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u w:val="single" w:color="auto"/>
          <w:color w:val="auto"/>
        </w:rPr>
        <w:t>Assignor[s]</w:t>
      </w:r>
      <w:r>
        <w:rPr>
          <w:rFonts w:ascii="Arial" w:cs="Arial" w:eastAsia="Arial" w:hAnsi="Arial"/>
          <w:sz w:val="18"/>
          <w:szCs w:val="18"/>
          <w:color w:val="auto"/>
        </w:rPr>
        <w:t>. [The][Each] Assignor (a) represents and warrants that (i) it is the legal and beneficial owner of [the][the relevant]</w:t>
      </w:r>
    </w:p>
    <w:p>
      <w:pPr>
        <w:spacing w:after="0" w:line="222" w:lineRule="auto"/>
        <w:rPr>
          <w:sz w:val="20"/>
          <w:szCs w:val="20"/>
          <w:color w:val="auto"/>
        </w:rPr>
      </w:pPr>
      <w:r>
        <w:rPr>
          <w:rFonts w:ascii="Arial" w:cs="Arial" w:eastAsia="Arial" w:hAnsi="Arial"/>
          <w:sz w:val="18"/>
          <w:szCs w:val="18"/>
          <w:color w:val="auto"/>
        </w:rPr>
        <w:t>Assigned Interest, (ii) [the][such] Assigned Interest is free and clear of any lien, encumbrance or other adverse claim, (iii) it has full power and authority, and has taken all action necessary, to execute and deliver this Assignment and Assumption and to consummate the transactions</w:t>
      </w:r>
    </w:p>
    <w:p>
      <w:pPr>
        <w:spacing w:after="0" w:line="231" w:lineRule="auto"/>
        <w:rPr>
          <w:sz w:val="20"/>
          <w:szCs w:val="20"/>
          <w:color w:val="auto"/>
        </w:rPr>
      </w:pPr>
      <w:r>
        <w:rPr>
          <w:rFonts w:ascii="Arial" w:cs="Arial" w:eastAsia="Arial" w:hAnsi="Arial"/>
          <w:sz w:val="18"/>
          <w:szCs w:val="18"/>
          <w:color w:val="auto"/>
        </w:rPr>
        <w:t>contemplated hereby and (iv) it is not a Defaulting Lender; and (b) assumes no responsibility with respect to (i) any statements, warranties or</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9"/>
          <w:szCs w:val="19"/>
          <w:color w:val="auto"/>
        </w:rPr>
        <w:t>representations made in or in connection with the Credit Agreement or any other Loan Document, (ii) the execution, legality, validity, enforceability, genuineness, sufficiency or value of the Loan Documents or any collateral thereunder, (iii) the financial condition of the</w:t>
      </w:r>
    </w:p>
    <w:p>
      <w:pPr>
        <w:spacing w:after="0" w:line="222" w:lineRule="auto"/>
        <w:rPr>
          <w:sz w:val="20"/>
          <w:szCs w:val="20"/>
          <w:color w:val="auto"/>
        </w:rPr>
      </w:pPr>
      <w:r>
        <w:rPr>
          <w:rFonts w:ascii="Arial" w:cs="Arial" w:eastAsia="Arial" w:hAnsi="Arial"/>
          <w:sz w:val="18"/>
          <w:szCs w:val="18"/>
          <w:color w:val="auto"/>
        </w:rPr>
        <w:t>Borrower, any of its Subsidiaries or affiliates or any other Person obligated in respect of any Loan Document, or (iv) the performance or observance by the Borrower, any of its Subsidiaries or affiliates or any other Person of any of their respective obligations under any Loan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Document.</w:t>
      </w:r>
    </w:p>
    <w:p>
      <w:pPr>
        <w:spacing w:after="0" w:line="203" w:lineRule="exact"/>
        <w:rPr>
          <w:sz w:val="20"/>
          <w:szCs w:val="20"/>
          <w:color w:val="auto"/>
        </w:rPr>
      </w:pPr>
    </w:p>
    <w:p>
      <w:pPr>
        <w:ind w:firstLine="551"/>
        <w:spacing w:after="0" w:line="24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Assignee[s]</w:t>
      </w:r>
      <w:r>
        <w:rPr>
          <w:rFonts w:ascii="Arial" w:cs="Arial" w:eastAsia="Arial" w:hAnsi="Arial"/>
          <w:sz w:val="17"/>
          <w:szCs w:val="17"/>
          <w:color w:val="auto"/>
        </w:rPr>
        <w:t xml:space="preserve"> . [The][Each] Assignee (a) represents and warrants that (i) it has full power and authority, and has taken all action necessary, to execute and deliver this Assignment and Assumption and to consummate the transactions contemplated hereby and to become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Lender under the Credit Agreement, (ii) it meets all the requirements to be an assignee under Section 11.06 of the Credit Agreement (subject to</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such consents, if any, as may be required thereunder), (iii) from and after the Effective Date, it shall be bound by the provisions of the Credit Agreement as a Lender thereunder and, to the extent of [the][the relevant] Assigned Interest, shall have the obligations of a Lender thereunder,</w:t>
      </w:r>
    </w:p>
    <w:p>
      <w:pPr>
        <w:spacing w:after="0" w:line="1" w:lineRule="exact"/>
        <w:rPr>
          <w:sz w:val="20"/>
          <w:szCs w:val="20"/>
          <w:color w:val="auto"/>
        </w:rPr>
      </w:pPr>
    </w:p>
    <w:p>
      <w:pPr>
        <w:jc w:val="both"/>
        <w:ind w:firstLine="6"/>
        <w:spacing w:after="0" w:line="228" w:lineRule="auto"/>
        <w:tabs>
          <w:tab w:leader="none" w:pos="3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organized under the laws of a jurisdiction outside the United States,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6" w:lineRule="exact"/>
        <w:rPr>
          <w:rFonts w:ascii="Arial" w:cs="Arial" w:eastAsia="Arial" w:hAnsi="Arial"/>
          <w:sz w:val="18"/>
          <w:szCs w:val="18"/>
          <w:color w:val="auto"/>
        </w:rPr>
      </w:pPr>
    </w:p>
    <w:p>
      <w:pPr>
        <w:jc w:val="both"/>
        <w:ind w:firstLine="502"/>
        <w:spacing w:after="0" w:line="223" w:lineRule="auto"/>
        <w:tabs>
          <w:tab w:leader="none" w:pos="890" w:val="left"/>
        </w:tabs>
        <w:numPr>
          <w:ilvl w:val="2"/>
          <w:numId w:val="170"/>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90" w:lineRule="exact"/>
        <w:rPr>
          <w:rFonts w:ascii="Arial" w:cs="Arial" w:eastAsia="Arial" w:hAnsi="Arial"/>
          <w:sz w:val="19"/>
          <w:szCs w:val="19"/>
          <w:color w:val="auto"/>
        </w:rPr>
      </w:pPr>
    </w:p>
    <w:p>
      <w:pPr>
        <w:ind w:firstLine="472"/>
        <w:spacing w:after="0" w:line="307" w:lineRule="auto"/>
        <w:tabs>
          <w:tab w:leader="none" w:pos="845"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DESIGNATION AGREEMENT</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Dated as of ________________ __, _____</w:t>
      </w:r>
    </w:p>
    <w:p>
      <w:pPr>
        <w:spacing w:after="0" w:line="174" w:lineRule="exact"/>
        <w:rPr>
          <w:sz w:val="20"/>
          <w:szCs w:val="20"/>
          <w:color w:val="auto"/>
        </w:rPr>
      </w:pPr>
    </w:p>
    <w:p>
      <w:pPr>
        <w:ind w:right="20" w:firstLine="636"/>
        <w:spacing w:after="0" w:line="222" w:lineRule="auto"/>
        <w:rPr>
          <w:sz w:val="20"/>
          <w:szCs w:val="20"/>
          <w:color w:val="auto"/>
        </w:rPr>
      </w:pPr>
      <w:r>
        <w:rPr>
          <w:rFonts w:ascii="Arial" w:cs="Arial" w:eastAsia="Arial" w:hAnsi="Arial"/>
          <w:sz w:val="21"/>
          <w:szCs w:val="21"/>
          <w:color w:val="auto"/>
        </w:rPr>
        <w:t>Reference is made to the Five-Year Credit Agreement dated as of September 27, 2021 (as amended, restated, amended and restated, supplemented or otherwise modified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 among Campbell Soup Company, a New Jersey corporation (the “</w:t>
      </w:r>
      <w:r>
        <w:rPr>
          <w:rFonts w:ascii="Arial" w:cs="Arial" w:eastAsia="Arial" w:hAnsi="Arial"/>
          <w:sz w:val="21"/>
          <w:szCs w:val="21"/>
          <w:b w:val="1"/>
          <w:bCs w:val="1"/>
          <w:color w:val="auto"/>
        </w:rPr>
        <w:t>Company</w:t>
      </w:r>
      <w:r>
        <w:rPr>
          <w:rFonts w:ascii="Arial" w:cs="Arial" w:eastAsia="Arial" w:hAnsi="Arial"/>
          <w:sz w:val="21"/>
          <w:szCs w:val="21"/>
          <w:color w:val="auto"/>
        </w:rPr>
        <w:t>”), the Eligible Subsidiaries referred to therein, the Lenders from time to time party thereto and JPMorgan Chase Bank, N.A., as Administrative Agent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Terms defined in the Credit Agreement are used herein with the same meaning.</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_________________ (the “</w:t>
      </w:r>
      <w:r>
        <w:rPr>
          <w:rFonts w:ascii="Arial" w:cs="Arial" w:eastAsia="Arial" w:hAnsi="Arial"/>
          <w:sz w:val="21"/>
          <w:szCs w:val="21"/>
          <w:b w:val="1"/>
          <w:bCs w:val="1"/>
          <w:color w:val="auto"/>
        </w:rPr>
        <w:t>Designator</w:t>
      </w:r>
      <w:r>
        <w:rPr>
          <w:rFonts w:ascii="Arial" w:cs="Arial" w:eastAsia="Arial" w:hAnsi="Arial"/>
          <w:sz w:val="21"/>
          <w:szCs w:val="21"/>
          <w:color w:val="auto"/>
        </w:rPr>
        <w:t>”) and ________________ (the “</w:t>
      </w:r>
      <w:r>
        <w:rPr>
          <w:rFonts w:ascii="Arial" w:cs="Arial" w:eastAsia="Arial" w:hAnsi="Arial"/>
          <w:sz w:val="21"/>
          <w:szCs w:val="21"/>
          <w:b w:val="1"/>
          <w:bCs w:val="1"/>
          <w:color w:val="auto"/>
        </w:rPr>
        <w:t>Designee</w:t>
      </w:r>
      <w:r>
        <w:rPr>
          <w:rFonts w:ascii="Arial" w:cs="Arial" w:eastAsia="Arial" w:hAnsi="Arial"/>
          <w:sz w:val="21"/>
          <w:szCs w:val="21"/>
          <w:color w:val="auto"/>
        </w:rPr>
        <w:t>”) agree as follows:</w:t>
      </w:r>
    </w:p>
    <w:p>
      <w:pPr>
        <w:spacing w:after="0" w:line="189" w:lineRule="exact"/>
        <w:rPr>
          <w:sz w:val="20"/>
          <w:szCs w:val="20"/>
          <w:color w:val="auto"/>
        </w:rPr>
      </w:pPr>
    </w:p>
    <w:p>
      <w:pPr>
        <w:ind w:right="20" w:firstLine="642"/>
        <w:spacing w:after="0" w:line="239" w:lineRule="auto"/>
        <w:tabs>
          <w:tab w:leader="none" w:pos="106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Designator designates the Designee as its Designated Lender under the Credit Agreement and the Designee accepts such designation.</w:t>
      </w:r>
    </w:p>
    <w:p>
      <w:pPr>
        <w:spacing w:after="0" w:line="155" w:lineRule="exact"/>
        <w:rPr>
          <w:rFonts w:ascii="Arial" w:cs="Arial" w:eastAsia="Arial" w:hAnsi="Arial"/>
          <w:sz w:val="21"/>
          <w:szCs w:val="21"/>
          <w:color w:val="auto"/>
        </w:rPr>
      </w:pPr>
    </w:p>
    <w:p>
      <w:pPr>
        <w:ind w:right="100" w:firstLine="642"/>
        <w:spacing w:after="0" w:line="230" w:lineRule="auto"/>
        <w:tabs>
          <w:tab w:leader="none" w:pos="106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Designator makes no representations or warranties and assumes no responsibility with respect to the financial condition of any Borrower or the performance or observance by any Borrower of any of its obligations under the Credit Agreement or any other instrument or document furnished pursuant thereto.</w:t>
      </w:r>
    </w:p>
    <w:p>
      <w:pPr>
        <w:spacing w:after="0" w:line="153" w:lineRule="exact"/>
        <w:rPr>
          <w:rFonts w:ascii="Arial" w:cs="Arial" w:eastAsia="Arial" w:hAnsi="Arial"/>
          <w:sz w:val="21"/>
          <w:szCs w:val="21"/>
          <w:color w:val="auto"/>
        </w:rPr>
      </w:pPr>
    </w:p>
    <w:p>
      <w:pPr>
        <w:ind w:right="20" w:firstLine="642"/>
        <w:spacing w:after="0" w:line="228" w:lineRule="auto"/>
        <w:tabs>
          <w:tab w:leader="none" w:pos="10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Designee (i) confirms that it is an Approved Fund; (ii) appoints and authorizes the Designator as its administrative agent and attorney-in-fact and grants the Designator an irrevocable power of attorney to receive payments made for the benefit of the Designee under the Credit Agreement and to deliver and receive all communications and notices under the Credit Agreement, if any, that the Designee is obligated to deliver or has the right to receive thereunder; (iii) acknowledges that the Designator retains the sole right and responsibility to vote under the Credit Agreement, including, without limitation, the right to approve any amendment or waiver of any provision of the Credit Agreement; and (iv) agrees that the Designee shall be bound by all such votes, approvals, amendments and waivers and all other agreements of the Designator pursuant to or in connection with the Credit Agreement, all subject to Section 11.05(b) of the Credit Agreement.</w:t>
      </w:r>
    </w:p>
    <w:p>
      <w:pPr>
        <w:spacing w:after="0" w:line="160" w:lineRule="exact"/>
        <w:rPr>
          <w:rFonts w:ascii="Arial" w:cs="Arial" w:eastAsia="Arial" w:hAnsi="Arial"/>
          <w:sz w:val="20"/>
          <w:szCs w:val="20"/>
          <w:color w:val="auto"/>
        </w:rPr>
      </w:pPr>
    </w:p>
    <w:p>
      <w:pPr>
        <w:ind w:firstLine="642"/>
        <w:spacing w:after="0" w:line="231" w:lineRule="auto"/>
        <w:tabs>
          <w:tab w:leader="none" w:pos="10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Designee (i) confirms that it has received a copy of the Credit Agreement, together with copies of the most recent financial statements referred to in Article 4 or delivered pursuant to Article 5 thereof and such other documents and information as it has deemed appropriate to make its own credit analysis and decision to enter into this Designation Agreement and (ii) agrees that it will, independently and without reliance upon the Administrative Agent, the Designator or any other Lender and based on such documents and information as it shall deem appropriate at the time, continue to make its own credit decisions in taking or not taking any action it may be permitted to take under the Credit Agreement.</w:t>
      </w:r>
    </w:p>
    <w:p>
      <w:pPr>
        <w:spacing w:after="0" w:line="155" w:lineRule="exact"/>
        <w:rPr>
          <w:rFonts w:ascii="Arial" w:cs="Arial" w:eastAsia="Arial" w:hAnsi="Arial"/>
          <w:sz w:val="20"/>
          <w:szCs w:val="20"/>
          <w:color w:val="auto"/>
        </w:rPr>
      </w:pPr>
    </w:p>
    <w:p>
      <w:pPr>
        <w:ind w:right="180" w:firstLine="642"/>
        <w:spacing w:after="0" w:line="242" w:lineRule="auto"/>
        <w:tabs>
          <w:tab w:leader="none" w:pos="10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Following the execution of this Designation Agreement by the Designator and the Designee and the consent hereto by the Company, it will be delivered to the Administrative Agent for its consent. This Designation Agreement shall become effective when the Administrative Agent consents hereto or on any later date specified on the signature page hereof.</w:t>
      </w:r>
    </w:p>
    <w:p>
      <w:pPr>
        <w:spacing w:after="0" w:line="152" w:lineRule="exact"/>
        <w:rPr>
          <w:rFonts w:ascii="Arial" w:cs="Arial" w:eastAsia="Arial" w:hAnsi="Arial"/>
          <w:sz w:val="20"/>
          <w:szCs w:val="20"/>
          <w:color w:val="auto"/>
        </w:rPr>
      </w:pPr>
    </w:p>
    <w:p>
      <w:pPr>
        <w:ind w:right="20" w:firstLine="642"/>
        <w:spacing w:after="0" w:line="239" w:lineRule="auto"/>
        <w:tabs>
          <w:tab w:leader="none" w:pos="106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Upon the effectiveness hereof, the Designee shall have the right to make Loans or portions thereof as a Lender pursuant to Section 2.01 of the Credit Agreement and the rights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63" w:lineRule="exact"/>
        <w:rPr>
          <w:sz w:val="20"/>
          <w:szCs w:val="20"/>
          <w:color w:val="auto"/>
        </w:rPr>
      </w:pPr>
    </w:p>
    <w:p>
      <w:pPr>
        <w:ind w:right="140"/>
        <w:spacing w:after="0" w:line="290" w:lineRule="auto"/>
        <w:rPr>
          <w:sz w:val="20"/>
          <w:szCs w:val="20"/>
          <w:color w:val="auto"/>
        </w:rPr>
      </w:pPr>
      <w:r>
        <w:rPr>
          <w:rFonts w:ascii="Arial" w:cs="Arial" w:eastAsia="Arial" w:hAnsi="Arial"/>
          <w:sz w:val="19"/>
          <w:szCs w:val="19"/>
          <w:color w:val="auto"/>
        </w:rPr>
        <w:t>Lender related thereto. The making of any such Loans or portions thereof by the Designee shall satisfy the obligations of the Designator under the Credit Agreement to the same extent, and as if, such Loans or portions thereof were made by the Designator.</w:t>
      </w:r>
    </w:p>
    <w:p>
      <w:pPr>
        <w:spacing w:after="0" w:line="108" w:lineRule="exact"/>
        <w:rPr>
          <w:sz w:val="20"/>
          <w:szCs w:val="20"/>
          <w:color w:val="auto"/>
        </w:rPr>
      </w:pPr>
    </w:p>
    <w:p>
      <w:pPr>
        <w:ind w:left="1060" w:hanging="418"/>
        <w:spacing w:after="0"/>
        <w:tabs>
          <w:tab w:leader="none" w:pos="10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This Designation Agreement shall be governed by and construed in accordance with the laws of the State of New York.</w:t>
      </w:r>
    </w:p>
    <w:p>
      <w:pPr>
        <w:spacing w:after="0" w:line="206" w:lineRule="exact"/>
        <w:rPr>
          <w:sz w:val="20"/>
          <w:szCs w:val="20"/>
          <w:color w:val="auto"/>
        </w:rPr>
      </w:pPr>
    </w:p>
    <w:p>
      <w:pPr>
        <w:ind w:right="220" w:firstLine="636"/>
        <w:spacing w:after="0" w:line="239" w:lineRule="auto"/>
        <w:rPr>
          <w:sz w:val="20"/>
          <w:szCs w:val="20"/>
          <w:color w:val="auto"/>
        </w:rPr>
      </w:pPr>
      <w:r>
        <w:rPr>
          <w:rFonts w:ascii="Arial" w:cs="Arial" w:eastAsia="Arial" w:hAnsi="Arial"/>
          <w:sz w:val="21"/>
          <w:szCs w:val="21"/>
          <w:color w:val="auto"/>
        </w:rPr>
        <w:t>IN WITNESS WHEREOF, the parties have caused this Designation Agreement to be executed by their respective officers hereunto duly authorized, as of the date first above written.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Effective Date:______ __, ____</w:t>
      </w:r>
    </w:p>
    <w:p>
      <w:pPr>
        <w:spacing w:after="0" w:line="245"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[NAME OF DESIGNATOR]</w:t>
      </w:r>
    </w:p>
    <w:p>
      <w:pPr>
        <w:spacing w:after="0" w:line="200" w:lineRule="exact"/>
        <w:rPr>
          <w:sz w:val="20"/>
          <w:szCs w:val="20"/>
          <w:color w:val="auto"/>
        </w:rPr>
      </w:pPr>
    </w:p>
    <w:p>
      <w:pPr>
        <w:spacing w:after="0" w:line="257"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15240</wp:posOffset>
            </wp:positionV>
            <wp:extent cx="19354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935480" cy="8255"/>
                    </a:xfrm>
                    <a:prstGeom prst="rect">
                      <a:avLst/>
                    </a:prstGeom>
                    <a:noFill/>
                  </pic:spPr>
                </pic:pic>
              </a:graphicData>
            </a:graphic>
          </wp:anchor>
        </w:drawing>
      </w:r>
    </w:p>
    <w:p>
      <w:pPr>
        <w:spacing w:after="0" w:line="13"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Title:</w:t>
      </w:r>
    </w:p>
    <w:p>
      <w:pPr>
        <w:spacing w:after="0" w:line="382"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[NAME OF DESIGNEE]</w:t>
      </w:r>
    </w:p>
    <w:p>
      <w:pPr>
        <w:spacing w:after="0" w:line="200" w:lineRule="exact"/>
        <w:rPr>
          <w:sz w:val="20"/>
          <w:szCs w:val="20"/>
          <w:color w:val="auto"/>
        </w:rPr>
      </w:pPr>
    </w:p>
    <w:p>
      <w:pPr>
        <w:spacing w:after="0" w:line="244"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23495</wp:posOffset>
            </wp:positionV>
            <wp:extent cx="19354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935480" cy="8255"/>
                    </a:xfrm>
                    <a:prstGeom prst="rect">
                      <a:avLst/>
                    </a:prstGeom>
                    <a:noFill/>
                  </pic:spPr>
                </pic:pic>
              </a:graphicData>
            </a:graphic>
          </wp:anchor>
        </w:drawing>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1180"/>
          </w:cols>
          <w:pgMar w:left="320" w:top="1440" w:right="399" w:bottom="1440" w:gutter="0" w:footer="0" w:header="0"/>
        </w:sectPr>
      </w:pPr>
    </w:p>
    <w:bookmarkStart w:id="156" w:name="page157"/>
    <w:bookmarkEnd w:id="156"/>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consent to the foregoing designation.</w:t>
      </w:r>
    </w:p>
    <w:p>
      <w:pPr>
        <w:spacing w:after="0" w:line="272"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CAMPBELL SOUP COMPANY</w:t>
      </w:r>
    </w:p>
    <w:p>
      <w:pPr>
        <w:spacing w:after="0" w:line="200" w:lineRule="exact"/>
        <w:rPr>
          <w:sz w:val="20"/>
          <w:szCs w:val="20"/>
          <w:color w:val="auto"/>
        </w:rPr>
      </w:pPr>
    </w:p>
    <w:p>
      <w:pPr>
        <w:spacing w:after="0" w:line="257"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15240</wp:posOffset>
            </wp:positionV>
            <wp:extent cx="19354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935480" cy="8255"/>
                    </a:xfrm>
                    <a:prstGeom prst="rect">
                      <a:avLst/>
                    </a:prstGeom>
                    <a:noFill/>
                  </pic:spPr>
                </pic:pic>
              </a:graphicData>
            </a:graphic>
          </wp:anchor>
        </w:drawing>
      </w:r>
    </w:p>
    <w:p>
      <w:pPr>
        <w:spacing w:after="0" w:line="13"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Title:</w:t>
      </w:r>
    </w:p>
    <w:p>
      <w:pPr>
        <w:spacing w:after="0" w:line="37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JPMORGAN CHASE BANK, N.A.,</w:t>
      </w:r>
    </w:p>
    <w:p>
      <w:pPr>
        <w:ind w:left="3880"/>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41"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15240</wp:posOffset>
            </wp:positionV>
            <wp:extent cx="19354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935480" cy="8255"/>
                    </a:xfrm>
                    <a:prstGeom prst="rect">
                      <a:avLst/>
                    </a:prstGeom>
                    <a:noFill/>
                  </pic:spPr>
                </pic:pic>
              </a:graphicData>
            </a:graphic>
          </wp:anchor>
        </w:drawing>
      </w:r>
    </w:p>
    <w:p>
      <w:pPr>
        <w:spacing w:after="0" w:line="13"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color w:val="FF0000"/>
          <w:strike w:val="1"/>
        </w:rPr>
        <w:t>#96599450v1</w:t>
      </w:r>
    </w:p>
    <w:p>
      <w:pPr>
        <w:sectPr>
          <w:pgSz w:w="11900" w:h="16838" w:orient="portrait"/>
          <w:cols w:equalWidth="0" w:num="1">
            <w:col w:w="10139"/>
          </w:cols>
          <w:pgMar w:left="320" w:top="1440"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9"/>
          <w:szCs w:val="19"/>
          <w:b w:val="1"/>
          <w:bCs w:val="1"/>
          <w:color w:val="auto"/>
        </w:rPr>
        <w:t>EXHIBIT F</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EXTENSION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ind w:left="220"/>
        <w:spacing w:after="0" w:line="218" w:lineRule="auto"/>
        <w:rPr>
          <w:sz w:val="20"/>
          <w:szCs w:val="20"/>
          <w:color w:val="auto"/>
        </w:rPr>
      </w:pPr>
      <w:r>
        <w:rPr>
          <w:rFonts w:ascii="Arial" w:cs="Arial" w:eastAsia="Arial" w:hAnsi="Arial"/>
          <w:sz w:val="19"/>
          <w:szCs w:val="19"/>
          <w:color w:val="auto"/>
        </w:rPr>
        <w:t>as Administrative Agent</w:t>
      </w:r>
    </w:p>
    <w:p>
      <w:pPr>
        <w:ind w:left="220"/>
        <w:spacing w:after="0" w:line="204" w:lineRule="auto"/>
        <w:rPr>
          <w:sz w:val="20"/>
          <w:szCs w:val="20"/>
          <w:color w:val="auto"/>
        </w:rPr>
      </w:pPr>
      <w:r>
        <w:rPr>
          <w:rFonts w:ascii="Arial" w:cs="Arial" w:eastAsia="Arial" w:hAnsi="Arial"/>
          <w:sz w:val="19"/>
          <w:szCs w:val="19"/>
          <w:color w:val="auto"/>
        </w:rPr>
        <w:t>under the Credit Agreement</w:t>
      </w:r>
    </w:p>
    <w:p>
      <w:pPr>
        <w:ind w:left="220"/>
        <w:spacing w:after="0"/>
        <w:rPr>
          <w:sz w:val="20"/>
          <w:szCs w:val="20"/>
          <w:color w:val="auto"/>
        </w:rPr>
      </w:pPr>
      <w:r>
        <w:rPr>
          <w:rFonts w:ascii="Arial" w:cs="Arial" w:eastAsia="Arial" w:hAnsi="Arial"/>
          <w:sz w:val="19"/>
          <w:szCs w:val="19"/>
          <w:color w:val="auto"/>
        </w:rPr>
        <w:t>referred to below</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88" w:lineRule="exact"/>
        <w:rPr>
          <w:sz w:val="20"/>
          <w:szCs w:val="20"/>
          <w:color w:val="auto"/>
        </w:rPr>
      </w:pPr>
    </w:p>
    <w:p>
      <w:pPr>
        <w:ind w:right="280" w:firstLine="636"/>
        <w:spacing w:after="0" w:line="247" w:lineRule="auto"/>
        <w:rPr>
          <w:sz w:val="20"/>
          <w:szCs w:val="20"/>
          <w:color w:val="auto"/>
        </w:rPr>
      </w:pPr>
      <w:r>
        <w:rPr>
          <w:rFonts w:ascii="Arial" w:cs="Arial" w:eastAsia="Arial" w:hAnsi="Arial"/>
          <w:sz w:val="19"/>
          <w:szCs w:val="19"/>
          <w:color w:val="auto"/>
        </w:rPr>
        <w:t>The undersigned hereby agrees to extend, effective [Extension Date], the Termination Date under the Five-Year Credit Agreement dated as of September 27, 2021 among Campbell Soup Company, the Eligible Subsidiaries referred to therein, the Lenders party thereto and JPMorgan Chase Bank, N.A., as Administrative Agent (as amended, restated, amended and restated,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for one year to [date to which the Termination Date is extended]. Terms defined in the Credit Agreement are used herein with the same meaning.</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Extension Agreement shall be governed by and construed in accordance with the laws of the State of New York.</w:t>
      </w:r>
    </w:p>
    <w:p>
      <w:pPr>
        <w:spacing w:after="0" w:line="232"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[LENDERS]</w:t>
      </w:r>
    </w:p>
    <w:p>
      <w:pPr>
        <w:spacing w:after="0" w:line="200" w:lineRule="exact"/>
        <w:rPr>
          <w:sz w:val="20"/>
          <w:szCs w:val="20"/>
          <w:color w:val="auto"/>
        </w:rPr>
      </w:pPr>
    </w:p>
    <w:p>
      <w:pPr>
        <w:spacing w:after="0" w:line="257"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15240</wp:posOffset>
            </wp:positionV>
            <wp:extent cx="19939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993900" cy="8255"/>
                    </a:xfrm>
                    <a:prstGeom prst="rect">
                      <a:avLst/>
                    </a:prstGeom>
                    <a:noFill/>
                  </pic:spPr>
                </pic:pic>
              </a:graphicData>
            </a:graphic>
          </wp:anchor>
        </w:drawing>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Title:</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auto"/>
        </w:rPr>
        <w:t>Agreed and accepted:</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9"/>
          <w:szCs w:val="19"/>
          <w:color w:val="auto"/>
        </w:rPr>
        <w:t>CAMPBELL SOUP COMPANY</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23495</wp:posOffset>
            </wp:positionV>
            <wp:extent cx="30289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Name: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9"/>
          <w:szCs w:val="19"/>
          <w:color w:val="auto"/>
        </w:rPr>
        <w:t>JPMORGAN CHASE BANK, N.A., as Administrative Agent</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15240</wp:posOffset>
            </wp:positionV>
            <wp:extent cx="3028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Name: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1375"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line="234" w:lineRule="auto"/>
        <w:rPr>
          <w:sz w:val="20"/>
          <w:szCs w:val="20"/>
          <w:color w:val="auto"/>
        </w:rPr>
      </w:pPr>
      <w:r>
        <w:rPr>
          <w:rFonts w:ascii="Arial" w:cs="Arial" w:eastAsia="Arial" w:hAnsi="Arial"/>
          <w:sz w:val="12"/>
          <w:szCs w:val="12"/>
          <w:color w:val="auto"/>
        </w:rPr>
        <w:t>WEIL:\97681155\2\37073.0022</w:t>
      </w:r>
    </w:p>
    <w:p>
      <w:pPr>
        <w:spacing w:after="0" w:line="204" w:lineRule="auto"/>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96599450v1</w:t>
      </w:r>
      <w:r>
        <w:rPr>
          <w:rFonts w:ascii="Arial" w:cs="Arial" w:eastAsia="Arial" w:hAnsi="Arial"/>
          <w:sz w:val="12"/>
          <w:szCs w:val="12"/>
          <w:u w:val="single" w:color="auto"/>
          <w:color w:val="0000FF"/>
        </w:rPr>
        <w:t>96599450v11</w:t>
      </w:r>
    </w:p>
    <w:p>
      <w:pPr>
        <w:spacing w:after="0"/>
        <w:rPr>
          <w:sz w:val="20"/>
          <w:szCs w:val="20"/>
          <w:color w:val="auto"/>
        </w:rPr>
      </w:pPr>
      <w:r>
        <w:rPr>
          <w:rFonts w:ascii="Arial" w:cs="Arial" w:eastAsia="Arial" w:hAnsi="Arial"/>
          <w:sz w:val="12"/>
          <w:szCs w:val="12"/>
          <w:u w:val="single" w:color="auto"/>
          <w:color w:val="0000FF"/>
        </w:rPr>
        <w:t>WEIL:\99042298\2\37073.0028</w:t>
      </w:r>
    </w:p>
    <w:p>
      <w:pPr>
        <w:sectPr>
          <w:pgSz w:w="11900" w:h="16838" w:orient="portrait"/>
          <w:cols w:equalWidth="0" w:num="1">
            <w:col w:w="10139"/>
          </w:cols>
          <w:pgMar w:left="320" w:top="144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64" w:lineRule="exact"/>
        <w:rPr>
          <w:rFonts w:ascii="Arial" w:cs="Arial" w:eastAsia="Arial" w:hAnsi="Arial"/>
          <w:sz w:val="18"/>
          <w:szCs w:val="18"/>
          <w:color w:val="auto"/>
        </w:rPr>
      </w:pPr>
    </w:p>
    <w:p>
      <w:pPr>
        <w:ind w:right="460" w:firstLine="205"/>
        <w:spacing w:after="0" w:line="365" w:lineRule="auto"/>
        <w:tabs>
          <w:tab w:leader="none" w:pos="37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560" w:firstLine="205"/>
        <w:spacing w:after="0" w:line="294" w:lineRule="auto"/>
        <w:tabs>
          <w:tab w:leader="none" w:pos="37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right="60" w:firstLine="205"/>
        <w:spacing w:after="0" w:line="255" w:lineRule="auto"/>
        <w:tabs>
          <w:tab w:leader="none" w:pos="37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right="140" w:firstLine="443"/>
        <w:spacing w:after="0" w:line="255" w:lineRule="auto"/>
        <w:tabs>
          <w:tab w:leader="none" w:pos="61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right="120" w:firstLine="443"/>
        <w:spacing w:after="0" w:line="255" w:lineRule="auto"/>
        <w:tabs>
          <w:tab w:leader="none" w:pos="62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right="160" w:firstLine="443"/>
        <w:spacing w:after="0" w:line="294" w:lineRule="auto"/>
        <w:tabs>
          <w:tab w:leader="none" w:pos="61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7"/>
          <w:szCs w:val="17"/>
          <w:color w:val="auto"/>
        </w:rPr>
      </w:pPr>
    </w:p>
    <w:p>
      <w:pPr>
        <w:ind w:right="200" w:firstLine="443"/>
        <w:spacing w:after="0" w:line="255" w:lineRule="auto"/>
        <w:tabs>
          <w:tab w:leader="none" w:pos="62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right="280" w:firstLine="205"/>
        <w:spacing w:after="0" w:line="365" w:lineRule="auto"/>
        <w:tabs>
          <w:tab w:leader="none" w:pos="37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right="100" w:firstLine="443"/>
        <w:spacing w:after="0" w:line="264" w:lineRule="auto"/>
        <w:tabs>
          <w:tab w:leader="none" w:pos="61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right="140" w:firstLine="443"/>
        <w:spacing w:after="0" w:line="264" w:lineRule="auto"/>
        <w:tabs>
          <w:tab w:leader="none" w:pos="62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2023</w:t>
      </w:r>
    </w:p>
    <w:p>
      <w:pPr>
        <w:spacing w:after="0" w:line="230" w:lineRule="exact"/>
        <w:rPr>
          <w:sz w:val="20"/>
          <w:szCs w:val="20"/>
          <w:color w:val="auto"/>
        </w:rPr>
      </w:pPr>
    </w:p>
    <w:p>
      <w:pPr>
        <w:ind w:left="4140"/>
        <w:spacing w:after="0"/>
        <w:tabs>
          <w:tab w:leader="none" w:pos="4600" w:val="left"/>
        </w:tabs>
        <w:rPr>
          <w:sz w:val="20"/>
          <w:szCs w:val="20"/>
          <w:color w:val="auto"/>
        </w:rPr>
      </w:pPr>
      <w:r>
        <w:rPr>
          <w:rFonts w:ascii="Arial" w:cs="Arial" w:eastAsia="Arial" w:hAnsi="Arial"/>
          <w:sz w:val="18"/>
          <w:szCs w:val="18"/>
          <w:color w:val="auto"/>
        </w:rPr>
        <w:t>By:</w:t>
        <w:tab/>
        <w:t>/s/ Mark A. Clouse</w:t>
      </w:r>
    </w:p>
    <w:p>
      <w:pPr>
        <w:spacing w:after="0" w:line="30" w:lineRule="exact"/>
        <w:rPr>
          <w:sz w:val="20"/>
          <w:szCs w:val="20"/>
          <w:color w:val="auto"/>
        </w:rPr>
      </w:pPr>
    </w:p>
    <w:tbl>
      <w:tblPr>
        <w:tblLayout w:type="fixed"/>
        <w:tblInd w:w="4600" w:type="dxa"/>
        <w:tblCellMar>
          <w:top w:w="0" w:type="dxa"/>
          <w:left w:w="0" w:type="dxa"/>
          <w:bottom w:w="0" w:type="dxa"/>
          <w:right w:w="0" w:type="dxa"/>
        </w:tblCellMar>
      </w:tblPr>
      <w:tr>
        <w:trPr>
          <w:trHeight w:val="220"/>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Mark A. Clouse</w:t>
            </w:r>
          </w:p>
        </w:tc>
      </w:tr>
      <w:tr>
        <w:trPr>
          <w:trHeight w:val="223"/>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76"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64" w:lineRule="exact"/>
        <w:rPr>
          <w:rFonts w:ascii="Arial" w:cs="Arial" w:eastAsia="Arial" w:hAnsi="Arial"/>
          <w:sz w:val="18"/>
          <w:szCs w:val="18"/>
          <w:color w:val="auto"/>
        </w:rPr>
      </w:pPr>
    </w:p>
    <w:p>
      <w:pPr>
        <w:ind w:right="460" w:firstLine="205"/>
        <w:spacing w:after="0" w:line="365" w:lineRule="auto"/>
        <w:tabs>
          <w:tab w:leader="none" w:pos="37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560" w:firstLine="205"/>
        <w:spacing w:after="0" w:line="294" w:lineRule="auto"/>
        <w:tabs>
          <w:tab w:leader="none" w:pos="37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right="60" w:firstLine="205"/>
        <w:spacing w:after="0" w:line="255" w:lineRule="auto"/>
        <w:tabs>
          <w:tab w:leader="none" w:pos="3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right="140" w:firstLine="443"/>
        <w:spacing w:after="0" w:line="255" w:lineRule="auto"/>
        <w:tabs>
          <w:tab w:leader="none" w:pos="61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right="120" w:firstLine="443"/>
        <w:spacing w:after="0" w:line="255" w:lineRule="auto"/>
        <w:tabs>
          <w:tab w:leader="none" w:pos="62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right="160" w:firstLine="443"/>
        <w:spacing w:after="0" w:line="294" w:lineRule="auto"/>
        <w:tabs>
          <w:tab w:leader="none" w:pos="619"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7"/>
          <w:szCs w:val="17"/>
          <w:color w:val="auto"/>
        </w:rPr>
      </w:pPr>
    </w:p>
    <w:p>
      <w:pPr>
        <w:ind w:right="200" w:firstLine="443"/>
        <w:spacing w:after="0" w:line="255" w:lineRule="auto"/>
        <w:tabs>
          <w:tab w:leader="none" w:pos="62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right="280" w:firstLine="205"/>
        <w:spacing w:after="0" w:line="365" w:lineRule="auto"/>
        <w:tabs>
          <w:tab w:leader="none" w:pos="37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right="100" w:firstLine="443"/>
        <w:spacing w:after="0" w:line="264" w:lineRule="auto"/>
        <w:tabs>
          <w:tab w:leader="none" w:pos="61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right="140" w:firstLine="443"/>
        <w:spacing w:after="0" w:line="264" w:lineRule="auto"/>
        <w:tabs>
          <w:tab w:leader="none" w:pos="62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2023</w:t>
      </w:r>
    </w:p>
    <w:p>
      <w:pPr>
        <w:spacing w:after="0" w:line="204"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18"/>
          <w:szCs w:val="18"/>
          <w:color w:val="auto"/>
        </w:rPr>
        <w:t>By:</w:t>
        <w:tab/>
        <w:t>/s/ Carrie L. Anderson</w:t>
      </w:r>
    </w:p>
    <w:p>
      <w:pPr>
        <w:spacing w:after="0" w:line="17" w:lineRule="exact"/>
        <w:rPr>
          <w:sz w:val="20"/>
          <w:szCs w:val="20"/>
          <w:color w:val="auto"/>
        </w:rPr>
      </w:pPr>
    </w:p>
    <w:tbl>
      <w:tblPr>
        <w:tblLayout w:type="fixed"/>
        <w:tblInd w:w="4600" w:type="dxa"/>
        <w:tblCellMar>
          <w:top w:w="0" w:type="dxa"/>
          <w:left w:w="0" w:type="dxa"/>
          <w:bottom w:w="0" w:type="dxa"/>
          <w:right w:w="0" w:type="dxa"/>
        </w:tblCellMar>
      </w:tblPr>
      <w:tr>
        <w:trPr>
          <w:trHeight w:val="223"/>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Carrie L. Anderson</w:t>
            </w:r>
          </w:p>
        </w:tc>
      </w:tr>
      <w:tr>
        <w:trPr>
          <w:trHeight w:val="23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77"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ind w:right="80" w:firstLine="199"/>
        <w:spacing w:after="0" w:line="255"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30, 2023 (the “Report”), I, Mark A. Clouse, President and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700" w:hanging="257"/>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700" w:hanging="257"/>
        <w:spacing w:after="0"/>
        <w:tabs>
          <w:tab w:leader="none" w:pos="70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2023</w:t>
      </w:r>
    </w:p>
    <w:p>
      <w:pPr>
        <w:spacing w:after="0" w:line="45"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18"/>
          <w:szCs w:val="18"/>
          <w:color w:val="auto"/>
        </w:rPr>
        <w:t>By:</w:t>
        <w:tab/>
        <w:t>/s/ Mark A. Clouse</w:t>
      </w:r>
    </w:p>
    <w:p>
      <w:pPr>
        <w:spacing w:after="0" w:line="16" w:lineRule="exact"/>
        <w:rPr>
          <w:sz w:val="20"/>
          <w:szCs w:val="20"/>
          <w:color w:val="auto"/>
        </w:rPr>
      </w:pPr>
    </w:p>
    <w:tbl>
      <w:tblPr>
        <w:tblLayout w:type="fixed"/>
        <w:tblInd w:w="4600" w:type="dxa"/>
        <w:tblCellMar>
          <w:top w:w="0" w:type="dxa"/>
          <w:left w:w="0" w:type="dxa"/>
          <w:bottom w:w="0" w:type="dxa"/>
          <w:right w:w="0" w:type="dxa"/>
        </w:tblCellMar>
      </w:tblPr>
      <w:tr>
        <w:trPr>
          <w:trHeight w:val="223"/>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Mark A. Clouse</w:t>
            </w:r>
          </w:p>
        </w:tc>
      </w:tr>
      <w:tr>
        <w:trPr>
          <w:trHeight w:val="23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2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ind w:right="40" w:firstLine="199"/>
        <w:spacing w:after="0" w:line="255"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30, 2023 (the “Report”), I, Carrie L. Anderson, Executive Vice President and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700" w:hanging="257"/>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700" w:hanging="257"/>
        <w:spacing w:after="0"/>
        <w:tabs>
          <w:tab w:leader="none" w:pos="70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2023</w:t>
      </w:r>
    </w:p>
    <w:p>
      <w:pPr>
        <w:spacing w:after="0" w:line="45"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10795</wp:posOffset>
            </wp:positionV>
            <wp:extent cx="3785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78587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Carrie L. Anderson</w:t>
      </w:r>
    </w:p>
    <w:p>
      <w:pPr>
        <w:spacing w:after="0" w:line="66" w:lineRule="exact"/>
        <w:rPr>
          <w:sz w:val="20"/>
          <w:szCs w:val="20"/>
          <w:color w:val="auto"/>
        </w:rPr>
      </w:pPr>
    </w:p>
    <w:p>
      <w:pPr>
        <w:sectPr>
          <w:pgSz w:w="11900" w:h="16838" w:orient="portrait"/>
          <w:cols w:equalWidth="0" w:num="2">
            <w:col w:w="5080" w:space="380"/>
            <w:col w:w="5780"/>
          </w:cols>
          <w:pgMar w:left="320" w:top="876" w:right="339" w:bottom="1440" w:gutter="0" w:footer="0" w:header="0"/>
          <w:type w:val="continuous"/>
        </w:sectPr>
      </w:pPr>
    </w:p>
    <w:p>
      <w:pPr>
        <w:ind w:left="46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and Chief Financial Officer</w:t>
      </w:r>
    </w:p>
    <w:p>
      <w:pPr>
        <w:spacing w:after="0" w:line="222" w:lineRule="exact"/>
        <w:rPr>
          <w:sz w:val="20"/>
          <w:szCs w:val="20"/>
          <w:color w:val="auto"/>
        </w:rPr>
      </w:pPr>
    </w:p>
    <w:p>
      <w:pPr>
        <w:sectPr>
          <w:pgSz w:w="11900" w:h="16838" w:orient="portrait"/>
          <w:cols w:equalWidth="0" w:num="2">
            <w:col w:w="4980" w:space="480"/>
            <w:col w:w="5780"/>
          </w:cols>
          <w:pgMar w:left="320" w:top="876" w:right="3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2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1."/>
      <w:numFmt w:val="decimal"/>
      <w:start w:val="2"/>
    </w:lvl>
  </w:abstractNum>
  <w:abstractNum w:abstractNumId="1">
    <w:nsid w:val="3222E7CD"/>
    <w:multiLevelType w:val="hybridMultilevel"/>
    <w:lvl w:ilvl="0">
      <w:lvlJc w:val="left"/>
      <w:lvlText w:val="(%1)"/>
      <w:numFmt w:val="decimal"/>
      <w:start w:val="1"/>
    </w:lvl>
  </w:abstractNum>
  <w:abstractNum w:abstractNumId="2">
    <w:nsid w:val="74DE0EE3"/>
    <w:multiLevelType w:val="hybridMultilevel"/>
    <w:lvl w:ilvl="0">
      <w:lvlJc w:val="left"/>
      <w:lvlText w:val="(%1)"/>
      <w:numFmt w:val="decimal"/>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1)"/>
      <w:numFmt w:val="decimal"/>
      <w:start w:val="1"/>
    </w:lvl>
  </w:abstractNum>
  <w:abstractNum w:abstractNumId="5">
    <w:nsid w:val="46B7D447"/>
    <w:multiLevelType w:val="hybridMultilevel"/>
    <w:lvl w:ilvl="0">
      <w:lvlJc w:val="left"/>
      <w:lvlText w:val="(%1)"/>
      <w:numFmt w:val="decimal"/>
      <w:start w:val="1"/>
    </w:lvl>
  </w:abstractNum>
  <w:abstractNum w:abstractNumId="6">
    <w:nsid w:val="4A2AC315"/>
    <w:multiLevelType w:val="hybridMultilevel"/>
    <w:lvl w:ilvl="0">
      <w:lvlJc w:val="left"/>
      <w:lvlText w:val="(%1)"/>
      <w:numFmt w:val="decimal"/>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1)"/>
      <w:numFmt w:val="decimal"/>
      <w:start w:val="1"/>
    </w:lvl>
  </w:abstractNum>
  <w:abstractNum w:abstractNumId="9">
    <w:nsid w:val="CC1016F"/>
    <w:multiLevelType w:val="hybridMultilevel"/>
    <w:lvl w:ilvl="0">
      <w:lvlJc w:val="left"/>
      <w:lvlText w:val="%1."/>
      <w:numFmt w:val="decimal"/>
      <w:start w:val="15"/>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1)"/>
      <w:numFmt w:val="decimal"/>
      <w:start w:val="1"/>
    </w:lvl>
  </w:abstractNum>
  <w:abstractNum w:abstractNumId="13">
    <w:nsid w:val="7F01579B"/>
    <w:multiLevelType w:val="hybridMultilevel"/>
    <w:lvl w:ilvl="0">
      <w:lvlJc w:val="left"/>
      <w:lvlText w:val="(%1)"/>
      <w:numFmt w:val="decimal"/>
      <w:start w:val="1"/>
    </w:lvl>
  </w:abstractNum>
  <w:abstractNum w:abstractNumId="14">
    <w:nsid w:val="49DA307D"/>
    <w:multiLevelType w:val="hybridMultilevel"/>
    <w:lvl w:ilvl="0">
      <w:lvlJc w:val="left"/>
      <w:lvlText w:val="(%1)"/>
      <w:numFmt w:val="decimal"/>
      <w:start w:val="1"/>
    </w:lvl>
  </w:abstractNum>
  <w:abstractNum w:abstractNumId="15">
    <w:nsid w:val="7055A5F5"/>
    <w:multiLevelType w:val="hybridMultilevel"/>
    <w:lvl w:ilvl="0">
      <w:lvlJc w:val="left"/>
      <w:lvlText w:val="(%1)"/>
      <w:numFmt w:val="decimal"/>
      <w:start w:val="1"/>
    </w:lvl>
  </w:abstractNum>
  <w:abstractNum w:abstractNumId="16">
    <w:nsid w:val="5FB8370B"/>
    <w:multiLevelType w:val="hybridMultilevel"/>
    <w:lvl w:ilvl="0">
      <w:lvlJc w:val="left"/>
      <w:lvlText w:val="(%1)"/>
      <w:numFmt w:val="decimal"/>
      <w:start w:val="1"/>
    </w:lvl>
  </w:abstractNum>
  <w:abstractNum w:abstractNumId="17">
    <w:nsid w:val="50801EE1"/>
    <w:multiLevelType w:val="hybridMultilevel"/>
    <w:lvl w:ilvl="0">
      <w:lvlJc w:val="left"/>
      <w:lvlText w:val="(%1)"/>
      <w:numFmt w:val="decimal"/>
      <w:start w:val="1"/>
    </w:lvl>
  </w:abstractNum>
  <w:abstractNum w:abstractNumId="18">
    <w:nsid w:val="488AC1A"/>
    <w:multiLevelType w:val="hybridMultilevel"/>
    <w:lvl w:ilvl="0">
      <w:lvlJc w:val="left"/>
      <w:lvlText w:val="(%1)"/>
      <w:numFmt w:val="decimal"/>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1."/>
      <w:numFmt w:val="lowerLetter"/>
      <w:start w:val="1"/>
    </w:lvl>
  </w:abstractNum>
  <w:abstractNum w:abstractNumId="24">
    <w:nsid w:val="7D5E18F8"/>
    <w:multiLevelType w:val="hybridMultilevel"/>
    <w:lvl w:ilvl="0">
      <w:lvlJc w:val="left"/>
      <w:lvlText w:val="%1."/>
      <w:numFmt w:val="lowerLetter"/>
      <w:start w:val="2"/>
    </w:lvl>
  </w:abstractNum>
  <w:abstractNum w:abstractNumId="25">
    <w:nsid w:val="5F3534A4"/>
    <w:multiLevelType w:val="hybridMultilevel"/>
    <w:lvl w:ilvl="0">
      <w:lvlJc w:val="left"/>
      <w:lvlText w:val="(%1)"/>
      <w:numFmt w:val="decimal"/>
      <w:start w:val="1"/>
    </w:lvl>
  </w:abstractNum>
  <w:abstractNum w:abstractNumId="26">
    <w:nsid w:val="73A1821B"/>
    <w:multiLevelType w:val="hybridMultilevel"/>
    <w:lvl w:ilvl="0">
      <w:lvlJc w:val="left"/>
      <w:lvlText w:val="(%1)"/>
      <w:numFmt w:val="decimal"/>
      <w:start w:val="3"/>
    </w:lvl>
  </w:abstractNum>
  <w:abstractNum w:abstractNumId="27">
    <w:nsid w:val="7DE67713"/>
    <w:multiLevelType w:val="hybridMultilevel"/>
    <w:lvl w:ilvl="0">
      <w:lvlJc w:val="left"/>
      <w:lvlText w:val="%1"/>
      <w:numFmt w:val="decimal"/>
      <w:start w:val="104"/>
    </w:lvl>
  </w:abstractNum>
  <w:abstractNum w:abstractNumId="28">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3FA62ACA"/>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3"/>
    </w:lvl>
    <w:lvl w:ilvl="3">
      <w:lvlJc w:val="left"/>
      <w:lvlText w:val="%4"/>
      <w:numFmt w:val="lowerLetter"/>
      <w:start w:val="1"/>
    </w:lvl>
  </w:abstractNum>
  <w:abstractNum w:abstractNumId="30">
    <w:nsid w:val="14FCE7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6A3DD3E8"/>
    <w:multiLevelType w:val="hybridMultilevel"/>
    <w:lvl w:ilvl="0">
      <w:lvlJc w:val="left"/>
      <w:lvlText w:val="%1"/>
      <w:numFmt w:val="decimal"/>
      <w:start w:val="1"/>
    </w:lvl>
    <w:lvl w:ilvl="1">
      <w:lvlJc w:val="left"/>
      <w:lvlText w:val="(%2)"/>
      <w:numFmt w:val="lowerLetter"/>
      <w:start w:val="2"/>
    </w:lvl>
  </w:abstractNum>
  <w:abstractNum w:abstractNumId="32">
    <w:nsid w:val="71C91298"/>
    <w:multiLevelType w:val="hybridMultilevel"/>
    <w:lvl w:ilvl="0">
      <w:lvlJc w:val="left"/>
      <w:lvlText w:val="%1."/>
      <w:numFmt w:val="decimal"/>
      <w:start w:val="6"/>
    </w:lvl>
    <w:lvl w:ilvl="1">
      <w:lvlJc w:val="left"/>
      <w:lvlText w:val="(%2)"/>
      <w:numFmt w:val="lowerLetter"/>
      <w:start w:val="1"/>
    </w:lvl>
  </w:abstractNum>
  <w:abstractNum w:abstractNumId="33">
    <w:nsid w:val="9DAF632"/>
    <w:multiLevelType w:val="hybridMultilevel"/>
    <w:lvl w:ilvl="0">
      <w:lvlJc w:val="left"/>
      <w:lvlText w:val="%1."/>
      <w:numFmt w:val="decimal"/>
      <w:start w:val="9"/>
    </w:lvl>
  </w:abstractNum>
  <w:abstractNum w:abstractNumId="34">
    <w:nsid w:val="53299938"/>
    <w:multiLevelType w:val="hybridMultilevel"/>
    <w:lvl w:ilvl="0">
      <w:lvlJc w:val="left"/>
      <w:lvlText w:val="(%1)"/>
      <w:numFmt w:val="lowerRoman"/>
      <w:start w:val="2"/>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1)"/>
      <w:numFmt w:val="lowerLetter"/>
      <w:start w:val="1"/>
    </w:lvl>
  </w:abstractNum>
  <w:abstractNum w:abstractNumId="37">
    <w:nsid w:val="1D545C4D"/>
    <w:multiLevelType w:val="hybridMultilevel"/>
    <w:lvl w:ilvl="0">
      <w:lvlJc w:val="left"/>
      <w:lvlText w:val="(%1)"/>
      <w:numFmt w:val="decimal"/>
      <w:start w:val="2"/>
    </w:lvl>
  </w:abstractNum>
  <w:abstractNum w:abstractNumId="38">
    <w:nsid w:val="59ADEA3D"/>
    <w:multiLevelType w:val="hybridMultilevel"/>
    <w:lvl w:ilvl="0">
      <w:lvlJc w:val="left"/>
      <w:lvlText w:val="%1"/>
      <w:numFmt w:val="decimal"/>
      <w:start w:val="1"/>
    </w:lvl>
    <w:lvl w:ilvl="1">
      <w:lvlJc w:val="left"/>
      <w:lvlText w:val="(%2)"/>
      <w:numFmt w:val="decimal"/>
      <w:start w:val="1"/>
    </w:lvl>
  </w:abstractNum>
  <w:abstractNum w:abstractNumId="39">
    <w:nsid w:val="288F1A34"/>
    <w:multiLevelType w:val="hybridMultilevel"/>
    <w:lvl w:ilvl="0">
      <w:lvlJc w:val="left"/>
      <w:lvlText w:val="(%1)"/>
      <w:numFmt w:val="decimal"/>
      <w:start w:val="3"/>
    </w:lvl>
    <w:lvl w:ilvl="1">
      <w:lvlJc w:val="left"/>
      <w:lvlText w:val="%2"/>
      <w:numFmt w:val="decimal"/>
      <w:start w:val="1"/>
    </w:lvl>
  </w:abstractNum>
  <w:abstractNum w:abstractNumId="40">
    <w:nsid w:val="2A155DBC"/>
    <w:multiLevelType w:val="hybridMultilevel"/>
    <w:lvl w:ilvl="0">
      <w:lvlJc w:val="left"/>
      <w:lvlText w:val="(%1)"/>
      <w:numFmt w:val="decimal"/>
      <w:start w:val="3"/>
    </w:lvl>
  </w:abstractNum>
  <w:abstractNum w:abstractNumId="41">
    <w:nsid w:val="1D9F6E5F"/>
    <w:multiLevelType w:val="hybridMultilevel"/>
    <w:lvl w:ilvl="0">
      <w:lvlJc w:val="left"/>
      <w:lvlText w:val="(%1)"/>
      <w:numFmt w:val="decimal"/>
      <w:start w:val="1"/>
    </w:lvl>
  </w:abstractNum>
  <w:abstractNum w:abstractNumId="42">
    <w:nsid w:val="97E1B4E"/>
    <w:multiLevelType w:val="hybridMultilevel"/>
    <w:lvl w:ilvl="0">
      <w:lvlJc w:val="left"/>
      <w:lvlText w:val="(%1)"/>
      <w:numFmt w:val="lowerLetter"/>
      <w:start w:val="2"/>
    </w:lvl>
  </w:abstractNum>
  <w:abstractNum w:abstractNumId="43">
    <w:nsid w:val="51088277"/>
    <w:multiLevelType w:val="hybridMultilevel"/>
    <w:lvl w:ilvl="0">
      <w:lvlJc w:val="left"/>
      <w:lvlText w:val="(%1)"/>
      <w:numFmt w:val="decimal"/>
      <w:start w:val="1"/>
    </w:lvl>
  </w:abstractNum>
  <w:abstractNum w:abstractNumId="44">
    <w:nsid w:val="1CA0C5FA"/>
    <w:multiLevelType w:val="hybridMultilevel"/>
    <w:lvl w:ilvl="0">
      <w:lvlJc w:val="left"/>
      <w:lvlText w:val="(%1)"/>
      <w:numFmt w:val="lowerLetter"/>
      <w:start w:val="1"/>
    </w:lvl>
  </w:abstractNum>
  <w:abstractNum w:abstractNumId="45">
    <w:nsid w:val="53584BCB"/>
    <w:multiLevelType w:val="hybridMultilevel"/>
    <w:lvl w:ilvl="0">
      <w:lvlJc w:val="left"/>
      <w:lvlText w:val="(%1)"/>
      <w:numFmt w:val="lowerLetter"/>
      <w:start w:val="3"/>
    </w:lvl>
  </w:abstractNum>
  <w:abstractNum w:abstractNumId="46">
    <w:nsid w:val="415E286C"/>
    <w:multiLevelType w:val="hybridMultilevel"/>
    <w:lvl w:ilvl="0">
      <w:lvlJc w:val="left"/>
      <w:lvlText w:val="(%1)"/>
      <w:numFmt w:val="decimal"/>
      <w:start w:val="1"/>
    </w:lvl>
  </w:abstractNum>
  <w:abstractNum w:abstractNumId="47">
    <w:nsid w:val="7C58FD05"/>
    <w:multiLevelType w:val="hybridMultilevel"/>
    <w:lvl w:ilvl="0">
      <w:lvlJc w:val="left"/>
      <w:lvlText w:val="(%1)"/>
      <w:numFmt w:val="decimal"/>
      <w:start w:val="1"/>
    </w:lvl>
  </w:abstractNum>
  <w:abstractNum w:abstractNumId="48">
    <w:nsid w:val="23D86AAC"/>
    <w:multiLevelType w:val="hybridMultilevel"/>
    <w:lvl w:ilvl="0">
      <w:lvlJc w:val="left"/>
      <w:lvlText w:val="(%1)"/>
      <w:numFmt w:val="lowerLetter"/>
      <w:start w:val="1"/>
    </w:lvl>
  </w:abstractNum>
  <w:abstractNum w:abstractNumId="49">
    <w:nsid w:val="45E6D486"/>
    <w:multiLevelType w:val="hybridMultilevel"/>
    <w:lvl w:ilvl="0">
      <w:lvlJc w:val="left"/>
      <w:lvlText w:val="(%1)"/>
      <w:numFmt w:val="lowerLetter"/>
      <w:start w:val="1"/>
    </w:lvl>
  </w:abstractNum>
  <w:abstractNum w:abstractNumId="50">
    <w:nsid w:val="5C10FE21"/>
    <w:multiLevelType w:val="hybridMultilevel"/>
    <w:lvl w:ilvl="0">
      <w:lvlJc w:val="left"/>
      <w:lvlText w:val="(%1)"/>
      <w:numFmt w:val="lowerLetter"/>
      <w:start w:val="2"/>
    </w:lvl>
  </w:abstractNum>
  <w:abstractNum w:abstractNumId="51">
    <w:nsid w:val="E7FFA2B"/>
    <w:multiLevelType w:val="hybridMultilevel"/>
    <w:lvl w:ilvl="0">
      <w:lvlJc w:val="left"/>
      <w:lvlText w:val="(%1)"/>
      <w:numFmt w:val="lowerRoman"/>
      <w:start w:val="1"/>
    </w:lvl>
  </w:abstractNum>
  <w:abstractNum w:abstractNumId="52">
    <w:nsid w:val="3C5991AA"/>
    <w:multiLevelType w:val="hybridMultilevel"/>
    <w:lvl w:ilvl="0">
      <w:lvlJc w:val="left"/>
      <w:lvlText w:val="(%1)"/>
      <w:numFmt w:val="lowerLetter"/>
      <w:start w:val="2"/>
    </w:lvl>
  </w:abstractNum>
  <w:abstractNum w:abstractNumId="53">
    <w:nsid w:val="4BD8591A"/>
    <w:multiLevelType w:val="hybridMultilevel"/>
    <w:lvl w:ilvl="0">
      <w:lvlJc w:val="left"/>
      <w:lvlText w:val="(%1)"/>
      <w:numFmt w:val="lowerLetter"/>
      <w:start w:val="1"/>
    </w:lvl>
  </w:abstractNum>
  <w:abstractNum w:abstractNumId="54">
    <w:nsid w:val="78DF6A55"/>
    <w:multiLevelType w:val="hybridMultilevel"/>
    <w:lvl w:ilvl="0">
      <w:lvlJc w:val="left"/>
      <w:lvlText w:val="(%1)"/>
      <w:numFmt w:val="lowerLetter"/>
      <w:start w:val="2"/>
    </w:lvl>
  </w:abstractNum>
  <w:abstractNum w:abstractNumId="55">
    <w:nsid w:val="39B7AAA2"/>
    <w:multiLevelType w:val="hybridMultilevel"/>
    <w:lvl w:ilvl="0">
      <w:lvlJc w:val="left"/>
      <w:lvlText w:val="(%1)"/>
      <w:numFmt w:val="lowerLetter"/>
      <w:start w:val="2"/>
    </w:lvl>
  </w:abstractNum>
  <w:abstractNum w:abstractNumId="56">
    <w:nsid w:val="2B0D8DBE"/>
    <w:multiLevelType w:val="hybridMultilevel"/>
    <w:lvl w:ilvl="0">
      <w:lvlJc w:val="left"/>
      <w:lvlText w:val="(%1)"/>
      <w:numFmt w:val="lowerLetter"/>
      <w:start w:val="2"/>
    </w:lvl>
  </w:abstractNum>
  <w:abstractNum w:abstractNumId="57">
    <w:nsid w:val="6C80EC70"/>
    <w:multiLevelType w:val="hybridMultilevel"/>
    <w:lvl w:ilvl="0">
      <w:lvlJc w:val="left"/>
      <w:lvlText w:val="(%1)"/>
      <w:numFmt w:val="lowerLetter"/>
      <w:start w:val="2"/>
    </w:lvl>
  </w:abstractNum>
  <w:abstractNum w:abstractNumId="58">
    <w:nsid w:val="379E21B5"/>
    <w:multiLevelType w:val="hybridMultilevel"/>
    <w:lvl w:ilvl="0">
      <w:lvlJc w:val="left"/>
      <w:lvlText w:val="(%1)"/>
      <w:numFmt w:val="lowerLetter"/>
      <w:start w:val="3"/>
    </w:lvl>
  </w:abstractNum>
  <w:abstractNum w:abstractNumId="59">
    <w:nsid w:val="69E373"/>
    <w:multiLevelType w:val="hybridMultilevel"/>
    <w:lvl w:ilvl="0">
      <w:lvlJc w:val="left"/>
      <w:lvlText w:val="(%1)"/>
      <w:numFmt w:val="lowerLetter"/>
      <w:start w:val="4"/>
    </w:lvl>
  </w:abstractNum>
  <w:abstractNum w:abstractNumId="60">
    <w:nsid w:val="2C27173B"/>
    <w:multiLevelType w:val="hybridMultilevel"/>
    <w:lvl w:ilvl="0">
      <w:lvlJc w:val="left"/>
      <w:lvlText w:val="(%1)"/>
      <w:numFmt w:val="lowerLetter"/>
      <w:start w:val="2"/>
    </w:lvl>
  </w:abstractNum>
  <w:abstractNum w:abstractNumId="61">
    <w:nsid w:val="4C9B0904"/>
    <w:multiLevelType w:val="hybridMultilevel"/>
    <w:lvl w:ilvl="0">
      <w:lvlJc w:val="left"/>
      <w:lvlText w:val="(%1)"/>
      <w:numFmt w:val="lowerRoman"/>
      <w:start w:val="1"/>
    </w:lvl>
  </w:abstractNum>
  <w:abstractNum w:abstractNumId="62">
    <w:nsid w:val="6AA7B75C"/>
    <w:multiLevelType w:val="hybridMultilevel"/>
    <w:lvl w:ilvl="0">
      <w:lvlJc w:val="left"/>
      <w:lvlText w:val="(%1)"/>
      <w:numFmt w:val="lowerLetter"/>
      <w:start w:val="2"/>
    </w:lvl>
    <w:lvl w:ilvl="1">
      <w:lvlJc w:val="left"/>
      <w:lvlText w:val="(%2)"/>
      <w:numFmt w:val="lowerRoman"/>
      <w:start w:val="1"/>
    </w:lvl>
  </w:abstractNum>
  <w:abstractNum w:abstractNumId="63">
    <w:nsid w:val="1DF029D3"/>
    <w:multiLevelType w:val="hybridMultilevel"/>
    <w:lvl w:ilvl="0">
      <w:lvlJc w:val="left"/>
      <w:lvlText w:val="(%1)"/>
      <w:numFmt w:val="lowerLetter"/>
      <w:start w:val="3"/>
    </w:lvl>
  </w:abstractNum>
  <w:abstractNum w:abstractNumId="64">
    <w:nsid w:val="5675FF36"/>
    <w:multiLevelType w:val="hybridMultilevel"/>
    <w:lvl w:ilvl="0">
      <w:lvlJc w:val="left"/>
      <w:lvlText w:val="(%1)"/>
      <w:numFmt w:val="lowerLetter"/>
      <w:start w:val="2"/>
    </w:lvl>
  </w:abstractNum>
  <w:abstractNum w:abstractNumId="65">
    <w:nsid w:val="3DD15094"/>
    <w:multiLevelType w:val="hybridMultilevel"/>
    <w:lvl w:ilvl="0">
      <w:lvlJc w:val="left"/>
      <w:lvlText w:val="(%1)"/>
      <w:numFmt w:val="lowerLetter"/>
      <w:start w:val="2"/>
    </w:lvl>
  </w:abstractNum>
  <w:abstractNum w:abstractNumId="66">
    <w:nsid w:val="3DB012B3"/>
    <w:multiLevelType w:val="hybridMultilevel"/>
    <w:lvl w:ilvl="0">
      <w:lvlJc w:val="left"/>
      <w:lvlText w:val="(%1)"/>
      <w:numFmt w:val="lowerLetter"/>
      <w:start w:val="4"/>
    </w:lvl>
  </w:abstractNum>
  <w:abstractNum w:abstractNumId="67">
    <w:nsid w:val="2708C9AF"/>
    <w:multiLevelType w:val="hybridMultilevel"/>
    <w:lvl w:ilvl="0">
      <w:lvlJc w:val="left"/>
      <w:lvlText w:val="(%1)"/>
      <w:numFmt w:val="lowerLetter"/>
      <w:start w:val="2"/>
    </w:lvl>
  </w:abstractNum>
  <w:abstractNum w:abstractNumId="68">
    <w:nsid w:val="5B25ACE2"/>
    <w:multiLevelType w:val="hybridMultilevel"/>
    <w:lvl w:ilvl="0">
      <w:lvlJc w:val="left"/>
      <w:lvlText w:val="(%1)"/>
      <w:numFmt w:val="lowerLetter"/>
      <w:start w:val="1"/>
    </w:lvl>
    <w:lvl w:ilvl="1">
      <w:lvlJc w:val="left"/>
      <w:lvlText w:val="(%2)"/>
      <w:numFmt w:val="lowerLetter"/>
      <w:start w:val="9"/>
    </w:lvl>
  </w:abstractNum>
  <w:abstractNum w:abstractNumId="69">
    <w:nsid w:val="175DFCF0"/>
    <w:multiLevelType w:val="hybridMultilevel"/>
    <w:lvl w:ilvl="0">
      <w:lvlJc w:val="left"/>
      <w:lvlText w:val="%1"/>
      <w:numFmt w:val="lowerLetter"/>
      <w:start w:val="1"/>
    </w:lvl>
    <w:lvl w:ilvl="1">
      <w:lvlJc w:val="left"/>
      <w:lvlText w:val="(%2)"/>
      <w:numFmt w:val="lowerRoman"/>
      <w:start w:val="2"/>
    </w:lvl>
  </w:abstractNum>
  <w:abstractNum w:abstractNumId="70">
    <w:nsid w:val="4F97E3E4"/>
    <w:multiLevelType w:val="hybridMultilevel"/>
    <w:lvl w:ilvl="0">
      <w:lvlJc w:val="left"/>
      <w:lvlText w:val="(%1)"/>
      <w:numFmt w:val="lowerLetter"/>
      <w:start w:val="3"/>
    </w:lvl>
    <w:lvl w:ilvl="1">
      <w:lvlJc w:val="left"/>
      <w:lvlText w:val="(%2)"/>
      <w:numFmt w:val="lowerRoman"/>
      <w:start w:val="1"/>
    </w:lvl>
  </w:abstractNum>
  <w:abstractNum w:abstractNumId="71">
    <w:nsid w:val="53B0A9E"/>
    <w:multiLevelType w:val="hybridMultilevel"/>
    <w:lvl w:ilvl="0">
      <w:lvlJc w:val="left"/>
      <w:lvlText w:val="%1"/>
      <w:numFmt w:val="lowerLetter"/>
      <w:start w:val="1"/>
    </w:lvl>
    <w:lvl w:ilvl="1">
      <w:lvlJc w:val="left"/>
      <w:lvlText w:val="(%2)"/>
      <w:numFmt w:val="lowerRoman"/>
      <w:start w:val="2"/>
    </w:lvl>
  </w:abstractNum>
  <w:abstractNum w:abstractNumId="72">
    <w:nsid w:val="34FD6B4F"/>
    <w:multiLevelType w:val="hybridMultilevel"/>
    <w:lvl w:ilvl="0">
      <w:lvlJc w:val="left"/>
      <w:lvlText w:val="(%1)"/>
      <w:numFmt w:val="lowerLetter"/>
      <w:start w:val="4"/>
    </w:lvl>
    <w:lvl w:ilvl="1">
      <w:lvlJc w:val="left"/>
      <w:lvlText w:val="(%2)"/>
      <w:numFmt w:val="lowerRoman"/>
      <w:start w:val="1"/>
    </w:lvl>
  </w:abstractNum>
  <w:abstractNum w:abstractNumId="73">
    <w:nsid w:val="5915FF32"/>
    <w:multiLevelType w:val="hybridMultilevel"/>
    <w:lvl w:ilvl="0">
      <w:lvlJc w:val="left"/>
      <w:lvlText w:val="%1"/>
      <w:numFmt w:val="lowerLetter"/>
      <w:start w:val="1"/>
    </w:lvl>
    <w:lvl w:ilvl="1">
      <w:lvlJc w:val="left"/>
      <w:lvlText w:val="(%2)"/>
      <w:numFmt w:val="lowerRoman"/>
      <w:start w:val="3"/>
    </w:lvl>
  </w:abstractNum>
  <w:abstractNum w:abstractNumId="74">
    <w:nsid w:val="56438D15"/>
    <w:multiLevelType w:val="hybridMultilevel"/>
    <w:lvl w:ilvl="0">
      <w:lvlJc w:val="left"/>
      <w:lvlText w:val="(%1)"/>
      <w:numFmt w:val="lowerLetter"/>
      <w:start w:val="5"/>
    </w:lvl>
    <w:lvl w:ilvl="1">
      <w:lvlJc w:val="left"/>
      <w:lvlText w:val="(%2)"/>
      <w:numFmt w:val="lowerRoman"/>
      <w:start w:val="1"/>
    </w:lvl>
  </w:abstractNum>
  <w:abstractNum w:abstractNumId="75">
    <w:nsid w:val="519E3149"/>
    <w:multiLevelType w:val="hybridMultilevel"/>
    <w:lvl w:ilvl="0">
      <w:lvlJc w:val="left"/>
      <w:lvlText w:val="%1"/>
      <w:numFmt w:val="lowerLetter"/>
      <w:start w:val="1"/>
    </w:lvl>
    <w:lvl w:ilvl="1">
      <w:lvlJc w:val="left"/>
      <w:lvlText w:val="(%2)"/>
      <w:numFmt w:val="lowerLetter"/>
      <w:start w:val="61"/>
    </w:lvl>
  </w:abstractNum>
  <w:abstractNum w:abstractNumId="76">
    <w:nsid w:val="2C6E4AFD"/>
    <w:multiLevelType w:val="hybridMultilevel"/>
    <w:lvl w:ilvl="0">
      <w:lvlJc w:val="left"/>
      <w:lvlText w:val="(%1)"/>
      <w:numFmt w:val="lowerLetter"/>
      <w:start w:val="6"/>
    </w:lvl>
    <w:lvl w:ilvl="1">
      <w:lvlJc w:val="left"/>
      <w:lvlText w:val="(%2)"/>
      <w:numFmt w:val="lowerLetter"/>
      <w:start w:val="9"/>
    </w:lvl>
  </w:abstractNum>
  <w:abstractNum w:abstractNumId="77">
    <w:nsid w:val="17A1B582"/>
    <w:multiLevelType w:val="hybridMultilevel"/>
    <w:lvl w:ilvl="0">
      <w:lvlJc w:val="left"/>
      <w:lvlText w:val="%1"/>
      <w:numFmt w:val="lowerLetter"/>
      <w:start w:val="1"/>
    </w:lvl>
    <w:lvl w:ilvl="1">
      <w:lvlJc w:val="left"/>
      <w:lvlText w:val="(%2)"/>
      <w:numFmt w:val="lowerLetter"/>
      <w:start w:val="35"/>
    </w:lvl>
  </w:abstractNum>
  <w:abstractNum w:abstractNumId="78">
    <w:nsid w:val="4DF72E4E"/>
    <w:multiLevelType w:val="hybridMultilevel"/>
    <w:lvl w:ilvl="0">
      <w:lvlJc w:val="left"/>
      <w:lvlText w:val="(%1)"/>
      <w:numFmt w:val="lowerLetter"/>
      <w:start w:val="7"/>
    </w:lvl>
    <w:lvl w:ilvl="1">
      <w:lvlJc w:val="left"/>
      <w:lvlText w:val="%2"/>
      <w:numFmt w:val="lowerLetter"/>
      <w:start w:val="1"/>
    </w:lvl>
  </w:abstractNum>
  <w:abstractNum w:abstractNumId="79">
    <w:nsid w:val="5046B5A9"/>
    <w:multiLevelType w:val="hybridMultilevel"/>
    <w:lvl w:ilvl="0">
      <w:lvlJc w:val="left"/>
      <w:lvlText w:val="(%1)"/>
      <w:numFmt w:val="lowerRoman"/>
      <w:start w:val="1"/>
    </w:lvl>
  </w:abstractNum>
  <w:abstractNum w:abstractNumId="80">
    <w:nsid w:val="5D888A08"/>
    <w:multiLevelType w:val="hybridMultilevel"/>
    <w:lvl w:ilvl="0">
      <w:lvlJc w:val="left"/>
      <w:lvlText w:val="(%1)"/>
      <w:numFmt w:val="lowerRoman"/>
      <w:start w:val="1"/>
    </w:lvl>
  </w:abstractNum>
  <w:abstractNum w:abstractNumId="81">
    <w:nsid w:val="2A082C70"/>
    <w:multiLevelType w:val="hybridMultilevel"/>
    <w:lvl w:ilvl="0">
      <w:lvlJc w:val="left"/>
      <w:lvlText w:val="%1"/>
      <w:numFmt w:val="lowerLetter"/>
      <w:start w:val="1"/>
    </w:lvl>
    <w:lvl w:ilvl="1">
      <w:lvlJc w:val="left"/>
      <w:lvlText w:val="(%2)"/>
      <w:numFmt w:val="lowerLetter"/>
      <w:start w:val="61"/>
    </w:lvl>
  </w:abstractNum>
  <w:abstractNum w:abstractNumId="82">
    <w:nsid w:val="5EC6AFD4"/>
    <w:multiLevelType w:val="hybridMultilevel"/>
    <w:lvl w:ilvl="0">
      <w:lvlJc w:val="left"/>
      <w:lvlText w:val="(%1)"/>
      <w:numFmt w:val="lowerLetter"/>
      <w:start w:val="2"/>
    </w:lvl>
    <w:lvl w:ilvl="1">
      <w:lvlJc w:val="left"/>
      <w:lvlText w:val="(%2)"/>
      <w:numFmt w:val="lowerLetter"/>
      <w:start w:val="9"/>
    </w:lvl>
  </w:abstractNum>
  <w:abstractNum w:abstractNumId="83">
    <w:nsid w:val="19E21BB2"/>
    <w:multiLevelType w:val="hybridMultilevel"/>
    <w:lvl w:ilvl="0">
      <w:lvlJc w:val="left"/>
      <w:lvlText w:val="(%1)"/>
      <w:numFmt w:val="lowerRoman"/>
      <w:start w:val="2"/>
    </w:lvl>
  </w:abstractNum>
  <w:abstractNum w:abstractNumId="84">
    <w:nsid w:val="75E0858A"/>
    <w:multiLevelType w:val="hybridMultilevel"/>
    <w:lvl w:ilvl="0">
      <w:lvlJc w:val="left"/>
      <w:lvlText w:val="(%1)"/>
      <w:numFmt w:val="lowerLetter"/>
      <w:start w:val="3"/>
    </w:lvl>
  </w:abstractNum>
  <w:abstractNum w:abstractNumId="85">
    <w:nsid w:val="57A61A29"/>
    <w:multiLevelType w:val="hybridMultilevel"/>
    <w:lvl w:ilvl="0">
      <w:lvlJc w:val="left"/>
      <w:lvlText w:val="(%1)"/>
      <w:numFmt w:val="lowerLetter"/>
      <w:start w:val="1"/>
    </w:lvl>
    <w:lvl w:ilvl="1">
      <w:lvlJc w:val="left"/>
      <w:lvlText w:val="(%2)"/>
      <w:numFmt w:val="lowerRoman"/>
      <w:start w:val="1"/>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lowerLetter"/>
      <w:start w:val="2"/>
    </w:lvl>
  </w:abstractNum>
  <w:abstractNum w:abstractNumId="88">
    <w:nsid w:val="4427069A"/>
    <w:multiLevelType w:val="hybridMultilevel"/>
    <w:lvl w:ilvl="0">
      <w:lvlJc w:val="left"/>
      <w:lvlText w:val="(%1)"/>
      <w:numFmt w:val="lowerLetter"/>
      <w:start w:val="1"/>
    </w:lvl>
  </w:abstractNum>
  <w:abstractNum w:abstractNumId="89">
    <w:nsid w:val="B37E80A"/>
    <w:multiLevelType w:val="hybridMultilevel"/>
    <w:lvl w:ilvl="0">
      <w:lvlJc w:val="left"/>
      <w:lvlText w:val="%1"/>
      <w:numFmt w:val="lowerLetter"/>
      <w:start w:val="1"/>
    </w:lvl>
    <w:lvl w:ilvl="1">
      <w:lvlJc w:val="left"/>
      <w:lvlText w:val="(%2)"/>
      <w:numFmt w:val="lowerLetter"/>
      <w:start w:val="1"/>
    </w:lvl>
  </w:abstractNum>
  <w:abstractNum w:abstractNumId="90">
    <w:nsid w:val="2157F6BC"/>
    <w:multiLevelType w:val="hybridMultilevel"/>
    <w:lvl w:ilvl="0">
      <w:lvlJc w:val="left"/>
      <w:lvlText w:val="(%1)"/>
      <w:numFmt w:val="lowerLetter"/>
      <w:start w:val="35"/>
    </w:lvl>
    <w:lvl w:ilvl="1">
      <w:lvlJc w:val="left"/>
      <w:lvlText w:val="(%2)"/>
      <w:numFmt w:val="lowerLetter"/>
      <w:start w:val="4"/>
    </w:lvl>
  </w:abstractNum>
  <w:abstractNum w:abstractNumId="91">
    <w:nsid w:val="704E1DD5"/>
    <w:multiLevelType w:val="hybridMultilevel"/>
    <w:lvl w:ilvl="0">
      <w:lvlJc w:val="left"/>
      <w:lvlText w:val="(%1)"/>
      <w:numFmt w:val="lowerLetter"/>
      <w:start w:val="4"/>
    </w:lvl>
  </w:abstractNum>
  <w:abstractNum w:abstractNumId="92">
    <w:nsid w:val="57D2F10E"/>
    <w:multiLevelType w:val="hybridMultilevel"/>
    <w:lvl w:ilvl="0">
      <w:lvlJc w:val="left"/>
      <w:lvlText w:val="(%1)"/>
      <w:numFmt w:val="lowerLetter"/>
      <w:start w:val="1"/>
    </w:lvl>
  </w:abstractNum>
  <w:abstractNum w:abstractNumId="93">
    <w:nsid w:val="BFFAE18"/>
    <w:multiLevelType w:val="hybridMultilevel"/>
    <w:lvl w:ilvl="0">
      <w:lvlJc w:val="left"/>
      <w:lvlText w:val="(%1)"/>
      <w:numFmt w:val="lowerLetter"/>
      <w:start w:val="1"/>
    </w:lvl>
    <w:lvl w:ilvl="1">
      <w:lvlJc w:val="left"/>
      <w:lvlText w:val="(%2)"/>
      <w:numFmt w:val="lowerLetter"/>
      <w:start w:val="2"/>
    </w:lvl>
  </w:abstractNum>
  <w:abstractNum w:abstractNumId="94">
    <w:nsid w:val="E3E47A8"/>
    <w:multiLevelType w:val="hybridMultilevel"/>
    <w:lvl w:ilvl="0">
      <w:lvlJc w:val="left"/>
      <w:lvlText w:val="(%1)"/>
      <w:numFmt w:val="lowerLetter"/>
      <w:start w:val="3"/>
    </w:lvl>
  </w:abstractNum>
  <w:abstractNum w:abstractNumId="95">
    <w:nsid w:val="2E48F044"/>
    <w:multiLevelType w:val="hybridMultilevel"/>
    <w:lvl w:ilvl="0">
      <w:lvlJc w:val="left"/>
      <w:lvlText w:val="(%1)"/>
      <w:numFmt w:val="lowerLetter"/>
      <w:start w:val="2"/>
    </w:lvl>
  </w:abstractNum>
  <w:abstractNum w:abstractNumId="96">
    <w:nsid w:val="49D0FEAC"/>
    <w:multiLevelType w:val="hybridMultilevel"/>
    <w:lvl w:ilvl="0">
      <w:lvlJc w:val="left"/>
      <w:lvlText w:val="(%1)"/>
      <w:numFmt w:val="lowerRoman"/>
      <w:start w:val="2"/>
    </w:lvl>
  </w:abstractNum>
  <w:abstractNum w:abstractNumId="97">
    <w:nsid w:val="4BEE5A5B"/>
    <w:multiLevelType w:val="hybridMultilevel"/>
    <w:lvl w:ilvl="0">
      <w:lvlJc w:val="left"/>
      <w:lvlText w:val="(%1)"/>
      <w:numFmt w:val="lowerRoman"/>
      <w:start w:val="8"/>
    </w:lvl>
  </w:abstractNum>
  <w:abstractNum w:abstractNumId="98">
    <w:nsid w:val="5551B9F3"/>
    <w:multiLevelType w:val="hybridMultilevel"/>
    <w:lvl w:ilvl="0">
      <w:lvlJc w:val="left"/>
      <w:lvlText w:val="(%1)"/>
      <w:numFmt w:val="lowerLetter"/>
      <w:start w:val="1"/>
    </w:lvl>
  </w:abstractNum>
  <w:abstractNum w:abstractNumId="99">
    <w:nsid w:val="24F6AB8E"/>
    <w:multiLevelType w:val="hybridMultilevel"/>
    <w:lvl w:ilvl="0">
      <w:lvlJc w:val="left"/>
      <w:lvlText w:val="(%1)"/>
      <w:numFmt w:val="lowerLetter"/>
      <w:start w:val="2"/>
    </w:lvl>
  </w:abstractNum>
  <w:abstractNum w:abstractNumId="100">
    <w:nsid w:val="634C574C"/>
    <w:multiLevelType w:val="hybridMultilevel"/>
    <w:lvl w:ilvl="0">
      <w:lvlJc w:val="left"/>
      <w:lvlText w:val="(%1)"/>
      <w:numFmt w:val="lowerLetter"/>
      <w:start w:val="1"/>
    </w:lvl>
  </w:abstractNum>
  <w:abstractNum w:abstractNumId="101">
    <w:nsid w:val="24E99DD7"/>
    <w:multiLevelType w:val="hybridMultilevel"/>
    <w:lvl w:ilvl="0">
      <w:lvlJc w:val="left"/>
      <w:lvlText w:val="(%1)"/>
      <w:numFmt w:val="lowerLetter"/>
      <w:start w:val="7"/>
    </w:lvl>
  </w:abstractNum>
  <w:abstractNum w:abstractNumId="102">
    <w:nsid w:val="2A31B62D"/>
    <w:multiLevelType w:val="hybridMultilevel"/>
    <w:lvl w:ilvl="0">
      <w:lvlJc w:val="left"/>
      <w:lvlText w:val="%1"/>
      <w:numFmt w:val="lowerLetter"/>
      <w:start w:val="1"/>
    </w:lvl>
    <w:lvl w:ilvl="1">
      <w:lvlJc w:val="left"/>
      <w:lvlText w:val="(%2)"/>
      <w:numFmt w:val="lowerLetter"/>
      <w:start w:val="10"/>
    </w:lvl>
  </w:abstractNum>
  <w:abstractNum w:abstractNumId="103">
    <w:nsid w:val="1849C29B"/>
    <w:multiLevelType w:val="hybridMultilevel"/>
    <w:lvl w:ilvl="0">
      <w:lvlJc w:val="left"/>
      <w:lvlText w:val="(%1)"/>
      <w:numFmt w:val="lowerLetter"/>
      <w:start w:val="11"/>
    </w:lvl>
    <w:lvl w:ilvl="1">
      <w:lvlJc w:val="left"/>
      <w:lvlText w:val="%2"/>
      <w:numFmt w:val="lowerLetter"/>
      <w:start w:val="1"/>
    </w:lvl>
  </w:abstractNum>
  <w:abstractNum w:abstractNumId="104">
    <w:nsid w:val="7DFF9D09"/>
    <w:multiLevelType w:val="hybridMultilevel"/>
    <w:lvl w:ilvl="0">
      <w:lvlJc w:val="left"/>
      <w:lvlText w:val="(%1)"/>
      <w:numFmt w:val="lowerLetter"/>
      <w:start w:val="1"/>
    </w:lvl>
    <w:lvl w:ilvl="1">
      <w:lvlJc w:val="left"/>
      <w:lvlText w:val="(%2)"/>
      <w:numFmt w:val="lowerRoman"/>
      <w:start w:val="1"/>
    </w:lvl>
  </w:abstractNum>
  <w:abstractNum w:abstractNumId="105">
    <w:nsid w:val="754342"/>
    <w:multiLevelType w:val="hybridMultilevel"/>
    <w:lvl w:ilvl="0">
      <w:lvlJc w:val="left"/>
      <w:lvlText w:val="%1"/>
      <w:numFmt w:val="lowerLetter"/>
      <w:start w:val="1"/>
    </w:lvl>
    <w:lvl w:ilvl="1">
      <w:lvlJc w:val="left"/>
      <w:lvlText w:val="(%2)"/>
      <w:numFmt w:val="lowerRoman"/>
      <w:start w:val="5"/>
    </w:lvl>
  </w:abstractNum>
  <w:abstractNum w:abstractNumId="106">
    <w:nsid w:val="69E7F3E5"/>
    <w:multiLevelType w:val="hybridMultilevel"/>
    <w:lvl w:ilvl="0">
      <w:lvlJc w:val="left"/>
      <w:lvlText w:val="(%1)"/>
      <w:numFmt w:val="lowerLetter"/>
      <w:start w:val="2"/>
    </w:lvl>
    <w:lvl w:ilvl="1">
      <w:lvlJc w:val="left"/>
      <w:lvlText w:val="%2"/>
      <w:numFmt w:val="lowerRoman"/>
      <w:start w:val="1"/>
    </w:lvl>
  </w:abstractNum>
  <w:abstractNum w:abstractNumId="107">
    <w:nsid w:val="2A6DE806"/>
    <w:multiLevelType w:val="hybridMultilevel"/>
    <w:lvl w:ilvl="0">
      <w:lvlJc w:val="left"/>
      <w:lvlText w:val="(%1)"/>
      <w:numFmt w:val="lowerLetter"/>
      <w:start w:val="1"/>
    </w:lvl>
  </w:abstractNum>
  <w:abstractNum w:abstractNumId="108">
    <w:nsid w:val="1816F8C4"/>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09">
    <w:nsid w:val="37DF2233"/>
    <w:multiLevelType w:val="hybridMultilevel"/>
    <w:lvl w:ilvl="0">
      <w:lvlJc w:val="left"/>
      <w:lvlText w:val="(%1)"/>
      <w:numFmt w:val="lowerRoman"/>
      <w:start w:val="1"/>
    </w:lvl>
  </w:abstractNum>
  <w:abstractNum w:abstractNumId="110">
    <w:nsid w:val="7AB49DAF"/>
    <w:multiLevelType w:val="hybridMultilevel"/>
    <w:lvl w:ilvl="0">
      <w:lvlJc w:val="left"/>
      <w:lvlText w:val="(%1)"/>
      <w:numFmt w:val="lowerLetter"/>
      <w:start w:val="7"/>
    </w:lvl>
  </w:abstractNum>
  <w:abstractNum w:abstractNumId="111">
    <w:nsid w:val="759F82CD"/>
    <w:multiLevelType w:val="hybridMultilevel"/>
    <w:lvl w:ilvl="0">
      <w:lvlJc w:val="left"/>
      <w:lvlText w:val="(%1)"/>
      <w:numFmt w:val="lowerLetter"/>
      <w:start w:val="1"/>
    </w:lvl>
  </w:abstractNum>
  <w:abstractNum w:abstractNumId="112">
    <w:nsid w:val="61E74EA3"/>
    <w:multiLevelType w:val="hybridMultilevel"/>
    <w:lvl w:ilvl="0">
      <w:lvlJc w:val="left"/>
      <w:lvlText w:val="(%1)"/>
      <w:numFmt w:val="lowerLetter"/>
      <w:start w:val="2"/>
    </w:lvl>
  </w:abstractNum>
  <w:abstractNum w:abstractNumId="113">
    <w:nsid w:val="597B4D84"/>
    <w:multiLevelType w:val="hybridMultilevel"/>
    <w:lvl w:ilvl="0">
      <w:lvlJc w:val="left"/>
      <w:lvlText w:val="(%1)"/>
      <w:numFmt w:val="lowerLetter"/>
      <w:start w:val="2"/>
    </w:lvl>
  </w:abstractNum>
  <w:abstractNum w:abstractNumId="114">
    <w:nsid w:val="F819E7F"/>
    <w:multiLevelType w:val="hybridMultilevel"/>
    <w:lvl w:ilvl="0">
      <w:lvlJc w:val="left"/>
      <w:lvlText w:val="(%1)"/>
      <w:numFmt w:val="lowerLetter"/>
      <w:start w:val="4"/>
    </w:lvl>
  </w:abstractNum>
  <w:abstractNum w:abstractNumId="115">
    <w:nsid w:val="57C7D42D"/>
    <w:multiLevelType w:val="hybridMultilevel"/>
    <w:lvl w:ilvl="0">
      <w:lvlJc w:val="left"/>
      <w:lvlText w:val="%1"/>
      <w:numFmt w:val="lowerLetter"/>
      <w:start w:val="1"/>
    </w:lvl>
    <w:lvl w:ilvl="1">
      <w:lvlJc w:val="left"/>
      <w:lvlText w:val="(%2)"/>
      <w:numFmt w:val="lowerLetter"/>
      <w:start w:val="5"/>
    </w:lvl>
  </w:abstractNum>
  <w:abstractNum w:abstractNumId="116">
    <w:nsid w:val="312167AD"/>
    <w:multiLevelType w:val="hybridMultilevel"/>
    <w:lvl w:ilvl="0">
      <w:lvlJc w:val="left"/>
      <w:lvlText w:val="(%1)"/>
      <w:numFmt w:val="lowerLetter"/>
      <w:start w:val="6"/>
    </w:lvl>
    <w:lvl w:ilvl="1">
      <w:lvlJc w:val="left"/>
      <w:lvlText w:val="%2"/>
      <w:numFmt w:val="lowerLetter"/>
      <w:start w:val="1"/>
    </w:lvl>
  </w:abstractNum>
  <w:abstractNum w:abstractNumId="117">
    <w:nsid w:val="631B64D4"/>
    <w:multiLevelType w:val="hybridMultilevel"/>
    <w:lvl w:ilvl="0">
      <w:lvlJc w:val="left"/>
      <w:lvlText w:val="(%1)"/>
      <w:numFmt w:val="lowerLetter"/>
      <w:start w:val="2"/>
    </w:lvl>
  </w:abstractNum>
  <w:abstractNum w:abstractNumId="118">
    <w:nsid w:val="78B5E776"/>
    <w:multiLevelType w:val="hybridMultilevel"/>
    <w:lvl w:ilvl="0">
      <w:lvlJc w:val="left"/>
      <w:lvlText w:val="(%1)"/>
      <w:numFmt w:val="lowerLetter"/>
      <w:start w:val="2"/>
    </w:lvl>
  </w:abstractNum>
  <w:abstractNum w:abstractNumId="119">
    <w:nsid w:val="75486E4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0">
    <w:nsid w:val="6E534CDE"/>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abstractNum>
  <w:abstractNum w:abstractNumId="121">
    <w:nsid w:val="1A0DDE3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22">
    <w:nsid w:val="65968C1C"/>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4"/>
    </w:lvl>
  </w:abstractNum>
  <w:abstractNum w:abstractNumId="123">
    <w:nsid w:val="46263DE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24">
    <w:nsid w:val="260D8C4A"/>
    <w:multiLevelType w:val="hybridMultilevel"/>
    <w:lvl w:ilvl="0">
      <w:lvlJc w:val="left"/>
      <w:lvlText w:val="(%1)"/>
      <w:numFmt w:val="lowerLetter"/>
      <w:start w:val="1"/>
    </w:lvl>
    <w:lvl w:ilvl="1">
      <w:lvlJc w:val="left"/>
      <w:lvlText w:val="(%2)"/>
      <w:numFmt w:val="lowerRoman"/>
      <w:start w:val="1"/>
    </w:lvl>
  </w:abstractNum>
  <w:abstractNum w:abstractNumId="125">
    <w:nsid w:val="73D4D3C4"/>
    <w:multiLevelType w:val="hybridMultilevel"/>
    <w:lvl w:ilvl="0">
      <w:lvlJc w:val="left"/>
      <w:lvlText w:val="(%1)"/>
      <w:numFmt w:val="lowerLetter"/>
      <w:start w:val="9"/>
    </w:lvl>
    <w:lvl w:ilvl="1">
      <w:lvlJc w:val="left"/>
      <w:lvlText w:val="(%2)"/>
      <w:numFmt w:val="lowerLetter"/>
      <w:start w:val="3"/>
    </w:lvl>
  </w:abstractNum>
  <w:abstractNum w:abstractNumId="126">
    <w:nsid w:val="746F2E30"/>
    <w:multiLevelType w:val="hybridMultilevel"/>
    <w:lvl w:ilvl="0">
      <w:lvlJc w:val="left"/>
      <w:lvlText w:val="(%1)"/>
      <w:numFmt w:val="lowerLetter"/>
      <w:start w:val="4"/>
    </w:lvl>
  </w:abstractNum>
  <w:abstractNum w:abstractNumId="127">
    <w:nsid w:val="6FDE8AF6"/>
    <w:multiLevelType w:val="hybridMultilevel"/>
    <w:lvl w:ilvl="0">
      <w:lvlJc w:val="left"/>
      <w:lvlText w:val="%1"/>
      <w:numFmt w:val="lowerLetter"/>
      <w:start w:val="1"/>
    </w:lvl>
    <w:lvl w:ilvl="1">
      <w:lvlJc w:val="left"/>
      <w:lvlText w:val="(%2)"/>
      <w:numFmt w:val="lowerLetter"/>
      <w:start w:val="5"/>
    </w:lvl>
  </w:abstractNum>
  <w:abstractNum w:abstractNumId="128">
    <w:nsid w:val="3FC32E20"/>
    <w:multiLevelType w:val="hybridMultilevel"/>
    <w:lvl w:ilvl="0">
      <w:lvlJc w:val="left"/>
      <w:lvlText w:val="(%1)"/>
      <w:numFmt w:val="lowerLetter"/>
      <w:start w:val="7"/>
    </w:lvl>
    <w:lvl w:ilvl="1">
      <w:lvlJc w:val="left"/>
      <w:lvlText w:val="%2"/>
      <w:numFmt w:val="lowerLetter"/>
      <w:start w:val="1"/>
    </w:lvl>
  </w:abstractNum>
  <w:abstractNum w:abstractNumId="129">
    <w:nsid w:val="49C0E823"/>
    <w:multiLevelType w:val="hybridMultilevel"/>
    <w:lvl w:ilvl="0">
      <w:lvlJc w:val="left"/>
      <w:lvlText w:val="(%1)"/>
      <w:numFmt w:val="lowerLetter"/>
      <w:start w:val="2"/>
    </w:lvl>
  </w:abstractNum>
  <w:abstractNum w:abstractNumId="130">
    <w:nsid w:val="14D53685"/>
    <w:multiLevelType w:val="hybridMultilevel"/>
    <w:lvl w:ilvl="0">
      <w:lvlJc w:val="left"/>
      <w:lvlText w:val="(%1)"/>
      <w:numFmt w:val="lowerRoman"/>
      <w:start w:val="2"/>
    </w:lvl>
  </w:abstractNum>
  <w:abstractNum w:abstractNumId="131">
    <w:nsid w:val="230F856C"/>
    <w:multiLevelType w:val="hybridMultilevel"/>
    <w:lvl w:ilvl="0">
      <w:lvlJc w:val="left"/>
      <w:lvlText w:val="(%1)"/>
      <w:numFmt w:val="lowerRoman"/>
      <w:start w:val="2"/>
    </w:lvl>
  </w:abstractNum>
  <w:abstractNum w:abstractNumId="132">
    <w:nsid w:val="6EAA85FB"/>
    <w:multiLevelType w:val="hybridMultilevel"/>
    <w:lvl w:ilvl="0">
      <w:lvlJc w:val="left"/>
      <w:lvlText w:val="(%1)"/>
      <w:numFmt w:val="lowerLetter"/>
      <w:start w:val="2"/>
    </w:lvl>
  </w:abstractNum>
  <w:abstractNum w:abstractNumId="133">
    <w:nsid w:val="3F06ECB2"/>
    <w:multiLevelType w:val="hybridMultilevel"/>
    <w:lvl w:ilvl="0">
      <w:lvlJc w:val="left"/>
      <w:lvlText w:val="(%1)"/>
      <w:numFmt w:val="lowerLetter"/>
      <w:start w:val="4"/>
    </w:lvl>
  </w:abstractNum>
  <w:abstractNum w:abstractNumId="134">
    <w:nsid w:val="3B594807"/>
    <w:multiLevelType w:val="hybridMultilevel"/>
    <w:lvl w:ilvl="0">
      <w:lvlJc w:val="left"/>
      <w:lvlText w:val="%1"/>
      <w:numFmt w:val="lowerLetter"/>
      <w:start w:val="1"/>
    </w:lvl>
    <w:lvl w:ilvl="1">
      <w:lvlJc w:val="left"/>
      <w:lvlText w:val="(%2)"/>
      <w:numFmt w:val="lowerLetter"/>
      <w:start w:val="7"/>
    </w:lvl>
  </w:abstractNum>
  <w:abstractNum w:abstractNumId="135">
    <w:nsid w:val="6CAA2304"/>
    <w:multiLevelType w:val="hybridMultilevel"/>
    <w:lvl w:ilvl="0">
      <w:lvlJc w:val="left"/>
      <w:lvlText w:val="(%1)"/>
      <w:numFmt w:val="lowerLetter"/>
      <w:start w:val="9"/>
    </w:lvl>
    <w:lvl w:ilvl="1">
      <w:lvlJc w:val="left"/>
      <w:lvlText w:val="%2"/>
      <w:numFmt w:val="lowerLetter"/>
      <w:start w:val="1"/>
    </w:lvl>
  </w:abstractNum>
  <w:abstractNum w:abstractNumId="136">
    <w:nsid w:val="3F7C2FF4"/>
    <w:multiLevelType w:val="hybridMultilevel"/>
    <w:lvl w:ilvl="0">
      <w:lvlJc w:val="left"/>
      <w:lvlText w:val="(%1)"/>
      <w:numFmt w:val="lowerLetter"/>
      <w:start w:val="11"/>
    </w:lvl>
  </w:abstractNum>
  <w:abstractNum w:abstractNumId="137">
    <w:nsid w:val="25413BEC"/>
    <w:multiLevelType w:val="hybridMultilevel"/>
    <w:lvl w:ilvl="0">
      <w:lvlJc w:val="left"/>
      <w:lvlText w:val="(%1)"/>
      <w:numFmt w:val="lowerLetter"/>
      <w:start w:val="1"/>
    </w:lvl>
  </w:abstractNum>
  <w:abstractNum w:abstractNumId="138">
    <w:nsid w:val="17180B0B"/>
    <w:multiLevelType w:val="hybridMultilevel"/>
    <w:lvl w:ilvl="0">
      <w:lvlJc w:val="left"/>
      <w:lvlText w:val="(%1)"/>
      <w:numFmt w:val="lowerLetter"/>
      <w:start w:val="4"/>
    </w:lvl>
  </w:abstractNum>
  <w:abstractNum w:abstractNumId="139">
    <w:nsid w:val="579328B9"/>
    <w:multiLevelType w:val="hybridMultilevel"/>
    <w:lvl w:ilvl="0">
      <w:lvlJc w:val="left"/>
      <w:lvlText w:val="%1"/>
      <w:numFmt w:val="lowerLetter"/>
      <w:start w:val="1"/>
    </w:lvl>
    <w:lvl w:ilvl="1">
      <w:lvlJc w:val="left"/>
      <w:lvlText w:val="(%2)"/>
      <w:numFmt w:val="lowerLetter"/>
      <w:start w:val="6"/>
    </w:lvl>
  </w:abstractNum>
  <w:abstractNum w:abstractNumId="140">
    <w:nsid w:val="5D205E20"/>
    <w:multiLevelType w:val="hybridMultilevel"/>
    <w:lvl w:ilvl="0">
      <w:lvlJc w:val="left"/>
      <w:lvlText w:val="(%1)"/>
      <w:numFmt w:val="lowerLetter"/>
      <w:start w:val="7"/>
    </w:lvl>
    <w:lvl w:ilvl="1">
      <w:lvlJc w:val="left"/>
      <w:lvlText w:val="%2"/>
      <w:numFmt w:val="lowerLetter"/>
      <w:start w:val="1"/>
    </w:lvl>
  </w:abstractNum>
  <w:abstractNum w:abstractNumId="141">
    <w:nsid w:val="11CCA8BA"/>
    <w:multiLevelType w:val="hybridMultilevel"/>
    <w:lvl w:ilvl="0">
      <w:lvlJc w:val="left"/>
      <w:lvlText w:val="(%1)"/>
      <w:numFmt w:val="lowerLetter"/>
      <w:start w:val="2"/>
    </w:lvl>
    <w:lvl w:ilvl="1">
      <w:lvlJc w:val="left"/>
      <w:lvlText w:val="(%2)"/>
      <w:numFmt w:val="lowerLetter"/>
      <w:start w:val="3"/>
    </w:lvl>
  </w:abstractNum>
  <w:abstractNum w:abstractNumId="142">
    <w:nsid w:val="4D32AB86"/>
    <w:multiLevelType w:val="hybridMultilevel"/>
    <w:lvl w:ilvl="0">
      <w:lvlJc w:val="left"/>
      <w:lvlText w:val="(%1)"/>
      <w:numFmt w:val="lowerLetter"/>
      <w:start w:val="4"/>
    </w:lvl>
  </w:abstractNum>
  <w:abstractNum w:abstractNumId="143">
    <w:nsid w:val="3F07ACC3"/>
    <w:multiLevelType w:val="hybridMultilevel"/>
    <w:lvl w:ilvl="0">
      <w:lvlJc w:val="left"/>
      <w:lvlText w:val="(%1)"/>
      <w:numFmt w:val="lowerLetter"/>
      <w:start w:val="2"/>
    </w:lvl>
  </w:abstractNum>
  <w:abstractNum w:abstractNumId="144">
    <w:nsid w:val="6B47F63E"/>
    <w:multiLevelType w:val="hybridMultilevel"/>
    <w:lvl w:ilvl="0">
      <w:lvlJc w:val="left"/>
      <w:lvlText w:val="%1"/>
      <w:numFmt w:val="lowerLetter"/>
      <w:start w:val="1"/>
    </w:lvl>
    <w:lvl w:ilvl="1">
      <w:lvlJc w:val="left"/>
      <w:lvlText w:val="(%2)"/>
      <w:numFmt w:val="lowerLetter"/>
      <w:start w:val="1"/>
    </w:lvl>
  </w:abstractNum>
  <w:abstractNum w:abstractNumId="145">
    <w:nsid w:val="5CB44A05"/>
    <w:multiLevelType w:val="hybridMultilevel"/>
    <w:lvl w:ilvl="0">
      <w:lvlJc w:val="left"/>
      <w:lvlText w:val="(%1)"/>
      <w:numFmt w:val="lowerLetter"/>
      <w:start w:val="25"/>
    </w:lvl>
    <w:lvl w:ilvl="1">
      <w:lvlJc w:val="left"/>
      <w:lvlText w:val="(%2)"/>
      <w:numFmt w:val="lowerLetter"/>
      <w:start w:val="2"/>
    </w:lvl>
  </w:abstractNum>
  <w:abstractNum w:abstractNumId="146">
    <w:nsid w:val="16CF80F1"/>
    <w:multiLevelType w:val="hybridMultilevel"/>
    <w:lvl w:ilvl="0">
      <w:lvlJc w:val="left"/>
      <w:lvlText w:val="(%1)"/>
      <w:numFmt w:val="upperLetter"/>
      <w:start w:val="2"/>
    </w:lvl>
  </w:abstractNum>
  <w:abstractNum w:abstractNumId="147">
    <w:nsid w:val="1C695DEC"/>
    <w:multiLevelType w:val="hybridMultilevel"/>
    <w:lvl w:ilvl="0">
      <w:lvlJc w:val="left"/>
      <w:lvlText w:val="(%1)"/>
      <w:numFmt w:val="lowerLetter"/>
      <w:start w:val="2"/>
    </w:lvl>
  </w:abstractNum>
  <w:abstractNum w:abstractNumId="148">
    <w:nsid w:val="3FCFAED9"/>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6"/>
    </w:lvl>
  </w:abstractNum>
  <w:abstractNum w:abstractNumId="149">
    <w:nsid w:val="F856867"/>
    <w:multiLevelType w:val="hybridMultilevel"/>
    <w:lvl w:ilvl="0">
      <w:lvlJc w:val="left"/>
      <w:lvlText w:val="(%1)"/>
      <w:numFmt w:val="lowerLetter"/>
      <w:start w:val="7"/>
    </w:lvl>
  </w:abstractNum>
  <w:abstractNum w:abstractNumId="150">
    <w:nsid w:val="11B1CC33"/>
    <w:multiLevelType w:val="hybridMultilevel"/>
    <w:lvl w:ilvl="0">
      <w:lvlJc w:val="left"/>
      <w:lvlText w:val="(%1)"/>
      <w:numFmt w:val="lowerRoman"/>
      <w:start w:val="2"/>
    </w:lvl>
  </w:abstractNum>
  <w:abstractNum w:abstractNumId="151">
    <w:nsid w:val="2E22FBB7"/>
    <w:multiLevelType w:val="hybridMultilevel"/>
    <w:lvl w:ilvl="0">
      <w:lvlJc w:val="left"/>
      <w:lvlText w:val="(%1)"/>
      <w:numFmt w:val="lowerLetter"/>
      <w:start w:val="2"/>
    </w:lvl>
  </w:abstractNum>
  <w:abstractNum w:abstractNumId="152">
    <w:nsid w:val="2993469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53">
    <w:nsid w:val="7748585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54">
    <w:nsid w:val="744939A3"/>
    <w:multiLevelType w:val="hybridMultilevel"/>
    <w:lvl w:ilvl="0">
      <w:lvlJc w:val="left"/>
      <w:lvlText w:val="(%1)"/>
      <w:numFmt w:val="lowerLetter"/>
      <w:start w:val="5"/>
    </w:lvl>
  </w:abstractNum>
  <w:abstractNum w:abstractNumId="155">
    <w:nsid w:val="4FA0D2E3"/>
    <w:multiLevelType w:val="hybridMultilevel"/>
    <w:lvl w:ilvl="0">
      <w:lvlJc w:val="left"/>
      <w:lvlText w:val="(%1)"/>
      <w:numFmt w:val="lowerLetter"/>
      <w:start w:val="10"/>
    </w:lvl>
  </w:abstractNum>
  <w:abstractNum w:abstractNumId="156">
    <w:nsid w:val="6B1D2C14"/>
    <w:multiLevelType w:val="hybridMultilevel"/>
    <w:lvl w:ilvl="0">
      <w:lvlJc w:val="left"/>
      <w:lvlText w:val="1"/>
      <w:numFmt w:val="bullet"/>
      <w:start w:val="1"/>
    </w:lvl>
  </w:abstractNum>
  <w:abstractNum w:abstractNumId="157">
    <w:nsid w:val="68B867D3"/>
    <w:multiLevelType w:val="hybridMultilevel"/>
    <w:lvl w:ilvl="0">
      <w:lvlJc w:val="left"/>
      <w:lvlText w:val="2"/>
      <w:numFmt w:val="bullet"/>
      <w:start w:val="1"/>
    </w:lvl>
  </w:abstractNum>
  <w:abstractNum w:abstractNumId="158">
    <w:nsid w:val="3F7F5DD9"/>
    <w:multiLevelType w:val="hybridMultilevel"/>
    <w:lvl w:ilvl="0">
      <w:lvlJc w:val="left"/>
      <w:lvlText w:val="3"/>
      <w:numFmt w:val="bullet"/>
      <w:start w:val="1"/>
    </w:lvl>
  </w:abstractNum>
  <w:abstractNum w:abstractNumId="159">
    <w:nsid w:val="2AE05A34"/>
    <w:multiLevelType w:val="hybridMultilevel"/>
    <w:lvl w:ilvl="0">
      <w:lvlJc w:val="left"/>
      <w:lvlText w:val="4"/>
      <w:numFmt w:val="bullet"/>
      <w:start w:val="1"/>
    </w:lvl>
  </w:abstractNum>
  <w:abstractNum w:abstractNumId="160">
    <w:nsid w:val="32794FF7"/>
    <w:multiLevelType w:val="hybridMultilevel"/>
    <w:lvl w:ilvl="0">
      <w:lvlJc w:val="left"/>
      <w:lvlText w:val="5"/>
      <w:numFmt w:val="bullet"/>
      <w:start w:val="1"/>
    </w:lvl>
  </w:abstractNum>
  <w:abstractNum w:abstractNumId="161">
    <w:nsid w:val="5454945E"/>
    <w:multiLevelType w:val="hybridMultilevel"/>
    <w:lvl w:ilvl="0">
      <w:lvlJc w:val="left"/>
      <w:lvlText w:val="6"/>
      <w:numFmt w:val="bullet"/>
      <w:start w:val="1"/>
    </w:lvl>
  </w:abstractNum>
  <w:abstractNum w:abstractNumId="162">
    <w:nsid w:val="4DEFDFA0"/>
    <w:multiLevelType w:val="hybridMultilevel"/>
    <w:lvl w:ilvl="0">
      <w:lvlJc w:val="left"/>
      <w:lvlText w:val="%1."/>
      <w:numFmt w:val="decimal"/>
      <w:start w:val="5"/>
    </w:lvl>
  </w:abstractNum>
  <w:abstractNum w:abstractNumId="163">
    <w:nsid w:val="2123D5F2"/>
    <w:multiLevelType w:val="hybridMultilevel"/>
    <w:lvl w:ilvl="0">
      <w:lvlJc w:val="left"/>
      <w:lvlText w:val="7"/>
      <w:numFmt w:val="bullet"/>
      <w:start w:val="1"/>
    </w:lvl>
  </w:abstractNum>
  <w:abstractNum w:abstractNumId="164">
    <w:nsid w:val="135B8110"/>
    <w:multiLevelType w:val="hybridMultilevel"/>
    <w:lvl w:ilvl="0">
      <w:lvlJc w:val="left"/>
      <w:lvlText w:val="8"/>
      <w:numFmt w:val="bullet"/>
      <w:start w:val="1"/>
    </w:lvl>
  </w:abstractNum>
  <w:abstractNum w:abstractNumId="165">
    <w:nsid w:val="94927A8"/>
    <w:multiLevelType w:val="hybridMultilevel"/>
    <w:lvl w:ilvl="0">
      <w:lvlJc w:val="left"/>
      <w:lvlText w:val="9"/>
      <w:numFmt w:val="bullet"/>
      <w:start w:val="1"/>
    </w:lvl>
  </w:abstractNum>
  <w:abstractNum w:abstractNumId="166">
    <w:nsid w:val="DCDF8F6"/>
    <w:multiLevelType w:val="hybridMultilevel"/>
    <w:lvl w:ilvl="0">
      <w:lvlJc w:val="left"/>
      <w:lvlText w:val="%1"/>
      <w:numFmt w:val="decimal"/>
      <w:start w:val="10"/>
    </w:lvl>
  </w:abstractNum>
  <w:abstractNum w:abstractNumId="167">
    <w:nsid w:val="52D7B105"/>
    <w:multiLevelType w:val="hybridMultilevel"/>
    <w:lvl w:ilvl="0">
      <w:lvlJc w:val="left"/>
      <w:lvlText w:val="%1"/>
      <w:numFmt w:val="decimal"/>
      <w:start w:val="14"/>
    </w:lvl>
  </w:abstractNum>
  <w:abstractNum w:abstractNumId="168">
    <w:nsid w:val="2E8A6394"/>
    <w:multiLevelType w:val="hybridMultilevel"/>
    <w:lvl w:ilvl="0">
      <w:lvlJc w:val="left"/>
      <w:lvlText w:val="%1."/>
      <w:numFmt w:val="decimal"/>
      <w:start w:val="1"/>
    </w:lvl>
  </w:abstractNum>
  <w:abstractNum w:abstractNumId="169">
    <w:nsid w:val="24E60401"/>
    <w:multiLevelType w:val="hybridMultilevel"/>
    <w:lvl w:ilvl="0">
      <w:lvlJc w:val="left"/>
      <w:lvlText w:val="(%1)"/>
      <w:numFmt w:val="lowerRoman"/>
      <w:start w:val="4"/>
    </w:lvl>
    <w:lvl w:ilvl="1">
      <w:lvlJc w:val="left"/>
      <w:lvlText w:val="%2."/>
      <w:numFmt w:val="decimal"/>
      <w:start w:val="2"/>
    </w:lvl>
    <w:lvl w:ilvl="2">
      <w:lvlJc w:val="left"/>
      <w:lvlText w:val="%3."/>
      <w:numFmt w:val="decimal"/>
      <w:start w:val="2"/>
    </w:lvl>
  </w:abstractNum>
  <w:abstractNum w:abstractNumId="170">
    <w:nsid w:val="2A6AD9BE"/>
    <w:multiLevelType w:val="hybridMultilevel"/>
    <w:lvl w:ilvl="0">
      <w:lvlJc w:val="left"/>
      <w:lvlText w:val="%1."/>
      <w:numFmt w:val="decimal"/>
      <w:start w:val="1"/>
    </w:lvl>
  </w:abstractNum>
  <w:abstractNum w:abstractNumId="171">
    <w:nsid w:val="BAAC1B4"/>
    <w:multiLevelType w:val="hybridMultilevel"/>
    <w:lvl w:ilvl="0">
      <w:lvlJc w:val="left"/>
      <w:lvlText w:val="%1."/>
      <w:numFmt w:val="decimal"/>
      <w:start w:val="7"/>
    </w:lvl>
  </w:abstractNum>
  <w:abstractNum w:abstractNumId="172">
    <w:nsid w:val="36B2ACBC"/>
    <w:multiLevelType w:val="hybridMultilevel"/>
    <w:lvl w:ilvl="0">
      <w:lvlJc w:val="left"/>
      <w:lvlText w:val="%1."/>
      <w:numFmt w:val="decimal"/>
      <w:start w:val="1"/>
    </w:lvl>
    <w:lvl w:ilvl="1">
      <w:lvlJc w:val="left"/>
      <w:lvlText w:val="%2)"/>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62" Type="http://schemas.openxmlformats.org/officeDocument/2006/relationships/hyperlink" Target="https://www.sec.gov/Archives/edgar/data/16732/000001673223000065/by-lawsofcampbellsoupcom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2023-06-07T06:50:18Z</dcterms:created>
  <dcterms:modified xsi:type="dcterms:W3CDTF">2023-06-07T06:50:18Z</dcterms:modified>
</cp:coreProperties>
</file>