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3920" w:right="2960" w:hanging="3914"/>
        <w:spacing w:after="0" w:line="248" w:lineRule="auto"/>
        <w:tabs>
          <w:tab w:leader="none" w:pos="183"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January 26,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2965450</wp:posOffset>
            </wp:positionH>
            <wp:positionV relativeFrom="paragraph">
              <wp:posOffset>10795</wp:posOffset>
            </wp:positionV>
            <wp:extent cx="1211580" cy="891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158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CAMPBELL'S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13"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01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0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013" w:right="3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ectPr>
          <w:pgSz w:w="11900" w:h="16838" w:orient="portrait"/>
          <w:cols w:equalWidth="0" w:num="1">
            <w:col w:w="11240"/>
          </w:cols>
          <w:pgMar w:left="320" w:top="1013" w:right="339" w:bottom="1440" w:gutter="0" w:footer="0" w:header="0"/>
          <w:type w:val="continuous"/>
        </w:sectPr>
      </w:pPr>
    </w:p>
    <w:p>
      <w:pPr>
        <w:spacing w:after="0" w:line="5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01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Nasdaq Stock Market LLC</w:t>
      </w:r>
    </w:p>
    <w:p>
      <w:pPr>
        <w:spacing w:after="0" w:line="200" w:lineRule="exact"/>
        <w:rPr>
          <w:sz w:val="24"/>
          <w:szCs w:val="24"/>
          <w:color w:val="auto"/>
        </w:rPr>
      </w:pPr>
    </w:p>
    <w:p>
      <w:pPr>
        <w:sectPr>
          <w:pgSz w:w="11900" w:h="16838" w:orient="portrait"/>
          <w:cols w:equalWidth="0" w:num="3">
            <w:col w:w="4740" w:space="720"/>
            <w:col w:w="1800" w:space="720"/>
            <w:col w:w="3260"/>
          </w:cols>
          <w:pgMar w:left="320" w:top="1013" w:right="339" w:bottom="1440" w:gutter="0" w:footer="0" w:header="0"/>
          <w:type w:val="continuous"/>
        </w:sectPr>
      </w:pPr>
    </w:p>
    <w:p>
      <w:pPr>
        <w:spacing w:after="0" w:line="12" w:lineRule="exact"/>
        <w:rPr>
          <w:sz w:val="24"/>
          <w:szCs w:val="24"/>
          <w:color w:val="auto"/>
        </w:rPr>
      </w:pPr>
    </w:p>
    <w:p>
      <w:pPr>
        <w:jc w:val="both"/>
        <w:ind w:firstLine="318"/>
        <w:spacing w:after="0" w:line="25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6" w:lineRule="exact"/>
        <w:rPr>
          <w:sz w:val="24"/>
          <w:szCs w:val="24"/>
          <w:color w:val="auto"/>
        </w:rPr>
      </w:pPr>
    </w:p>
    <w:p>
      <w:pPr>
        <w:ind w:right="3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4"/>
          <w:szCs w:val="24"/>
          <w:color w:val="auto"/>
        </w:rPr>
      </w:pPr>
    </w:p>
    <w:p>
      <w:pPr>
        <w:ind w:right="20"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00"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298,181,866 shares of capital stock outstanding as of February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30</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r>
      <w:tr>
        <w:trPr>
          <w:trHeight w:val="186"/>
        </w:trPr>
        <w:tc>
          <w:tcPr>
            <w:tcW w:w="620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25"/>
        </w:trPr>
        <w:tc>
          <w:tcPr>
            <w:tcW w:w="6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5"/>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r>
      <w:tr>
        <w:trPr>
          <w:trHeight w:val="218"/>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5"/>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6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50"/>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20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6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3"/>
        </w:trPr>
        <w:tc>
          <w:tcPr>
            <w:tcW w:w="6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6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87"/>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jc w:val="center"/>
              <w:ind w:right="141"/>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720" w:type="dxa"/>
            <w:vAlign w:val="bottom"/>
          </w:tcPr>
          <w:p>
            <w:pPr>
              <w:jc w:val="center"/>
              <w:ind w:right="4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6"/>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4"/>
        </w:trPr>
        <w:tc>
          <w:tcPr>
            <w:tcW w:w="6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829</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711</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1,288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Assets of business held for sale</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3,181</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2,637</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4,988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4,535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569</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15,910</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1,179</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1,356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705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Liabilities of business held for sale</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3,413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6,496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676</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11,998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4,716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3,910</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3,912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15,910</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tcPr>
          <w:p>
            <w:pPr>
              <w:spacing w:after="0"/>
              <w:rPr>
                <w:sz w:val="19"/>
                <w:szCs w:val="19"/>
                <w:color w:val="auto"/>
              </w:rPr>
            </w:pPr>
          </w:p>
        </w:tc>
        <w:tc>
          <w:tcPr>
            <w:tcW w:w="580" w:type="dxa"/>
            <w:vAlign w:val="bottom"/>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charges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on sale of business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divestiture</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19"/>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ind w:left="280"/>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right"/>
              <w:ind w:right="109"/>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right"/>
              <w:ind w:right="209"/>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left="30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1"/>
                <w:szCs w:val="11"/>
                <w:color w:val="auto"/>
              </w:rPr>
            </w:pPr>
          </w:p>
        </w:tc>
        <w:tc>
          <w:tcPr>
            <w:tcW w:w="8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755" w:right="359" w:bottom="1440" w:gutter="0" w:footer="0" w:header="0"/>
        </w:sectPr>
      </w:pPr>
    </w:p>
    <w:p>
      <w:pPr>
        <w:ind w:left="40"/>
        <w:spacing w:after="0"/>
        <w:rPr>
          <w:sz w:val="20"/>
          <w:szCs w:val="20"/>
          <w:color w:val="auto"/>
        </w:rPr>
      </w:pPr>
      <w:r>
        <w:rPr>
          <w:rFonts w:ascii="Times New Roman" w:cs="Times New Roman" w:eastAsia="Times New Roman" w:hAnsi="Times New Roman"/>
          <w:sz w:val="14"/>
          <w:szCs w:val="14"/>
          <w:color w:val="auto"/>
        </w:rPr>
        <w:t>Net earnings (loss)</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($.74 per share)</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purchased</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Treasury stock issued under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based compensation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40" w:type="dxa"/>
            <w:vAlign w:val="bottom"/>
          </w:tcPr>
          <w:p>
            <w:pPr>
              <w:jc w:val="right"/>
              <w:ind w:right="1929"/>
              <w:spacing w:after="0"/>
              <w:rPr>
                <w:sz w:val="20"/>
                <w:szCs w:val="20"/>
                <w:color w:val="auto"/>
              </w:rPr>
            </w:pPr>
            <w:r>
              <w:rPr>
                <w:rFonts w:ascii="Times New Roman" w:cs="Times New Roman" w:eastAsia="Times New Roman" w:hAnsi="Times New Roman"/>
                <w:sz w:val="14"/>
                <w:szCs w:val="14"/>
                <w:color w:val="auto"/>
              </w:rPr>
              <w:t>437</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89"/>
        </w:trPr>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4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w:t>
            </w:r>
          </w:p>
        </w:tc>
        <w:tc>
          <w:tcPr>
            <w:tcW w:w="11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9"/>
        </w:trPr>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40" w:type="dxa"/>
            <w:vAlign w:val="bottom"/>
          </w:tcPr>
          <w:p>
            <w:pPr>
              <w:jc w:val="right"/>
              <w:ind w:right="1909"/>
              <w:spacing w:after="0"/>
              <w:rPr>
                <w:sz w:val="20"/>
                <w:szCs w:val="20"/>
                <w:color w:val="auto"/>
              </w:rPr>
            </w:pPr>
            <w:r>
              <w:rPr>
                <w:rFonts w:ascii="Times New Roman" w:cs="Times New Roman" w:eastAsia="Times New Roman" w:hAnsi="Times New Roman"/>
                <w:sz w:val="14"/>
                <w:szCs w:val="14"/>
                <w:color w:val="auto"/>
              </w:rPr>
              <w:t>(223)</w:t>
            </w:r>
          </w:p>
        </w:tc>
        <w:tc>
          <w:tcPr>
            <w:tcW w:w="1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99"/>
        </w:trPr>
        <w:tc>
          <w:tcPr>
            <w:tcW w:w="46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(1)</w:t>
            </w:r>
          </w:p>
        </w:tc>
        <w:tc>
          <w:tcPr>
            <w:tcW w:w="9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(29)</w:t>
            </w:r>
          </w:p>
        </w:tc>
        <w:tc>
          <w:tcPr>
            <w:tcW w:w="1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331"/>
        </w:trPr>
        <w:tc>
          <w:tcPr>
            <w:tcW w:w="46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1</w:t>
            </w:r>
          </w:p>
        </w:tc>
        <w:tc>
          <w:tcPr>
            <w:tcW w:w="9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36</w:t>
            </w:r>
          </w:p>
        </w:tc>
        <w:tc>
          <w:tcPr>
            <w:tcW w:w="10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(13)</w:t>
            </w:r>
          </w:p>
        </w:tc>
        <w:tc>
          <w:tcPr>
            <w:tcW w:w="2640" w:type="dxa"/>
            <w:vAlign w:val="bottom"/>
          </w:tcPr>
          <w:p>
            <w:pPr>
              <w:jc w:val="right"/>
              <w:ind w:right="19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-572770</wp:posOffset>
            </wp:positionV>
            <wp:extent cx="7117715" cy="126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7715" cy="1263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-320675</wp:posOffset>
            </wp:positionV>
            <wp:extent cx="7117715" cy="1263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7715" cy="126365"/>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560" w:space="720"/>
            <w:col w:w="6940"/>
          </w:cols>
          <w:pgMar w:left="320" w:top="755" w:right="359" w:bottom="1440" w:gutter="0" w:footer="0" w:header="0"/>
          <w:type w:val="continuous"/>
        </w:sectPr>
      </w:pPr>
    </w:p>
    <w:tbl>
      <w:tblPr>
        <w:tblLayout w:type="fixed"/>
        <w:tblInd w:w="20" w:type="dxa"/>
        <w:tblCellMar>
          <w:top w:w="0" w:type="dxa"/>
          <w:left w:w="0" w:type="dxa"/>
          <w:bottom w:w="0" w:type="dxa"/>
          <w:right w:w="0" w:type="dxa"/>
        </w:tblCellMar>
      </w:tblPr>
      <w:tr>
        <w:trPr>
          <w:trHeight w:val="221"/>
        </w:trPr>
        <w:tc>
          <w:tcPr>
            <w:tcW w:w="2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28, 2024</w:t>
            </w:r>
          </w:p>
        </w:tc>
        <w:tc>
          <w:tcPr>
            <w:tcW w:w="5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(1,212)</w:t>
            </w:r>
          </w:p>
        </w:tc>
        <w:tc>
          <w:tcPr>
            <w:tcW w:w="4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407</w:t>
            </w:r>
          </w:p>
        </w:tc>
        <w:tc>
          <w:tcPr>
            <w:tcW w:w="38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4,665</w:t>
            </w:r>
          </w:p>
        </w:tc>
        <w:tc>
          <w:tcPr>
            <w:tcW w:w="62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27, 2024</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(1,210)</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4,660</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173</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($.39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(117)</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(117)</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w:t>
            </w:r>
          </w:p>
        </w:tc>
        <w:tc>
          <w:tcPr>
            <w:tcW w:w="420" w:type="dxa"/>
            <w:vAlign w:val="bottom"/>
          </w:tcPr>
          <w:p>
            <w:pPr>
              <w:spacing w:after="0"/>
              <w:rPr>
                <w:sz w:val="11"/>
                <w:szCs w:val="11"/>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w:t>
            </w:r>
          </w:p>
        </w:tc>
        <w:tc>
          <w:tcPr>
            <w:tcW w:w="380" w:type="dxa"/>
            <w:vAlign w:val="bottom"/>
          </w:tcPr>
          <w:p>
            <w:pPr>
              <w:spacing w:after="0"/>
              <w:rPr>
                <w:sz w:val="11"/>
                <w:szCs w:val="11"/>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26,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(1,208)</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406</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4,716</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2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(1,207)</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437</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4,569</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391</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391</w:t>
            </w:r>
          </w:p>
        </w:tc>
        <w:tc>
          <w:tcPr>
            <w:tcW w:w="0" w:type="dxa"/>
            <w:vAlign w:val="bottom"/>
          </w:tcPr>
          <w:p>
            <w:pPr>
              <w:spacing w:after="0"/>
              <w:rPr>
                <w:sz w:val="1"/>
                <w:szCs w:val="1"/>
                <w:color w:val="auto"/>
              </w:rPr>
            </w:pPr>
          </w:p>
        </w:tc>
      </w:tr>
      <w:tr>
        <w:trPr>
          <w:trHeight w:val="141"/>
        </w:trPr>
        <w:tc>
          <w:tcPr>
            <w:tcW w:w="22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6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($.76 per share)</w:t>
            </w: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(228)</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(56)</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134"/>
        </w:trPr>
        <w:tc>
          <w:tcPr>
            <w:tcW w:w="22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1"/>
                <w:szCs w:val="11"/>
                <w:color w:val="auto"/>
              </w:rPr>
            </w:pPr>
          </w:p>
        </w:tc>
        <w:tc>
          <w:tcPr>
            <w:tcW w:w="6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55</w:t>
            </w:r>
          </w:p>
        </w:tc>
        <w:tc>
          <w:tcPr>
            <w:tcW w:w="4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380" w:type="dxa"/>
            <w:vAlign w:val="bottom"/>
          </w:tcPr>
          <w:p>
            <w:pPr>
              <w:spacing w:after="0"/>
              <w:rPr>
                <w:sz w:val="11"/>
                <w:szCs w:val="11"/>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w:t>
            </w: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191"/>
        </w:trPr>
        <w:tc>
          <w:tcPr>
            <w:tcW w:w="2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26, 2025</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12</w:t>
            </w:r>
          </w:p>
        </w:tc>
        <w:tc>
          <w:tcPr>
            <w:tcW w:w="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(1,208)</w:t>
            </w:r>
          </w:p>
        </w:tc>
        <w:tc>
          <w:tcPr>
            <w:tcW w:w="42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406</w:t>
            </w:r>
          </w:p>
        </w:tc>
        <w:tc>
          <w:tcPr>
            <w:tcW w:w="38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4,716</w:t>
            </w:r>
          </w:p>
        </w:tc>
        <w:tc>
          <w:tcPr>
            <w:tcW w:w="6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w:t>
            </w:r>
          </w:p>
        </w:tc>
        <w:tc>
          <w:tcPr>
            <w:tcW w:w="60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44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3,912</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8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The Campbell's Company and its consolidated subsidiaries.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28, 2024.</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3, 2025. There will be 53 weeks in 2025. There were 52 weeks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We adopted the guidance in the fourth quarter of 2023, with the exception of the annual rollforward requirement, which we will adopt in our 2025 annual reporting. The adoption did not have a material impact on our consolidated financial statements. See Note 18 for additional information.</w:t>
      </w:r>
    </w:p>
    <w:p>
      <w:pPr>
        <w:spacing w:after="0" w:line="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Early adoption is permitted. We are currently evaluating the impact that the new guidance will have on our consolidated financial statements.</w:t>
      </w:r>
    </w:p>
    <w:p>
      <w:pPr>
        <w:spacing w:after="0" w:line="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6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should be applied on a prospective basis with the option to apply the standard retrospectively. We are currently evaluating the impact that the new guidance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ind w:left="320" w:hanging="314"/>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 xml:space="preserve">On August 7, 2023, we entered into a merger agreement to acquire Sovos Brands, Inc. (Sovos Brands) for $23.00 per share. On March 12, 2024, we completed the acquisition. Sovos Brands' portfolio includes a variety of pasta sauces, dry pasta, soups, frozen entrées, frozen pizza and yogurts, all of which are sold in North America under the brand names </w:t>
      </w:r>
      <w:r>
        <w:rPr>
          <w:rFonts w:ascii="Times New Roman" w:cs="Times New Roman" w:eastAsia="Times New Roman" w:hAnsi="Times New Roman"/>
          <w:sz w:val="18"/>
          <w:szCs w:val="18"/>
          <w:i w:val="1"/>
          <w:iCs w:val="1"/>
          <w:color w:val="auto"/>
        </w:rPr>
        <w:t>Rao’s, Michael Angelo’s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See Note 4 for additional information on the noosa yoghurt business. Total purchase consideration was $2.899 billion, which was determined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consideration paid to Sovos Brands shareholders</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5"/>
        </w:trPr>
        <w:tc>
          <w:tcPr>
            <w:tcW w:w="9720" w:type="dxa"/>
            <w:vAlign w:val="bottom"/>
            <w:tcBorders>
              <w:bottom w:val="single" w:sz="8" w:color="CCEEFF"/>
            </w:tcBorders>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paid for share-based awards</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9"/>
        </w:trPr>
        <w:tc>
          <w:tcPr>
            <w:tcW w:w="9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consideration paid directly to shareholders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r>
      <w:tr>
        <w:trPr>
          <w:trHeight w:val="225"/>
        </w:trPr>
        <w:tc>
          <w:tcPr>
            <w:tcW w:w="9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for transaction costs of Sovos Brands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9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Repayment of Sovos Brands existing indebtedness and accrued interest</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8"/>
        </w:trPr>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Fair value of replacement share-based awards</w:t>
            </w:r>
            <w:r>
              <w:rPr>
                <w:rFonts w:ascii="Times New Roman" w:cs="Times New Roman" w:eastAsia="Times New Roman" w:hAnsi="Times New Roman"/>
                <w:sz w:val="22"/>
                <w:szCs w:val="22"/>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8"/>
        </w:trPr>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6"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Consideration paid to Sovos Brands shareholders which reflects $23.00 per share.</w:t>
      </w:r>
    </w:p>
    <w:p>
      <w:pPr>
        <w:ind w:left="260" w:hanging="254"/>
        <w:spacing w:after="0" w:line="188" w:lineRule="auto"/>
        <w:tabs>
          <w:tab w:leader="none" w:pos="2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cash paid to equity award holders of Sovos Brands restricted stock and restricted stock unit awards attributable to pre-combination service. This</w:t>
      </w:r>
    </w:p>
    <w:p>
      <w:pPr>
        <w:ind w:left="320"/>
        <w:spacing w:after="0" w:line="231" w:lineRule="auto"/>
        <w:rPr>
          <w:sz w:val="20"/>
          <w:szCs w:val="20"/>
          <w:color w:val="auto"/>
        </w:rPr>
      </w:pPr>
      <w:r>
        <w:rPr>
          <w:rFonts w:ascii="Times New Roman" w:cs="Times New Roman" w:eastAsia="Times New Roman" w:hAnsi="Times New Roman"/>
          <w:sz w:val="18"/>
          <w:szCs w:val="18"/>
          <w:color w:val="auto"/>
        </w:rPr>
        <w:t>excludes $3 million of cash paid that was recognized as expense.</w:t>
      </w:r>
    </w:p>
    <w:p>
      <w:pPr>
        <w:jc w:val="both"/>
        <w:ind w:left="320" w:hanging="314"/>
        <w:spacing w:after="0" w:line="215" w:lineRule="auto"/>
        <w:tabs>
          <w:tab w:leader="none" w:pos="32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 in the third quarter of 2024.</w:t>
      </w:r>
    </w:p>
    <w:p>
      <w:pPr>
        <w:spacing w:after="0" w:line="61" w:lineRule="exact"/>
        <w:rPr>
          <w:rFonts w:ascii="Times New Roman" w:cs="Times New Roman" w:eastAsia="Times New Roman" w:hAnsi="Times New Roman"/>
          <w:sz w:val="23"/>
          <w:szCs w:val="23"/>
          <w:color w:val="auto"/>
          <w:vertAlign w:val="superscript"/>
        </w:rPr>
      </w:pPr>
    </w:p>
    <w:p>
      <w:pPr>
        <w:ind w:left="320" w:right="1060"/>
        <w:spacing w:after="0" w:line="3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cash portion of the acquisition was funded through a 2024 Delayed Draw Term Loan Credit Agreement of $2 billion and cash on hand. The table below presents the fair value that was allocated to acquired assets and assumed liabilities: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Estimated Fair Value</w:t>
            </w:r>
          </w:p>
        </w:tc>
      </w:tr>
      <w:tr>
        <w:trPr>
          <w:trHeight w:val="24"/>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9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5"/>
        </w:trPr>
        <w:tc>
          <w:tcPr>
            <w:tcW w:w="9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9"/>
        </w:trPr>
        <w:tc>
          <w:tcPr>
            <w:tcW w:w="9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r>
      <w:tr>
        <w:trPr>
          <w:trHeight w:val="218"/>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9"/>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identifiable net assets was recorded as $1.116 billion of goodwill. The goodwill is not deductible for tax purposes. The goodwill was primarily attributable to future growth</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9" w:name="page10"/>
    <w:bookmarkEnd w:id="9"/>
    <w:p>
      <w:pPr>
        <w:ind w:left="80"/>
        <w:spacing w:after="0" w:line="274" w:lineRule="auto"/>
        <w:rPr>
          <w:sz w:val="20"/>
          <w:szCs w:val="20"/>
          <w:color w:val="auto"/>
        </w:rPr>
      </w:pPr>
      <w:r>
        <w:rPr>
          <w:rFonts w:ascii="Times New Roman" w:cs="Times New Roman" w:eastAsia="Times New Roman" w:hAnsi="Times New Roman"/>
          <w:sz w:val="18"/>
          <w:szCs w:val="18"/>
          <w:color w:val="auto"/>
        </w:rPr>
        <w:t>opportunities, anticipated synergies, and intangible assets that did not qualify for separate recognition. The goodwill is included in the Meals &amp; Beverages segment.</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identifiable intangible assets of Sovos Brands consist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5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Non-amortizable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5"/>
        </w:trPr>
        <w:tc>
          <w:tcPr>
            <w:tcW w:w="58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Trademarks</w:t>
            </w:r>
            <w:r>
              <w:rPr>
                <w:rFonts w:ascii="Times New Roman" w:cs="Times New Roman" w:eastAsia="Times New Roman" w:hAnsi="Times New Roman"/>
                <w:sz w:val="22"/>
                <w:szCs w:val="22"/>
                <w:color w:val="auto"/>
                <w:vertAlign w:val="superscript"/>
              </w:rPr>
              <w:t>(1)</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5"/>
        </w:trPr>
        <w:tc>
          <w:tcPr>
            <w:tcW w:w="58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Customer relationships</w:t>
            </w:r>
            <w:r>
              <w:rPr>
                <w:rFonts w:ascii="Times New Roman" w:cs="Times New Roman" w:eastAsia="Times New Roman" w:hAnsi="Times New Roman"/>
                <w:sz w:val="22"/>
                <w:szCs w:val="22"/>
                <w:color w:val="auto"/>
                <w:vertAlign w:val="superscript"/>
              </w:rPr>
              <w:t>(2)</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5"/>
              </w:rPr>
              <w:t>to</w:t>
            </w:r>
          </w:p>
        </w:tc>
        <w:tc>
          <w:tcPr>
            <w:tcW w:w="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6" w:lineRule="exact"/>
        <w:rPr>
          <w:sz w:val="20"/>
          <w:szCs w:val="20"/>
          <w:color w:val="auto"/>
        </w:rPr>
      </w:pPr>
    </w:p>
    <w:p>
      <w:pPr>
        <w:ind w:left="400" w:hanging="314"/>
        <w:spacing w:after="0"/>
        <w:tabs>
          <w:tab w:leader="none" w:pos="4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$74 million related to the noosa yoghurt business.</w:t>
      </w:r>
    </w:p>
    <w:p>
      <w:pPr>
        <w:ind w:left="400" w:hanging="314"/>
        <w:spacing w:after="0" w:line="191" w:lineRule="auto"/>
        <w:tabs>
          <w:tab w:leader="none" w:pos="40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$18 million related to the noosa yoghurt business.</w:t>
      </w:r>
    </w:p>
    <w:p>
      <w:pPr>
        <w:spacing w:after="0" w:line="74"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Excluding the assets of the noosa yoghurt business held for sale, as of January 26, 2025, the weighted-average remaining useful life of amortizable intangible assets was 29 years.</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incurred $10 million and $19 million of costs associated with the acquisition in the three- and six-month periods ended January 28, 2024.</w:t>
      </w:r>
    </w:p>
    <w:p>
      <w:pPr>
        <w:spacing w:after="0" w:line="98" w:lineRule="exact"/>
        <w:rPr>
          <w:sz w:val="20"/>
          <w:szCs w:val="20"/>
          <w:color w:val="auto"/>
        </w:rPr>
      </w:pPr>
    </w:p>
    <w:p>
      <w:pPr>
        <w:jc w:val="both"/>
        <w:ind w:left="80" w:firstLine="318"/>
        <w:spacing w:after="0" w:line="259" w:lineRule="auto"/>
        <w:rPr>
          <w:sz w:val="20"/>
          <w:szCs w:val="20"/>
          <w:color w:val="auto"/>
        </w:rPr>
      </w:pPr>
      <w:r>
        <w:rPr>
          <w:rFonts w:ascii="Times New Roman" w:cs="Times New Roman" w:eastAsia="Times New Roman" w:hAnsi="Times New Roman"/>
          <w:sz w:val="18"/>
          <w:szCs w:val="18"/>
          <w:color w:val="auto"/>
        </w:rPr>
        <w:t>For the three- and six-month periods ended January 26, 2025, the Sovos Brands acquisition contributed $313 million and $623 million to Net sales and a loss of $9 million and $12 million to Net earnings, respectively, including the effect of integration costs and interest expense on the debt to finance the acquisition.</w:t>
      </w:r>
    </w:p>
    <w:p>
      <w:pPr>
        <w:spacing w:after="0" w:line="59"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Sovos Brands acquisition had occurred on August 1, 2022:</w:t>
      </w:r>
    </w:p>
    <w:p>
      <w:pPr>
        <w:spacing w:after="0" w:line="4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90"/>
        </w:trPr>
        <w:tc>
          <w:tcPr>
            <w:tcW w:w="8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160" w:type="dxa"/>
            <w:vAlign w:val="bottom"/>
          </w:tcPr>
          <w:p>
            <w:pPr>
              <w:spacing w:after="0"/>
              <w:rPr>
                <w:sz w:val="16"/>
                <w:szCs w:val="16"/>
                <w:color w:val="auto"/>
              </w:rPr>
            </w:pPr>
          </w:p>
        </w:tc>
        <w:tc>
          <w:tcPr>
            <w:tcW w:w="9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2"/>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225"/>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r>
      <w:tr>
        <w:trPr>
          <w:trHeight w:val="231"/>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bl>
    <w:p>
      <w:pPr>
        <w:spacing w:after="0" w:line="161" w:lineRule="exact"/>
        <w:rPr>
          <w:sz w:val="20"/>
          <w:szCs w:val="20"/>
          <w:color w:val="auto"/>
        </w:rPr>
      </w:pPr>
    </w:p>
    <w:p>
      <w:pPr>
        <w:jc w:val="both"/>
        <w:ind w:left="80" w:firstLine="318"/>
        <w:spacing w:after="0" w:line="252" w:lineRule="auto"/>
        <w:rPr>
          <w:sz w:val="20"/>
          <w:szCs w:val="20"/>
          <w:color w:val="auto"/>
        </w:rPr>
      </w:pPr>
      <w:r>
        <w:rPr>
          <w:rFonts w:ascii="Times New Roman" w:cs="Times New Roman" w:eastAsia="Times New Roman" w:hAnsi="Times New Roman"/>
          <w:sz w:val="18"/>
          <w:szCs w:val="18"/>
          <w:color w:val="auto"/>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pacing w:after="0" w:line="5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4. Divestitures</w:t>
      </w:r>
    </w:p>
    <w:p>
      <w:pPr>
        <w:spacing w:after="0" w:line="100"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We recognized a pre-tax loss on the sale of $25 million, or $19 million after tax. In connection with the sale, we will provide certain transition services to support the business.</w:t>
      </w:r>
    </w:p>
    <w:p>
      <w:pPr>
        <w:spacing w:after="0" w:line="44" w:lineRule="exact"/>
        <w:rPr>
          <w:sz w:val="20"/>
          <w:szCs w:val="20"/>
          <w:color w:val="auto"/>
        </w:rPr>
      </w:pPr>
    </w:p>
    <w:p>
      <w:pPr>
        <w:jc w:val="both"/>
        <w:ind w:left="80" w:firstLine="318"/>
        <w:spacing w:after="0" w:line="259" w:lineRule="auto"/>
        <w:rPr>
          <w:sz w:val="20"/>
          <w:szCs w:val="20"/>
          <w:color w:val="auto"/>
        </w:rPr>
      </w:pPr>
      <w:r>
        <w:rPr>
          <w:rFonts w:ascii="Times New Roman" w:cs="Times New Roman" w:eastAsia="Times New Roman" w:hAnsi="Times New Roman"/>
          <w:sz w:val="18"/>
          <w:szCs w:val="18"/>
          <w:color w:val="auto"/>
        </w:rPr>
        <w:t>The business had net sales of $9 million for the six-month period ended January 26, 2025, and $32 million and $61 million for the three- and six-month periods ended January 28, 2024, respectively. Earnings were not material in the periods. The results of the business were reflected within the Snacks reportable segment.</w:t>
      </w:r>
    </w:p>
    <w:p>
      <w:pPr>
        <w:spacing w:after="0" w:line="45" w:lineRule="exact"/>
        <w:rPr>
          <w:sz w:val="20"/>
          <w:szCs w:val="20"/>
          <w:color w:val="auto"/>
        </w:rPr>
      </w:pPr>
    </w:p>
    <w:p>
      <w:pPr>
        <w:jc w:val="both"/>
        <w:ind w:left="80" w:firstLine="318"/>
        <w:spacing w:after="0" w:line="274" w:lineRule="auto"/>
        <w:rPr>
          <w:sz w:val="20"/>
          <w:szCs w:val="20"/>
          <w:color w:val="auto"/>
        </w:rPr>
      </w:pPr>
      <w:r>
        <w:rPr>
          <w:rFonts w:ascii="Times New Roman" w:cs="Times New Roman" w:eastAsia="Times New Roman" w:hAnsi="Times New Roman"/>
          <w:sz w:val="18"/>
          <w:szCs w:val="18"/>
          <w:color w:val="auto"/>
        </w:rPr>
        <w:t>Subsequent to the end of the second quarter, we completed the sale of our noosa yoghurt business on February 24, 2025, for $188 million, subject to certain customary purchase price adjustments. In connection with the sale, we will provide certain transition services to support the business.</w:t>
      </w:r>
    </w:p>
    <w:p>
      <w:pPr>
        <w:spacing w:after="0" w:line="44" w:lineRule="exact"/>
        <w:rPr>
          <w:sz w:val="20"/>
          <w:szCs w:val="20"/>
          <w:color w:val="auto"/>
        </w:rPr>
      </w:pPr>
    </w:p>
    <w:p>
      <w:pPr>
        <w:jc w:val="both"/>
        <w:ind w:left="80" w:firstLine="318"/>
        <w:spacing w:after="0" w:line="255" w:lineRule="auto"/>
        <w:rPr>
          <w:sz w:val="20"/>
          <w:szCs w:val="20"/>
          <w:color w:val="auto"/>
        </w:rPr>
      </w:pPr>
      <w:r>
        <w:rPr>
          <w:rFonts w:ascii="Times New Roman" w:cs="Times New Roman" w:eastAsia="Times New Roman" w:hAnsi="Times New Roman"/>
          <w:sz w:val="18"/>
          <w:szCs w:val="18"/>
          <w:color w:val="auto"/>
        </w:rPr>
        <w:t>The noosa yoghurt business was purchased as part of the Sovos Brands acquisition. In the second quarter of 2025, we recorded $15 million of deferred tax expense related to the sale of the business. Net sales of the business were $39 million and $83 million for the three- and six-month periods ended January 26, 2025, respectively, and $68 million from March 12, 2024 through July 28, 2024. Earnings were not material in the periods. The results of the business are reflected within the Meals &amp; Beverages segment.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20"/>
          </w:cols>
          <w:pgMar w:left="240" w:top="969" w:right="339" w:bottom="1440" w:gutter="0" w:footer="0" w:header="0"/>
        </w:sectPr>
      </w:pPr>
    </w:p>
    <w:bookmarkStart w:id="10" w:name="page11"/>
    <w:bookmarkEnd w:id="10"/>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assets and liabilities of the business have been reflected as current Assets of business held for sale and current Liabilities of business held for sale as of January 26, 2025. The assets and liabilities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0"/>
                <w:szCs w:val="20"/>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Assets of business held for sale</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23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Liabilities of business held for sale</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Accumulated Other Comprehensive Income (Loss)</w:t>
            </w: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20" w:type="dxa"/>
            <w:vAlign w:val="bottom"/>
          </w:tcPr>
          <w:p>
            <w:pPr>
              <w:spacing w:after="0"/>
              <w:rPr>
                <w:sz w:val="24"/>
                <w:szCs w:val="24"/>
                <w:color w:val="auto"/>
              </w:rPr>
            </w:pPr>
          </w:p>
        </w:tc>
        <w:tc>
          <w:tcPr>
            <w:tcW w:w="7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20"/>
                <w:szCs w:val="20"/>
                <w:color w:val="auto"/>
              </w:rPr>
            </w:pPr>
          </w:p>
        </w:tc>
        <w:tc>
          <w:tcPr>
            <w:tcW w:w="130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9"/>
                <w:szCs w:val="9"/>
                <w:b w:val="1"/>
                <w:bCs w:val="1"/>
                <w:color w:val="auto"/>
              </w:rPr>
              <w:t>(2)</w:t>
            </w:r>
          </w:p>
        </w:tc>
        <w:tc>
          <w:tcPr>
            <w:tcW w:w="154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59"/>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line="199" w:lineRule="exact"/>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40"/>
              <w:spacing w:after="0" w:line="199" w:lineRule="exact"/>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100" w:type="dxa"/>
            <w:vAlign w:val="bottom"/>
            <w:gridSpan w:val="2"/>
            <w:shd w:val="clear" w:color="auto" w:fill="CCEEFF"/>
          </w:tcPr>
          <w:p>
            <w:pPr>
              <w:ind w:left="220"/>
              <w:spacing w:after="0" w:line="181"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20" w:type="dxa"/>
            <w:vAlign w:val="bottom"/>
            <w:tcBorders>
              <w:bottom w:val="single" w:sz="8" w:color="CCEEFF"/>
            </w:tcBorders>
          </w:tcPr>
          <w:p>
            <w:pPr>
              <w:spacing w:after="0"/>
              <w:rPr>
                <w:sz w:val="18"/>
                <w:szCs w:val="18"/>
                <w:color w:val="auto"/>
              </w:rPr>
            </w:pPr>
          </w:p>
        </w:tc>
        <w:tc>
          <w:tcPr>
            <w:tcW w:w="4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100" w:type="dxa"/>
            <w:vAlign w:val="bottom"/>
            <w:gridSpan w:val="2"/>
            <w:shd w:val="clear" w:color="auto" w:fill="CCEEFF"/>
          </w:tcPr>
          <w:p>
            <w:pPr>
              <w:ind w:left="220"/>
              <w:spacing w:after="0" w:line="178"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26,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4"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January 26, 2025, July 28, 2024, January 28, 2024 and July 30, 2023.</w:t>
      </w:r>
    </w:p>
    <w:p>
      <w:pPr>
        <w:ind w:left="320" w:hanging="314"/>
        <w:spacing w:after="0" w:line="201" w:lineRule="auto"/>
        <w:tabs>
          <w:tab w:leader="none" w:pos="32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$2 million as of January 26, 2025, and July 28, 2024, $5 million as of January 28, 2024 and $1 million as of July 30, 2023.</w:t>
      </w:r>
    </w:p>
    <w:p>
      <w:pPr>
        <w:spacing w:after="0" w:line="1" w:lineRule="exact"/>
        <w:rPr>
          <w:rFonts w:ascii="Times New Roman" w:cs="Times New Roman" w:eastAsia="Times New Roman" w:hAnsi="Times New Roman"/>
          <w:sz w:val="23"/>
          <w:szCs w:val="23"/>
          <w:color w:val="auto"/>
          <w:vertAlign w:val="superscript"/>
        </w:rPr>
      </w:pPr>
    </w:p>
    <w:p>
      <w:pPr>
        <w:ind w:left="320" w:right="1780" w:hanging="314"/>
        <w:spacing w:after="0" w:line="276" w:lineRule="auto"/>
        <w:tabs>
          <w:tab w:leader="none" w:pos="30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$3 million as of January 26, 2025, and $1 million as of July 28, 2024, January 28, 2024 and July 30, 2023. Amounts related to noncontrolling interests were not material.</w:t>
      </w: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9" w:right="2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40" w:type="dxa"/>
            <w:vAlign w:val="bottom"/>
            <w:gridSpan w:val="4"/>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gridSpan w:val="6"/>
            <w:vMerge w:val="restart"/>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8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9"/>
                <w:szCs w:val="9"/>
                <w:color w:val="auto"/>
              </w:rPr>
            </w:pPr>
          </w:p>
        </w:tc>
        <w:tc>
          <w:tcPr>
            <w:tcW w:w="2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680" w:type="dxa"/>
            <w:vAlign w:val="bottom"/>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9"/>
                <w:szCs w:val="19"/>
                <w:color w:val="auto"/>
              </w:rPr>
            </w:pPr>
          </w:p>
        </w:tc>
        <w:tc>
          <w:tcPr>
            <w:tcW w:w="820" w:type="dxa"/>
            <w:vAlign w:val="bottom"/>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19"/>
                <w:szCs w:val="19"/>
                <w:color w:val="auto"/>
              </w:rPr>
            </w:pP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Cost of products sold</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Total before tax</w:t>
            </w:r>
          </w:p>
        </w:tc>
        <w:tc>
          <w:tcPr>
            <w:tcW w:w="34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9"/>
                <w:szCs w:val="19"/>
                <w:color w:val="auto"/>
              </w:rPr>
            </w:pPr>
          </w:p>
        </w:tc>
        <w:tc>
          <w:tcPr>
            <w:tcW w:w="8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Tax expense (benefit)</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Loss (gain), net of tax</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7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following table shows the changes in the carrying amount of goodwill: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28, 2024</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22"/>
                <w:szCs w:val="22"/>
                <w:b w:val="1"/>
                <w:bCs w:val="1"/>
                <w:color w:val="auto"/>
                <w:vertAlign w:val="superscript"/>
              </w:rPr>
              <w:t>(1)</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gridSpan w:val="4"/>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Amounts reclassified to Assets of business held for sale</w:t>
            </w:r>
            <w:r>
              <w:rPr>
                <w:rFonts w:ascii="Times New Roman" w:cs="Times New Roman" w:eastAsia="Times New Roman" w:hAnsi="Times New Roman"/>
                <w:sz w:val="22"/>
                <w:szCs w:val="22"/>
                <w:b w:val="1"/>
                <w:bCs w:val="1"/>
                <w:color w:val="auto"/>
                <w:vertAlign w:val="superscript"/>
              </w:rPr>
              <w:t>(2)</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January 26, 2025</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26, 2024, we sold our Pop Secret popcorn business. See Note 4 for additional information.</w:t>
      </w:r>
    </w:p>
    <w:p>
      <w:pPr>
        <w:spacing w:after="0" w:line="67" w:lineRule="exact"/>
        <w:rPr>
          <w:rFonts w:ascii="Times New Roman" w:cs="Times New Roman" w:eastAsia="Times New Roman" w:hAnsi="Times New Roman"/>
          <w:sz w:val="23"/>
          <w:szCs w:val="23"/>
          <w:color w:val="auto"/>
          <w:vertAlign w:val="superscript"/>
        </w:rPr>
      </w:pPr>
    </w:p>
    <w:p>
      <w:pPr>
        <w:ind w:left="320" w:hanging="314"/>
        <w:spacing w:after="0" w:line="203" w:lineRule="auto"/>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 on our noosa yoghurt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reclassified to</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Assets of</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business held for</w:t>
            </w:r>
          </w:p>
        </w:tc>
        <w:tc>
          <w:tcPr>
            <w:tcW w:w="240" w:type="dxa"/>
            <w:vAlign w:val="bottom"/>
          </w:tcPr>
          <w:p>
            <w:pPr>
              <w:spacing w:after="0"/>
              <w:rPr>
                <w:sz w:val="11"/>
                <w:szCs w:val="11"/>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9"/>
        </w:trPr>
        <w:tc>
          <w:tcPr>
            <w:tcW w:w="3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line="199" w:lineRule="exact"/>
              <w:rPr>
                <w:sz w:val="20"/>
                <w:szCs w:val="20"/>
                <w:color w:val="auto"/>
              </w:rPr>
            </w:pPr>
            <w:r>
              <w:rPr>
                <w:rFonts w:ascii="Times New Roman" w:cs="Times New Roman" w:eastAsia="Times New Roman" w:hAnsi="Times New Roman"/>
                <w:sz w:val="14"/>
                <w:szCs w:val="14"/>
                <w:b w:val="1"/>
                <w:bCs w:val="1"/>
                <w:color w:val="auto"/>
                <w:w w:val="92"/>
              </w:rPr>
              <w:t>sale</w:t>
            </w:r>
            <w:r>
              <w:rPr>
                <w:rFonts w:ascii="Times New Roman" w:cs="Times New Roman" w:eastAsia="Times New Roman" w:hAnsi="Times New Roman"/>
                <w:sz w:val="18"/>
                <w:szCs w:val="18"/>
                <w:b w:val="1"/>
                <w:bCs w:val="1"/>
                <w:color w:val="auto"/>
                <w:w w:val="92"/>
                <w:vertAlign w:val="superscript"/>
              </w:rPr>
              <w:t>(1)</w:t>
            </w: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Amortizable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w:t>
            </w:r>
          </w:p>
        </w:tc>
        <w:tc>
          <w:tcPr>
            <w:tcW w:w="34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9"/>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5"/>
        </w:trPr>
        <w:tc>
          <w:tcPr>
            <w:tcW w:w="3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Indefinite-lived trademarks</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342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342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(2) (3)</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8"/>
        </w:trPr>
        <w:tc>
          <w:tcPr>
            <w:tcW w:w="3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2" w:name="page13"/>
    <w:bookmarkEnd w:id="12"/>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4 for additional information on our noosa yoghurt business.</w:t>
      </w:r>
    </w:p>
    <w:p>
      <w:pPr>
        <w:spacing w:after="0" w:line="67" w:lineRule="exact"/>
        <w:rPr>
          <w:rFonts w:ascii="Times New Roman" w:cs="Times New Roman" w:eastAsia="Times New Roman" w:hAnsi="Times New Roman"/>
          <w:sz w:val="23"/>
          <w:szCs w:val="23"/>
          <w:color w:val="auto"/>
          <w:vertAlign w:val="superscript"/>
        </w:rPr>
      </w:pPr>
    </w:p>
    <w:p>
      <w:pPr>
        <w:ind w:left="320" w:hanging="314"/>
        <w:spacing w:after="0" w:line="222"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carrying amount as of July 28, 2024 included the $28 million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trademark, which was divested with the sale of the business in 2025. See Note 4 for additional information.</w:t>
      </w:r>
    </w:p>
    <w:p>
      <w:pPr>
        <w:spacing w:after="0" w:line="40"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7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$39 million for the six-month period ended January 26, 2025, and $34 million for the six-month period ended January 28, 2024. Amortization expense for both the six-month periods ended January 26, 2025 and January 28, 2024 included $14 million of accelerated amortization expense on customer relationships, which began in the fourth quarter of 2023 due to the loss of certain contract manufacturing customers. As of January 26, 2025, amortizable intangible assets had a weighted-average remaining useful life of 19 years. Amortization expense is estimated to be approximately $70 million in 2025 and $40 million per year for the following four years.</w:t>
      </w:r>
    </w:p>
    <w:p>
      <w:pPr>
        <w:spacing w:after="0" w:line="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 xml:space="preserve">During the second quarter of 2025, we performed an interim impairment assessment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In 2025, sales performance was below expectations. In the second quarter of 2025, based on recent performance, we lowered our long-term outlook and recognized an impairment charge of $15 million on the Allied brands trademarks. As of January 26, 2025, the carrying value of the Allied brands trademarks was $28 million.</w:t>
      </w:r>
    </w:p>
    <w:p>
      <w:pPr>
        <w:spacing w:after="0" w:line="33"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During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In 2025, sales performance was below expectations. In the second quarter of 2025, based on recent performance, we lowered our long-term outlook and recognized an impairment charge of $11 million on the trademark. As of January 26, 2025, the carrying value of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was $47 million.</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impairment charges were recorded in Other expenses / (income) in the Consolidated Statement of Earnings.</w:t>
      </w:r>
    </w:p>
    <w:p>
      <w:pPr>
        <w:spacing w:after="0" w:line="83"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 xml:space="preserve">The $1.47 billion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associated with the Sovos Brands acquisition approximates fair value. Excluding the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based on the 2024 annual impairment testing and interim assessments described above, indefinite-lived trademarks with approximately 10% or less of excess coverage of fair value over carrying value had an aggregate carrying value of $1.267 billion as of January 26, 2025, and included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 Foods, Late July</w:t>
      </w:r>
      <w:r>
        <w:rPr>
          <w:rFonts w:ascii="Times New Roman" w:cs="Times New Roman" w:eastAsia="Times New Roman" w:hAnsi="Times New Roman"/>
          <w:sz w:val="18"/>
          <w:szCs w:val="18"/>
          <w:color w:val="auto"/>
        </w:rPr>
        <w:t xml:space="preserve"> and Allied brands trademarks.</w:t>
      </w:r>
    </w:p>
    <w:p>
      <w:pPr>
        <w:spacing w:after="0" w:line="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51" w:lineRule="auto"/>
        <w:tabs>
          <w:tab w:leader="none" w:pos="6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Meals &amp; Beverages, which consists of our soup, simple meals and beverage products in retail and foodservice in the U.S. and Canada. The segment includes the following products: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and stocks;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pasta,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gravies, beans and dinner sauces;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canned poultry;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as of March 12, 2024,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w:t>
      </w:r>
      <w:r>
        <w:rPr>
          <w:rFonts w:ascii="Times New Roman" w:cs="Times New Roman" w:eastAsia="Times New Roman" w:hAnsi="Times New Roman"/>
          <w:sz w:val="18"/>
          <w:szCs w:val="18"/>
          <w:i w:val="1"/>
          <w:iCs w:val="1"/>
          <w:color w:val="auto"/>
        </w:rPr>
        <w:t>Michael Angelo’s</w:t>
      </w:r>
      <w:r>
        <w:rPr>
          <w:rFonts w:ascii="Times New Roman" w:cs="Times New Roman" w:eastAsia="Times New Roman" w:hAnsi="Times New Roman"/>
          <w:sz w:val="18"/>
          <w:szCs w:val="18"/>
          <w:color w:val="auto"/>
        </w:rPr>
        <w:t xml:space="preserve"> frozen entrées and pasta sauces;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xml:space="preserve"> yogurts. The noosa yoghurt business was sold on February 24, 2025. The segment also includes snacking products in foodservice and Canada; and</w:t>
      </w:r>
    </w:p>
    <w:p>
      <w:pPr>
        <w:spacing w:after="0" w:line="63"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and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 and other snacking products in retail in the U.S. The segment also includes the snacking and meals and beverages retail business in Latin America. The segment included the results of the Pop Secret popcorn business, which was sold on August 26, 2024.</w:t>
      </w:r>
    </w:p>
    <w:p>
      <w:pPr>
        <w:spacing w:after="0" w:line="4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refer to the following products as our "leadership brands":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stocks and canned poultry;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Pepperidge Farm cookies, crackers and 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cost savings and optimization initiatives, impairment charges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4"/>
                <w:szCs w:val="24"/>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42" w:lineRule="auto"/>
        <w:tabs>
          <w:tab w:leader="none" w:pos="30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unallocated items. Costs related to cost savings and optimization initiatives were $20 million and $49 million in the three- and six-month periods ended January 26, 2025, and $34 million and $45 million in the three- and six-month periods ended January 28, 2024, respectively. Unrealized mark-to-market adjustments on outstanding undesignated commodity hedges were gains of $14 million and $18 million in the three- and six-month periods ended January 26, 2025, and gains of $7 million and losses of $8 million in the three- and six-month periods ended January 28, 2024, respectively. Accelerated amortization expense related to customer relationship intangible assets was $7 million and $14 million in the three- and six-month periods ended January 26, 2025 and January 28, 2024. Intangible asset impairment charges were $26 million in the three- and six-month periods ended in January 26, 2025. A loss on the sale of our Pop Secret popcorn business of $25 million was included in the six-month period ended January 26, 2025. Litigation expenses related to the Plum baby food and snacks business, which was divested on May 3, 2021, and certain other litigation matters were $1 million and $2 million in the three- and six-month periods ended January 26, 2025 and $1 million and $3 million in the three- and six-month periods ended January 28, 2024, respectively. Insurance recoveries of $1 million and costs of $3 million related to a cybersecurity incident were included in the six-month periods ended January 26, 2025 and January 28, 2024, respectively. A postretirement actuarial loss of $2 million was included in the six-month period ended January 26, 2025. Costs of $10 million and $19 million associated with the acquisition of Sovos Brands were included in the three- and six-month periods ended January 28, 2024, respectively.</w:t>
      </w:r>
    </w:p>
    <w:p>
      <w:pPr>
        <w:spacing w:after="0" w:line="3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for additional information.</w:t>
      </w:r>
    </w:p>
    <w:p>
      <w:pPr>
        <w:spacing w:after="0" w:line="80"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net sales based on product categories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6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8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0" w:type="dxa"/>
            <w:vAlign w:val="bottom"/>
          </w:tcPr>
          <w:p>
            <w:pPr>
              <w:spacing w:after="0"/>
              <w:rPr>
                <w:sz w:val="1"/>
                <w:szCs w:val="1"/>
                <w:color w:val="auto"/>
              </w:rPr>
            </w:pPr>
          </w:p>
        </w:tc>
      </w:tr>
      <w:tr>
        <w:trPr>
          <w:trHeight w:val="21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5"/>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Soup includes various soup, broths and stock products. Snacks include cookies, pretzels, crackers, popcorn, potato chips, tortilla chips and other salty snacks and baked products. Other simple meals include sauces, yogurts, pasta, frozen entrées,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color w:val="auto"/>
        </w:rPr>
        <w:t xml:space="preserve">canned poultry, frozen pizza, gravies and beans. Beverages include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non-dairy beverages.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 Charges, Cost Savings Initiatives and Other Optimization Initiatives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Multi-year Cost Savings Initiatives and Snyder's-Lance, Inc. (Snyder's-Lance) Cost Transformation Program and Integration</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186"/>
        </w:trPr>
        <w:tc>
          <w:tcPr>
            <w:tcW w:w="64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4"/>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8"/>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aggregate $895 million pre-tax costs incurred, approximately $720 million were cash expenditures.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4"/>
        </w:trPr>
        <w:tc>
          <w:tcPr>
            <w:tcW w:w="9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8"/>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9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28, 2024, we substantially completed the multi-year cost savings initiatives and Snyder's-Lance cost transformation program and integration.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phases that had not been fully implemented were incorporated into the 2025 cost savings initiatives described below.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Sovos Brands Integration Initiatives</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for additional information. We identified opportunities for cost synergies as we integrate Sovos Brands.</w:t>
      </w:r>
    </w:p>
    <w:p>
      <w:pPr>
        <w:spacing w:after="0" w:line="4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2024, we recorded Restructuring charges of $21 million for severance pay and benefits related to initiatives to achieve the synergies. The charges incurred in 2024 were associated with the Meals &amp; Beverages segment.</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2025, the initiatives to achieve synergies were incorporated into the cost savings initiatives described 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Cost Savings Initiatives</w:t>
      </w:r>
    </w:p>
    <w:p>
      <w:pPr>
        <w:spacing w:after="0" w:line="1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 of Earnings related to these initiatives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5"/>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right"/>
              <w:ind w:right="196"/>
              <w:spacing w:after="0" w:line="158" w:lineRule="exact"/>
              <w:rPr>
                <w:sz w:val="20"/>
                <w:szCs w:val="20"/>
                <w:color w:val="auto"/>
              </w:rPr>
            </w:pPr>
            <w:r>
              <w:rPr>
                <w:rFonts w:ascii="Times New Roman" w:cs="Times New Roman" w:eastAsia="Times New Roman" w:hAnsi="Times New Roman"/>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8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8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6" w:name="page17"/>
    <w:bookmarkEnd w:id="16"/>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$190 million and we expect to incur substantially all of the costs through 2028. These estimates will be updated as the detailed plans are developed.</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$20 million in severance pay and benefits; approximately $50 million in asset impairment and accelerated depreciation; and approximately $120 million in implementation costs and other related costs. We expect these pre-tax costs to be associated with our segments as follows: Meals &amp; Beverages - approximately 72%; Snacks - approximately 9% and Corporate - approximately 19%.</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$190 million of pre-tax costs identified to date, we expect approximately $135 million will be cash expenditures. In addition, we expect to invest approximately $215 million in capital expenditures, of which we invested $57 million as of January 26, 2025. The capital expenditures primarily relate to optimization of production within our manufacturing network, implementation of our existing SAP enterprise-resource planning system for Sovos Brands and optimization of information technology infrastructure and applications.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is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balance at July 28, 2024</w:t>
      </w:r>
      <w:r>
        <w:rPr>
          <w:rFonts w:ascii="Times New Roman" w:cs="Times New Roman" w:eastAsia="Times New Roman" w:hAnsi="Times New Roman"/>
          <w:sz w:val="22"/>
          <w:szCs w:val="22"/>
          <w:color w:val="auto"/>
          <w:vertAlign w:val="superscript"/>
        </w:rPr>
        <w:t>(1)</w:t>
      </w:r>
    </w:p>
    <w:p>
      <w:pPr>
        <w:ind w:left="220"/>
        <w:spacing w:after="0"/>
        <w:rPr>
          <w:sz w:val="20"/>
          <w:szCs w:val="20"/>
          <w:color w:val="auto"/>
        </w:rPr>
      </w:pPr>
      <w:r>
        <w:rPr>
          <w:rFonts w:ascii="Times New Roman" w:cs="Times New Roman" w:eastAsia="Times New Roman" w:hAnsi="Times New Roman"/>
          <w:sz w:val="18"/>
          <w:szCs w:val="18"/>
          <w:b w:val="1"/>
          <w:bCs w:val="1"/>
          <w:color w:val="auto"/>
        </w:rPr>
        <w:t>2025 charges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2025 cash payments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at January 26, 2025</w:t>
      </w:r>
      <w:r>
        <w:rPr>
          <w:rFonts w:ascii="Times New Roman" w:cs="Times New Roman" w:eastAsia="Times New Roman" w:hAnsi="Times New Roman"/>
          <w:sz w:val="21"/>
          <w:szCs w:val="21"/>
          <w:b w:val="1"/>
          <w:bCs w:val="1"/>
          <w:color w:val="auto"/>
          <w:vertAlign w:val="superscript"/>
        </w:rPr>
        <w:t>(2)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68"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6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Severance Pay</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7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vMerge w:val="continue"/>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7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Cash Exit</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Total Charges</w:t>
            </w:r>
          </w:p>
        </w:tc>
        <w:tc>
          <w:tcPr>
            <w:tcW w:w="0" w:type="dxa"/>
            <w:vAlign w:val="bottom"/>
          </w:tcPr>
          <w:p>
            <w:pPr>
              <w:spacing w:after="0"/>
              <w:rPr>
                <w:sz w:val="1"/>
                <w:szCs w:val="1"/>
                <w:color w:val="auto"/>
              </w:rPr>
            </w:pPr>
          </w:p>
        </w:tc>
      </w:tr>
      <w:tr>
        <w:trPr>
          <w:trHeight w:val="227"/>
        </w:trPr>
        <w:tc>
          <w:tcPr>
            <w:tcW w:w="106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and Benefits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(3)</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Costs</w:t>
            </w:r>
            <w:r>
              <w:rPr>
                <w:rFonts w:ascii="Times New Roman" w:cs="Times New Roman" w:eastAsia="Times New Roman" w:hAnsi="Times New Roman"/>
                <w:sz w:val="18"/>
                <w:szCs w:val="18"/>
                <w:b w:val="1"/>
                <w:bCs w:val="1"/>
                <w:color w:val="auto"/>
                <w:w w:val="94"/>
                <w:vertAlign w:val="superscript"/>
              </w:rPr>
              <w:t>(4)</w:t>
            </w: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-17145</wp:posOffset>
            </wp:positionV>
            <wp:extent cx="7134860" cy="151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788" w:hanging="788"/>
        <w:spacing w:after="0"/>
        <w:tabs>
          <w:tab w:leader="none" w:pos="7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4" w:lineRule="exact"/>
        <w:rPr>
          <w:sz w:val="20"/>
          <w:szCs w:val="20"/>
          <w:color w:val="auto"/>
        </w:rPr>
      </w:pPr>
    </w:p>
    <w:tbl>
      <w:tblPr>
        <w:tblLayout w:type="fixed"/>
        <w:tblInd w:w="708" w:type="dxa"/>
        <w:tblCellMar>
          <w:top w:w="0" w:type="dxa"/>
          <w:left w:w="0" w:type="dxa"/>
          <w:bottom w:w="0" w:type="dxa"/>
          <w:right w:w="0" w:type="dxa"/>
        </w:tblCellMar>
      </w:tblPr>
      <w:tr>
        <w:trPr>
          <w:trHeight w:val="217"/>
        </w:trPr>
        <w:tc>
          <w:tcPr>
            <w:tcW w:w="90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11</w:t>
            </w:r>
          </w:p>
        </w:tc>
        <w:tc>
          <w:tcPr>
            <w:tcW w:w="1500" w:type="dxa"/>
            <w:vAlign w:val="bottom"/>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23</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17</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r>
      <w:tr>
        <w:trPr>
          <w:trHeight w:val="233"/>
        </w:trPr>
        <w:tc>
          <w:tcPr>
            <w:tcW w:w="90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w w:val="93"/>
              </w:rPr>
              <w:t>(15)</w:t>
            </w:r>
          </w:p>
        </w:tc>
        <w:tc>
          <w:tcPr>
            <w:tcW w:w="1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-142875</wp:posOffset>
            </wp:positionV>
            <wp:extent cx="7134860" cy="151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788" w:hanging="788"/>
        <w:spacing w:after="0"/>
        <w:tabs>
          <w:tab w:leader="none" w:pos="78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664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4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41275</wp:posOffset>
            </wp:positionV>
            <wp:extent cx="664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4392" w:space="720"/>
            <w:col w:w="6128"/>
          </w:cols>
          <w:pgMar w:left="320" w:top="969" w:right="339" w:bottom="1440" w:gutter="0" w:footer="0" w:header="0"/>
          <w:type w:val="continuous"/>
        </w:sectPr>
      </w:pPr>
    </w:p>
    <w:p>
      <w:pPr>
        <w:ind w:left="320" w:hanging="314"/>
        <w:spacing w:after="0" w:line="237" w:lineRule="auto"/>
        <w:tabs>
          <w:tab w:leader="none" w:pos="308"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Associated with the multi-year cost savings initiatives and Snyder's-Lance cost transformation program and integration, and the Sovos Brands integration initiatives described above. Includes $12 million of severance pay and benefits recorded in Other liabilities in the Consolidated Balance Sheet.</w:t>
      </w:r>
    </w:p>
    <w:p>
      <w:pPr>
        <w:ind w:left="320" w:hanging="314"/>
        <w:spacing w:after="0" w:line="192"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$14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non-cash costs that are not reflected in the restructuring reserve in the Consolidated Balance Sheet.</w:t>
      </w:r>
    </w:p>
    <w:p>
      <w:pPr>
        <w:spacing w:after="0" w:line="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Optimization Initiatives</w:t>
      </w:r>
    </w:p>
    <w:p>
      <w:pPr>
        <w:spacing w:after="0" w:line="10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six-month period ended January 26, 2025, we incurred $8 million in Marketing and selling expenses related to this initiative. As of January 26, 2025, we have incurred $13 million in Marketing and selling expenses related to this initiative.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 (EPS)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the three- and six-month periods ended January 26, 2025 and January 28, 2024, excludes less than 1 million stock options that would have been antidilutive.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25"/>
        </w:trPr>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2"/>
        </w:trPr>
        <w:tc>
          <w:tcPr>
            <w:tcW w:w="19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Expected return on plan</w:t>
            </w:r>
          </w:p>
        </w:tc>
        <w:tc>
          <w:tcPr>
            <w:tcW w:w="4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2"/>
        </w:trPr>
        <w:tc>
          <w:tcPr>
            <w:tcW w:w="19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Net periodic benefit</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2"/>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44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vMerge w:val="continue"/>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actuarial loss for the six-month period ended January 26, 2025 related to the remeasurement of our postretirement plan due to a plan amendment. The actuarial loss was primarily due to a decrease in the discount rate used to determine the benefit obligation.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30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160" w:type="dxa"/>
            <w:vAlign w:val="bottom"/>
            <w:vMerge w:val="continue"/>
          </w:tcPr>
          <w:p>
            <w:pPr>
              <w:spacing w:after="0"/>
              <w:rPr>
                <w:sz w:val="16"/>
                <w:szCs w:val="16"/>
                <w:color w:val="auto"/>
              </w:rPr>
            </w:pPr>
          </w:p>
        </w:tc>
        <w:tc>
          <w:tcPr>
            <w:tcW w:w="12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00" w:type="dxa"/>
            <w:vAlign w:val="bottom"/>
          </w:tcPr>
          <w:p>
            <w:pPr>
              <w:spacing w:after="0"/>
              <w:rPr>
                <w:sz w:val="16"/>
                <w:szCs w:val="16"/>
                <w:color w:val="auto"/>
              </w:rPr>
            </w:pPr>
          </w:p>
        </w:tc>
        <w:tc>
          <w:tcPr>
            <w:tcW w:w="13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25"/>
        </w:trPr>
        <w:tc>
          <w:tcPr>
            <w:tcW w:w="616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85" w:lineRule="exact"/>
        <w:rPr>
          <w:sz w:val="20"/>
          <w:szCs w:val="20"/>
          <w:color w:val="auto"/>
        </w:rPr>
      </w:pPr>
    </w:p>
    <w:p>
      <w:pPr>
        <w:ind w:left="5540" w:right="5440" w:hanging="5534"/>
        <w:spacing w:after="0" w:line="900" w:lineRule="auto"/>
        <w:tabs>
          <w:tab w:leader="none" w:pos="259"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costs associated with the cost savings initiatives described in Note 8.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-386715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84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40" w:type="dxa"/>
            <w:vAlign w:val="bottom"/>
          </w:tcPr>
          <w:p>
            <w:pPr>
              <w:spacing w:after="0"/>
              <w:rPr>
                <w:sz w:val="10"/>
                <w:szCs w:val="10"/>
                <w:color w:val="auto"/>
              </w:rPr>
            </w:pPr>
          </w:p>
        </w:tc>
        <w:tc>
          <w:tcPr>
            <w:tcW w:w="960" w:type="dxa"/>
            <w:vAlign w:val="bottom"/>
          </w:tcPr>
          <w:p>
            <w:pPr>
              <w:jc w:val="center"/>
              <w:ind w:right="157"/>
              <w:spacing w:after="0" w:line="126" w:lineRule="exact"/>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336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5"/>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of business held for sale</w:t>
            </w: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of business held for sale</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3840" w:type="dxa"/>
            <w:vAlign w:val="bottom"/>
            <w:gridSpan w:val="3"/>
          </w:tcPr>
          <w:p>
            <w:pPr>
              <w:ind w:left="24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38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3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40" w:type="dxa"/>
            <w:vAlign w:val="bottom"/>
          </w:tcPr>
          <w:p>
            <w:pPr>
              <w:spacing w:after="0"/>
              <w:rPr>
                <w:sz w:val="10"/>
                <w:szCs w:val="10"/>
                <w:color w:val="auto"/>
              </w:rPr>
            </w:pPr>
          </w:p>
        </w:tc>
        <w:tc>
          <w:tcPr>
            <w:tcW w:w="960" w:type="dxa"/>
            <w:vAlign w:val="bottom"/>
          </w:tcPr>
          <w:p>
            <w:pPr>
              <w:jc w:val="center"/>
              <w:ind w:right="157"/>
              <w:spacing w:after="0" w:line="126" w:lineRule="exact"/>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336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5"/>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of business held for sale</w:t>
            </w: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of business held for sale</w:t>
            </w: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9"/>
                <w:szCs w:val="19"/>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5"/>
        </w:trPr>
        <w:tc>
          <w:tcPr>
            <w:tcW w:w="8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3"/>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20"/>
                <w:szCs w:val="20"/>
                <w:color w:val="auto"/>
              </w:rPr>
            </w:pPr>
          </w:p>
        </w:tc>
        <w:tc>
          <w:tcPr>
            <w:tcW w:w="720" w:type="dxa"/>
            <w:vAlign w:val="bottom"/>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Short-term Borrowings and Long-term Debt</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October 2, 2024, pursuant to the registration statement, we completed the issuance of senior unsecured notes of $1.15 billion, consisting of:</w:t>
      </w:r>
    </w:p>
    <w:p>
      <w:pPr>
        <w:spacing w:after="0" w:line="45"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9" w:name="page20"/>
    <w:bookmarkEnd w:id="19"/>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We have $1.15 billion aggregate principal amount of senior notes maturing in March 2025, which we intend to repay by using a portion of the proceeds from the issuance of the notes along with cash on hand and issuing commercial paper.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January 26, 2025, or July 28, 2024.</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exposed to credit risk from our customers. During 2024, our largest customer accounted for approximately 22% of our consolidated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five largest customers accounted for approximately 47% of our consolidated net sales in 2024.</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purchase and sale contracts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$113 million as of January 26, 2025, and $108 million as of July 28, 2024.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$404 million as of January 26, 2025, and $189 million as of July 28,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value of $700 million at a gain of less than $1 million. The gain on these instruments was recorded in other comprehensive income (loss) and will be recognized in Interest expense over the life of the debt. There were no forward starting interest rate swaps or treasury lock contracts outstanding as of January 26, 2025 and July 28,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8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corn and soybean meal. Commodity futures, options and swap contracts are either designated as cash-flow hedging instruments or are undesignated. We hedge a portion of commodity requirements for periods typically up to 18 months. There were no commodity contracts designated as cash-flow hedges as of January 26, 2025, or July 28, 2024. The notional amount of commodity contracts not designated as accounting hedges was $133 million as of January 26, 2025, and $200 million as of July 28, 2024. The change in fair value on undesignated instruments is recorded in Cost of products sold.</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$90 million as of January 26, 2025, and $48 million as of July 28, 2024. The change in fair value on the embedded derivative is recorded in Cost of products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$80 million as of January 26, 2025, and $71 million as of July 28, 2024.</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26, 2025, and July 28,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July 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8"/>
          <w:szCs w:val="18"/>
          <w:color w:val="auto"/>
        </w:rPr>
        <w:t>derivatives on a net basis, the amounts presented in the Consolidated Balance Sheets as of January 26, 2025, and July 28, 2024, would be adjusted as detailed in the following table:</w:t>
      </w: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3"/>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1"/>
                <w:szCs w:val="11"/>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86"/>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less than $1 million at January 26, 2025 and $2 million at July 28, 2024 were included in Other current assets in the Consolidated Balance Sheets.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show the effect of our derivative instruments designated as cash-flow hedges in other comprehensive income (loss) (OCI)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2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420" w:type="dxa"/>
            <w:vAlign w:val="bottom"/>
          </w:tcPr>
          <w:p>
            <w:pPr>
              <w:spacing w:after="0"/>
              <w:rPr>
                <w:sz w:val="13"/>
                <w:szCs w:val="13"/>
                <w:color w:val="auto"/>
              </w:rPr>
            </w:pPr>
          </w:p>
        </w:tc>
      </w:tr>
      <w:tr>
        <w:trPr>
          <w:trHeight w:val="192"/>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420" w:type="dxa"/>
            <w:vAlign w:val="bottom"/>
            <w:tcBorders>
              <w:bottom w:val="single" w:sz="8" w:color="auto"/>
            </w:tcBorders>
          </w:tcPr>
          <w:p>
            <w:pPr>
              <w:spacing w:after="0"/>
              <w:rPr>
                <w:sz w:val="16"/>
                <w:szCs w:val="16"/>
                <w:color w:val="auto"/>
              </w:rPr>
            </w:pPr>
          </w:p>
        </w:tc>
      </w:tr>
      <w:tr>
        <w:trPr>
          <w:trHeight w:val="192"/>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72"/>
        </w:trPr>
        <w:tc>
          <w:tcPr>
            <w:tcW w:w="6180" w:type="dxa"/>
            <w:vAlign w:val="bottom"/>
            <w:tcBorders>
              <w:top w:val="single" w:sz="8" w:color="CCEEFF"/>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r>
      <w:tr>
        <w:trPr>
          <w:trHeight w:val="40"/>
        </w:trPr>
        <w:tc>
          <w:tcPr>
            <w:tcW w:w="1420" w:type="dxa"/>
            <w:vAlign w:val="bottom"/>
            <w:tcBorders>
              <w:left w:val="single" w:sz="8" w:color="CCEEFF"/>
            </w:tcBorders>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2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gridSpan w:val="2"/>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61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05"/>
        </w:trPr>
        <w:tc>
          <w:tcPr>
            <w:tcW w:w="1420" w:type="dxa"/>
            <w:vAlign w:val="bottom"/>
            <w:tcBorders>
              <w:left w:val="single" w:sz="8" w:color="CCEEFF"/>
              <w:bottom w:val="single" w:sz="8" w:color="auto"/>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w w:val="97"/>
              </w:rPr>
              <w:t>Six Months Ended</w:t>
            </w:r>
          </w:p>
        </w:tc>
        <w:tc>
          <w:tcPr>
            <w:tcW w:w="476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r>
      <w:tr>
        <w:trPr>
          <w:trHeight w:val="225"/>
        </w:trPr>
        <w:tc>
          <w:tcPr>
            <w:tcW w:w="6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year</w:t>
            </w:r>
          </w:p>
        </w:tc>
        <w:tc>
          <w:tcPr>
            <w:tcW w:w="292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76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1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95"/>
        </w:trPr>
        <w:tc>
          <w:tcPr>
            <w:tcW w:w="618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340" w:type="dxa"/>
            <w:vAlign w:val="bottom"/>
            <w:gridSpan w:val="2"/>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2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180" w:type="dxa"/>
            <w:vAlign w:val="bottom"/>
            <w:tcBorders>
              <w:top w:val="single" w:sz="8" w:color="CCEEFF"/>
              <w:left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gain of $1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2" w:name="page23"/>
    <w:bookmarkEnd w:id="22"/>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show the total amounts of line items presented in the Consolidated Statements of Earnings in which the effects of derivative instruments designated as cash-flow hedges are recorded and the total effect of hedge activity on these line items: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34"/>
        </w:trPr>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40" w:type="dxa"/>
            <w:vAlign w:val="bottom"/>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1,866</w:t>
            </w: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708"/>
        </w:trPr>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84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8"/>
        </w:trPr>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
        </w:trPr>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r>
      <w:tr>
        <w:trPr>
          <w:trHeight w:val="186"/>
        </w:trPr>
        <w:tc>
          <w:tcPr>
            <w:tcW w:w="3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January 28, 2024</w:t>
            </w:r>
          </w:p>
        </w:tc>
      </w:tr>
      <w:tr>
        <w:trPr>
          <w:trHeight w:val="134"/>
        </w:trPr>
        <w:tc>
          <w:tcPr>
            <w:tcW w:w="128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840" w:type="dxa"/>
            <w:vAlign w:val="bottom"/>
          </w:tcPr>
          <w:p>
            <w:pPr>
              <w:ind w:left="34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Cost of products</w:t>
            </w:r>
          </w:p>
        </w:tc>
        <w:tc>
          <w:tcPr>
            <w:tcW w:w="220" w:type="dxa"/>
            <w:vAlign w:val="bottom"/>
          </w:tcPr>
          <w:p>
            <w:pPr>
              <w:spacing w:after="0"/>
              <w:rPr>
                <w:sz w:val="11"/>
                <w:szCs w:val="11"/>
                <w:color w:val="auto"/>
              </w:rPr>
            </w:pPr>
          </w:p>
        </w:tc>
        <w:tc>
          <w:tcPr>
            <w:tcW w:w="980" w:type="dxa"/>
            <w:vAlign w:val="bottom"/>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91"/>
        </w:trPr>
        <w:tc>
          <w:tcPr>
            <w:tcW w:w="300" w:type="dxa"/>
            <w:vAlign w:val="bottom"/>
          </w:tcPr>
          <w:p>
            <w:pPr>
              <w:spacing w:after="0"/>
              <w:rPr>
                <w:sz w:val="16"/>
                <w:szCs w:val="16"/>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sold</w:t>
            </w:r>
          </w:p>
        </w:tc>
        <w:tc>
          <w:tcPr>
            <w:tcW w:w="22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32"/>
        </w:trPr>
        <w:tc>
          <w:tcPr>
            <w:tcW w:w="3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3,771</w:t>
            </w: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175</w:t>
            </w: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708"/>
        </w:trPr>
        <w:tc>
          <w:tcPr>
            <w:tcW w:w="300" w:type="dxa"/>
            <w:vAlign w:val="bottom"/>
          </w:tcPr>
          <w:p>
            <w:pPr>
              <w:jc w:val="right"/>
              <w:ind w:right="1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4"/>
                <w:szCs w:val="24"/>
                <w:color w:val="auto"/>
              </w:rPr>
            </w:pPr>
          </w:p>
        </w:tc>
        <w:tc>
          <w:tcPr>
            <w:tcW w:w="840" w:type="dxa"/>
            <w:vAlign w:val="bottom"/>
          </w:tcPr>
          <w:p>
            <w:pPr>
              <w:jc w:val="right"/>
              <w:ind w:right="642"/>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5"/>
              </w:rPr>
              <w:t>(2)</w:t>
            </w:r>
          </w:p>
        </w:tc>
        <w:tc>
          <w:tcPr>
            <w:tcW w:w="1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-1859280</wp:posOffset>
            </wp:positionV>
            <wp:extent cx="7134860" cy="151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-1539875</wp:posOffset>
            </wp:positionV>
            <wp:extent cx="7134860"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-605790</wp:posOffset>
            </wp:positionV>
            <wp:extent cx="7134860" cy="151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-3919855</wp:posOffset>
            </wp:positionH>
            <wp:positionV relativeFrom="paragraph">
              <wp:posOffset>-286385</wp:posOffset>
            </wp:positionV>
            <wp:extent cx="713486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5460" w:space="720"/>
            <w:col w:w="5060"/>
          </w:cols>
          <w:pgMar w:left="320" w:top="969"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840" w:type="dxa"/>
            <w:vAlign w:val="bottom"/>
            <w:gridSpan w:val="2"/>
            <w:vMerge w:val="continue"/>
          </w:tcPr>
          <w:p>
            <w:pPr>
              <w:spacing w:after="0"/>
              <w:rPr>
                <w:sz w:val="13"/>
                <w:szCs w:val="13"/>
                <w:color w:val="auto"/>
              </w:rPr>
            </w:pP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91"/>
        </w:trPr>
        <w:tc>
          <w:tcPr>
            <w:tcW w:w="3380" w:type="dxa"/>
            <w:vAlign w:val="bottom"/>
            <w:vMerge w:val="continue"/>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89"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January 26, 2025, and July 28, 2024, consistent with the fair value hierarchy:</w:t>
      </w:r>
    </w:p>
    <w:p>
      <w:pPr>
        <w:sectPr>
          <w:pgSz w:w="11900" w:h="16838" w:orient="portrait"/>
          <w:cols w:equalWidth="0" w:num="1">
            <w:col w:w="11240"/>
          </w:cols>
          <w:pgMar w:left="320" w:top="965" w:right="339" w:bottom="1440" w:gutter="0" w:footer="0" w:header="0"/>
        </w:sectPr>
      </w:pP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10"/>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20" w:type="dxa"/>
            <w:vAlign w:val="bottom"/>
            <w:gridSpan w:val="9"/>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w w:val="99"/>
              </w:rPr>
              <w:t>January 26, 2025 Using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7"/>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1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2"/>
        </w:trPr>
        <w:tc>
          <w:tcPr>
            <w:tcW w:w="1800" w:type="dxa"/>
            <w:vAlign w:val="bottom"/>
            <w:gridSpan w:val="4"/>
          </w:tcPr>
          <w:p>
            <w:pPr>
              <w:spacing w:after="0" w:line="172"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gridSpan w:val="3"/>
          </w:tcPr>
          <w:p>
            <w:pPr>
              <w:ind w:left="100"/>
              <w:spacing w:after="0" w:line="197"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7"/>
                <w:szCs w:val="17"/>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80" w:type="dxa"/>
            <w:vAlign w:val="bottom"/>
            <w:gridSpan w:val="4"/>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00"/>
              <w:spacing w:after="0" w:line="182"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4"/>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10"/>
          </w:tcPr>
          <w:p>
            <w:pPr>
              <w:jc w:val="center"/>
              <w:ind w:left="51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20" w:type="dxa"/>
            <w:vAlign w:val="bottom"/>
            <w:gridSpan w:val="9"/>
          </w:tcPr>
          <w:p>
            <w:pPr>
              <w:jc w:val="center"/>
              <w:ind w:right="114"/>
              <w:spacing w:after="0" w:line="135" w:lineRule="exact"/>
              <w:rPr>
                <w:sz w:val="20"/>
                <w:szCs w:val="20"/>
                <w:color w:val="auto"/>
              </w:rPr>
            </w:pPr>
            <w:r>
              <w:rPr>
                <w:rFonts w:ascii="Times New Roman" w:cs="Times New Roman" w:eastAsia="Times New Roman" w:hAnsi="Times New Roman"/>
                <w:sz w:val="14"/>
                <w:szCs w:val="14"/>
                <w:b w:val="1"/>
                <w:bCs w:val="1"/>
                <w:color w:val="auto"/>
              </w:rPr>
              <w:t>January 26, 2025 Using</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20" w:type="dxa"/>
            <w:vAlign w:val="bottom"/>
          </w:tcPr>
          <w:p>
            <w:pPr>
              <w:spacing w:after="0"/>
              <w:rPr>
                <w:sz w:val="16"/>
                <w:szCs w:val="16"/>
                <w:color w:val="auto"/>
              </w:rPr>
            </w:pPr>
          </w:p>
        </w:tc>
        <w:tc>
          <w:tcPr>
            <w:tcW w:w="8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8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6"/>
                <w:szCs w:val="16"/>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380" w:type="dxa"/>
            <w:vAlign w:val="bottom"/>
            <w:gridSpan w:val="4"/>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2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8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gridSpan w:val="2"/>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780" w:type="dxa"/>
            <w:vAlign w:val="bottom"/>
            <w:gridSpan w:val="3"/>
          </w:tcPr>
          <w:p>
            <w:pPr>
              <w:ind w:left="120"/>
              <w:spacing w:after="0" w:line="239"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0" w:type="dxa"/>
            <w:vAlign w:val="bottom"/>
            <w:gridSpan w:val="4"/>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liabilities at fair</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13"/>
                <w:szCs w:val="13"/>
                <w:color w:val="auto"/>
              </w:rPr>
            </w:pP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380" w:type="dxa"/>
            <w:vAlign w:val="bottom"/>
            <w:gridSpan w:val="4"/>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8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1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380" w:type="dxa"/>
            <w:vAlign w:val="bottom"/>
            <w:gridSpan w:val="4"/>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-3280410</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-2876550</wp:posOffset>
            </wp:positionV>
            <wp:extent cx="7134860" cy="260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-2355215</wp:posOffset>
            </wp:positionV>
            <wp:extent cx="7134860" cy="260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-1311910</wp:posOffset>
            </wp:positionV>
            <wp:extent cx="7117715" cy="142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-908050</wp:posOffset>
            </wp:positionV>
            <wp:extent cx="7117715" cy="260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7715" cy="2609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-276860</wp:posOffset>
            </wp:positionV>
            <wp:extent cx="7117715" cy="260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7715" cy="26098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gridSpan w:val="10"/>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gridSpan w:val="7"/>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July 28, 2024 Using</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7"/>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0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10"/>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7"/>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July 28, 2024 Using</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20" w:type="dxa"/>
            <w:vAlign w:val="bottom"/>
            <w:gridSpan w:val="8"/>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4"/>
            <w:vMerge w:val="restart"/>
          </w:tcPr>
          <w:p>
            <w:pPr>
              <w:jc w:val="center"/>
              <w:ind w:right="280"/>
              <w:spacing w:after="0" w:line="113" w:lineRule="exact"/>
              <w:rPr>
                <w:sz w:val="20"/>
                <w:szCs w:val="20"/>
                <w:color w:val="auto"/>
              </w:rPr>
            </w:pPr>
            <w:r>
              <w:rPr>
                <w:rFonts w:ascii="Times New Roman" w:cs="Times New Roman" w:eastAsia="Times New Roman" w:hAnsi="Times New Roman"/>
                <w:sz w:val="13"/>
                <w:szCs w:val="13"/>
                <w:b w:val="1"/>
                <w:bCs w:val="1"/>
                <w:color w:val="auto"/>
              </w:rPr>
              <w:t>as of</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gridSpan w:val="8"/>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4"/>
            <w:vMerge w:val="continue"/>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July 28, 2024</w:t>
            </w:r>
          </w:p>
        </w:tc>
        <w:tc>
          <w:tcPr>
            <w:tcW w:w="100" w:type="dxa"/>
            <w:vAlign w:val="bottom"/>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82"/>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4"/>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ectPr>
          <w:pgSz w:w="11900" w:h="16838" w:orient="portrait"/>
          <w:cols w:equalWidth="0" w:num="2">
            <w:col w:w="6480" w:space="80"/>
            <w:col w:w="4680"/>
          </w:cols>
          <w:pgMar w:left="320" w:top="965" w:right="339" w:bottom="1440" w:gutter="0" w:footer="0" w:header="0"/>
          <w:type w:val="continuous"/>
        </w:sectPr>
      </w:pPr>
    </w:p>
    <w:p>
      <w:pPr>
        <w:ind w:left="320" w:hanging="314"/>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equity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24" w:name="page25"/>
    <w:bookmarkEnd w:id="24"/>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400" w:type="dxa"/>
            <w:vAlign w:val="bottom"/>
            <w:tcBorders>
              <w:top w:val="single" w:sz="8" w:color="auto"/>
            </w:tcBorders>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400" w:type="dxa"/>
            <w:vAlign w:val="bottom"/>
          </w:tcPr>
          <w:p>
            <w:pPr>
              <w:spacing w:after="0"/>
              <w:rPr>
                <w:sz w:val="19"/>
                <w:szCs w:val="19"/>
                <w:color w:val="auto"/>
              </w:rPr>
            </w:pPr>
          </w:p>
        </w:tc>
        <w:tc>
          <w:tcPr>
            <w:tcW w:w="800" w:type="dxa"/>
            <w:vAlign w:val="bottom"/>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4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we are also required to measure certain items at fair value on a nonrecurring basis.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second quarter of 2025, we performed interim impairment assessments on certain trademarks in our Snacks segment. See also Note 6 for additional information on the impairment charges.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Fair value was determined based on unobservable Level 3 inputs. The fair value of trademarks was determined based on discounted cash flow analysis that involves significant management assumptions such as expected revenue growth rates, assumed royalty rates and weighted-average costs of capital.</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fair value measurements of the trademarks: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gridSpan w:val="4"/>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December 2025</w:t>
            </w:r>
          </w:p>
        </w:tc>
        <w:tc>
          <w:tcPr>
            <w:tcW w:w="0" w:type="dxa"/>
            <w:vAlign w:val="bottom"/>
          </w:tcPr>
          <w:p>
            <w:pPr>
              <w:spacing w:after="0"/>
              <w:rPr>
                <w:sz w:val="1"/>
                <w:szCs w:val="1"/>
                <w:color w:val="auto"/>
              </w:rPr>
            </w:pPr>
          </w:p>
        </w:tc>
      </w:tr>
      <w:tr>
        <w:trPr>
          <w:trHeight w:val="24"/>
        </w:trPr>
        <w:tc>
          <w:tcPr>
            <w:tcW w:w="9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160" w:type="dxa"/>
            <w:vAlign w:val="bottom"/>
          </w:tcPr>
          <w:p>
            <w:pPr>
              <w:spacing w:after="0"/>
              <w:rPr>
                <w:sz w:val="11"/>
                <w:szCs w:val="11"/>
                <w:color w:val="auto"/>
              </w:rPr>
            </w:pPr>
          </w:p>
        </w:tc>
        <w:tc>
          <w:tcPr>
            <w:tcW w:w="900" w:type="dxa"/>
            <w:vAlign w:val="bottom"/>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9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9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Allied brands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33"/>
        </w:trPr>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Late July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cash equivalents of $170 million at January 26, 2025 and $25 million at July 28, 2024. Cash equivalents represent fair value as these highly liquid investments have an original maturity of three months or less. Fair value of cash equivalents is based on Level 2 inputs.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$7.291 billion at January 26, 2025, and $6.866 billion at July 28, 2024. The carrying value was $7.675 billion at January 26, 2025, and $7.184 billion at July 28, 2024.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six-month periods ended January 26, 2025 and January 28, 2024, we repurchased 1.134 million shares at a cost of $56 million and 707 thousand shares at a cost of $29 million, respectively, pursuant to our anti-dilutive share repurchase programs. As of January 26, 2025, approximately $205 million remained available under the September 2024 program and approximately $301 million remained available under the September 2021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2025, we issued time-lapse restricted stock units, unrestricted stock, TSR performance restricted stock units and EPS performance restricted stock units. We last issued stock options and FCF performance restricted stock units in 2019.</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Sovos Brands acquisition, in the third quarter of 2024, we issued 1.721 million time-lapse restricted stock units (Replacement units) in exchange for certain Sovos Brands restricted stock units and performance restricted stock units. The Replacement units are subject to the same terms and conditions of the original Sovos Brands restricted stock units and performance restricted stock units. Certain Replacement units were subject to accelerated vesting. The Replacement units had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in the third quarter of 2024. See Note 3 for additional information. The portion of the Replacement units attributable to post-combination service will be recognized as stock-based compensation expense over the remaining vesting period.</w:t>
      </w:r>
    </w:p>
    <w:p>
      <w:pPr>
        <w:spacing w:after="0" w:line="5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840" w:type="dxa"/>
            <w:vAlign w:val="bottom"/>
            <w:gridSpan w:val="2"/>
            <w:vMerge w:val="continue"/>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0" w:type="dxa"/>
            <w:vAlign w:val="bottom"/>
          </w:tcPr>
          <w:p>
            <w:pPr>
              <w:spacing w:after="0"/>
              <w:rPr>
                <w:sz w:val="1"/>
                <w:szCs w:val="1"/>
                <w:color w:val="auto"/>
              </w:rPr>
            </w:pPr>
          </w:p>
        </w:tc>
      </w:tr>
      <w:tr>
        <w:trPr>
          <w:trHeight w:val="225"/>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50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3"/>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0"/>
        </w:trPr>
        <w:tc>
          <w:tcPr>
            <w:tcW w:w="5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7"/>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 w:type="dxa"/>
            <w:vAlign w:val="bottom"/>
          </w:tcPr>
          <w:p>
            <w:pPr>
              <w:spacing w:after="0"/>
              <w:rPr>
                <w:sz w:val="13"/>
                <w:szCs w:val="13"/>
                <w:color w:val="auto"/>
              </w:rPr>
            </w:pPr>
          </w:p>
        </w:tc>
        <w:tc>
          <w:tcPr>
            <w:tcW w:w="780" w:type="dxa"/>
            <w:vAlign w:val="bottom"/>
            <w:gridSpan w:val="2"/>
          </w:tcPr>
          <w:p>
            <w:pPr>
              <w:jc w:val="center"/>
              <w:ind w:right="43"/>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23"/>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41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43"/>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0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418"/>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282"/>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520" w:type="dxa"/>
            <w:vAlign w:val="bottom"/>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28, 2024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26, 2025</w:t>
            </w: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260" w:type="dxa"/>
            <w:vAlign w:val="bottom"/>
            <w:tcBorders>
              <w:top w:val="single" w:sz="8" w:color="CCEEFF"/>
              <w:bottom w:val="single" w:sz="8" w:color="auto"/>
            </w:tcBorders>
            <w:shd w:val="clear" w:color="auto" w:fill="CCEEFF"/>
          </w:tcPr>
          <w:p>
            <w:pPr>
              <w:spacing w:after="0"/>
              <w:rPr>
                <w:sz w:val="20"/>
                <w:szCs w:val="20"/>
                <w:color w:val="auto"/>
              </w:rPr>
            </w:pP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auto"/>
            </w:tcBorders>
            <w:shd w:val="clear" w:color="auto" w:fill="CCEEFF"/>
          </w:tcPr>
          <w:p>
            <w:pPr>
              <w:spacing w:after="0"/>
              <w:rPr>
                <w:sz w:val="20"/>
                <w:szCs w:val="20"/>
                <w:color w:val="auto"/>
              </w:rPr>
            </w:pP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680" w:type="dxa"/>
            <w:vAlign w:val="bottom"/>
            <w:tcBorders>
              <w:top w:val="single" w:sz="8" w:color="CCEEFF"/>
              <w:bottom w:val="single" w:sz="8" w:color="auto"/>
            </w:tcBorders>
            <w:shd w:val="clear" w:color="auto" w:fill="CCEEFF"/>
          </w:tcPr>
          <w:p>
            <w:pPr>
              <w:spacing w:after="0"/>
              <w:rPr>
                <w:sz w:val="20"/>
                <w:szCs w:val="20"/>
                <w:color w:val="auto"/>
              </w:rPr>
            </w:pPr>
          </w:p>
        </w:tc>
        <w:tc>
          <w:tcPr>
            <w:tcW w:w="320" w:type="dxa"/>
            <w:vAlign w:val="bottom"/>
            <w:tcBorders>
              <w:top w:val="single" w:sz="8" w:color="CCEEFF"/>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January 26, 2025</w:t>
            </w: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ind w:right="418"/>
              <w:spacing w:after="0" w:line="198"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ind w:left="80"/>
              <w:spacing w:after="0" w:line="198" w:lineRule="exact"/>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 options were exercised during the six-month period ended January 28, 2024. We measured the fair value of stock options using the Black-Scholes option pricing model.</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26,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4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Since 2022, we have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6" w:name="page27"/>
    <w:bookmarkEnd w:id="26"/>
    <w:p>
      <w:pPr>
        <w:jc w:val="both"/>
        <w:spacing w:after="0" w:line="252" w:lineRule="auto"/>
        <w:rPr>
          <w:sz w:val="20"/>
          <w:szCs w:val="20"/>
          <w:color w:val="auto"/>
        </w:rPr>
      </w:pPr>
      <w:r>
        <w:rPr>
          <w:rFonts w:ascii="Times New Roman" w:cs="Times New Roman" w:eastAsia="Times New Roman" w:hAnsi="Times New Roman"/>
          <w:sz w:val="18"/>
          <w:szCs w:val="18"/>
          <w:color w:val="auto"/>
        </w:rPr>
        <w:t>number of awards expected to vest. In the first quarter of 2025, recipients of EPS performance restricted stock units earned 100% of the initial grants based upon actual performance achieved during a three-year period ended July 28, 2024. There were 934 thousand EPS performance target grants outstanding at January 26, 2025, with a weighted-average grant-date fair value of $45.51. In connection with the divestiture of our Pop Secret popcorn business, in the first quarter of 2025, our adjusted EPS compound annual growth rate goals for the EPS performance restricted stock units granted in 2024 and 2023 were revised to equitably adjust for the impact of the completed divestiture that was not contemplated at the time of approval of the original targets.</w:t>
      </w:r>
    </w:p>
    <w:p>
      <w:pPr>
        <w:spacing w:after="0" w:line="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January 26, 2025, total remaining unearned compensation related to nonvested time-lapse restricted stock units and EPS performance restricted stock units was $74 million, which will be amortized over the weighted-average remaining service period of 1.9 years. The fair value of restricted stock units vested during the six-month periods ended January 26, 2025, and January 28, 2024, was $63 million and $31 million, respectively. The weighted-average grant-date fair value of the restricted stock units granted during the six-month period ended January 28, 2024 was $41.08.</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64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2024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26, 2025</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3.52%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rPr>
              <w:t>3.01%</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22.46%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22.16%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January 26, 2025, total remaining unearned compensation related to TSR performance restricted stock units was $16 million, which will be amortized over the weighted-average remaining service period of 1.9 years.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In the first quarter of 2024, recipients of TSR performance restricted stock units earned 75% of the initial grants based upon our TSR ranking in a performance peer group during a three-year period ended July 28, 2023. The fair value of TSR performance restricted stock units vested during the six-month periods ended January 26, 2025, and January 28, 2024, was $23 million and $12 million, respectively. The grant-date fair value of the TSR performance restricted stock units granted during the six-month period ended January 28, 2024, was $44.18.</w:t>
      </w:r>
    </w:p>
    <w:p>
      <w:pPr>
        <w:spacing w:after="0" w:line="159" w:lineRule="exact"/>
        <w:rPr>
          <w:sz w:val="20"/>
          <w:szCs w:val="20"/>
          <w:color w:val="auto"/>
        </w:rPr>
      </w:pPr>
    </w:p>
    <w:p>
      <w:pPr>
        <w:ind w:right="8460" w:firstLine="6"/>
        <w:spacing w:after="0" w:line="367" w:lineRule="auto"/>
        <w:tabs>
          <w:tab w:leader="none" w:pos="265"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7" w:name="page28"/>
    <w:bookmarkEnd w:id="27"/>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40"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 settlement discussions with the DOJ and the private environmental groups.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6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26, 2025.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January 26,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$269 million at January 26, 2025 and $243 million July 28, 2024.</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19.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1"/>
        </w:trPr>
        <w:tc>
          <w:tcPr>
            <w:tcW w:w="5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5"/>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3"/>
        </w:trPr>
        <w:tc>
          <w:tcPr>
            <w:tcW w:w="5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4"/>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0" w:type="dxa"/>
            <w:vAlign w:val="bottom"/>
          </w:tcPr>
          <w:p>
            <w:pPr>
              <w:spacing w:after="0"/>
              <w:rPr>
                <w:sz w:val="1"/>
                <w:szCs w:val="1"/>
                <w:color w:val="auto"/>
              </w:rPr>
            </w:pPr>
          </w:p>
        </w:tc>
      </w:tr>
      <w:tr>
        <w:trPr>
          <w:trHeight w:val="212"/>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Impairment of intangible assets</w:t>
            </w:r>
            <w:r>
              <w:rPr>
                <w:rFonts w:ascii="Times New Roman" w:cs="Times New Roman" w:eastAsia="Times New Roman" w:hAnsi="Times New Roman"/>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(2)</w:t>
            </w: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39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12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8"/>
        </w:trPr>
        <w:tc>
          <w:tcPr>
            <w:tcW w:w="57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w w:val="88"/>
              </w:rPr>
              <w:t>84</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5" w:lineRule="exact"/>
        <w:rPr>
          <w:sz w:val="20"/>
          <w:szCs w:val="20"/>
          <w:color w:val="auto"/>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6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215"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$7 million and $14 million in the three- and six-month periods ended January 26, 2025 and January 28, 2024.</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acquisition of Sovos Brands. See Note 3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sale of our Pop Secret popcorn business. See Note 4 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9" w:name="page30"/>
    <w:bookmarkEnd w:id="29"/>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28, 2024,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Unless otherwise stated, the terms "we," "us," "our" and the "company" refer to The Campbell's Company and its consolidated subsidiaries.</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Inc. (Sovos Brands) for total purchase consideration of $2.899 billion. For additional information on the Sovos Brands acquisition, see Note 3 to the Consolidated Financial Statements. All references to the acquisition below refer to the Sovos Brands acquisition.</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For additional information on the divestiture, see Note 4 to the Consolidated Financial Statements.</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February 24, 2025, we completed the sale of our noosa yoghurt business for $188 million, subject to certain customary purchase price adjustments.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divestiture, see Note 4 to the Consolidated Financial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industry continues to navigate an ongoing recovery in light of global macroeconomic challenges, including changes in consumer purchasing and spending patterns; supply chain pressures; commodity cost volatility; labor market issues; and economic uncertainties amplified by increased regulatory activity, potential or actual imposition of tariffs and shifting global trade policies. Twenty-five percent tariffs on product imports from Mexico and Canada, and additional 10% tariffs on product imports from China (for an aggregate of 20%) went into effect on March 4, 2025. These actions are expected to result in retaliatory measures on U.S. goods. We are continuing to monitor the rapidly evolving tariff and global trade policies and are working with our suppliers to mitigate potential impacts on our business. The extent and duration of the tariffs and the resulting impact on general economic conditions and on our business are uncertain and depend on various factors, such as negotiations between the U.S. and affected countries, the responses of other countries or regions, exemptions that may be granted, availability and cost of alternative sources of supply and demand for our products in affected markets.</w:t>
      </w:r>
    </w:p>
    <w:p>
      <w:pPr>
        <w:spacing w:after="0" w:line="7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Through the second quarter, we continued to experience some moderation in input cost inflation, as we continue to see cost improvement across certain ingredients and packaging materials. We anticipate continued supply chain productivity and benefits from cost savings initiatives to mitigate inflationary pressures and expect such benefits to offset incremental costs in 2025, excluding potential impacts of tariffs. We expect consumer trends to continue to evolve and our volumes to improve over time; however, economic pressures, including the challenges of persistent inflation and impacts of tariffs, may continue to negatively impact our volumes throughout 2025. We will continue to evaluate the evolving macroeconomic environment to take action to mitigate the impact on our business, consolidated results of operations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Name Change</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November 19, 2024, at the 2024 Annual Meeting of Shareholders of the company, our shareholders approved an amendment to the company’s Restated Certificate of Incorporation to change the company’s name from “Campbell Soup Company” to “The Campbell’s Company.” The company’s name change became effective on November 19,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85"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9% in the quarter to $2.685 billion primarily due to a 13-point benefit from the acquisition of Sovos Brands.</w:t>
      </w:r>
    </w:p>
    <w:p>
      <w:pPr>
        <w:spacing w:after="0" w:line="9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30.5% in 2025 compared to 31.6% in the prior-year quarter. The decrease was primarily due to unfavorable net price realization, the impact of cost inflation and other supply chain costs and the impact of the acquisition, partially offset by benefits from supply chain productivity improvements.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$.58 in 2025, compared to $.68 in the prior-year quarter. The current quarter included expenses of $.16 per share and the prior-year quarter included expenses of $.12 per share from items impacting comparability as discussed below.</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The Campbell's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48"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second quarter of 2025, we recorded Restructuring charges of $5 million and implementation costs and other related costs of $10 million in Cost of products sold, $8 million in Administrative expenses, $1 million in Marketing and selling expenses and $1 million in Research and development expenses related to these initiatives. In the second quarter of 2024, we recorded Restructuring charges of $2 million and implementation costs and other related costs of $29 million in Administrative expenses, $3 million in Cost of products sold, $1 million in Marketing and selling expenses and $1 million in Research and development expenses (aggregate impact of $27 million after tax, or $.09 per share) related to these initiatives. Year-to-date in 2025, we recorded Restructuring charges of $11 million and implementation costs and other related costs of $19 million in Administrative expenses, $18 million in Cost of products sold, $2 million in Marketing and selling expenses and $2 million in Research and development expenses related to these initiatives. Year-to-date in 2024, we recorded Restructuring charges of $4 million and implementation costs and other related costs of $34 million in Administrative expenses, $6 million in Cost of products sold, $3 million in Marketing and selling expenses and $2 million in Research and development expenses (aggregate impact of $37 million after tax, or $.12 per share) related to these initiatives.</w:t>
      </w:r>
    </w:p>
    <w:p>
      <w:pPr>
        <w:spacing w:after="0" w:line="72" w:lineRule="exact"/>
        <w:rPr>
          <w:rFonts w:ascii="Times New Roman" w:cs="Times New Roman" w:eastAsia="Times New Roman" w:hAnsi="Times New Roman"/>
          <w:sz w:val="18"/>
          <w:szCs w:val="18"/>
          <w:color w:val="auto"/>
        </w:rPr>
      </w:pPr>
    </w:p>
    <w:p>
      <w:pPr>
        <w:ind w:left="6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began implementation of an optimization initiative to improve the effectiveness of our Snacks direct-store-delivery route-to-market network. Year-to-date in 2025, we recognized $8 million in Marketing and selling expenses related to this initiative.</w:t>
      </w:r>
    </w:p>
    <w:p>
      <w:pPr>
        <w:spacing w:after="0" w:line="30" w:lineRule="exact"/>
        <w:rPr>
          <w:rFonts w:ascii="Times New Roman" w:cs="Times New Roman" w:eastAsia="Times New Roman" w:hAnsi="Times New Roman"/>
          <w:sz w:val="18"/>
          <w:szCs w:val="18"/>
          <w:color w:val="auto"/>
        </w:rPr>
      </w:pPr>
    </w:p>
    <w:p>
      <w:pPr>
        <w:jc w:val="both"/>
        <w:ind w:lef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the total aggregate impact related to the cost savings and optimization initiatives was $25 million ($19 million after tax, or $.06 per share). Year-to-date in 2025, the total aggregate impact related to the cost savings and optimization initiatives was $60 million ($46 million after tax, or $.15 per share). See Note 8 to the Consolidated Financial Statements and "Restructuring Charges, Cost Savings Initiatives and Other Optimization Initiatives" for additional information;</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recognized gains in Cost of products sold of $14 million ($10 million after tax, or $.03 per share) associated with unrealized mark-to-market adjustments on outstanding undesignated commodity hedges. In the second quarter of 2024, we recognized gains in Cost of products sold of $7 million ($5 million after tax, or $.02 per share) associated with unrealized mark-to-market adjustments on outstanding undesignated commodity hedges. Year-to-date in 2025, we recognized gains in Cost of products sold of $18 million ($13 million after tax, or $.04 per share) associated with unrealized mark-to-market adjustments on outstanding undesignated commodity hedges. Year-to-date in 2024, we recognized losses in Cost of products sold of $8 million ($6 million after tax, or $.02 per share) associated with unrealized mark-to-market adjustments on outstanding undesignated commodity hedges;</w:t>
      </w:r>
    </w:p>
    <w:p>
      <w:pPr>
        <w:spacing w:after="0" w:line="6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and 2024, we recorded accelerated amortization expense in Other expenses / (income) of $7 million ($5 million after tax, or $.02 per share) related to customer relationship intangible assets due to the loss of certain contract manufacturing customers, which began in the fourth quarter of 2023. Year-to-date in 2025 and 2024, we recorded accelerated amortization expense in Other expenses / (income) of $14 million ($10 million after tax, or $.03 per share);</w:t>
      </w:r>
    </w:p>
    <w:p>
      <w:pPr>
        <w:spacing w:after="0" w:line="4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certain salty snacks and cookie trademarks within our Snacks segment, including </w:t>
      </w:r>
      <w:r>
        <w:rPr>
          <w:rFonts w:ascii="Times New Roman" w:cs="Times New Roman" w:eastAsia="Times New Roman" w:hAnsi="Times New Roman"/>
          <w:sz w:val="18"/>
          <w:szCs w:val="18"/>
          <w:i w:val="1"/>
          <w:iCs w:val="1"/>
          <w:color w:val="auto"/>
        </w:rPr>
        <w:t>Tom's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Kruncher's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O-Ke-Doke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Stella D'oro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Archway</w:t>
      </w:r>
      <w:r>
        <w:rPr>
          <w:rFonts w:ascii="Times New Roman" w:cs="Times New Roman" w:eastAsia="Times New Roman" w:hAnsi="Times New Roman"/>
          <w:sz w:val="18"/>
          <w:szCs w:val="18"/>
          <w:color w:val="auto"/>
        </w:rPr>
        <w:t>, collectively referred to as our "Allied brands," and recognized an impairment charge of $15 million on the trademarks.</w:t>
      </w:r>
    </w:p>
    <w:p>
      <w:pPr>
        <w:spacing w:after="0" w:line="56" w:lineRule="exact"/>
        <w:rPr>
          <w:rFonts w:ascii="Times New Roman" w:cs="Times New Roman" w:eastAsia="Times New Roman" w:hAnsi="Times New Roman"/>
          <w:sz w:val="18"/>
          <w:szCs w:val="18"/>
          <w:color w:val="auto"/>
        </w:rPr>
      </w:pPr>
    </w:p>
    <w:p>
      <w:pPr>
        <w:ind w:left="6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and recognized an impairment charge of $11 million on the trademark.</w:t>
      </w:r>
    </w:p>
    <w:p>
      <w:pPr>
        <w:spacing w:after="0" w:line="42" w:lineRule="exact"/>
        <w:rPr>
          <w:rFonts w:ascii="Times New Roman" w:cs="Times New Roman" w:eastAsia="Times New Roman" w:hAnsi="Times New Roman"/>
          <w:sz w:val="18"/>
          <w:szCs w:val="18"/>
          <w:color w:val="auto"/>
        </w:rPr>
      </w:pPr>
    </w:p>
    <w:p>
      <w:pPr>
        <w:ind w:left="640" w:right="600"/>
        <w:spacing w:after="0" w:line="3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the total aggregate impact of the impairment charges was $26 million ($19 million after tax, or $.06 per share). The charges were included in Other expenses / (income);</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recorded $15 million ($.05 per share) of deferred tax expense related to the sale of the noosa yoghurt business, which was completed on February 24, 2025. In the first quarter of 2025, we recorded a loss in Other expenses / (income) of $25 million ($19 million after tax, or $.06 per share) on the sale of our Pop Secret popcorn business. Year-to-date in 2025, the total aggregate impact of charges associated with divestitures was $25 million ($34 million after tax, or $.11 per share);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31" w:name="page32"/>
    <w:bookmarkEnd w:id="31"/>
    <w:p>
      <w:pPr>
        <w:jc w:val="both"/>
        <w:ind w:left="640" w:hanging="316"/>
        <w:spacing w:after="0" w:line="251"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2025, we recorded litigation expenses in Administrative expenses of $1 million ($1 million after tax) related to the Plum baby food and snacks business (Plum), which was divested on May 3, 2021, and certain other litigation matters. In the second quarter of 2024, we recorded litigation expenses in Administrative expenses of $1 million ($1 million after tax) related to Plum. Year-to-date in 2025, we recorded litigation expenses in Administrative expenses of $2 million ($2 million after tax, or $.01 per share) related to Plum and certain other litigation matters. Year-to-date in 2024, we recorded litigation expenses in Administrative expenses of $3 million ($3 million after tax, or $.01 per share) related to Plum;</w:t>
      </w:r>
    </w:p>
    <w:p>
      <w:pPr>
        <w:spacing w:after="0" w:line="52"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2025, we recognized insurance recoveries in Administrative expenses of $1 million ($1 million after tax) related to a cybersecurity incident that was identified in the fourth quarter of 2023. Year-to-date in 2024, we recorded costs of $2 million in Cost of products sold and $1 million in Administrative expenses (aggregate impact of $2 million after tax, or $.01 per share) related to the cybersecurity incident;</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in 2025, we recognized an actuarial loss in Other expenses / (income) of $2 million ($1 million after tax) related to an interim remeasurement of our postretirement plan due to a plan amendment;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82"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2024, we announced our intent to acquire Sovos Brands and on March 12, 2024, the acquisition closed. In the second quarter of 2024, we incurred costs associated with the acquisition in Other expenses / (income) of $10 million ($9 million after tax, or $.03 per share). Year-to-date in 2024, we incurred costs associated with the acquisition in Other expenses / (income) of $19 million ($17 million after tax, or $.06 per share).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74"/>
        </w:trPr>
        <w:tc>
          <w:tcPr>
            <w:tcW w:w="4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9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items on Net earnings</w:t>
            </w:r>
          </w:p>
        </w:tc>
        <w:tc>
          <w:tcPr>
            <w:tcW w:w="1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4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0" w:type="dxa"/>
            <w:vAlign w:val="bottom"/>
          </w:tcPr>
          <w:p>
            <w:pPr>
              <w:spacing w:after="0"/>
              <w:rPr>
                <w:sz w:val="1"/>
                <w:szCs w:val="1"/>
                <w:color w:val="auto"/>
              </w:rPr>
            </w:pPr>
          </w:p>
        </w:tc>
      </w:tr>
      <w:tr>
        <w:trPr>
          <w:trHeight w:val="174"/>
        </w:trPr>
        <w:tc>
          <w:tcPr>
            <w:tcW w:w="49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5"/>
                <w:szCs w:val="15"/>
                <w:color w:val="auto"/>
              </w:rPr>
            </w:pPr>
          </w:p>
        </w:tc>
        <w:tc>
          <w:tcPr>
            <w:tcW w:w="8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199"/>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7"/>
                <w:szCs w:val="17"/>
                <w:color w:val="auto"/>
              </w:rPr>
            </w:pPr>
          </w:p>
        </w:tc>
        <w:tc>
          <w:tcPr>
            <w:tcW w:w="8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0" w:type="dxa"/>
            <w:vAlign w:val="bottom"/>
          </w:tcPr>
          <w:p>
            <w:pPr>
              <w:spacing w:after="0"/>
              <w:rPr>
                <w:sz w:val="1"/>
                <w:szCs w:val="1"/>
                <w:color w:val="auto"/>
              </w:rPr>
            </w:pPr>
          </w:p>
        </w:tc>
      </w:tr>
      <w:tr>
        <w:trPr>
          <w:trHeight w:val="24"/>
        </w:trPr>
        <w:tc>
          <w:tcPr>
            <w:tcW w:w="498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9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divestitures</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Cybersecurity incident recoveries (costs)</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actuarial losses</w:t>
            </w:r>
          </w:p>
        </w:tc>
        <w:tc>
          <w:tcPr>
            <w:tcW w:w="1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9"/>
        </w:trPr>
        <w:tc>
          <w:tcPr>
            <w:tcW w:w="4980" w:type="dxa"/>
            <w:vAlign w:val="bottom"/>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9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960" w:type="dxa"/>
            <w:vAlign w:val="bottom"/>
            <w:vMerge w:val="restart"/>
          </w:tcPr>
          <w:p>
            <w:pPr>
              <w:jc w:val="right"/>
              <w:ind w:right="1132"/>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9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The Campbell's Company were $173 million ($.58 per share) in the current quarter, compared to $203 million ($.68 per share) in the year-ago quarter. After adjusting for items impacting comparability, earnings decreased primarily due to higher marketing and selling expenses and higher interest expense, partially offset by an increase in gross profit.</w:t>
      </w:r>
    </w:p>
    <w:p>
      <w:pPr>
        <w:spacing w:after="0" w:line="6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earnings attributable to The Campbell's Company were $391 million ($1.30 per share) in the six-month period this year, compared to $437 million ($1.46 per share) in the year-ago period. After adjusting for items impacting comparability, earnings decreased primarily due to higher interest expense, higher marketing and selling expenses and higher administrative expenses, partially offset by an increase in gross profit.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SECOND-QUARTER DISCUSSION AND ANALYSIS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20" w:type="dxa"/>
            <w:vAlign w:val="bottom"/>
            <w:tcBorders>
              <w:bottom w:val="single" w:sz="8" w:color="CCEEFF"/>
            </w:tcBorders>
            <w:gridSpan w:val="4"/>
          </w:tcPr>
          <w:p>
            <w:pPr>
              <w:jc w:val="center"/>
              <w:ind w:left="12"/>
              <w:spacing w:after="0"/>
              <w:rPr>
                <w:sz w:val="20"/>
                <w:szCs w:val="20"/>
                <w:color w:val="auto"/>
              </w:rPr>
            </w:pPr>
            <w:r>
              <w:rPr>
                <w:rFonts w:ascii="Times New Roman" w:cs="Times New Roman" w:eastAsia="Times New Roman" w:hAnsi="Times New Roman"/>
                <w:sz w:val="18"/>
                <w:szCs w:val="18"/>
                <w:color w:val="auto"/>
                <w:w w:val="95"/>
              </w:rPr>
              <w:t>(6)</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2,685</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20" w:type="dxa"/>
            <w:vAlign w:val="bottom"/>
            <w:tcBorders>
              <w:bottom w:val="single" w:sz="8" w:color="CCEEFF"/>
            </w:tcBorders>
            <w:gridSpan w:val="4"/>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50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18"/>
                <w:szCs w:val="18"/>
                <w:b w:val="1"/>
                <w:bCs w:val="1"/>
                <w:color w:val="auto"/>
                <w:vertAlign w:val="superscript"/>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Total</w:t>
            </w:r>
            <w:r>
              <w:rPr>
                <w:rFonts w:ascii="Times New Roman" w:cs="Times New Roman" w:eastAsia="Times New Roman" w:hAnsi="Times New Roman"/>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18"/>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9"/>
              </w:rPr>
              <w:t>(2)%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5"/>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5"/>
              </w:rPr>
              <w:t>(1)</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5"/>
              </w:rPr>
              <w:t>(3)</w:t>
            </w:r>
          </w:p>
        </w:tc>
        <w:tc>
          <w:tcPr>
            <w:tcW w:w="102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tcPr>
          <w:p>
            <w:pPr>
              <w:spacing w:after="0"/>
              <w:rPr>
                <w:sz w:val="19"/>
                <w:szCs w:val="19"/>
                <w:color w:val="auto"/>
              </w:rPr>
            </w:pPr>
          </w:p>
        </w:tc>
        <w:tc>
          <w:tcPr>
            <w:tcW w:w="12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88"/>
              </w:rPr>
              <w:t>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43"/>
        </w:trPr>
        <w:tc>
          <w:tcPr>
            <w:tcW w:w="75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8"/>
                <w:szCs w:val="18"/>
                <w:color w:val="auto"/>
                <w:w w:val="96"/>
              </w:rPr>
              <w:t>21%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9"/>
              </w:rPr>
              <w:t>(6)%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9%</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increased 21%, primarily due to a 23-point benefit from the acquisition of Sovos Brands. Excluding the benefit from the acquisition of Sovos Brands, sales decreased primarily due to declines in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and U.S. soup, partially offset by gains in foodservice. Lower net price realization was partially offset by favorable volume/mix. Sales of U.S. soup decreased 1% primarily due to declines in ready-to-serve soups and condensed soups, partially offset by increases in broth.</w:t>
      </w:r>
    </w:p>
    <w:p>
      <w:pPr>
        <w:spacing w:after="0" w:line="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In Snacks, sales decreased 6%. Excluding the impact from the divestiture of the Pop Secret popcorn business, sales decreased due to declines in third-party partner brands and contract manufacturing,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Sales were impacted by volume/mix declines and lower net price realization.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$43 million in 2025 from 2024. As a percent of sales, gross profit was 30.5% in 2025 and 31.6% in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8"/>
          <w:szCs w:val="18"/>
          <w:color w:val="auto"/>
        </w:rPr>
        <w:t>The 110 basis-point decrease in gross profit margin was due to the following factors:</w:t>
      </w:r>
    </w:p>
    <w:p>
      <w:pPr>
        <w:spacing w:after="0" w:line="39"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Margin Impact</w:t>
      </w:r>
    </w:p>
    <w:p>
      <w:pPr>
        <w:sectPr>
          <w:pgSz w:w="11900" w:h="16838" w:orient="portrait"/>
          <w:cols w:equalWidth="0" w:num="1">
            <w:col w:w="11240"/>
          </w:cols>
          <w:pgMar w:left="320" w:top="969"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134860" cy="142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Impact of acquisition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Higher costs associated with cost savings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(110)</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(40)</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110</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48895</wp:posOffset>
            </wp:positionV>
            <wp:extent cx="8077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9700" w:space="720"/>
            <w:col w:w="820"/>
          </w:cols>
          <w:pgMar w:left="320" w:top="969" w:right="339" w:bottom="1440" w:gutter="0" w:footer="0" w:header="0"/>
          <w:type w:val="continuous"/>
        </w:sectPr>
      </w:pPr>
    </w:p>
    <w:p>
      <w:pPr>
        <w:jc w:val="both"/>
        <w:ind w:left="320" w:hanging="314"/>
        <w:spacing w:after="0" w:line="231" w:lineRule="auto"/>
        <w:tabs>
          <w:tab w:leader="none" w:pos="30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estimated positive margin impact of 50 basis points from the benefit of cost savings initiatives and a 30 basis-point positive impact from the change in unrealized mark-to-market adjustments on outstanding undesignated commodity hedges, which were more than offset by the impact of cost inflation and other factors.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9.5% in 2025 compared to 8.8% in 2024. Marketing and selling expenses increased 18% in 2025 from 2024. The increase was primarily due to the impact of the acquisition (approximately 11 points) and higher advertising and consumer promotion expense (approximately 7 points) driven by Meals &amp; Beverages and Snacks.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Administrative expenses as a percent of sales were 6.1% in 2025 compared to 7.7% in 2024. Administrative expenses decreased 13% in 2025 from 2024. The decrease was primarily due to lower costs associated with cost savings initiatives (approximately 11 points) and increased benefits from cost savings initiatives (approximately 6 points), partially offset by the impact of the acquisition (approximately 5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expenses were $41 million in 2025 compared to $26 million in 2024. Other expenses in 2025 included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 of $26 million and accelerated amortization expense of $7 million. Other expenses in 2024 included costs associated with the acquisition of $10 million and accelerated amortization expense of $7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decreased 1% in 2025 from 2024.</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(29)</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408</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327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6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8"/>
          <w:szCs w:val="18"/>
          <w:color w:val="auto"/>
        </w:rPr>
        <w:t>Operating earnings from Meals &amp; Beverages increased 18%. The increase was primarily due to the benefit of the acquisition of Sovos Brands, partially offset by higher marketing and selling expenses.</w:t>
      </w:r>
    </w:p>
    <w:p>
      <w:pPr>
        <w:spacing w:after="0" w:line="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29%. The decrease was primarily due to lower gross profit and higher marketing and selling expenses. Gross profit decreased primarily due to the impact of cost inflation and other supply chain costs, unfavorable volume/mix and unfavorable net price realization, partially offset by supply chain productivity improvements and the benefits from cost savings initiatives.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34" w:name="page35"/>
    <w:bookmarkEnd w:id="34"/>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83" w:lineRule="exact"/>
        <w:rPr>
          <w:sz w:val="20"/>
          <w:szCs w:val="20"/>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million of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w:t>
      </w:r>
    </w:p>
    <w:p>
      <w:pPr>
        <w:spacing w:after="0" w:line="99"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$20 million related to costs savings and optimization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certain litigation expenses, including expenses related to Plum; and</w:t>
      </w:r>
    </w:p>
    <w:p>
      <w:pPr>
        <w:spacing w:after="0" w:line="97" w:lineRule="exact"/>
        <w:rPr>
          <w:rFonts w:ascii="Times New Roman" w:cs="Times New Roman" w:eastAsia="Times New Roman" w:hAnsi="Times New Roman"/>
          <w:sz w:val="18"/>
          <w:szCs w:val="18"/>
          <w:color w:val="auto"/>
        </w:rPr>
      </w:pPr>
    </w:p>
    <w:p>
      <w:pPr>
        <w:ind w:left="320" w:right="3760" w:firstLine="163"/>
        <w:spacing w:after="0" w:line="345" w:lineRule="auto"/>
        <w:tabs>
          <w:tab w:leader="none" w:pos="6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unrealized mark-to-market gains on outstanding undesignated commodity hedges. Corporate expense in 2024 included the following:</w:t>
      </w:r>
    </w:p>
    <w:p>
      <w:pPr>
        <w:spacing w:after="0" w:line="1"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$34 million related to cost savings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of costs associated with the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Plum litigation expenses; and</w:t>
      </w:r>
    </w:p>
    <w:p>
      <w:pPr>
        <w:spacing w:after="0" w:line="97" w:lineRule="exact"/>
        <w:rPr>
          <w:rFonts w:ascii="Times New Roman" w:cs="Times New Roman" w:eastAsia="Times New Roman" w:hAnsi="Times New Roman"/>
          <w:sz w:val="18"/>
          <w:szCs w:val="18"/>
          <w:color w:val="auto"/>
        </w:rPr>
      </w:pPr>
    </w:p>
    <w:p>
      <w:pPr>
        <w:jc w:val="both"/>
        <w:ind w:left="480" w:right="3820" w:firstLine="3"/>
        <w:spacing w:after="0" w:line="363" w:lineRule="auto"/>
        <w:tabs>
          <w:tab w:leader="none" w:pos="63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 million of unrealized mark-to-market gains on outstanding undesignated commodity hedges. Excluding these amounts, the remaining decrease was primarily due to lower administrative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$88 million in 2025 increased from $46 million in 2024 primarily due to higher levels of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8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30.0% in 2025 and 25.1% in 2024. The increase in the effective tax rate was primarily due to $15 million of deferred tax expense recognized related to the sale of the noosa yoghurt business in the current quarter, partially offset by nondeductible costs associated with the acquisition of Sovos Brands in the year-ago quarter.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SIX-MONTH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January 28, 2024</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3,385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CCEEFF"/>
            </w:tcBorders>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(5)</w:t>
            </w: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5,457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480" w:type="dxa"/>
            <w:vAlign w:val="bottom"/>
          </w:tcPr>
          <w:p>
            <w:pPr>
              <w:spacing w:after="0"/>
              <w:rPr>
                <w:sz w:val="17"/>
                <w:szCs w:val="17"/>
                <w:color w:val="auto"/>
              </w:rPr>
            </w:pPr>
          </w:p>
        </w:tc>
        <w:tc>
          <w:tcPr>
            <w:tcW w:w="1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Meals &amp; Beverages</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Snacks</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Total</w:t>
            </w:r>
            <w:r>
              <w:rPr>
                <w:rFonts w:ascii="Times New Roman" w:cs="Times New Roman" w:eastAsia="Times New Roman" w:hAnsi="Times New Roman"/>
                <w:sz w:val="9"/>
                <w:szCs w:val="9"/>
                <w:b w:val="1"/>
                <w:bCs w:val="1"/>
                <w:color w:val="auto"/>
                <w:w w:val="94"/>
              </w:rPr>
              <w:t>(2)</w:t>
            </w:r>
          </w:p>
        </w:tc>
        <w:tc>
          <w:tcPr>
            <w:tcW w:w="0" w:type="dxa"/>
            <w:vAlign w:val="bottom"/>
          </w:tcPr>
          <w:p>
            <w:pPr>
              <w:spacing w:after="0"/>
              <w:rPr>
                <w:sz w:val="1"/>
                <w:szCs w:val="1"/>
                <w:color w:val="auto"/>
              </w:rPr>
            </w:pPr>
          </w:p>
        </w:tc>
      </w:tr>
      <w:tr>
        <w:trPr>
          <w:trHeight w:val="24"/>
        </w:trPr>
        <w:tc>
          <w:tcPr>
            <w:tcW w:w="74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4"/>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95"/>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102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5"/>
              </w:rPr>
              <w:t>(1)</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9"/>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44"/>
        </w:trPr>
        <w:tc>
          <w:tcPr>
            <w:tcW w:w="74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6"/>
              </w:rPr>
              <w:t>22%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4"/>
              </w:rPr>
              <w:t>(5)%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3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does not add due to rounding.</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increased 22%, primarily due to a 22-point benefit from the acquisition of Sovos Brands. Excluding the benefit from the Sovos Brands acquisition, sales decreased primarily due to declines in U.S. soup and </w:t>
      </w:r>
      <w:r>
        <w:rPr>
          <w:rFonts w:ascii="Times New Roman" w:cs="Times New Roman" w:eastAsia="Times New Roman" w:hAnsi="Times New Roman"/>
          <w:sz w:val="18"/>
          <w:szCs w:val="18"/>
          <w:i w:val="1"/>
          <w:iCs w:val="1"/>
          <w:color w:val="auto"/>
        </w:rPr>
        <w:t>SpaghettiOs</w:t>
      </w:r>
      <w:r>
        <w:rPr>
          <w:rFonts w:ascii="Times New Roman" w:cs="Times New Roman" w:eastAsia="Times New Roman" w:hAnsi="Times New Roman"/>
          <w:sz w:val="18"/>
          <w:szCs w:val="18"/>
          <w:color w:val="auto"/>
        </w:rPr>
        <w:t xml:space="preserve">, partially offset by gains in foodservice and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Lower net price realization was partially offset by favorable volume/mix. Sales of U.S. soup decreased 3% primarily due to decreases in ready-to-serve soups and condensed soups, partially offset by an increase in broth.</w:t>
      </w:r>
    </w:p>
    <w:p>
      <w:pPr>
        <w:spacing w:after="0" w:line="64"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 xml:space="preserve">In Snacks, sales decreased 5%. Excluding the impact from the divestiture of the Pop Secret popcorn business, sales decreased due to declines in third-party partner brands and contract manufacturing,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Pepperidge Farm cookies and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Sales were impacted by volume/mix declines and lower net price realization.</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8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$122 million in 2025 from 2024. As a percent of sales, gross profit was 30.9% in 2025 and 31.4% in 2024.</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50 basis-point decrease in gross profit margin was due to the following factors:</w:t>
      </w:r>
    </w:p>
    <w:p>
      <w:pPr>
        <w:spacing w:after="0" w:line="39"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4"/>
          <w:szCs w:val="14"/>
          <w:b w:val="1"/>
          <w:bCs w:val="1"/>
          <w:color w:val="auto"/>
        </w:rPr>
        <w:t>Margin Impact</w:t>
      </w:r>
    </w:p>
    <w:p>
      <w:pPr>
        <w:sectPr>
          <w:pgSz w:w="11900" w:h="16838" w:orient="portrait"/>
          <w:cols w:equalWidth="0" w:num="1">
            <w:col w:w="11240"/>
          </w:cols>
          <w:pgMar w:left="320" w:top="965" w:right="339" w:bottom="1440" w:gutter="0" w:footer="0" w:header="0"/>
        </w:sectPr>
      </w:pP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price realization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Impact of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Cost inflation, supply chain costs and other factors</w:t>
      </w:r>
      <w:r>
        <w:rPr>
          <w:rFonts w:ascii="Times New Roman" w:cs="Times New Roman" w:eastAsia="Times New Roman" w:hAnsi="Times New Roman"/>
          <w:sz w:val="21"/>
          <w:szCs w:val="21"/>
          <w:color w:val="auto"/>
          <w:vertAlign w:val="superscript"/>
        </w:rPr>
        <w:t>(1)</w:t>
      </w:r>
    </w:p>
    <w:p>
      <w:pPr>
        <w:ind w:left="20"/>
        <w:spacing w:after="0"/>
        <w:rPr>
          <w:sz w:val="20"/>
          <w:szCs w:val="20"/>
          <w:color w:val="auto"/>
        </w:rPr>
      </w:pPr>
      <w:r>
        <w:rPr>
          <w:rFonts w:ascii="Times New Roman" w:cs="Times New Roman" w:eastAsia="Times New Roman" w:hAnsi="Times New Roman"/>
          <w:sz w:val="17"/>
          <w:szCs w:val="17"/>
          <w:color w:val="auto"/>
        </w:rPr>
        <w:t>Higher costs associated with cost savings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8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140</w:t>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41275</wp:posOffset>
            </wp:positionV>
            <wp:extent cx="8077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9700" w:space="720"/>
            <w:col w:w="820"/>
          </w:cols>
          <w:pgMar w:left="320" w:top="965" w:right="339" w:bottom="1440" w:gutter="0" w:footer="0" w:header="0"/>
          <w:type w:val="continuous"/>
        </w:sectPr>
      </w:pPr>
    </w:p>
    <w:p>
      <w:pPr>
        <w:jc w:val="both"/>
        <w:ind w:left="320" w:hanging="314"/>
        <w:spacing w:after="0" w:line="231" w:lineRule="auto"/>
        <w:tabs>
          <w:tab w:leader="none" w:pos="30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 50 basis-point positive impact from the change in unrealized mark-to-market adjustments on outstanding undesignated commodity hedges and an estimated positive margin impact of 50 basis points from the benefit of cost savings initiatives, which were more than offset by cost inflation and other factors.</w:t>
      </w:r>
    </w:p>
    <w:p>
      <w:pPr>
        <w:spacing w:after="0" w:line="2"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9.3% in 2025 and 8.8% in 2024. Marketing and selling expenses increased 15% in 2025 from 2024. The increase was primarily due to the impact of the acquisition (approximately 11 points), higher advertising and consumer promotion expense (approximately 3 points) and higher costs related to cost savings and optimization initiatives (approximately 2 points), partially offset by lower other marketing expenses (approximately 1 point). The increase in advertising and consumer promotion expense was driven by Snacks and Meals &amp; Beverages.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6.2% in 2025 compared to 7.0% in 2024. Administrative expenses decreased 2% in 2025 from 2024. The decrease was primarily due to increased benefits from cost savings initiatives (approximately 5 points); lower costs related to cost savings initiatives (approximately 4 points); lower incentive compensation (approximately 1 point) and lower benefit-related costs (approximately 1 point), partially offset by the impact of the acquisition (approximately 5 points) and higher general administrative costs (approximately 4 points).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Other expenses were $84 million in 2025 compared to $50 million in 2024. Other expenses in 2025 included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 of $26 million, a loss of $25 million on the sale of the Pop Secret popcorn business, accelerated amortization expense of $14 million and a postretirement actuarial loss of $2 million. Other expenses in 2024 included costs associated with the acquisition of $19 million and accelerated amortization expense of $14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3% in 2025 from 2024.</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12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(20)</w:t>
            </w:r>
          </w:p>
        </w:tc>
        <w:tc>
          <w:tcPr>
            <w:tcW w:w="0" w:type="dxa"/>
            <w:vAlign w:val="bottom"/>
          </w:tcPr>
          <w:p>
            <w:pPr>
              <w:spacing w:after="0"/>
              <w:rPr>
                <w:sz w:val="1"/>
                <w:szCs w:val="1"/>
                <w:color w:val="auto"/>
              </w:rPr>
            </w:pPr>
          </w:p>
        </w:tc>
      </w:tr>
      <w:tr>
        <w:trPr>
          <w:trHeight w:val="218"/>
        </w:trPr>
        <w:tc>
          <w:tcPr>
            <w:tcW w:w="7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856</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50" w:lineRule="exact"/>
        <w:rPr>
          <w:sz w:val="20"/>
          <w:szCs w:val="20"/>
          <w:color w:val="auto"/>
        </w:rPr>
      </w:pPr>
    </w:p>
    <w:p>
      <w:pPr>
        <w:ind w:left="5540" w:right="3540" w:hanging="5534"/>
        <w:spacing w:after="0" w:line="837" w:lineRule="auto"/>
        <w:tabs>
          <w:tab w:leader="none" w:pos="316"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-363220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type w:val="continuous"/>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color w:val="auto"/>
        </w:rPr>
        <w:t>Operating earnings from Meals &amp; Beverages increased 18%. The increase was primarily due to the benefit of the acquisition of Sovos Brands.</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Operating earnings from Snacks decreased 20%. The decrease was primarily due to lower gross profit and higher marketing and selling expenses. Gross profit decreased primarily due to the impact of cost inflation and other supply chain costs, unfavorable volume/mix and unfavorable net price realization, partially offset by supply chain productivity improvements and benefits from cost savings initiatives.</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85" w:lineRule="exact"/>
        <w:rPr>
          <w:sz w:val="20"/>
          <w:szCs w:val="20"/>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$49 million related to costs savings initiatives;</w:t>
      </w:r>
    </w:p>
    <w:p>
      <w:pPr>
        <w:spacing w:after="0" w:line="95"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$26 million of impairment charges related to the Allied brands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trademarks;</w:t>
      </w:r>
    </w:p>
    <w:p>
      <w:pPr>
        <w:spacing w:after="0" w:line="86"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loss on the sale of the Pop Secret popcorn business;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postretirement actuarial loss;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certain litigation expenses, including expenses related to Plum;</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98" w:lineRule="exact"/>
        <w:rPr>
          <w:sz w:val="20"/>
          <w:szCs w:val="20"/>
          <w:color w:val="auto"/>
        </w:rPr>
      </w:pPr>
    </w:p>
    <w:p>
      <w:pPr>
        <w:ind w:left="640" w:hanging="15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$45 million related to cost savings initiatives;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of costs associated with the acquisition of Sovos Brands;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of unrealized mark-to-market losses on outstanding undesignated commodity hedges;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Plum litigation expenses;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associated with a cybersecurity incident.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$175 million in 2025 increased from $95 million in 2024 primarily due to higher levels of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 tax rate was 26.4% in 2025 and 24.8% in 2024. The increase in the effective tax rate was primarily due to $15 million of deferred tax expense recognized related to the sale of the noosa yoghurt business in the current year, partially offset by excess tax benefits associated with the vesting of stock-based compensation awards in the current year and nondeductible costs associated with the acquisition of Sovos Brands in the prior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Cost Savings Initiatives and Other Optimization Initiatives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Inc.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7" w:name="page38"/>
    <w:bookmarkEnd w:id="37"/>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January 28,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186"/>
        </w:trPr>
        <w:tc>
          <w:tcPr>
            <w:tcW w:w="6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4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these initiatives is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4"/>
        </w:trPr>
        <w:tc>
          <w:tcPr>
            <w:tcW w:w="6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aggregate $895 million pre-tax costs incurred, approximately $720 million were cash expenditures.</w:t>
      </w:r>
    </w:p>
    <w:p>
      <w:pPr>
        <w:spacing w:after="0" w:line="9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4"/>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July 28, 2024, we substantially completed the multi-year cost savings initiatives and Snyder's-Lance cost transformation program and integration, and we generated total pre-tax savings of approximately $950 million. Certain phases that had not been fully implemented were incorporated into the 2025 cost savings initiatives described below.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Sovos Brands Integration Initiatives</w:t>
      </w:r>
    </w:p>
    <w:p>
      <w:pPr>
        <w:spacing w:after="0" w:line="8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to the Consolidated Financial Statements for additional information. We identified opportunities for cost synergies as we integrate Sovos Brands.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2024, we recorded Restructuring charges of $21 million for severance pay and benefits related to initiatives to achieve the synergies and generated pre-tax savings of $10 million. The charges incurred in 2024 were associated with the Meals &amp; Beverages segment.</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2025, the initiatives to achieve synergies were incorporated into the cost savings initiatives described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2025 Cost Savings Initiatives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967" w:right="339" w:bottom="1440" w:gutter="0" w:footer="0" w:header="0"/>
        </w:sect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 initiatives is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ind w:left="264"/>
        <w:spacing w:after="0"/>
        <w:rPr>
          <w:sz w:val="20"/>
          <w:szCs w:val="20"/>
          <w:color w:val="auto"/>
        </w:rPr>
      </w:pPr>
      <w:r>
        <w:rPr>
          <w:rFonts w:ascii="Times New Roman" w:cs="Times New Roman" w:eastAsia="Times New Roman" w:hAnsi="Times New Roman"/>
          <w:sz w:val="14"/>
          <w:szCs w:val="14"/>
          <w:b w:val="1"/>
          <w:bCs w:val="1"/>
          <w:color w:val="auto"/>
        </w:rPr>
        <w:t>Recognized as of</w:t>
      </w:r>
    </w:p>
    <w:p>
      <w:pPr>
        <w:spacing w:after="0" w:line="3" w:lineRule="exact"/>
        <w:rPr>
          <w:sz w:val="20"/>
          <w:szCs w:val="20"/>
          <w:color w:val="auto"/>
        </w:rPr>
      </w:pPr>
    </w:p>
    <w:p>
      <w:pPr>
        <w:ind w:left="244"/>
        <w:spacing w:after="0"/>
        <w:rPr>
          <w:sz w:val="20"/>
          <w:szCs w:val="20"/>
          <w:color w:val="auto"/>
        </w:rPr>
      </w:pPr>
      <w:r>
        <w:rPr>
          <w:rFonts w:ascii="Times New Roman" w:cs="Times New Roman" w:eastAsia="Times New Roman" w:hAnsi="Times New Roman"/>
          <w:sz w:val="14"/>
          <w:szCs w:val="14"/>
          <w:b w:val="1"/>
          <w:bCs w:val="1"/>
          <w:color w:val="auto"/>
        </w:rPr>
        <w:t>January 26, 2025</w:t>
      </w:r>
    </w:p>
    <w:p>
      <w:pPr>
        <w:spacing w:after="0" w:line="26" w:lineRule="exact"/>
        <w:rPr>
          <w:sz w:val="20"/>
          <w:szCs w:val="20"/>
          <w:color w:val="auto"/>
        </w:rPr>
      </w:pPr>
    </w:p>
    <w:p>
      <w:pPr>
        <w:ind w:left="1304" w:hanging="1304"/>
        <w:spacing w:after="0"/>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4"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18" w:lineRule="exact"/>
        <w:rPr>
          <w:rFonts w:ascii="Times New Roman" w:cs="Times New Roman" w:eastAsia="Times New Roman" w:hAnsi="Times New Roman"/>
          <w:sz w:val="18"/>
          <w:szCs w:val="18"/>
          <w:color w:val="auto"/>
        </w:rPr>
      </w:pPr>
    </w:p>
    <w:p>
      <w:pPr>
        <w:ind w:left="13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9925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5" w:lineRule="exact"/>
        <w:rPr>
          <w:sz w:val="20"/>
          <w:szCs w:val="20"/>
          <w:color w:val="auto"/>
        </w:rPr>
      </w:pPr>
    </w:p>
    <w:p>
      <w:pPr>
        <w:ind w:left="1304" w:hanging="1304"/>
        <w:spacing w:after="0"/>
        <w:tabs>
          <w:tab w:leader="none" w:pos="13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92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40005</wp:posOffset>
            </wp:positionV>
            <wp:extent cx="992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76" w:space="720"/>
            <w:col w:w="1544"/>
          </w:cols>
          <w:pgMar w:left="320" w:top="967" w:right="339" w:bottom="1440" w:gutter="0" w:footer="0" w:header="0"/>
          <w:type w:val="continuous"/>
        </w:sectPr>
      </w:pP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$190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$20 million in severance pay and benefits; approximately $50 million in asset impairment and accelerated depreciation; and approximately $120 million in implementation costs and other related costs. We expect these pre-tax costs to be associated with our segments as follows: Meals &amp; Beverages - approximately 72%; Snacks - approximately 9% and Corporate - approximately 19%.</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$190 million of pre-tax costs identified to date, we expect approximately $135 million will be cash expenditures. In addition, we expect to invest approximately $215 million in capital expenditures, of which we invested $57 million as of January 26, 2025. The capital expenditures primarily relate to optimization of production within our manufacturing network, implementation of our existing SAP enterprise-resource planning system for Sovos Brands and optimization of information technology infrastructure and applications.</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$250 million by the end of 2028. As of January 26, 2025, we have generated total program-to-date pre-tax savings of $65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39" w:name="page40"/>
    <w:bookmarkEnd w:id="39"/>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January 26, 2025</w:t>
            </w:r>
          </w:p>
        </w:tc>
        <w:tc>
          <w:tcPr>
            <w:tcW w:w="0" w:type="dxa"/>
            <w:vAlign w:val="bottom"/>
          </w:tcPr>
          <w:p>
            <w:pPr>
              <w:spacing w:after="0"/>
              <w:rPr>
                <w:sz w:val="1"/>
                <w:szCs w:val="1"/>
                <w:color w:val="auto"/>
              </w:rPr>
            </w:pPr>
          </w:p>
        </w:tc>
      </w:tr>
      <w:tr>
        <w:trPr>
          <w:trHeight w:val="24"/>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25"/>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six-month period ended January 26, 2025, we incurred $8 million in Marketing and selling expenses related to this initiative. As of January 26, 2025, we have incurred $13 million in Marketing and selling expenses related to this initiative.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$737 million in 2025, compared to $684 million in 2024. The increase in 2025 was primarily due to higher cash earnings and changes in working capital.</w:t>
      </w:r>
    </w:p>
    <w:p>
      <w:pPr>
        <w:spacing w:after="0" w:line="31"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We had negative working capital of $232 million as of January 26, 2025, and $1.386 billion as of July 28, 2024. Current assets were less than current liabilities, which included debt maturing in one year, due to a focus on lowering core working capital requirements. Total debt maturing within one year was $1.179 billion as of January 26, 2025, and $1.423 billion as of July 28, 2024.</w:t>
      </w:r>
    </w:p>
    <w:p>
      <w:pPr>
        <w:spacing w:after="0" w:line="7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approximately $269 million at January 26, 2025 and $243 million at July 28,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7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Capital expenditures were $211 million in 2025 and $263 million in 2024. Capital expenditures in 2025 included chip and cracker capacity expansion for our Snacks business, enhancements to our headquarters in Camden, New Jersey and network optimization for our Meals &amp; Beverages business. Capital expenditures are expected to total approximately $485 million in 2025.</w:t>
      </w:r>
    </w:p>
    <w:p>
      <w:pPr>
        <w:spacing w:after="0" w:line="7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8"/>
          <w:szCs w:val="18"/>
          <w:color w:val="auto"/>
        </w:rPr>
        <w:t>On August 26, 2024, we sold our Pop Secret popcorn business for $70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Dividend payments were $227 million in 2025 and $224 million in 2024. The regular quarterly dividend paid on our capital stock was $.39 and $.37 per share in the second quarter of 2025 and 2024, respectively. On December 3, 2024, the Board of Directors approved an increase in the regular quarterly dividend from $.37 per share to $.39 per share, or 5%. They then declared a regular quarterly dividend of $.39 per share payable on January 27, 2025 to shareholders of record at the close of business on January 2, 2025. On February 26, 2025, the Board of Directors declared a regular quarterly dividend of $.39 per share payable on April 28, 2025 to shareholders of record at the close of business on April 3, 2025.</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During the six-month periods ended January 26, 2025 and January 28, 2024, we repurchased 1.134 million shares at a cost of $56 million and 707 thousand shares at a cost of $29 million, respectively, pursuant to our anti-dilutive share repurchase programs. As of January 26, 2025, approximately $205 million remained available under the September 2024 program and approximately $301 million remained available under the September 2021 program. See Note 15 to the Consolidated Financial Statements and “Unregistered Sales of Equity Securities and Use of Proceeds” for additional information.</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October 2, 2024, pursuant to the registration statement, we completed the issuance of senior unsecured notes of $1.15 billion, consisting of:</w:t>
      </w:r>
    </w:p>
    <w:p>
      <w:pPr>
        <w:spacing w:after="0" w:line="59" w:lineRule="exact"/>
        <w:rPr>
          <w:sz w:val="20"/>
          <w:szCs w:val="20"/>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(the 2022 DDTL Credit Agreement) due November 15, 2025 and a portion of our outstanding commercial paper. In November 2024, we repaid the remaining $200 million outstanding under the 2022 DDTL Credit Agreement. We have $1.15 billion aggregate principal amount of senior notes maturing in March 2025, which we intend to repay by using a portion of the proceeds from the issuance of the notes along with cash on hand and issuing commercial paper.</w:t>
      </w:r>
    </w:p>
    <w:p>
      <w:pPr>
        <w:spacing w:after="0" w:line="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January 26, 2025, we had $1.179 billion of short-term borrowings due within one year, of which none was comprised of commercial paper borrowings. As of January 26, 2025, we issued $27 million of standby letters of credit.</w:t>
      </w:r>
    </w:p>
    <w:p>
      <w:pPr>
        <w:spacing w:after="0" w:line="4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January 26, 2025,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87" w:lineRule="exact"/>
        <w:rPr>
          <w:sz w:val="20"/>
          <w:szCs w:val="20"/>
          <w:color w:val="auto"/>
        </w:rPr>
      </w:pPr>
    </w:p>
    <w:p>
      <w:pPr>
        <w:jc w:val="both"/>
        <w:ind w:firstLine="318"/>
        <w:spacing w:after="0" w:line="218" w:lineRule="exact"/>
        <w:rPr>
          <w:sz w:val="20"/>
          <w:szCs w:val="20"/>
          <w:color w:val="auto"/>
        </w:rPr>
      </w:pPr>
      <w:r>
        <w:rPr>
          <w:rFonts w:ascii="Times New Roman" w:cs="Times New Roman" w:eastAsia="Times New Roman" w:hAnsi="Times New Roman"/>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28, 2024 (2024 Annual Report on Form 10-K). The accounting policies we used in preparing these financial statements are substantially consistent with those we applied in our 2024 Annual Report on Form 10-K. The following areas all require the use of subjective or complex judgments, estimates or assumptions: trade and consumer promotion programs; the valuation of long-lived assets; pension and postretirement benefits and income taxes. Our critical accounting estimates are described in Management’s Discussion and Analysis included in the 2024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4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Valuation of long-lived assets — </w:t>
      </w:r>
      <w:r>
        <w:rPr>
          <w:rFonts w:ascii="Times New Roman" w:cs="Times New Roman" w:eastAsia="Times New Roman" w:hAnsi="Times New Roman"/>
          <w:sz w:val="18"/>
          <w:szCs w:val="18"/>
          <w:color w:val="auto"/>
        </w:rPr>
        <w:t>The valuation of long-lived assets is an area that requires the use of subjective or complex judgments,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Goodwill and intangible assets deemed to have indefinite lives are not amortized but rather are tested at least annually in the fourth quarter for impairment, or more often if events or changes in circumstances indicate that the carrying amount of the asset may be impaired.</w:t>
      </w:r>
    </w:p>
    <w:p>
      <w:pPr>
        <w:spacing w:after="0" w:line="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 xml:space="preserve">During the second quarter of 2025, we performed an interim impairment assessment on certain salty snacks and cookie trademarks within our Snacks segment, including </w:t>
      </w:r>
      <w:r>
        <w:rPr>
          <w:rFonts w:ascii="Times New Roman" w:cs="Times New Roman" w:eastAsia="Times New Roman" w:hAnsi="Times New Roman"/>
          <w:sz w:val="17"/>
          <w:szCs w:val="17"/>
          <w:i w:val="1"/>
          <w:iCs w:val="1"/>
          <w:color w:val="auto"/>
        </w:rPr>
        <w:t>Tom’s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Jays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Kruncher’s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O-Ke-Doke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Stella D’oro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Archway</w:t>
      </w:r>
      <w:r>
        <w:rPr>
          <w:rFonts w:ascii="Times New Roman" w:cs="Times New Roman" w:eastAsia="Times New Roman" w:hAnsi="Times New Roman"/>
          <w:sz w:val="17"/>
          <w:szCs w:val="17"/>
          <w:color w:val="auto"/>
        </w:rPr>
        <w:t>, collectively referred to as our "Allied brands." In 2025, sales performance was below expectations. In the second quarter of 2025, based on recent performance, we lowered our long-term outlook and recognized an impairment charge of $15 million on the Allied brands trademarks. As of January 26, 2025, the carrying value of the Allied brands trademarks was $28 million.</w:t>
      </w:r>
    </w:p>
    <w:p>
      <w:pPr>
        <w:spacing w:after="0" w:line="20" w:lineRule="exact"/>
        <w:rPr>
          <w:sz w:val="20"/>
          <w:szCs w:val="20"/>
          <w:color w:val="auto"/>
        </w:rPr>
      </w:pPr>
    </w:p>
    <w:p>
      <w:pPr>
        <w:jc w:val="both"/>
        <w:ind w:firstLine="318"/>
        <w:spacing w:after="0" w:line="245" w:lineRule="auto"/>
        <w:rPr>
          <w:sz w:val="20"/>
          <w:szCs w:val="20"/>
          <w:color w:val="auto"/>
        </w:rPr>
      </w:pPr>
      <w:r>
        <w:rPr>
          <w:rFonts w:ascii="Times New Roman" w:cs="Times New Roman" w:eastAsia="Times New Roman" w:hAnsi="Times New Roman"/>
          <w:sz w:val="18"/>
          <w:szCs w:val="18"/>
          <w:color w:val="auto"/>
        </w:rPr>
        <w:t xml:space="preserve">During the second quarter of 2025, we performed an interim impairment assessment on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within our Snacks segment. In 2025, sales performance was below expectations. In the second quarter of 2025, based on recent performance, we lowered our long-term outlook and recognized an impairment charge of $11 million on the trademark. As of January 26, 2025, the carrying value of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trademark was $47 million.</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impairment charges were recorded in Other expenses / (income) in the Consolidated Statement of Earnings.</w:t>
      </w:r>
    </w:p>
    <w:p>
      <w:pPr>
        <w:spacing w:after="0" w:line="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January 26, 2025, the carrying value of indefinite-lived trademarks was $3.828 billion as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9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Rao's</w:t>
            </w:r>
          </w:p>
        </w:tc>
        <w:tc>
          <w:tcPr>
            <w:tcW w:w="58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5"/>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5"/>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5"/>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5"/>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5"/>
        </w:trPr>
        <w:tc>
          <w:tcPr>
            <w:tcW w:w="970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51" w:lineRule="exact"/>
        <w:rPr>
          <w:sz w:val="20"/>
          <w:szCs w:val="20"/>
          <w:color w:val="auto"/>
        </w:rPr>
      </w:pPr>
    </w:p>
    <w:p>
      <w:pPr>
        <w:ind w:left="360" w:hanging="354"/>
        <w:spacing w:after="0"/>
        <w:tabs>
          <w:tab w:leader="none" w:pos="3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the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and Allied brands trademarks.</w:t>
      </w:r>
    </w:p>
    <w:p>
      <w:pPr>
        <w:spacing w:after="0" w:line="67"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 xml:space="preserve">The $1.47 billion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associated with the Sovos Brands acquisition approximates fair value. Excluding the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based on the 2024 annual impairment testing and interim assessments described above, indefinite-lived trademarks with approximately 10% or less of excess coverage of fair value over carrying value had an aggregate carrying value of $1.267 billion as of January 26, 2025, and included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 Foods, Late July</w:t>
      </w:r>
      <w:r>
        <w:rPr>
          <w:rFonts w:ascii="Times New Roman" w:cs="Times New Roman" w:eastAsia="Times New Roman" w:hAnsi="Times New Roman"/>
          <w:sz w:val="18"/>
          <w:szCs w:val="18"/>
          <w:color w:val="auto"/>
        </w:rPr>
        <w:t xml:space="preserve"> and Allied brands trademarks.</w:t>
      </w:r>
    </w:p>
    <w:p>
      <w:pPr>
        <w:spacing w:after="0" w:line="61" w:lineRule="exact"/>
        <w:rPr>
          <w:sz w:val="20"/>
          <w:szCs w:val="20"/>
          <w:color w:val="auto"/>
        </w:rPr>
      </w:pPr>
    </w:p>
    <w:p>
      <w:pPr>
        <w:jc w:val="both"/>
        <w:ind w:firstLine="318"/>
        <w:spacing w:after="0" w:line="237" w:lineRule="auto"/>
        <w:rPr>
          <w:sz w:val="20"/>
          <w:szCs w:val="20"/>
          <w:color w:val="auto"/>
        </w:rPr>
      </w:pPr>
      <w:r>
        <w:rPr>
          <w:rFonts w:ascii="Times New Roman" w:cs="Times New Roman" w:eastAsia="Times New Roman" w:hAnsi="Times New Roman"/>
          <w:sz w:val="18"/>
          <w:szCs w:val="18"/>
          <w:color w:val="auto"/>
        </w:rPr>
        <w:t>Although assumptions are generally interdependent and do not change in isolation, sensitivities to changes are provided below. Holding all other assumptions in our interim impairment assessment constant, changes in the assumptions below would reduce fair value of trademarks and result in impairment charges of approximately: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4560" w:type="dxa"/>
            <w:vAlign w:val="bottom"/>
          </w:tcPr>
          <w:p>
            <w:pPr>
              <w:spacing w:after="0"/>
              <w:rPr>
                <w:sz w:val="16"/>
                <w:szCs w:val="16"/>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Allied brands</w:t>
            </w:r>
          </w:p>
        </w:tc>
        <w:tc>
          <w:tcPr>
            <w:tcW w:w="180" w:type="dxa"/>
            <w:vAlign w:val="bottom"/>
          </w:tcPr>
          <w:p>
            <w:pPr>
              <w:spacing w:after="0"/>
              <w:rPr>
                <w:sz w:val="16"/>
                <w:szCs w:val="16"/>
                <w:color w:val="auto"/>
              </w:rPr>
            </w:pPr>
          </w:p>
        </w:tc>
        <w:tc>
          <w:tcPr>
            <w:tcW w:w="8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i w:val="1"/>
                <w:iCs w:val="1"/>
                <w:color w:val="auto"/>
              </w:rPr>
              <w:t>Late July</w:t>
            </w:r>
          </w:p>
        </w:tc>
      </w:tr>
      <w:tr>
        <w:trPr>
          <w:trHeight w:val="24"/>
        </w:trPr>
        <w:tc>
          <w:tcPr>
            <w:tcW w:w="46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increase in the weighted-average cost of capital</w:t>
            </w:r>
          </w:p>
        </w:tc>
        <w:tc>
          <w:tcPr>
            <w:tcW w:w="45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reduction in revenue growth</w:t>
            </w:r>
          </w:p>
        </w:tc>
        <w:tc>
          <w:tcPr>
            <w:tcW w:w="4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decrease in royalty rate</w:t>
            </w:r>
          </w:p>
        </w:tc>
        <w:tc>
          <w:tcPr>
            <w:tcW w:w="4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928"/>
        </w:trPr>
        <w:tc>
          <w:tcPr>
            <w:tcW w:w="4600" w:type="dxa"/>
            <w:vAlign w:val="bottom"/>
          </w:tcPr>
          <w:p>
            <w:pPr>
              <w:spacing w:after="0"/>
              <w:rPr>
                <w:sz w:val="24"/>
                <w:szCs w:val="24"/>
                <w:color w:val="auto"/>
              </w:rPr>
            </w:pPr>
          </w:p>
        </w:tc>
        <w:tc>
          <w:tcPr>
            <w:tcW w:w="4560" w:type="dxa"/>
            <w:vAlign w:val="bottom"/>
          </w:tcPr>
          <w:p>
            <w:pPr>
              <w:jc w:val="right"/>
              <w:ind w:right="3352"/>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2"/>
        </w:trPr>
        <w:tc>
          <w:tcPr>
            <w:tcW w:w="46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2" w:name="page43"/>
    <w:bookmarkEnd w:id="42"/>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estimates of future cash flows used in impairment testing are made at a point in time, involve considerable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 If our assumptions change or market conditions decline, potential impairment charges could result.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8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2024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imposed and threatened tariffs by the U.S. and reciprocal tariffs by its trading partners;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 including those related to tariffs;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contract manufacturer and supplier relationships;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or volatility in financial markets, deteriorating economic conditions and other external factors, including the impact and application of new or changes to existing governmental laws, regulations, and policies;</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17" w:lineRule="exact"/>
        <w:rPr>
          <w:rFonts w:ascii="Times New Roman" w:cs="Times New Roman" w:eastAsia="Times New Roman" w:hAnsi="Times New Roman"/>
          <w:sz w:val="18"/>
          <w:szCs w:val="18"/>
          <w:color w:val="auto"/>
        </w:rPr>
      </w:pPr>
    </w:p>
    <w:p>
      <w:pPr>
        <w:ind w:left="640" w:right="300" w:hanging="316"/>
        <w:spacing w:after="0" w:line="258"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58"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8"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43" w:name="page44"/>
    <w:bookmarkEnd w:id="43"/>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 and</w:t>
      </w:r>
    </w:p>
    <w:p>
      <w:pPr>
        <w:spacing w:after="0" w:line="97"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44" w:lineRule="exact"/>
        <w:rPr>
          <w:sz w:val="20"/>
          <w:szCs w:val="20"/>
          <w:color w:val="auto"/>
        </w:rPr>
      </w:pPr>
    </w:p>
    <w:p>
      <w:pPr>
        <w:jc w:val="both"/>
        <w:ind w:right="100"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2024 Annual Report on Form 10-K.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85"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January 26, 2025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January 26, 2025.</w:t>
      </w:r>
    </w:p>
    <w:p>
      <w:pPr>
        <w:spacing w:after="0" w:line="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17 to the Consolidated Financial Statements and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January 26, 2025 was: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0" w:type="dxa"/>
            <w:vAlign w:val="bottom"/>
          </w:tcPr>
          <w:p>
            <w:pPr>
              <w:spacing w:after="0"/>
              <w:rPr>
                <w:sz w:val="12"/>
                <w:szCs w:val="12"/>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33"/>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04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4"/>
                <w:szCs w:val="14"/>
                <w:b w:val="1"/>
                <w:bCs w:val="1"/>
                <w:color w:val="auto"/>
                <w:w w:val="98"/>
              </w:rPr>
              <w:t xml:space="preserve">Purchased </w:t>
            </w:r>
            <w:r>
              <w:rPr>
                <w:rFonts w:ascii="Times New Roman" w:cs="Times New Roman" w:eastAsia="Times New Roman" w:hAnsi="Times New Roman"/>
                <w:sz w:val="9"/>
                <w:szCs w:val="9"/>
                <w:b w:val="1"/>
                <w:bCs w:val="1"/>
                <w:color w:val="auto"/>
                <w:w w:val="98"/>
              </w:rPr>
              <w:t>(1)</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4"/>
                <w:szCs w:val="14"/>
                <w:b w:val="1"/>
                <w:bCs w:val="1"/>
                <w:color w:val="auto"/>
              </w:rPr>
              <w:t xml:space="preserve">Per Share </w:t>
            </w:r>
            <w:r>
              <w:rPr>
                <w:rFonts w:ascii="Times New Roman" w:cs="Times New Roman" w:eastAsia="Times New Roman" w:hAnsi="Times New Roman"/>
                <w:sz w:val="9"/>
                <w:szCs w:val="9"/>
                <w:b w:val="1"/>
                <w:bCs w:val="1"/>
                <w:color w:val="auto"/>
              </w:rPr>
              <w:t>(2)</w:t>
            </w:r>
          </w:p>
        </w:tc>
        <w:tc>
          <w:tcPr>
            <w:tcW w:w="204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(3)</w:t>
            </w:r>
          </w:p>
        </w:tc>
        <w:tc>
          <w:tcPr>
            <w:tcW w:w="160" w:type="dxa"/>
            <w:vAlign w:val="bottom"/>
          </w:tcPr>
          <w:p>
            <w:pPr>
              <w:spacing w:after="0"/>
              <w:rPr>
                <w:sz w:val="12"/>
                <w:szCs w:val="12"/>
                <w:color w:val="auto"/>
              </w:rPr>
            </w:pPr>
          </w:p>
        </w:tc>
        <w:tc>
          <w:tcPr>
            <w:tcW w:w="1260" w:type="dxa"/>
            <w:vAlign w:val="bottom"/>
          </w:tcPr>
          <w:p>
            <w:pPr>
              <w:jc w:val="center"/>
              <w:spacing w:after="0" w:line="126" w:lineRule="exact"/>
              <w:rPr>
                <w:sz w:val="20"/>
                <w:szCs w:val="20"/>
                <w:color w:val="auto"/>
              </w:rPr>
            </w:pPr>
            <w:r>
              <w:rPr>
                <w:rFonts w:ascii="Times New Roman" w:cs="Times New Roman" w:eastAsia="Times New Roman" w:hAnsi="Times New Roman"/>
                <w:sz w:val="11"/>
                <w:szCs w:val="11"/>
                <w:b w:val="1"/>
                <w:bCs w:val="1"/>
                <w:color w:val="auto"/>
              </w:rPr>
              <w:t xml:space="preserve">($ in Millions) </w:t>
            </w:r>
            <w:r>
              <w:rPr>
                <w:rFonts w:ascii="Times New Roman" w:cs="Times New Roman" w:eastAsia="Times New Roman" w:hAnsi="Times New Roman"/>
                <w:sz w:val="14"/>
                <w:szCs w:val="14"/>
                <w:b w:val="1"/>
                <w:bCs w:val="1"/>
                <w:color w:val="auto"/>
                <w:vertAlign w:val="superscript"/>
              </w:rPr>
              <w:t>(3)</w:t>
            </w:r>
          </w:p>
        </w:tc>
        <w:tc>
          <w:tcPr>
            <w:tcW w:w="0" w:type="dxa"/>
            <w:vAlign w:val="bottom"/>
          </w:tcPr>
          <w:p>
            <w:pPr>
              <w:spacing w:after="0"/>
              <w:rPr>
                <w:sz w:val="1"/>
                <w:szCs w:val="1"/>
                <w:color w:val="auto"/>
              </w:rPr>
            </w:pPr>
          </w:p>
        </w:tc>
      </w:tr>
      <w:tr>
        <w:trPr>
          <w:trHeight w:val="33"/>
        </w:trPr>
        <w:tc>
          <w:tcPr>
            <w:tcW w:w="3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10/28/24 - 11/29/24</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12/2/24 - 12/31/24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26,324</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380" w:type="dxa"/>
            <w:vAlign w:val="bottom"/>
          </w:tcPr>
          <w:p>
            <w:pPr>
              <w:spacing w:after="0"/>
              <w:rPr>
                <w:sz w:val="19"/>
                <w:szCs w:val="19"/>
                <w:color w:val="auto"/>
              </w:rPr>
            </w:pPr>
          </w:p>
        </w:tc>
        <w:tc>
          <w:tcPr>
            <w:tcW w:w="16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26,324</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1/2/25 - 1/24/25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9,907</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36,231</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8"/>
                <w:szCs w:val="18"/>
                <w:color w:val="auto"/>
              </w:rPr>
              <w:t>36,231</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60" w:type="dxa"/>
            <w:vAlign w:val="bottom"/>
            <w:gridSpan w:val="4"/>
            <w:vMerge w:val="restart"/>
          </w:tcPr>
          <w:p>
            <w:pPr>
              <w:jc w:val="right"/>
              <w:ind w:right="1900"/>
              <w:spacing w:after="0"/>
              <w:rPr>
                <w:sz w:val="20"/>
                <w:szCs w:val="20"/>
                <w:color w:val="auto"/>
              </w:rPr>
            </w:pPr>
            <w:r>
              <w:rPr>
                <w:rFonts w:ascii="Times New Roman" w:cs="Times New Roman" w:eastAsia="Times New Roman" w:hAnsi="Times New Roman"/>
                <w:sz w:val="16"/>
                <w:szCs w:val="16"/>
                <w:color w:val="auto"/>
                <w:w w:val="98"/>
              </w:rPr>
              <w:t>____________________________________</w:t>
            </w: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76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320" w:hanging="314"/>
        <w:spacing w:after="0"/>
        <w:tabs>
          <w:tab w:leader="none" w:pos="32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spacing w:after="0" w:line="200" w:lineRule="exact"/>
        <w:rPr>
          <w:sz w:val="20"/>
          <w:szCs w:val="20"/>
          <w:color w:val="auto"/>
        </w:rPr>
      </w:pPr>
    </w:p>
    <w:p>
      <w:pPr>
        <w:spacing w:after="0" w:line="3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969" w:right="239" w:bottom="1440" w:gutter="0" w:footer="0" w:header="0"/>
        </w:sectPr>
      </w:pPr>
    </w:p>
    <w:bookmarkStart w:id="44" w:name="page45"/>
    <w:bookmarkEnd w:id="44"/>
    <w:p>
      <w:pPr>
        <w:jc w:val="both"/>
        <w:ind w:left="320" w:hanging="314"/>
        <w:spacing w:after="0" w:line="231" w:lineRule="auto"/>
        <w:tabs>
          <w:tab w:leader="none" w:pos="30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hanging="314"/>
        <w:spacing w:after="0" w:line="236" w:lineRule="auto"/>
        <w:tabs>
          <w:tab w:leader="none" w:pos="30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January 26, 2025,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988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Certification of Mick J. Beekhuizen pursuant to Rule 13a-14(a).</w:t>
            </w:r>
          </w:p>
        </w:tc>
        <w:tc>
          <w:tcPr>
            <w:tcW w:w="5360" w:type="dxa"/>
            <w:vAlign w:val="bottom"/>
            <w:gridSpan w:val="3"/>
          </w:tcPr>
          <w:p>
            <w:pPr>
              <w:spacing w:after="0"/>
              <w:rPr>
                <w:sz w:val="24"/>
                <w:szCs w:val="24"/>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Mick J. Beekhuizen pursuant to 18 U.S.C. Section 1350.</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Carrie L. Anderson pursuant to 18 U.S.C. Section 1350.</w:t>
            </w:r>
          </w:p>
        </w:tc>
        <w:tc>
          <w:tcPr>
            <w:tcW w:w="47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1140" w:hanging="110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45" w:name="page46"/>
    <w:bookmarkEnd w:id="4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2025</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874"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Mick J. Beekhuizen, certify that:</w:t>
      </w:r>
    </w:p>
    <w:p>
      <w:pPr>
        <w:spacing w:after="0" w:line="164" w:lineRule="exact"/>
        <w:rPr>
          <w:sz w:val="20"/>
          <w:szCs w:val="20"/>
          <w:color w:val="auto"/>
        </w:rPr>
      </w:pPr>
    </w:p>
    <w:p>
      <w:pPr>
        <w:ind w:left="380" w:hanging="175"/>
        <w:spacing w:after="0"/>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14605</wp:posOffset>
            </wp:positionV>
            <wp:extent cx="3180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2">
            <w:col w:w="5140" w:space="360"/>
            <w:col w:w="5740"/>
          </w:cols>
          <w:pgMar w:left="320" w:top="874" w:right="339" w:bottom="1440" w:gutter="0" w:footer="0" w:header="0"/>
          <w:type w:val="continuous"/>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30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January 26, 2025 (the “Report”), I, Mick J. Beekhuizen,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Mick J. Beekhuizen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14605</wp:posOffset>
            </wp:positionV>
            <wp:extent cx="31553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color w:val="auto"/>
        </w:rPr>
        <w:t>Name:</w:t>
      </w:r>
    </w:p>
    <w:p>
      <w:pPr>
        <w:spacing w:after="0" w:line="3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Mick J. Beekhuizen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1" w:lineRule="exact"/>
        <w:rPr>
          <w:sz w:val="20"/>
          <w:szCs w:val="20"/>
          <w:color w:val="auto"/>
        </w:rPr>
      </w:pPr>
    </w:p>
    <w:p>
      <w:pPr>
        <w:sectPr>
          <w:pgSz w:w="11900" w:h="16838" w:orient="portrait"/>
          <w:cols w:equalWidth="0" w:num="2">
            <w:col w:w="5060" w:space="36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January 26, 2025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2025</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3"/>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3"/>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7"/>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lowerLetter"/>
      <w:start w:val="2"/>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2"/>
    </w:lvl>
  </w:abstractNum>
  <w:abstractNum w:abstractNumId="44">
    <w:nsid w:val="6DE91B18"/>
    <w:multiLevelType w:val="hybridMultilevel"/>
    <w:lvl w:ilvl="0">
      <w:lvlJc w:val="left"/>
      <w:lvlText w:val="%1"/>
      <w:numFmt w:val="decimal"/>
      <w:start w:val="104"/>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2025-03-05T06:27:13Z</dcterms:created>
  <dcterms:modified xsi:type="dcterms:W3CDTF">2025-03-05T06:27:13Z</dcterms:modified>
</cp:coreProperties>
</file>