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ind w:left="4020" w:right="2960" w:hanging="4014"/>
        <w:spacing w:after="0" w:line="248" w:lineRule="auto"/>
        <w:tabs>
          <w:tab w:leader="none" w:pos="18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April 27,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5" w:lineRule="exact"/>
        <w:rPr>
          <w:sz w:val="24"/>
          <w:szCs w:val="24"/>
          <w:color w:val="auto"/>
        </w:rPr>
      </w:pPr>
    </w:p>
    <w:p>
      <w:pPr>
        <w:ind w:left="3160" w:right="2960" w:hanging="3154"/>
        <w:spacing w:after="0" w:line="308" w:lineRule="auto"/>
        <w:tabs>
          <w:tab w:leader="none" w:pos="193"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_______________ to __________________</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2965450</wp:posOffset>
            </wp:positionH>
            <wp:positionV relativeFrom="paragraph">
              <wp:posOffset>10795</wp:posOffset>
            </wp:positionV>
            <wp:extent cx="1211580" cy="891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158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THE CAMPBELL'S COMPANY</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13" w:right="339" w:bottom="1440" w:gutter="0" w:footer="0" w:header="0"/>
        </w:sectPr>
      </w:pPr>
    </w:p>
    <w:p>
      <w:pPr>
        <w:spacing w:after="0" w:line="2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New Jersey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21-0419870</w:t>
      </w:r>
    </w:p>
    <w:p>
      <w:pPr>
        <w:spacing w:after="0" w:line="30" w:lineRule="exact"/>
        <w:rPr>
          <w:sz w:val="24"/>
          <w:szCs w:val="24"/>
          <w:color w:val="auto"/>
        </w:rPr>
      </w:pPr>
    </w:p>
    <w:p>
      <w:pPr>
        <w:sectPr>
          <w:pgSz w:w="11900" w:h="16838" w:orient="portrait"/>
          <w:cols w:equalWidth="0" w:num="2">
            <w:col w:w="7260" w:space="720"/>
            <w:col w:w="3260"/>
          </w:cols>
          <w:pgMar w:left="320" w:top="1013"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6500" w:space="720"/>
            <w:col w:w="4020"/>
          </w:cols>
          <w:pgMar w:left="320" w:top="101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 Campbell Place</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Camden, New Jersey 08103-1799</w:t>
      </w:r>
    </w:p>
    <w:p>
      <w:pPr>
        <w:sectPr>
          <w:pgSz w:w="11900" w:h="16838" w:orient="portrait"/>
          <w:cols w:equalWidth="0" w:num="1">
            <w:col w:w="11240"/>
          </w:cols>
          <w:pgMar w:left="320" w:top="1013" w:right="3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(856) 342-4800</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ectPr>
          <w:pgSz w:w="11900" w:h="16838" w:orient="portrait"/>
          <w:cols w:equalWidth="0" w:num="1">
            <w:col w:w="11240"/>
          </w:cols>
          <w:pgMar w:left="320" w:top="1013" w:right="339" w:bottom="1440" w:gutter="0" w:footer="0" w:header="0"/>
          <w:type w:val="continuous"/>
        </w:sectPr>
      </w:pPr>
    </w:p>
    <w:p>
      <w:pPr>
        <w:spacing w:after="0" w:line="5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260" w:space="720"/>
            <w:col w:w="1800" w:space="720"/>
            <w:col w:w="3740"/>
          </w:cols>
          <w:pgMar w:left="320" w:top="1013"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5"/>
          <w:szCs w:val="15"/>
          <w:color w:val="auto"/>
        </w:rPr>
        <w:t>Capital Stock, par value $.0375</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5"/>
          <w:szCs w:val="15"/>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The Nasdaq Stock Market LLC</w:t>
      </w:r>
    </w:p>
    <w:p>
      <w:pPr>
        <w:spacing w:after="0" w:line="200" w:lineRule="exact"/>
        <w:rPr>
          <w:sz w:val="24"/>
          <w:szCs w:val="24"/>
          <w:color w:val="auto"/>
        </w:rPr>
      </w:pPr>
    </w:p>
    <w:p>
      <w:pPr>
        <w:sectPr>
          <w:pgSz w:w="11900" w:h="16838" w:orient="portrait"/>
          <w:cols w:equalWidth="0" w:num="3">
            <w:col w:w="4740" w:space="720"/>
            <w:col w:w="1800" w:space="720"/>
            <w:col w:w="3260"/>
          </w:cols>
          <w:pgMar w:left="320" w:top="1013" w:right="339" w:bottom="1440" w:gutter="0" w:footer="0" w:header="0"/>
          <w:type w:val="continuous"/>
        </w:sectPr>
      </w:pPr>
    </w:p>
    <w:p>
      <w:pPr>
        <w:spacing w:after="0" w:line="12" w:lineRule="exact"/>
        <w:rPr>
          <w:sz w:val="24"/>
          <w:szCs w:val="24"/>
          <w:color w:val="auto"/>
        </w:rPr>
      </w:pPr>
    </w:p>
    <w:p>
      <w:pPr>
        <w:jc w:val="both"/>
        <w:ind w:firstLine="318"/>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4"/>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6" w:lineRule="exact"/>
        <w:rPr>
          <w:sz w:val="24"/>
          <w:szCs w:val="24"/>
          <w:color w:val="auto"/>
        </w:rPr>
      </w:pPr>
    </w:p>
    <w:p>
      <w:pPr>
        <w:ind w:right="30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4"/>
          <w:szCs w:val="24"/>
          <w:color w:val="auto"/>
        </w:rPr>
      </w:pPr>
    </w:p>
    <w:p>
      <w:pPr>
        <w:ind w:right="20"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740" w:type="dxa"/>
        <w:tblCellMar>
          <w:top w:w="0" w:type="dxa"/>
          <w:left w:w="0" w:type="dxa"/>
          <w:bottom w:w="0" w:type="dxa"/>
          <w:right w:w="0" w:type="dxa"/>
        </w:tblCellMar>
      </w:tblPr>
      <w:tr>
        <w:trPr>
          <w:trHeight w:val="27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100" w:lineRule="exact"/>
        <w:rPr>
          <w:sz w:val="24"/>
          <w:szCs w:val="24"/>
          <w:color w:val="auto"/>
        </w:rPr>
      </w:pPr>
    </w:p>
    <w:p>
      <w:pPr>
        <w:ind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There were 298,129,972 shares of capital stock outstanding as of May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577850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30</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46</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46</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46</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46</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5020" w:type="dxa"/>
            <w:vAlign w:val="bottom"/>
            <w:gridSpan w:val="1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46</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6"/>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47</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48</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6"/>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225"/>
        </w:trPr>
        <w:tc>
          <w:tcPr>
            <w:tcW w:w="62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2,475</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2,314</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7,077</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Prior service credit arising during the period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The Campbell's Company</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8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6"/>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Prior service credit arising during the period</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459</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The Campbell's Company</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459</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60" w:type="dxa"/>
            <w:vAlign w:val="bottom"/>
          </w:tcPr>
          <w:p>
            <w:pPr>
              <w:spacing w:after="0"/>
              <w:rPr>
                <w:sz w:val="16"/>
                <w:szCs w:val="16"/>
                <w:color w:val="auto"/>
              </w:rPr>
            </w:pP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24"/>
        </w:trPr>
        <w:tc>
          <w:tcPr>
            <w:tcW w:w="6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143</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668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1,294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121</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9"/>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2,226</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2,665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4,991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4,366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25"/>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580</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43"/>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14,828</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799</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1,297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620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119</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2,849</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6,097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1,349</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5"/>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661</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10,956</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11,439</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Campbell's Company shareholders' equity</w:t>
            </w: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7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4,665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25"/>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The Campbell's Company shareholders' equity</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3,870</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3,872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14,828</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15,235</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8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40" w:type="dxa"/>
            <w:vAlign w:val="bottom"/>
          </w:tcPr>
          <w:p>
            <w:pPr>
              <w:spacing w:after="0"/>
              <w:rPr>
                <w:sz w:val="16"/>
                <w:szCs w:val="16"/>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charges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inventory fair value adjustment from acquisition</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expense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sales of businesses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 net of acquisition and divestitures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route businesses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route businesses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acquired, net of cash acquired</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businesses, net of cash divested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 and delayed draw term loan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 and delayed draw term loan</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borrowings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repayments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18"/>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44"/>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The Campbell's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tcPr>
          <w:p>
            <w:pPr>
              <w:ind w:left="280"/>
              <w:spacing w:after="0" w:line="128" w:lineRule="exact"/>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5"/>
                <w:szCs w:val="5"/>
                <w:color w:val="auto"/>
              </w:rPr>
            </w:pPr>
          </w:p>
        </w:tc>
        <w:tc>
          <w:tcPr>
            <w:tcW w:w="880" w:type="dxa"/>
            <w:vAlign w:val="bottom"/>
            <w:vMerge w:val="restart"/>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5"/>
                <w:szCs w:val="5"/>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880" w:type="dxa"/>
            <w:vAlign w:val="bottom"/>
          </w:tcPr>
          <w:p>
            <w:pPr>
              <w:jc w:val="center"/>
              <w:ind w:right="69"/>
              <w:spacing w:after="0" w:line="12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0"/>
                <w:szCs w:val="10"/>
                <w:color w:val="auto"/>
              </w:rPr>
            </w:pPr>
          </w:p>
        </w:tc>
        <w:tc>
          <w:tcPr>
            <w:tcW w:w="116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0"/>
                <w:szCs w:val="10"/>
                <w:color w:val="auto"/>
              </w:rPr>
            </w:pPr>
          </w:p>
        </w:tc>
        <w:tc>
          <w:tcPr>
            <w:tcW w:w="1120" w:type="dxa"/>
            <w:vAlign w:val="bottom"/>
          </w:tcPr>
          <w:p>
            <w:pPr>
              <w:jc w:val="right"/>
              <w:ind w:right="109"/>
              <w:spacing w:after="0" w:line="12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0"/>
                <w:szCs w:val="10"/>
                <w:color w:val="auto"/>
              </w:rPr>
            </w:pPr>
          </w:p>
        </w:tc>
        <w:tc>
          <w:tcPr>
            <w:tcW w:w="820" w:type="dxa"/>
            <w:vAlign w:val="bottom"/>
          </w:tcPr>
          <w:p>
            <w:pPr>
              <w:jc w:val="right"/>
              <w:ind w:right="289"/>
              <w:spacing w:after="0" w:line="12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28, 2024</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133</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Replacement share-based awards</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issued in connection with Sovos</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Brands, Inc. acquisition</w:t>
            </w:r>
            <w:r>
              <w:rPr>
                <w:rFonts w:ascii="Times New Roman" w:cs="Times New Roman" w:eastAsia="Times New Roman" w:hAnsi="Times New Roman"/>
                <w:sz w:val="9"/>
                <w:szCs w:val="9"/>
                <w:color w:val="auto"/>
              </w:rPr>
              <w:t>(1)</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Treasury stock issued under stock-</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based compensation plans</w:t>
            </w:r>
          </w:p>
        </w:tc>
        <w:tc>
          <w:tcPr>
            <w:tcW w:w="7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at April 28, 2024</w:t>
            </w: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421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4,685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at July 30, 2023</w:t>
            </w: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420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4,451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570</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755" w:right="35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Dividends ($1.11 per share)</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Replacement share-based awards</w:t>
      </w:r>
    </w:p>
    <w:p>
      <w:pPr>
        <w:ind w:left="40"/>
        <w:spacing w:after="0" w:line="198" w:lineRule="auto"/>
        <w:rPr>
          <w:sz w:val="20"/>
          <w:szCs w:val="20"/>
          <w:color w:val="auto"/>
        </w:rPr>
      </w:pPr>
      <w:r>
        <w:rPr>
          <w:rFonts w:ascii="Times New Roman" w:cs="Times New Roman" w:eastAsia="Times New Roman" w:hAnsi="Times New Roman"/>
          <w:sz w:val="14"/>
          <w:szCs w:val="14"/>
          <w:color w:val="auto"/>
        </w:rPr>
        <w:t>issued in connection with Sovos</w:t>
      </w:r>
    </w:p>
    <w:p>
      <w:pPr>
        <w:ind w:left="40"/>
        <w:spacing w:after="0"/>
        <w:rPr>
          <w:sz w:val="20"/>
          <w:szCs w:val="20"/>
          <w:color w:val="auto"/>
        </w:rPr>
      </w:pPr>
      <w:r>
        <w:rPr>
          <w:rFonts w:ascii="Times New Roman" w:cs="Times New Roman" w:eastAsia="Times New Roman" w:hAnsi="Times New Roman"/>
          <w:sz w:val="14"/>
          <w:szCs w:val="14"/>
          <w:color w:val="auto"/>
        </w:rPr>
        <w:t>Brands, Inc. acquisition</w:t>
      </w:r>
      <w:r>
        <w:rPr>
          <w:rFonts w:ascii="Times New Roman" w:cs="Times New Roman" w:eastAsia="Times New Roman" w:hAnsi="Times New Roman"/>
          <w:sz w:val="9"/>
          <w:szCs w:val="9"/>
          <w:color w:val="auto"/>
        </w:rPr>
        <w:t>(1)</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Treasury stock purchased</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Treasury stock issued under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based compensation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(12)</w:t>
            </w: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9"/>
        </w:trPr>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40" w:type="dxa"/>
            <w:vAlign w:val="bottom"/>
          </w:tcPr>
          <w:p>
            <w:pPr>
              <w:jc w:val="right"/>
              <w:ind w:right="1909"/>
              <w:spacing w:after="0"/>
              <w:rPr>
                <w:sz w:val="20"/>
                <w:szCs w:val="20"/>
                <w:color w:val="auto"/>
              </w:rPr>
            </w:pPr>
            <w:r>
              <w:rPr>
                <w:rFonts w:ascii="Times New Roman" w:cs="Times New Roman" w:eastAsia="Times New Roman" w:hAnsi="Times New Roman"/>
                <w:sz w:val="14"/>
                <w:szCs w:val="14"/>
                <w:color w:val="auto"/>
              </w:rPr>
              <w:t>(336)</w:t>
            </w:r>
          </w:p>
        </w:tc>
        <w:tc>
          <w:tcPr>
            <w:tcW w:w="1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477"/>
        </w:trPr>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42</w:t>
            </w: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9"/>
        </w:trPr>
        <w:tc>
          <w:tcPr>
            <w:tcW w:w="4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(1)</w:t>
            </w:r>
          </w:p>
        </w:tc>
        <w:tc>
          <w:tcPr>
            <w:tcW w:w="9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(46)</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331"/>
        </w:trPr>
        <w:tc>
          <w:tcPr>
            <w:tcW w:w="4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75</w:t>
            </w:r>
          </w:p>
        </w:tc>
        <w:tc>
          <w:tcPr>
            <w:tcW w:w="10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(41)</w:t>
            </w:r>
          </w:p>
        </w:tc>
        <w:tc>
          <w:tcPr>
            <w:tcW w:w="2640" w:type="dxa"/>
            <w:vAlign w:val="bottom"/>
          </w:tcPr>
          <w:p>
            <w:pPr>
              <w:jc w:val="right"/>
              <w:ind w:right="19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-749300</wp:posOffset>
            </wp:positionV>
            <wp:extent cx="7117715" cy="126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12636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-320675</wp:posOffset>
            </wp:positionV>
            <wp:extent cx="7117715" cy="126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7715" cy="12636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560" w:space="720"/>
            <w:col w:w="6940"/>
          </w:cols>
          <w:pgMar w:left="320" w:top="755" w:right="359" w:bottom="1440" w:gutter="0" w:footer="0" w:header="0"/>
          <w:type w:val="continuous"/>
        </w:sectPr>
      </w:pPr>
    </w:p>
    <w:tbl>
      <w:tblPr>
        <w:tblLayout w:type="fixed"/>
        <w:tblInd w:w="20" w:type="dxa"/>
        <w:tblCellMar>
          <w:top w:w="0" w:type="dxa"/>
          <w:left w:w="0" w:type="dxa"/>
          <w:bottom w:w="0" w:type="dxa"/>
          <w:right w:w="0" w:type="dxa"/>
        </w:tblCellMar>
      </w:tblPr>
      <w:tr>
        <w:trPr>
          <w:trHeight w:val="221"/>
        </w:trPr>
        <w:tc>
          <w:tcPr>
            <w:tcW w:w="2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28, 2024</w:t>
            </w:r>
          </w:p>
        </w:tc>
        <w:tc>
          <w:tcPr>
            <w:tcW w:w="5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(1,190)</w:t>
            </w:r>
          </w:p>
        </w:tc>
        <w:tc>
          <w:tcPr>
            <w:tcW w:w="4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421</w:t>
            </w:r>
          </w:p>
        </w:tc>
        <w:tc>
          <w:tcPr>
            <w:tcW w:w="38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4,685</w:t>
            </w:r>
          </w:p>
        </w:tc>
        <w:tc>
          <w:tcPr>
            <w:tcW w:w="62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60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26, 2025</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(1,208)</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406</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4,716</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66</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0" w:type="dxa"/>
            <w:vAlign w:val="bottom"/>
          </w:tcPr>
          <w:p>
            <w:pPr>
              <w:spacing w:after="0"/>
              <w:rPr>
                <w:sz w:val="1"/>
                <w:szCs w:val="1"/>
                <w:color w:val="auto"/>
              </w:rPr>
            </w:pPr>
          </w:p>
        </w:tc>
      </w:tr>
      <w:tr>
        <w:trPr>
          <w:trHeight w:val="141"/>
        </w:trPr>
        <w:tc>
          <w:tcPr>
            <w:tcW w:w="22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6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($.39 per share)</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(117)</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34"/>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1"/>
                <w:szCs w:val="11"/>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w:t>
            </w:r>
          </w:p>
        </w:tc>
        <w:tc>
          <w:tcPr>
            <w:tcW w:w="420" w:type="dxa"/>
            <w:vAlign w:val="bottom"/>
          </w:tcPr>
          <w:p>
            <w:pPr>
              <w:spacing w:after="0"/>
              <w:rPr>
                <w:sz w:val="11"/>
                <w:szCs w:val="11"/>
                <w:color w:val="auto"/>
              </w:rPr>
            </w:pPr>
          </w:p>
        </w:tc>
        <w:tc>
          <w:tcPr>
            <w:tcW w:w="6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w:t>
            </w:r>
          </w:p>
        </w:tc>
        <w:tc>
          <w:tcPr>
            <w:tcW w:w="380" w:type="dxa"/>
            <w:vAlign w:val="bottom"/>
          </w:tcPr>
          <w:p>
            <w:pPr>
              <w:spacing w:after="0"/>
              <w:rPr>
                <w:sz w:val="11"/>
                <w:szCs w:val="11"/>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191"/>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April 27, 2025</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(1,207)</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415</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4,665</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3,872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28, 2024</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(1,207)</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437</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4,569</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457</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w:t>
            </w:r>
          </w:p>
        </w:tc>
        <w:tc>
          <w:tcPr>
            <w:tcW w:w="0" w:type="dxa"/>
            <w:vAlign w:val="bottom"/>
          </w:tcPr>
          <w:p>
            <w:pPr>
              <w:spacing w:after="0"/>
              <w:rPr>
                <w:sz w:val="1"/>
                <w:szCs w:val="1"/>
                <w:color w:val="auto"/>
              </w:rPr>
            </w:pPr>
          </w:p>
        </w:tc>
      </w:tr>
      <w:tr>
        <w:trPr>
          <w:trHeight w:val="141"/>
        </w:trPr>
        <w:tc>
          <w:tcPr>
            <w:tcW w:w="22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w:t>
            </w:r>
          </w:p>
        </w:tc>
        <w:tc>
          <w:tcPr>
            <w:tcW w:w="6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($1.15 per share)</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(345)</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(345)</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(60)</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0" w:type="dxa"/>
            <w:vAlign w:val="bottom"/>
          </w:tcPr>
          <w:p>
            <w:pPr>
              <w:spacing w:after="0"/>
              <w:rPr>
                <w:sz w:val="1"/>
                <w:szCs w:val="1"/>
                <w:color w:val="auto"/>
              </w:rPr>
            </w:pPr>
          </w:p>
        </w:tc>
      </w:tr>
      <w:tr>
        <w:trPr>
          <w:trHeight w:val="134"/>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1"/>
                <w:szCs w:val="11"/>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60</w:t>
            </w:r>
          </w:p>
        </w:tc>
        <w:tc>
          <w:tcPr>
            <w:tcW w:w="4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3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0" w:type="dxa"/>
            <w:vAlign w:val="bottom"/>
          </w:tcPr>
          <w:p>
            <w:pPr>
              <w:spacing w:after="0"/>
              <w:rPr>
                <w:sz w:val="1"/>
                <w:szCs w:val="1"/>
                <w:color w:val="auto"/>
              </w:rPr>
            </w:pPr>
          </w:p>
        </w:tc>
      </w:tr>
      <w:tr>
        <w:trPr>
          <w:trHeight w:val="191"/>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April 27, 2025</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(1,207)</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415</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4,665</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3,872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140" w:hanging="134"/>
        <w:spacing w:after="0"/>
        <w:tabs>
          <w:tab w:leader="none" w:pos="14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3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8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The Campbell's Company and its consolidated subsidiaries.</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28, 2024.</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August 3, 2025. There will be 53 weeks in 2025. There were 52 weeks in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We adopted the guidance in the fourth quarter of 2023, with the exception of the annual rollforward requirement, which we will adopt in our 2025 annual reporting. The adoption did not have a material impact on our consolidated financial statements. See Note 18 for additional information.</w:t>
      </w:r>
    </w:p>
    <w:p>
      <w:pPr>
        <w:spacing w:after="0" w:line="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November 2023, the FASB issued guidance to improve reportable segment disclosures, primarily through enhanced disclosures about significant segment expenses. In addition, the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The purpose of the guidance is to enable investors to better understand an entity’s overall performance and assess potential future cash flows. The guidance is effective for fiscal years beginning after December 15, 2023, and interim periods within fiscal years beginning after December 15, 2024. We are currently evaluating the impact that the new guidance will have on our consolidated financial statements. We will adopt the new guidance beginning with our 2025 annual reporting.</w:t>
      </w:r>
    </w:p>
    <w:p>
      <w:pPr>
        <w:spacing w:after="0" w:line="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guidance to improve income tax disclosures by requiring disaggregated information about a reporting entity’s effective tax rate reconciliation as well as information on income taxes paid. The guidance is effective for annual periods beginning after December 15, 2024. The guidance should be applied on a prospective basis with the option to apply the standard retrospectively. Early adoption is permitted. We are currently evaluating the impact that the new guidance will have on our consolidated financial statements.</w:t>
      </w:r>
    </w:p>
    <w:p>
      <w:pPr>
        <w:spacing w:after="0" w:line="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guidance to improve disclosures by requiring additional details about specific types of expenses (purchases of inventory, employee compensation, depreciation and intangible asset amortization) included in certain expense captions. The guidance requires disclosure of the total amount of selling expenses and, on an annual basis, disclosure of the definition of selling expenses. The guidance is effective for fiscal years beginning after December 15, 2026, and interim periods within fiscal years beginning after December 15, 2027. Early adoption is permitted. The guidance should be applied on a prospective basis with the option to apply the standard retrospectively. We are currently evaluating the impact that the new guidance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ind w:left="320" w:hanging="314"/>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8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 xml:space="preserve">On August 7, 2023, we entered into a merger agreement to acquire Sovos Brands, Inc. (Sovos Brands) for $23.00 per share. On March 12, 2024, we completed the acquisition. Sovos Brands' portfolio included a variety of pasta sauces, dry pasta, soups, frozen entrées, frozen pizza and yogurts sold in North America under the brand names </w:t>
      </w:r>
      <w:r>
        <w:rPr>
          <w:rFonts w:ascii="Times New Roman" w:cs="Times New Roman" w:eastAsia="Times New Roman" w:hAnsi="Times New Roman"/>
          <w:sz w:val="18"/>
          <w:szCs w:val="18"/>
          <w:i w:val="1"/>
          <w:iCs w:val="1"/>
          <w:color w:val="auto"/>
        </w:rPr>
        <w:t>Rao’s, Michael Angelo’s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noosa</w:t>
      </w:r>
      <w:r>
        <w:rPr>
          <w:rFonts w:ascii="Times New Roman" w:cs="Times New Roman" w:eastAsia="Times New Roman" w:hAnsi="Times New Roman"/>
          <w:sz w:val="18"/>
          <w:szCs w:val="18"/>
          <w:color w:val="auto"/>
        </w:rPr>
        <w:t>. See Note 4 for additional information on the noosa yoghurt business, which was sold on February 24, 2025. Total purchase consideration was $2.899 billion, which was determined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9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9720" w:type="dxa"/>
            <w:vAlign w:val="bottom"/>
            <w:shd w:val="clear" w:color="auto" w:fill="CCEEFF"/>
          </w:tcPr>
          <w:p>
            <w:pPr>
              <w:ind w:left="60"/>
              <w:spacing w:after="0" w:line="225" w:lineRule="exact"/>
              <w:rPr>
                <w:sz w:val="20"/>
                <w:szCs w:val="20"/>
                <w:color w:val="auto"/>
              </w:rPr>
            </w:pPr>
            <w:r>
              <w:rPr>
                <w:rFonts w:ascii="Times New Roman" w:cs="Times New Roman" w:eastAsia="Times New Roman" w:hAnsi="Times New Roman"/>
                <w:sz w:val="18"/>
                <w:szCs w:val="18"/>
                <w:color w:val="auto"/>
              </w:rPr>
              <w:t>Cash consideration paid to Sovos Brands shareholders</w:t>
            </w:r>
            <w:r>
              <w:rPr>
                <w:rFonts w:ascii="Times New Roman" w:cs="Times New Roman" w:eastAsia="Times New Roman" w:hAnsi="Times New Roman"/>
                <w:sz w:val="22"/>
                <w:szCs w:val="22"/>
                <w:color w:val="auto"/>
                <w:vertAlign w:val="superscript"/>
              </w:rPr>
              <w:t>(1)</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25"/>
        </w:trPr>
        <w:tc>
          <w:tcPr>
            <w:tcW w:w="9720" w:type="dxa"/>
            <w:vAlign w:val="bottom"/>
            <w:tcBorders>
              <w:bottom w:val="single" w:sz="8" w:color="CCEEFF"/>
            </w:tcBorders>
          </w:tcPr>
          <w:p>
            <w:pPr>
              <w:ind w:left="60"/>
              <w:spacing w:after="0" w:line="225" w:lineRule="exact"/>
              <w:rPr>
                <w:sz w:val="20"/>
                <w:szCs w:val="20"/>
                <w:color w:val="auto"/>
              </w:rPr>
            </w:pPr>
            <w:r>
              <w:rPr>
                <w:rFonts w:ascii="Times New Roman" w:cs="Times New Roman" w:eastAsia="Times New Roman" w:hAnsi="Times New Roman"/>
                <w:sz w:val="18"/>
                <w:szCs w:val="18"/>
                <w:color w:val="auto"/>
              </w:rPr>
              <w:t>Cash paid for share-based awards</w:t>
            </w:r>
            <w:r>
              <w:rPr>
                <w:rFonts w:ascii="Times New Roman" w:cs="Times New Roman" w:eastAsia="Times New Roman" w:hAnsi="Times New Roman"/>
                <w:sz w:val="22"/>
                <w:szCs w:val="22"/>
                <w:color w:val="auto"/>
                <w:vertAlign w:val="superscript"/>
              </w:rPr>
              <w:t>(2)</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9"/>
        </w:trPr>
        <w:tc>
          <w:tcPr>
            <w:tcW w:w="9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Cash consideration paid directly to shareholders</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2,339</w:t>
            </w:r>
          </w:p>
        </w:tc>
      </w:tr>
      <w:tr>
        <w:trPr>
          <w:trHeight w:val="225"/>
        </w:trPr>
        <w:tc>
          <w:tcPr>
            <w:tcW w:w="9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paid for transaction costs of Sovos Brands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9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Repayment of Sovos Brands existing indebtedness and accrued interest</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18"/>
        </w:trPr>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cash consideration</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2,857</w:t>
            </w:r>
          </w:p>
        </w:tc>
      </w:tr>
      <w:tr>
        <w:trPr>
          <w:trHeight w:val="225"/>
        </w:trPr>
        <w:tc>
          <w:tcPr>
            <w:tcW w:w="9720" w:type="dxa"/>
            <w:vAlign w:val="bottom"/>
            <w:shd w:val="clear" w:color="auto" w:fill="CCEEFF"/>
          </w:tcPr>
          <w:p>
            <w:pPr>
              <w:ind w:left="60"/>
              <w:spacing w:after="0" w:line="225" w:lineRule="exact"/>
              <w:rPr>
                <w:sz w:val="20"/>
                <w:szCs w:val="20"/>
                <w:color w:val="auto"/>
              </w:rPr>
            </w:pPr>
            <w:r>
              <w:rPr>
                <w:rFonts w:ascii="Times New Roman" w:cs="Times New Roman" w:eastAsia="Times New Roman" w:hAnsi="Times New Roman"/>
                <w:sz w:val="18"/>
                <w:szCs w:val="18"/>
                <w:color w:val="auto"/>
              </w:rPr>
              <w:t>Fair value of replacement share-based awards</w:t>
            </w:r>
            <w:r>
              <w:rPr>
                <w:rFonts w:ascii="Times New Roman" w:cs="Times New Roman" w:eastAsia="Times New Roman" w:hAnsi="Times New Roman"/>
                <w:sz w:val="22"/>
                <w:szCs w:val="22"/>
                <w:color w:val="auto"/>
                <w:vertAlign w:val="superscript"/>
              </w:rPr>
              <w:t>(3)</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8"/>
        </w:trPr>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6"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Consideration paid to Sovos Brands shareholders which reflects $23.00 per share.</w:t>
      </w:r>
    </w:p>
    <w:p>
      <w:pPr>
        <w:ind w:left="260" w:hanging="254"/>
        <w:spacing w:after="0" w:line="188" w:lineRule="auto"/>
        <w:tabs>
          <w:tab w:leader="none" w:pos="2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cash paid to equity award holders of Sovos Brands restricted stock and restricted stock unit awards attributable to pre-combination service. This</w:t>
      </w:r>
    </w:p>
    <w:p>
      <w:pPr>
        <w:ind w:left="320"/>
        <w:spacing w:after="0" w:line="231" w:lineRule="auto"/>
        <w:rPr>
          <w:sz w:val="20"/>
          <w:szCs w:val="20"/>
          <w:color w:val="auto"/>
        </w:rPr>
      </w:pPr>
      <w:r>
        <w:rPr>
          <w:rFonts w:ascii="Times New Roman" w:cs="Times New Roman" w:eastAsia="Times New Roman" w:hAnsi="Times New Roman"/>
          <w:sz w:val="18"/>
          <w:szCs w:val="18"/>
          <w:color w:val="auto"/>
        </w:rPr>
        <w:t>excludes $3 million of cash paid that was recognized as expense.</w:t>
      </w:r>
    </w:p>
    <w:p>
      <w:pPr>
        <w:jc w:val="both"/>
        <w:ind w:left="320" w:hanging="314"/>
        <w:spacing w:after="0" w:line="215" w:lineRule="auto"/>
        <w:tabs>
          <w:tab w:leader="none" w:pos="329"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issued replacement equity awards in settlement of certain Sovos Brands equity awards that did not become vested in connection with the acquisition. The portion of fair value of the replacement awards attributable to pre-combination service was $42 million and is included in the purchase consideration. We recognized $26 million of expense related to accelerated vesting of certain replacement awards in the third quarter of 2024.</w:t>
      </w:r>
    </w:p>
    <w:p>
      <w:pPr>
        <w:spacing w:after="0" w:line="61"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The cash portion of the acquisition was funded through a Delayed Draw Term Loan Credit Agreement (the 2024 DDTL Credit Agreement) of $2 billion and cash on hand.</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the fair value that was allocated to acquired assets and assumed liabilities: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9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Estimated Fair Value</w:t>
            </w:r>
          </w:p>
        </w:tc>
      </w:tr>
      <w:tr>
        <w:trPr>
          <w:trHeight w:val="24"/>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assets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8"/>
        </w:trPr>
        <w:tc>
          <w:tcPr>
            <w:tcW w:w="9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r>
      <w:tr>
        <w:trPr>
          <w:trHeight w:val="218"/>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5"/>
        </w:trPr>
        <w:tc>
          <w:tcPr>
            <w:tcW w:w="9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9"/>
        </w:trPr>
        <w:tc>
          <w:tcPr>
            <w:tcW w:w="9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r>
      <w:tr>
        <w:trPr>
          <w:trHeight w:val="218"/>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19"/>
        </w:trPr>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r>
      <w:tr>
        <w:trPr>
          <w:trHeight w:val="20"/>
        </w:trPr>
        <w:tc>
          <w:tcPr>
            <w:tcW w:w="9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excess of the purchase price over the estimated fair values of identifiable net assets was recorded as $1.116 billion of goodwill. The goodwill is not deductible for tax purposes. The goodwill was primarily attributable to future growth</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9" w:name="page10"/>
    <w:bookmarkEnd w:id="9"/>
    <w:p>
      <w:pPr>
        <w:ind w:left="80"/>
        <w:spacing w:after="0" w:line="274" w:lineRule="auto"/>
        <w:rPr>
          <w:sz w:val="20"/>
          <w:szCs w:val="20"/>
          <w:color w:val="auto"/>
        </w:rPr>
      </w:pPr>
      <w:r>
        <w:rPr>
          <w:rFonts w:ascii="Times New Roman" w:cs="Times New Roman" w:eastAsia="Times New Roman" w:hAnsi="Times New Roman"/>
          <w:sz w:val="18"/>
          <w:szCs w:val="18"/>
          <w:color w:val="auto"/>
        </w:rPr>
        <w:t>opportunities, anticipated synergies, and intangible assets that did not qualify for separate recognition. The goodwill is included in the Meals &amp; Beverages segment.</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identifiable intangible assets of Sovos Brands consisted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5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in Years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
        </w:trPr>
        <w:tc>
          <w:tcPr>
            <w:tcW w:w="58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Non-amortizable</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5"/>
        </w:trPr>
        <w:tc>
          <w:tcPr>
            <w:tcW w:w="58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Trademarks</w:t>
            </w:r>
            <w:r>
              <w:rPr>
                <w:rFonts w:ascii="Times New Roman" w:cs="Times New Roman" w:eastAsia="Times New Roman" w:hAnsi="Times New Roman"/>
                <w:sz w:val="22"/>
                <w:szCs w:val="22"/>
                <w:color w:val="auto"/>
                <w:vertAlign w:val="superscript"/>
              </w:rPr>
              <w:t>(1)</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Amortizable</w:t>
            </w:r>
          </w:p>
        </w:tc>
        <w:tc>
          <w:tcPr>
            <w:tcW w:w="5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5"/>
        </w:trPr>
        <w:tc>
          <w:tcPr>
            <w:tcW w:w="58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Customer relationships</w:t>
            </w:r>
            <w:r>
              <w:rPr>
                <w:rFonts w:ascii="Times New Roman" w:cs="Times New Roman" w:eastAsia="Times New Roman" w:hAnsi="Times New Roman"/>
                <w:sz w:val="22"/>
                <w:szCs w:val="22"/>
                <w:color w:val="auto"/>
                <w:vertAlign w:val="superscript"/>
              </w:rPr>
              <w:t>(2)</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Amortizable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5"/>
              </w:rPr>
              <w:t>to</w:t>
            </w:r>
          </w:p>
        </w:tc>
        <w:tc>
          <w:tcPr>
            <w:tcW w:w="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0"/>
        </w:trPr>
        <w:tc>
          <w:tcPr>
            <w:tcW w:w="5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6" w:lineRule="exact"/>
        <w:rPr>
          <w:sz w:val="20"/>
          <w:szCs w:val="20"/>
          <w:color w:val="auto"/>
        </w:rPr>
      </w:pPr>
    </w:p>
    <w:p>
      <w:pPr>
        <w:ind w:left="400" w:hanging="314"/>
        <w:spacing w:after="0"/>
        <w:tabs>
          <w:tab w:leader="none" w:pos="4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$74 million related to the noosa yoghurt business.</w:t>
      </w:r>
    </w:p>
    <w:p>
      <w:pPr>
        <w:ind w:left="400" w:hanging="314"/>
        <w:spacing w:after="0" w:line="191" w:lineRule="auto"/>
        <w:tabs>
          <w:tab w:leader="none" w:pos="4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$18 million related to the noosa yoghurt business.</w:t>
      </w:r>
    </w:p>
    <w:p>
      <w:pPr>
        <w:spacing w:after="0" w:line="74" w:lineRule="exact"/>
        <w:rPr>
          <w:sz w:val="20"/>
          <w:szCs w:val="20"/>
          <w:color w:val="auto"/>
        </w:rPr>
      </w:pPr>
    </w:p>
    <w:p>
      <w:pPr>
        <w:jc w:val="both"/>
        <w:ind w:left="80" w:firstLine="318"/>
        <w:spacing w:after="0" w:line="251" w:lineRule="auto"/>
        <w:rPr>
          <w:sz w:val="20"/>
          <w:szCs w:val="20"/>
          <w:color w:val="auto"/>
        </w:rPr>
      </w:pPr>
      <w:r>
        <w:rPr>
          <w:rFonts w:ascii="Times New Roman" w:cs="Times New Roman" w:eastAsia="Times New Roman" w:hAnsi="Times New Roman"/>
          <w:sz w:val="18"/>
          <w:szCs w:val="18"/>
          <w:color w:val="auto"/>
        </w:rPr>
        <w:t>We incurred transaction costs and integration costs, including costs to achieve synergies, of $95 million and $114 million associated with the Sovos Brands acquisition in the three- and nine-month periods ended April 28, 2024. Approximately $16 million in the three-month period and $35 million in the nine-month period represented transaction costs, including outside advisory costs, recorded in Other expenses / (income). In the three-month period ended April 28, 2024, we recognized $2 million in Interest expense related to financing fees associated with the 2024 DDTL Credit Agreement. Integration costs included expenses associated with accelerated vesting of replacement awards, severance and retention bonuses, amortization of the acquisition date fair value adjustment to inventories and other costs. Integration costs recognized in the three-month period ended April 28, 2024 included the following:</w:t>
      </w:r>
    </w:p>
    <w:p>
      <w:pPr>
        <w:spacing w:after="0" w:line="53" w:lineRule="exact"/>
        <w:rPr>
          <w:sz w:val="20"/>
          <w:szCs w:val="20"/>
          <w:color w:val="auto"/>
        </w:rPr>
      </w:pPr>
    </w:p>
    <w:p>
      <w:pPr>
        <w:ind w:left="720" w:hanging="316"/>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in Cost of products sold, $17 million of which related to the amortization of the acquisition date fair value adjustment to inventories;</w:t>
      </w:r>
    </w:p>
    <w:p>
      <w:pPr>
        <w:spacing w:after="0" w:line="97" w:lineRule="exact"/>
        <w:rPr>
          <w:rFonts w:ascii="Times New Roman" w:cs="Times New Roman" w:eastAsia="Times New Roman" w:hAnsi="Times New Roman"/>
          <w:sz w:val="18"/>
          <w:szCs w:val="18"/>
          <w:color w:val="auto"/>
        </w:rPr>
      </w:pPr>
    </w:p>
    <w:p>
      <w:pPr>
        <w:ind w:left="720" w:hanging="316"/>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Marketing and selling expenses;</w:t>
      </w:r>
    </w:p>
    <w:p>
      <w:pPr>
        <w:spacing w:after="0" w:line="97" w:lineRule="exact"/>
        <w:rPr>
          <w:rFonts w:ascii="Times New Roman" w:cs="Times New Roman" w:eastAsia="Times New Roman" w:hAnsi="Times New Roman"/>
          <w:sz w:val="18"/>
          <w:szCs w:val="18"/>
          <w:color w:val="auto"/>
        </w:rPr>
      </w:pPr>
    </w:p>
    <w:p>
      <w:pPr>
        <w:ind w:left="720" w:hanging="316"/>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of Administrative expenses;</w:t>
      </w:r>
    </w:p>
    <w:p>
      <w:pPr>
        <w:spacing w:after="0" w:line="84" w:lineRule="exact"/>
        <w:rPr>
          <w:rFonts w:ascii="Times New Roman" w:cs="Times New Roman" w:eastAsia="Times New Roman" w:hAnsi="Times New Roman"/>
          <w:sz w:val="18"/>
          <w:szCs w:val="18"/>
          <w:color w:val="auto"/>
        </w:rPr>
      </w:pPr>
    </w:p>
    <w:p>
      <w:pPr>
        <w:ind w:left="720" w:hanging="316"/>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Research and development expenses; and</w:t>
      </w:r>
    </w:p>
    <w:p>
      <w:pPr>
        <w:spacing w:after="0" w:line="97" w:lineRule="exact"/>
        <w:rPr>
          <w:rFonts w:ascii="Times New Roman" w:cs="Times New Roman" w:eastAsia="Times New Roman" w:hAnsi="Times New Roman"/>
          <w:sz w:val="18"/>
          <w:szCs w:val="18"/>
          <w:color w:val="auto"/>
        </w:rPr>
      </w:pPr>
    </w:p>
    <w:p>
      <w:pPr>
        <w:ind w:left="720" w:hanging="316"/>
        <w:spacing w:after="0"/>
        <w:tabs>
          <w:tab w:leader="none" w:pos="7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$16 million of Restructuring charges to achieve synergies. See Note 8 for additional information.</w:t>
      </w:r>
    </w:p>
    <w:p>
      <w:pPr>
        <w:spacing w:after="0" w:line="98" w:lineRule="exact"/>
        <w:rPr>
          <w:sz w:val="20"/>
          <w:szCs w:val="20"/>
          <w:color w:val="auto"/>
        </w:rPr>
      </w:pPr>
    </w:p>
    <w:p>
      <w:pPr>
        <w:jc w:val="both"/>
        <w:ind w:left="80" w:firstLine="318"/>
        <w:spacing w:after="0" w:line="274" w:lineRule="auto"/>
        <w:rPr>
          <w:sz w:val="20"/>
          <w:szCs w:val="20"/>
          <w:color w:val="auto"/>
        </w:rPr>
      </w:pPr>
      <w:r>
        <w:rPr>
          <w:rFonts w:ascii="Times New Roman" w:cs="Times New Roman" w:eastAsia="Times New Roman" w:hAnsi="Times New Roman"/>
          <w:sz w:val="18"/>
          <w:szCs w:val="18"/>
          <w:color w:val="auto"/>
        </w:rPr>
        <w:t>For the period March 12, 2024 through April 28, 2024, the Sovos Brands acquisition contributed $166 million to Net sales and a loss of $75 million to Net earnings, including the effect of transaction and integration costs and interest expense on the debt to finance the acquisition.</w:t>
      </w:r>
    </w:p>
    <w:p>
      <w:pPr>
        <w:spacing w:after="0" w:line="31" w:lineRule="exact"/>
        <w:rPr>
          <w:sz w:val="20"/>
          <w:szCs w:val="20"/>
          <w:color w:val="auto"/>
        </w:rPr>
      </w:pPr>
    </w:p>
    <w:p>
      <w:pPr>
        <w:jc w:val="both"/>
        <w:ind w:left="80" w:firstLine="318"/>
        <w:spacing w:after="0" w:line="274" w:lineRule="auto"/>
        <w:rPr>
          <w:sz w:val="20"/>
          <w:szCs w:val="20"/>
          <w:color w:val="auto"/>
        </w:rPr>
      </w:pPr>
      <w:r>
        <w:rPr>
          <w:rFonts w:ascii="Times New Roman" w:cs="Times New Roman" w:eastAsia="Times New Roman" w:hAnsi="Times New Roman"/>
          <w:sz w:val="18"/>
          <w:szCs w:val="18"/>
          <w:color w:val="auto"/>
        </w:rPr>
        <w:t>The following unaudited summary information is presented on a consolidated pro forma basis as if the Sovos Brands acquisition had occurred on August 1, 2022:</w:t>
      </w:r>
    </w:p>
    <w:p>
      <w:pPr>
        <w:spacing w:after="0" w:line="78"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4"/>
          </w:tcPr>
          <w:p>
            <w:pPr>
              <w:jc w:val="right"/>
              <w:ind w:right="1038"/>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24"/>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3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0" w:type="dxa"/>
            <w:vAlign w:val="bottom"/>
          </w:tcPr>
          <w:p>
            <w:pPr>
              <w:spacing w:after="0"/>
              <w:rPr>
                <w:sz w:val="1"/>
                <w:szCs w:val="1"/>
                <w:color w:val="auto"/>
              </w:rPr>
            </w:pPr>
          </w:p>
        </w:tc>
      </w:tr>
      <w:tr>
        <w:trPr>
          <w:trHeight w:val="231"/>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80" w:firstLine="318"/>
        <w:spacing w:after="0" w:line="252" w:lineRule="auto"/>
        <w:rPr>
          <w:sz w:val="20"/>
          <w:szCs w:val="20"/>
          <w:color w:val="auto"/>
        </w:rPr>
      </w:pPr>
      <w:r>
        <w:rPr>
          <w:rFonts w:ascii="Times New Roman" w:cs="Times New Roman" w:eastAsia="Times New Roman" w:hAnsi="Times New Roman"/>
          <w:sz w:val="18"/>
          <w:szCs w:val="18"/>
          <w:color w:val="auto"/>
        </w:rPr>
        <w:t>The pro forma results are not necessarily indicative of the combined results had the Sovos Brands acquisition been completed on August 1, 2022, nor are they indicative of future combined results. The pro forma amounts include adjustments to interest expense for financing the acquisition, to amortization and depreciation expense based on the estimated fair value and useful lives of intangible assets and plant assets, and related tax effects. The pro forma results include adjustments to reflect amortization of the acquisition date fair value adjustment to inventories, expenses related to accelerated vesting of replacement awards and severance and retention bonuses as of August 1,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240" w:top="9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Divestitures</w:t>
      </w:r>
    </w:p>
    <w:p>
      <w:pPr>
        <w:spacing w:after="0" w:line="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sold our Pop Secret popcorn business for $70 million. We recognized a pre-tax loss on the sale of $25 million, or $19 million after tax. In connection with the sale, we are providing certain transition services to support the business.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business had net sales of $9 million for the nine-month period ended April 27, 2025, and $30 million and $91 million for the three- and nine-month periods ended April 28, 2024, respectively. Earnings were not material in the periods. The results of the business were reflected within the Snacks reportable segment.</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entered into an agreement to sell our noosa yoghurt business in November 2024. The noosa yoghurt business was purchased as part of the Sovos Brands acquisition. In the second quarter of 2025, we recorded $15 million of tax expense related to the sale of the business. We completed the sale on February 24, 2025, for $188 million, subject to certain customary purchase price adjustments. The after-tax loss recorded on the sale was $15 million, which is subject to the finalization of the purchase price adjustments. In connection with the sale, we are providing certain transition services to support the business.</w:t>
      </w:r>
    </w:p>
    <w:p>
      <w:pPr>
        <w:spacing w:after="0" w:line="3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sales of the business were $16 million and $99 million for the three- and nine-month periods ended April 27, 2025, respectively. Net sales of the business were $21 million and $68 million from March 12, 2024 through April 28, 2024 and July 28, 2024, respectively. Earnings were not material in the periods. The results of the business were reflected within the Meals &amp; Beverages segment.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Accumulated Other Comprehensive Income (Loss)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44"/>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8"/>
                <w:szCs w:val="18"/>
                <w:b w:val="1"/>
                <w:bCs w:val="1"/>
                <w:color w:val="auto"/>
                <w:vertAlign w:val="superscript"/>
              </w:rPr>
              <w:t>(2)</w:t>
            </w:r>
          </w:p>
        </w:tc>
        <w:tc>
          <w:tcPr>
            <w:tcW w:w="154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2"/>
                <w:szCs w:val="12"/>
                <w:color w:val="auto"/>
              </w:rPr>
            </w:pPr>
          </w:p>
        </w:tc>
        <w:tc>
          <w:tcPr>
            <w:tcW w:w="1300" w:type="dxa"/>
            <w:vAlign w:val="bottom"/>
          </w:tcPr>
          <w:p>
            <w:pPr>
              <w:jc w:val="center"/>
              <w:ind w:right="36"/>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Adjustments</w:t>
            </w:r>
            <w:r>
              <w:rPr>
                <w:rFonts w:ascii="Times New Roman" w:cs="Times New Roman" w:eastAsia="Times New Roman" w:hAnsi="Times New Roman"/>
                <w:sz w:val="9"/>
                <w:szCs w:val="9"/>
                <w:b w:val="1"/>
                <w:bCs w:val="1"/>
                <w:color w:val="auto"/>
                <w:w w:val="99"/>
              </w:rPr>
              <w:t>(1)</w:t>
            </w:r>
          </w:p>
        </w:tc>
        <w:tc>
          <w:tcPr>
            <w:tcW w:w="15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 Adjustments</w:t>
            </w:r>
            <w:r>
              <w:rPr>
                <w:rFonts w:ascii="Times New Roman" w:cs="Times New Roman" w:eastAsia="Times New Roman" w:hAnsi="Times New Roman"/>
                <w:sz w:val="9"/>
                <w:szCs w:val="9"/>
                <w:b w:val="1"/>
                <w:bCs w:val="1"/>
                <w:color w:val="auto"/>
              </w:rPr>
              <w:t>(3)</w:t>
            </w:r>
          </w:p>
        </w:tc>
        <w:tc>
          <w:tcPr>
            <w:tcW w:w="140" w:type="dxa"/>
            <w:vAlign w:val="bottom"/>
          </w:tcPr>
          <w:p>
            <w:pPr>
              <w:spacing w:after="0"/>
              <w:rPr>
                <w:sz w:val="17"/>
                <w:szCs w:val="17"/>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28,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28,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27,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4"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April 27, 2025, July 28, 2024, April 28, 2024 and July 30, 2023.</w:t>
      </w:r>
    </w:p>
    <w:p>
      <w:pPr>
        <w:ind w:left="320" w:hanging="314"/>
        <w:spacing w:after="0" w:line="201"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a tax benefit of $2 million as of April 27, 2025 and July 28, 2024, $3 million as of April 28, 2024 and $1 million as of July 30, 2023.</w:t>
      </w:r>
    </w:p>
    <w:p>
      <w:pPr>
        <w:spacing w:after="0" w:line="1" w:lineRule="exact"/>
        <w:rPr>
          <w:rFonts w:ascii="Times New Roman" w:cs="Times New Roman" w:eastAsia="Times New Roman" w:hAnsi="Times New Roman"/>
          <w:sz w:val="23"/>
          <w:szCs w:val="23"/>
          <w:color w:val="auto"/>
          <w:vertAlign w:val="superscript"/>
        </w:rPr>
      </w:pPr>
    </w:p>
    <w:p>
      <w:pPr>
        <w:ind w:left="320" w:right="2040" w:hanging="314"/>
        <w:spacing w:after="0" w:line="261" w:lineRule="auto"/>
        <w:tabs>
          <w:tab w:leader="none" w:pos="30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$2 million as of April 27, 2025, and $1 million as of July 28, 2024, April 28, 2024 and July 30, 2023. Amounts related to noncontrolling interests were not material.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00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gridSpan w:val="6"/>
            <w:vMerge w:val="restart"/>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4"/>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9"/>
                <w:szCs w:val="9"/>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40" w:type="dxa"/>
            <w:vAlign w:val="bottom"/>
          </w:tcPr>
          <w:p>
            <w:pPr>
              <w:spacing w:after="0"/>
              <w:rPr>
                <w:sz w:val="9"/>
                <w:szCs w:val="9"/>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Pr>
          <w:p>
            <w:pPr>
              <w:spacing w:after="0"/>
              <w:rPr>
                <w:sz w:val="9"/>
                <w:szCs w:val="9"/>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180" w:type="dxa"/>
            <w:vAlign w:val="bottom"/>
            <w:gridSpan w:val="3"/>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9"/>
                <w:szCs w:val="19"/>
                <w:color w:val="auto"/>
              </w:rPr>
            </w:pP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8"/>
              </w:rPr>
              <w:t>Cost of products sold</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Total before tax</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Tax expense (benefit)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Loss (gain), 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adjustments: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service credit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9"/>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Other expenses / (income)</w:t>
            </w:r>
          </w:p>
        </w:tc>
        <w:tc>
          <w:tcPr>
            <w:tcW w:w="0" w:type="dxa"/>
            <w:vAlign w:val="bottom"/>
          </w:tcPr>
          <w:p>
            <w:pPr>
              <w:spacing w:after="0"/>
              <w:rPr>
                <w:sz w:val="1"/>
                <w:szCs w:val="1"/>
                <w:color w:val="auto"/>
              </w:rPr>
            </w:pPr>
          </w:p>
        </w:tc>
      </w:tr>
      <w:tr>
        <w:trPr>
          <w:trHeight w:val="225"/>
        </w:trPr>
        <w:tc>
          <w:tcPr>
            <w:tcW w:w="3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Tax expense (benefit)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Borders>
              <w:top w:val="single" w:sz="8" w:color="CCEEFF"/>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Loss (gain), net of tax</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24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3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July 28, 2024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Divestitures</w:t>
            </w:r>
            <w:r>
              <w:rPr>
                <w:rFonts w:ascii="Times New Roman" w:cs="Times New Roman" w:eastAsia="Times New Roman" w:hAnsi="Times New Roman"/>
                <w:sz w:val="22"/>
                <w:szCs w:val="22"/>
                <w:b w:val="1"/>
                <w:bCs w:val="1"/>
                <w:color w:val="auto"/>
                <w:vertAlign w:val="superscript"/>
              </w:rPr>
              <w:t>(1)</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April 27, 2025</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4 for additional information on divestitures.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08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Divestiture</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7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08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7"/>
        </w:trPr>
        <w:tc>
          <w:tcPr>
            <w:tcW w:w="3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Amortizable intangible assets</w:t>
            </w: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w:t>
            </w: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Definite-lived trademarks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8"/>
        </w:trPr>
        <w:tc>
          <w:tcPr>
            <w:tcW w:w="3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Indefinite-lived trademarks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Rao's</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5"/>
        </w:trPr>
        <w:tc>
          <w:tcPr>
            <w:tcW w:w="342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5"/>
        </w:trPr>
        <w:tc>
          <w:tcPr>
            <w:tcW w:w="342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Pace</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5"/>
        </w:trPr>
        <w:tc>
          <w:tcPr>
            <w:tcW w:w="342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Cape Cod</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58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(2) (3)</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9"/>
        </w:trPr>
        <w:tc>
          <w:tcPr>
            <w:tcW w:w="3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indefinite-lived trademarks</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4 for additional information on the divestiture of our noosa yoghurt business.</w:t>
      </w:r>
    </w:p>
    <w:p>
      <w:pPr>
        <w:spacing w:after="0" w:line="71" w:lineRule="exact"/>
        <w:rPr>
          <w:rFonts w:ascii="Times New Roman" w:cs="Times New Roman" w:eastAsia="Times New Roman" w:hAnsi="Times New Roman"/>
          <w:sz w:val="23"/>
          <w:szCs w:val="23"/>
          <w:color w:val="auto"/>
          <w:vertAlign w:val="superscript"/>
        </w:rPr>
      </w:pPr>
    </w:p>
    <w:p>
      <w:pPr>
        <w:ind w:left="320" w:hanging="314"/>
        <w:spacing w:after="0" w:line="226" w:lineRule="auto"/>
        <w:tabs>
          <w:tab w:leader="none" w:pos="30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carrying amount as of July 28, 2024 included the $28 million </w:t>
      </w:r>
      <w:r>
        <w:rPr>
          <w:rFonts w:ascii="Times New Roman" w:cs="Times New Roman" w:eastAsia="Times New Roman" w:hAnsi="Times New Roman"/>
          <w:sz w:val="18"/>
          <w:szCs w:val="18"/>
          <w:i w:val="1"/>
          <w:iCs w:val="1"/>
          <w:color w:val="auto"/>
        </w:rPr>
        <w:t>Pop Secret</w:t>
      </w:r>
      <w:r>
        <w:rPr>
          <w:rFonts w:ascii="Times New Roman" w:cs="Times New Roman" w:eastAsia="Times New Roman" w:hAnsi="Times New Roman"/>
          <w:sz w:val="18"/>
          <w:szCs w:val="18"/>
          <w:color w:val="auto"/>
        </w:rPr>
        <w:t xml:space="preserve"> trademark, which was divested with the sale of the business in 2025. See Note 4 for additional information.</w:t>
      </w:r>
    </w:p>
    <w:p>
      <w:pPr>
        <w:spacing w:after="0" w:line="28"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and Allied brands trademarks.</w:t>
      </w:r>
    </w:p>
    <w:p>
      <w:pPr>
        <w:spacing w:after="0" w:line="8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Amortization expense was $19 million and $58 million for the three- and nine-month periods ended April 27, 2025, and $18 million and $52 million for the three- and nine-month periods ended April 28, 2024, respectively. Amortization expense included accelerated amortization expense on customer relationships of $6 million and $20 million for both the three-month and nine-month periods ended April 27, 2025 and April 28, 2024, respectively, which began in the fourth quarter of 2023 due to the loss of certain contract manufacturing customers. As of April 27, 2025, amortizable intangible assets had a weighted-average remaining useful life of 19 years. Amortization expense is estimated to be approximately $70 million in 2025 and $40 million per year for the following four years.</w:t>
      </w:r>
    </w:p>
    <w:p>
      <w:pPr>
        <w:spacing w:after="0" w:line="6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During the second quarter of 2025, we performed an interim impairment assessment on certain salty snacks and cookie trademarks within our Snacks segment, including </w:t>
      </w:r>
      <w:r>
        <w:rPr>
          <w:rFonts w:ascii="Times New Roman" w:cs="Times New Roman" w:eastAsia="Times New Roman" w:hAnsi="Times New Roman"/>
          <w:sz w:val="18"/>
          <w:szCs w:val="18"/>
          <w:i w:val="1"/>
          <w:iCs w:val="1"/>
          <w:color w:val="auto"/>
        </w:rPr>
        <w:t>Tom’s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Kruncher’s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O-Ke-Doke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Stella D’oro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Archway</w:t>
      </w:r>
      <w:r>
        <w:rPr>
          <w:rFonts w:ascii="Times New Roman" w:cs="Times New Roman" w:eastAsia="Times New Roman" w:hAnsi="Times New Roman"/>
          <w:sz w:val="18"/>
          <w:szCs w:val="18"/>
          <w:color w:val="auto"/>
        </w:rPr>
        <w:t>, collectively referred to as our "Allied brands." In 2025, sales performance was below expectations. In the second quarter of 2025, based on recent performance, we lowered our long-term outlook and recognized an impairment charge of $15 million on the Allied brands trademarks, reducing the carrying value to $28 million.</w:t>
      </w:r>
    </w:p>
    <w:p>
      <w:pPr>
        <w:spacing w:after="0" w:line="33"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color w:val="auto"/>
        </w:rPr>
        <w:t xml:space="preserve">During the second quarter of 2025, we performed an interim impairment assessment on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within our Snacks segment. In 2025, sales performance was below expectations. In the second quarter of 2025, based on recent performance, we lowered our long-term outlook and recognized an impairment charge of $11 million on the trademark, reducing the carrying value to $47 million.</w:t>
      </w:r>
    </w:p>
    <w:p>
      <w:pPr>
        <w:spacing w:after="0" w:line="55"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 xml:space="preserve">During the third quarter of 2025, we performed an interim impairment assessment on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 within our Snacks segment. In 2025, sales and operating performance were below expectations. In the third quarter of 2025, based on recent performance, we lowered our long-term outlook and recognized an impairment charge of $150 million on the trademark, reducing the carrying value to $470 million.</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impairment charges were recorded in Other expenses / (income) in the Consolidated Statement of Earnings.</w:t>
      </w:r>
    </w:p>
    <w:p>
      <w:pPr>
        <w:spacing w:after="0" w:line="8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The $1.47 billion carrying value of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trademark associated with the Sovos Brands acquisition approximates fair value. Excluding the carrying value of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trademark, based on the 2024 annual impairment testing and interim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3" w:name="page14"/>
    <w:bookmarkEnd w:id="13"/>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assessments described above, indefinite-lived trademarks with approximately 10% or less of excess coverage of fair value over carrying value had an aggregate carrying value of $1.117 billion as of April 27, 2025, and included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Pacific Foods, Late July</w:t>
      </w:r>
      <w:r>
        <w:rPr>
          <w:rFonts w:ascii="Times New Roman" w:cs="Times New Roman" w:eastAsia="Times New Roman" w:hAnsi="Times New Roman"/>
          <w:sz w:val="18"/>
          <w:szCs w:val="18"/>
          <w:color w:val="auto"/>
        </w:rPr>
        <w:t xml:space="preserve"> and Allied brands trademarks.</w:t>
      </w:r>
    </w:p>
    <w:p>
      <w:pPr>
        <w:spacing w:after="0" w:line="5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including the potential impact of tariffs.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Information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98" w:lineRule="exact"/>
        <w:rPr>
          <w:sz w:val="20"/>
          <w:szCs w:val="20"/>
          <w:color w:val="auto"/>
        </w:rPr>
      </w:pPr>
    </w:p>
    <w:p>
      <w:pPr>
        <w:jc w:val="both"/>
        <w:ind w:left="640" w:hanging="316"/>
        <w:spacing w:after="0" w:line="251" w:lineRule="auto"/>
        <w:tabs>
          <w:tab w:leader="none" w:pos="6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Meals &amp; Beverages, which consists of our soup, simple meals and beverages products in retail and foodservice in the U.S. and Canada.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SpaghettiOs</w:t>
      </w:r>
      <w:r>
        <w:rPr>
          <w:rFonts w:ascii="Times New Roman" w:cs="Times New Roman" w:eastAsia="Times New Roman" w:hAnsi="Times New Roman"/>
          <w:sz w:val="18"/>
          <w:szCs w:val="18"/>
          <w:color w:val="auto"/>
        </w:rPr>
        <w:t xml:space="preserve"> pasta;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as of March 12, 2024,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dry pasta, frozen entrées, frozen pizza and soups; </w:t>
      </w:r>
      <w:r>
        <w:rPr>
          <w:rFonts w:ascii="Times New Roman" w:cs="Times New Roman" w:eastAsia="Times New Roman" w:hAnsi="Times New Roman"/>
          <w:sz w:val="18"/>
          <w:szCs w:val="18"/>
          <w:i w:val="1"/>
          <w:iCs w:val="1"/>
          <w:color w:val="auto"/>
        </w:rPr>
        <w:t>Michael Angelo’s</w:t>
      </w:r>
      <w:r>
        <w:rPr>
          <w:rFonts w:ascii="Times New Roman" w:cs="Times New Roman" w:eastAsia="Times New Roman" w:hAnsi="Times New Roman"/>
          <w:sz w:val="18"/>
          <w:szCs w:val="18"/>
          <w:color w:val="auto"/>
        </w:rPr>
        <w:t xml:space="preserve"> frozen entrées and pasta sauces; and </w:t>
      </w:r>
      <w:r>
        <w:rPr>
          <w:rFonts w:ascii="Times New Roman" w:cs="Times New Roman" w:eastAsia="Times New Roman" w:hAnsi="Times New Roman"/>
          <w:sz w:val="18"/>
          <w:szCs w:val="18"/>
          <w:i w:val="1"/>
          <w:iCs w:val="1"/>
          <w:color w:val="auto"/>
        </w:rPr>
        <w:t>noosa</w:t>
      </w:r>
      <w:r>
        <w:rPr>
          <w:rFonts w:ascii="Times New Roman" w:cs="Times New Roman" w:eastAsia="Times New Roman" w:hAnsi="Times New Roman"/>
          <w:sz w:val="18"/>
          <w:szCs w:val="18"/>
          <w:color w:val="auto"/>
        </w:rPr>
        <w:t xml:space="preserve"> yogurts. The noosa yoghurt business was sold on February 24, 2025. The segment also includes snacking products in foodservice and Canada; and</w:t>
      </w:r>
    </w:p>
    <w:p>
      <w:pPr>
        <w:spacing w:after="0" w:line="50"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fresh bakery and frozen products, including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 and other snacking products in retail in the U.S. The segment also includes the snacking and meals and beverages retail business in Latin America. The segment included the results of our Pop Secret popcorn business, which was sold on August 26, 2024.</w:t>
      </w:r>
    </w:p>
    <w:p>
      <w:pPr>
        <w:spacing w:after="0" w:line="5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We refer to the following products as our "leadership brands":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Chunky</w:t>
      </w:r>
      <w:r>
        <w:rPr>
          <w:rFonts w:ascii="Times New Roman" w:cs="Times New Roman" w:eastAsia="Times New Roman" w:hAnsi="Times New Roman"/>
          <w:sz w:val="18"/>
          <w:szCs w:val="18"/>
          <w:color w:val="auto"/>
        </w:rPr>
        <w:t xml:space="pre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stocks and canned poultry;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dry pasta, frozen entrées, frozen pizza and soups; Pepperidge Farm cookies, crackers and fresh bakery;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and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w:t>
      </w:r>
    </w:p>
    <w:p>
      <w:pPr>
        <w:spacing w:after="0" w:line="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cost savings and optimization initiatives, impairment charges and corporate expenses.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6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8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21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7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1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256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8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21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5"/>
        </w:trPr>
        <w:tc>
          <w:tcPr>
            <w:tcW w:w="398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 income (expense)</w:t>
            </w:r>
            <w:r>
              <w:rPr>
                <w:rFonts w:ascii="Times New Roman" w:cs="Times New Roman" w:eastAsia="Times New Roman" w:hAnsi="Times New Roman"/>
                <w:sz w:val="22"/>
                <w:szCs w:val="22"/>
                <w:color w:val="auto"/>
                <w:vertAlign w:val="superscript"/>
              </w:rPr>
              <w:t>(1)</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(2)</w:t>
            </w:r>
          </w:p>
        </w:tc>
        <w:tc>
          <w:tcPr>
            <w:tcW w:w="1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3980" w:type="dxa"/>
            <w:vAlign w:val="bottom"/>
          </w:tcPr>
          <w:p>
            <w:pPr>
              <w:spacing w:after="0"/>
              <w:rPr>
                <w:sz w:val="24"/>
                <w:szCs w:val="24"/>
                <w:color w:val="auto"/>
              </w:rPr>
            </w:pPr>
          </w:p>
        </w:tc>
        <w:tc>
          <w:tcPr>
            <w:tcW w:w="188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jc w:val="both"/>
        <w:ind w:left="320" w:hanging="314"/>
        <w:spacing w:after="0" w:line="242" w:lineRule="auto"/>
        <w:tabs>
          <w:tab w:leader="none" w:pos="30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Costs related to cost savings and optimization initiatives were $25 million and $74 million in the three- and nine-month periods ended April 27, 2025, and $23 million and $68 million in the three- and nine-month periods ended April 28, 2024, respectively. Unrealized mark-to-market adjustments on outstanding undesignated commodity hedges were losses of $10 million and gains of $8 million in the three- and nine-month periods ended April 27, 2025, and gains of $13 million and $5 million in the three- and nine-month periods ended April 28, 2024, respectively. Accelerated amortization expense related to customer relationship intangible assets was $6 million and $20 million in the three- and nine-month periods ended April 27, 2025 and April 28, 2024. Intangible asset impairment charges were $150 million and $176 million in the three- and nine-month periods ended in April 27, 2025, respectively. A loss on the sale of our Pop Secret popcorn business of $25 million was included in the nine-month period ended April 27, 2025. Litigation expenses related to the Plum baby food and snacks business, which was divested on May 3, 2021, and certain other litigation matters were $4 million and $6 million in the three- and nine-month periods ended April 27, 2025 and $3 million in the nine-month period ended April 28, 2024, respectively. Insurance recoveries of $1 million and costs of $3 million related to a cybersecurity incident were included in the nine-month periods ended April 27, 2025 and April 28, 2024, respectively. A postretirement actuarial loss of $2 million was included in the nine-month period ended April 27, 2025. Costs of $77 million and $96 million associated with the acquisition of Sovos Brands were included in the three- and nine-month periods ended April 28, 2024, respectively.</w:t>
      </w:r>
    </w:p>
    <w:p>
      <w:pPr>
        <w:spacing w:after="0" w:line="44"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for additional information.</w:t>
      </w:r>
    </w:p>
    <w:p>
      <w:pPr>
        <w:spacing w:after="0" w:line="67"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net sales based on product categories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6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Soup includes various soup, broths and stock products. Snacks include cookies, pretzels, crackers, popcorn, potato chips, tortilla chips and other salty snacks and baked products. Other simple meals include sauces, yogurts, pasta, frozen entrées, canned poultry, frozen pizza, gravies and beans.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non-dairy beverages.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Restructuring Charges, Cost Savings Initiatives and Other Optimization Initiatives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Multi-year Cost Savings Initiatives and Snyder's-Lance, Inc. (Snyder's-Lance) Cost Transformation Program and Integration</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186"/>
        </w:trPr>
        <w:tc>
          <w:tcPr>
            <w:tcW w:w="640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24"/>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 the aggregate $895 million pre-tax costs incurred, approximately $720 million were cash expenditures.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12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 Program</w:t>
            </w:r>
          </w:p>
        </w:tc>
      </w:tr>
      <w:tr>
        <w:trPr>
          <w:trHeight w:val="24"/>
        </w:trPr>
        <w:tc>
          <w:tcPr>
            <w:tcW w:w="9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5"/>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5"/>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0"/>
        </w:trPr>
        <w:tc>
          <w:tcPr>
            <w:tcW w:w="9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July 28, 2024, we substantially completed the multi-year cost savings initiatives and Snyder's-Lance cost transformation program and integration.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phases that had not been fully implemented were incorporated into the 2025 cost savings initiatives described below.</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Sovos Brands Integration Initiatives</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See Note 3 for additional information. We identified opportunities for cost synergies as we integrate Sovos Brands.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three-month period ended April 28, 2024, we recorded Restructuring charges of $16 million for severance pay and benefits related to initiatives to achieve the synergies. In 2024, we recorded Restructuring charges of $21 million for severance pay and benefits related to initiatives to achieve the synergies. The charges incurred in 2024 were associated with the Meals &amp; Beverages segment.</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2025, the initiatives to achieve synergies were incorporated into the cost savings initiatives described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Cost Savings Initiatives</w:t>
      </w:r>
    </w:p>
    <w:p>
      <w:pPr>
        <w:spacing w:after="0" w:line="10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 Sovos Brands. As mentioned above, we substantially completed our previous multi-year cost savings initiatives and Snyder's-Lance cost transformation program and integration. Certain initiatives from that program have been incorporated into our 2025 cost savings initiatives. Cost estimates for the 2025 initiatives, as well as timing for certain activities, are continuing to be developed.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the Consolidated Statement of Earnings related to these initiatives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5"/>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4"/>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 April</w:t>
            </w: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27, 2025</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$210 million and we expect to incur substantially all of the costs through 2028. These estimates will be updated as the detailed plans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$25 million in severance pay and benefits; approximately $55 million in asset impairment and accelerated depreciation; and approximately $130 million in implementation costs and other related costs. We expect these pre-tax costs to be associated with our segments as follows: Meals &amp; Beverages - approximately 70%; Snacks - approximately 9% and Corporate - approximately 21%.</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$210 million of pre-tax costs identified to date, we expect approximately $150 million will be cash expenditures. In addition, we expect to invest approximately $215 million in capital expenditures, of which we invested $88 million as of April 27, 2025. The capital expenditures primarily relate to optimization of production within our manufacturing network, optimization of information technology infrastructure and applications and implementation of our existing SAP enterprise-resource planning system for Sovos Brands.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6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Impairment/Accelerated</w:t>
            </w: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Cash Exit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100" w:type="dxa"/>
            <w:vAlign w:val="bottom"/>
          </w:tcPr>
          <w:p>
            <w:pPr>
              <w:spacing w:after="0"/>
              <w:rPr>
                <w:sz w:val="17"/>
                <w:szCs w:val="17"/>
                <w:color w:val="auto"/>
              </w:rPr>
            </w:pPr>
          </w:p>
        </w:tc>
        <w:tc>
          <w:tcPr>
            <w:tcW w:w="142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0" w:type="dxa"/>
            <w:vAlign w:val="bottom"/>
            <w:gridSpan w:val="2"/>
          </w:tcPr>
          <w:p>
            <w:pPr>
              <w:jc w:val="center"/>
              <w:ind w:right="120"/>
              <w:spacing w:after="0" w:line="199" w:lineRule="exact"/>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(4)</w:t>
            </w: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0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Accrued balance at July 28, 2024</w:t>
            </w:r>
            <w:r>
              <w:rPr>
                <w:rFonts w:ascii="Times New Roman" w:cs="Times New Roman" w:eastAsia="Times New Roman" w:hAnsi="Times New Roman"/>
                <w:sz w:val="22"/>
                <w:szCs w:val="22"/>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2025 charges</w:t>
            </w:r>
          </w:p>
        </w:tc>
        <w:tc>
          <w:tcPr>
            <w:tcW w:w="120" w:type="dxa"/>
            <w:vAlign w:val="bottom"/>
          </w:tcPr>
          <w:p>
            <w:pPr>
              <w:spacing w:after="0"/>
              <w:rPr>
                <w:sz w:val="19"/>
                <w:szCs w:val="19"/>
                <w:color w:val="auto"/>
              </w:rPr>
            </w:pPr>
          </w:p>
        </w:tc>
        <w:tc>
          <w:tcPr>
            <w:tcW w:w="920" w:type="dxa"/>
            <w:vAlign w:val="bottom"/>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99"/>
              </w:rPr>
              <w:t>17</w:t>
            </w:r>
          </w:p>
        </w:tc>
        <w:tc>
          <w:tcPr>
            <w:tcW w:w="142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Pr>
          <w:p>
            <w:pPr>
              <w:spacing w:after="0"/>
              <w:rPr>
                <w:sz w:val="19"/>
                <w:szCs w:val="19"/>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2025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Accrued balance at April 27, 2025</w:t>
            </w:r>
            <w:r>
              <w:rPr>
                <w:rFonts w:ascii="Times New Roman" w:cs="Times New Roman" w:eastAsia="Times New Roman" w:hAnsi="Times New Roman"/>
                <w:sz w:val="22"/>
                <w:szCs w:val="22"/>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99"/>
              </w:rPr>
              <w:t>32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63" w:lineRule="exact"/>
        <w:rPr>
          <w:sz w:val="20"/>
          <w:szCs w:val="20"/>
          <w:color w:val="auto"/>
        </w:rPr>
      </w:pPr>
    </w:p>
    <w:p>
      <w:pPr>
        <w:ind w:left="320" w:hanging="314"/>
        <w:spacing w:after="0" w:line="237"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Associated with the multi-year cost savings initiatives and Snyder's-Lance cost transformation program and integration, and the Sovos Brands integration initiatives described above. Includes $12 million of severance pay and benefits recorded in Other liabilities in the Consolidated Balance Sheet.</w:t>
      </w:r>
    </w:p>
    <w:p>
      <w:pPr>
        <w:ind w:left="320" w:hanging="314"/>
        <w:spacing w:after="0" w:line="192" w:lineRule="auto"/>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$16 million of severance pay and benefits recorded in Other liabilities in the Consolidated Balance Sheet.</w:t>
      </w:r>
    </w:p>
    <w:p>
      <w:pPr>
        <w:spacing w:after="0" w:line="1" w:lineRule="exact"/>
        <w:rPr>
          <w:rFonts w:ascii="Times New Roman" w:cs="Times New Roman" w:eastAsia="Times New Roman" w:hAnsi="Times New Roman"/>
          <w:sz w:val="23"/>
          <w:szCs w:val="23"/>
          <w:color w:val="auto"/>
          <w:vertAlign w:val="superscript"/>
        </w:rPr>
      </w:pPr>
    </w:p>
    <w:p>
      <w:pPr>
        <w:jc w:val="both"/>
        <w:ind w:left="320" w:hanging="314"/>
        <w:spacing w:after="0" w:line="224" w:lineRule="auto"/>
        <w:tabs>
          <w:tab w:leader="none" w:pos="30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non-cash costs that are not reflected in the restructuring reserve in the Consolidated Balance Sheet.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7" w:name="page18"/>
    <w:bookmarkEnd w:id="17"/>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4"/>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Optimization Initiatives</w:t>
      </w:r>
    </w:p>
    <w:p>
      <w:pPr>
        <w:spacing w:after="0" w:line="1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 and nine-month periods ended April 27, 2025, we incurred $9 million and $17 million in Marketing and selling expenses and $1 million in Administrative expenses related to this initiative, respectively. In the three- and nine-month periods ended April 28, 2024, we incurred $5 million in Marketing and selling expenses related to this initiative. As of April 27, 2025, we have incurred $22 million in Marketing and selling expenses and $1 million in Administrative expenses related to this initiative.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 (EPS)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nine-month periods ended April 27, 2025 and April 28, 2024, excludes less than 1 million stock options that would have been antidilutive.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Pension and Postretirement Benefits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periodic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2"/>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April 28, 2024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7"/>
              </w:rPr>
              <w:t>April 28, 2024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April 28, 2024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April 28, 2024</w:t>
            </w:r>
          </w:p>
        </w:tc>
        <w:tc>
          <w:tcPr>
            <w:tcW w:w="0" w:type="dxa"/>
            <w:vAlign w:val="bottom"/>
          </w:tcPr>
          <w:p>
            <w:pPr>
              <w:spacing w:after="0"/>
              <w:rPr>
                <w:sz w:val="1"/>
                <w:szCs w:val="1"/>
                <w:color w:val="auto"/>
              </w:rPr>
            </w:pPr>
          </w:p>
        </w:tc>
      </w:tr>
      <w:tr>
        <w:trPr>
          <w:trHeight w:val="225"/>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Expected return on plan</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9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Amortization of prior</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credit</w:t>
            </w: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2"/>
        </w:trPr>
        <w:tc>
          <w:tcPr>
            <w:tcW w:w="19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periodic benefit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(income)</w:t>
            </w:r>
          </w:p>
        </w:tc>
        <w:tc>
          <w:tcPr>
            <w:tcW w:w="1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actuarial loss for the nine-month period ended April 27, 2025 was due to the remeasurement of our postretirement plan in the first quarter due to a plan amendment. The actuarial loss was primarily due to a decrease in the discount rate used to determine the benefit obligation.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36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225"/>
        </w:trPr>
        <w:tc>
          <w:tcPr>
            <w:tcW w:w="61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2"/>
                <w:szCs w:val="22"/>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8"/>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51" w:lineRule="exact"/>
        <w:rPr>
          <w:sz w:val="20"/>
          <w:szCs w:val="20"/>
          <w:color w:val="auto"/>
        </w:rPr>
      </w:pPr>
    </w:p>
    <w:p>
      <w:pPr>
        <w:ind w:left="260" w:hanging="254"/>
        <w:spacing w:after="0"/>
        <w:tabs>
          <w:tab w:leader="none" w:pos="26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costs associated with the cost savings initiatives described in Note 8.</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lease amounts recorded in the Consolidated Balance Sheets: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8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500" w:type="dxa"/>
            <w:vAlign w:val="bottom"/>
            <w:gridSpan w:val="5"/>
            <w:vMerge w:val="restart"/>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40" w:type="dxa"/>
            <w:vAlign w:val="bottom"/>
          </w:tcPr>
          <w:p>
            <w:pPr>
              <w:spacing w:after="0"/>
              <w:rPr>
                <w:sz w:val="11"/>
                <w:szCs w:val="11"/>
                <w:color w:val="auto"/>
              </w:rPr>
            </w:pPr>
          </w:p>
        </w:tc>
        <w:tc>
          <w:tcPr>
            <w:tcW w:w="106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4"/>
                <w:szCs w:val="14"/>
                <w:b w:val="1"/>
                <w:bCs w:val="1"/>
                <w:color w:val="auto"/>
              </w:rPr>
              <w:t>July 28,</w:t>
            </w:r>
          </w:p>
        </w:tc>
        <w:tc>
          <w:tcPr>
            <w:tcW w:w="0" w:type="dxa"/>
            <w:vAlign w:val="bottom"/>
          </w:tcPr>
          <w:p>
            <w:pPr>
              <w:spacing w:after="0"/>
              <w:rPr>
                <w:sz w:val="1"/>
                <w:szCs w:val="1"/>
                <w:color w:val="auto"/>
              </w:rPr>
            </w:pPr>
          </w:p>
        </w:tc>
      </w:tr>
      <w:tr>
        <w:trPr>
          <w:trHeight w:val="191"/>
        </w:trPr>
        <w:tc>
          <w:tcPr>
            <w:tcW w:w="5380" w:type="dxa"/>
            <w:vAlign w:val="bottom"/>
            <w:vMerge w:val="continue"/>
          </w:tcPr>
          <w:p>
            <w:pPr>
              <w:spacing w:after="0"/>
              <w:rPr>
                <w:sz w:val="16"/>
                <w:szCs w:val="16"/>
                <w:color w:val="auto"/>
              </w:rPr>
            </w:pPr>
          </w:p>
        </w:tc>
        <w:tc>
          <w:tcPr>
            <w:tcW w:w="3500" w:type="dxa"/>
            <w:vAlign w:val="bottom"/>
            <w:gridSpan w:val="5"/>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500" w:type="dxa"/>
            <w:vAlign w:val="bottom"/>
            <w:gridSpan w:val="5"/>
            <w:vMerge w:val="restart"/>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40" w:type="dxa"/>
            <w:vAlign w:val="bottom"/>
          </w:tcPr>
          <w:p>
            <w:pPr>
              <w:spacing w:after="0"/>
              <w:rPr>
                <w:sz w:val="11"/>
                <w:szCs w:val="11"/>
                <w:color w:val="auto"/>
              </w:rPr>
            </w:pPr>
          </w:p>
        </w:tc>
        <w:tc>
          <w:tcPr>
            <w:tcW w:w="1060" w:type="dxa"/>
            <w:vAlign w:val="bottom"/>
          </w:tcPr>
          <w:p>
            <w:pPr>
              <w:jc w:val="center"/>
              <w:ind w:right="57"/>
              <w:spacing w:after="0" w:line="134" w:lineRule="exact"/>
              <w:rPr>
                <w:sz w:val="20"/>
                <w:szCs w:val="20"/>
                <w:color w:val="auto"/>
              </w:rPr>
            </w:pPr>
            <w:r>
              <w:rPr>
                <w:rFonts w:ascii="Times New Roman" w:cs="Times New Roman" w:eastAsia="Times New Roman" w:hAnsi="Times New Roman"/>
                <w:sz w:val="14"/>
                <w:szCs w:val="14"/>
                <w:b w:val="1"/>
                <w:bCs w:val="1"/>
                <w:color w:val="auto"/>
              </w:rPr>
              <w:t>July 28,</w:t>
            </w:r>
          </w:p>
        </w:tc>
        <w:tc>
          <w:tcPr>
            <w:tcW w:w="0" w:type="dxa"/>
            <w:vAlign w:val="bottom"/>
          </w:tcPr>
          <w:p>
            <w:pPr>
              <w:spacing w:after="0"/>
              <w:rPr>
                <w:sz w:val="1"/>
                <w:szCs w:val="1"/>
                <w:color w:val="auto"/>
              </w:rPr>
            </w:pPr>
          </w:p>
        </w:tc>
      </w:tr>
      <w:tr>
        <w:trPr>
          <w:trHeight w:val="191"/>
        </w:trPr>
        <w:tc>
          <w:tcPr>
            <w:tcW w:w="5380" w:type="dxa"/>
            <w:vAlign w:val="bottom"/>
            <w:vMerge w:val="continue"/>
          </w:tcPr>
          <w:p>
            <w:pPr>
              <w:spacing w:after="0"/>
              <w:rPr>
                <w:sz w:val="16"/>
                <w:szCs w:val="16"/>
                <w:color w:val="auto"/>
              </w:rPr>
            </w:pPr>
          </w:p>
        </w:tc>
        <w:tc>
          <w:tcPr>
            <w:tcW w:w="3500" w:type="dxa"/>
            <w:vAlign w:val="bottom"/>
            <w:gridSpan w:val="5"/>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99"/>
        </w:trPr>
        <w:tc>
          <w:tcPr>
            <w:tcW w:w="7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8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4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April 28, 2024</w:t>
            </w:r>
          </w:p>
        </w:tc>
        <w:tc>
          <w:tcPr>
            <w:tcW w:w="0" w:type="dxa"/>
            <w:vAlign w:val="bottom"/>
          </w:tcPr>
          <w:p>
            <w:pPr>
              <w:spacing w:after="0"/>
              <w:rPr>
                <w:sz w:val="1"/>
                <w:szCs w:val="1"/>
                <w:color w:val="auto"/>
              </w:rPr>
            </w:pPr>
          </w:p>
        </w:tc>
      </w:tr>
      <w:tr>
        <w:trPr>
          <w:trHeight w:val="21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3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3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3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5"/>
        </w:trPr>
        <w:tc>
          <w:tcPr>
            <w:tcW w:w="538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3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5"/>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3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65"/>
        </w:trPr>
        <w:tc>
          <w:tcPr>
            <w:tcW w:w="538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with business acquired:</w:t>
            </w: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1"/>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Short-term Borrowings and Long-term Debt</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 On October 2, 2024, pursuant to the registration statement, we completed the issuance of senior unsecured notes of $1.15 billion, consisting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9" w:name="page20"/>
    <w:bookmarkEnd w:id="19"/>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notes bearing interest at a fixed rate of 4.75% per annum, due March 23, 2035, with interest payable semi-annually on each of March 23 and September 23 commencing March 23, 2025; and</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aggregate principal amount of notes bearing interest at a fixed rate of 5.25% per annum, due October 13, 2054, with interest payable semi-annually on each of April 13 and October 13 commencing April 13, 2025.</w:t>
      </w:r>
    </w:p>
    <w:p>
      <w:pPr>
        <w:spacing w:after="0" w:line="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our 2022 Delayed Draw Term Loan Credit Agreement (the 2022 DDTL Credit Agreement) due November 15, 2025 and a portion of our outstanding commercial paper. In November 2024, we repaid the remaining $200 million outstanding under the 2022 DDTL Credit Agreement. In March 2025, we used a portion of the net proceeds from the issuance of the notes along with cash on hand and the issuance of commercial paper to repay a $1.15 billion aggregate principal amount of senior notes that matured in March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April 27, 2025, or July 28, 2024.</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also exposed to credit risk from our customers. During 2024, our largest customer accounted for approximately 22% of our consolidated net sales.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five largest customers accounted for approximately 47% of our consolidated net sales in 2024.</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exposed to foreign currency exchange risk, primarily the Canadian dollar and Euro, related to intercompany transactions and third-party transactions. We utilize foreign exchange forward purchase and sale contracts and option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$129 million as of April 27, 2025, and $108 million as of July 28, 2024.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and option contracts that are not designated as accounting hedges was $464 million as of April 27, 2025, and $189 million as of July 28,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0" w:name="page21"/>
    <w:bookmarkEnd w:id="20"/>
    <w:p>
      <w:pPr>
        <w:jc w:val="both"/>
        <w:spacing w:after="0" w:line="251" w:lineRule="auto"/>
        <w:rPr>
          <w:sz w:val="20"/>
          <w:szCs w:val="20"/>
          <w:color w:val="auto"/>
        </w:rPr>
      </w:pPr>
      <w:r>
        <w:rPr>
          <w:rFonts w:ascii="Times New Roman" w:cs="Times New Roman" w:eastAsia="Times New Roman" w:hAnsi="Times New Roman"/>
          <w:sz w:val="18"/>
          <w:szCs w:val="18"/>
          <w:color w:val="auto"/>
        </w:rPr>
        <w:t>Changes in the fair value on the portion of the derivative included in the assessment of hedge effectiveness of cash-flow hedges are recorded in other comprehensive income (loss), and reclassified into Interest expense over the life of the debt issued. The change in fair value on undesignated instruments is recorded in Interest expense. In conjunction with the issuance of senior unsecured notes on October 2, 2024, due on March 23, 2035, we settled forward starting interest rate swaps with a notional value of $700 million at a gain of less than $1 million. The gain on these instruments was recorded in other comprehensive income (loss) and will be recognized in Interest expense over the life of the debt. There were no forward starting interest rate swaps or treasury lock contracts outstanding as of April 27, 2025 and July 28,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cocoa, aluminum, corn and soybean meal. Commodity futures, options and swap contracts are either designated as cash-flow hedging instruments or are undesignated. We hedge a portion of commodity requirements for periods typically up to 18 months. There were no commodity contracts designated as cash-flow hedges as of April 27, 2025, or July 28, 2024. The notional amount of commodity contracts not designated as accounting hedges was $184 million as of April 27, 2025, and $200 million as of July 28, 2024. The change in fair value on undesignated instruments is recorded in Cost of products sold.</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$69 million as of April 27, 2025, and $48 million as of July 28, 2024. The change in fair value on the embedded derivative is recorded in Cost of products sold.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Obligation Price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$65 million as of April 27, 2025, and $71 million as of July 28, 2024.</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fair value of derivative instruments on a gross basis as recorded in the Consolidated Balance Sheets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2025, and July 28,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40" w:type="dxa"/>
            <w:vAlign w:val="bottom"/>
          </w:tcPr>
          <w:p>
            <w:pPr>
              <w:spacing w:after="0"/>
              <w:rPr>
                <w:sz w:val="13"/>
                <w:szCs w:val="13"/>
                <w:color w:val="auto"/>
              </w:rPr>
            </w:pPr>
          </w:p>
        </w:tc>
        <w:tc>
          <w:tcPr>
            <w:tcW w:w="9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July 28,</w:t>
            </w:r>
          </w:p>
        </w:tc>
        <w:tc>
          <w:tcPr>
            <w:tcW w:w="0" w:type="dxa"/>
            <w:vAlign w:val="bottom"/>
          </w:tcPr>
          <w:p>
            <w:pPr>
              <w:spacing w:after="0"/>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3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2"/>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8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1"/>
        </w:trPr>
        <w:tc>
          <w:tcPr>
            <w:tcW w:w="48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161"/>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2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40" w:type="dxa"/>
            <w:vAlign w:val="bottom"/>
          </w:tcPr>
          <w:p>
            <w:pPr>
              <w:spacing w:after="0"/>
              <w:rPr>
                <w:sz w:val="13"/>
                <w:szCs w:val="13"/>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July 28,</w:t>
            </w:r>
          </w:p>
        </w:tc>
        <w:tc>
          <w:tcPr>
            <w:tcW w:w="0" w:type="dxa"/>
            <w:vAlign w:val="bottom"/>
          </w:tcPr>
          <w:p>
            <w:pPr>
              <w:spacing w:after="0"/>
              <w:rPr>
                <w:sz w:val="1"/>
                <w:szCs w:val="1"/>
                <w:color w:val="auto"/>
              </w:rPr>
            </w:pPr>
          </w:p>
        </w:tc>
      </w:tr>
      <w:tr>
        <w:trPr>
          <w:trHeight w:val="192"/>
        </w:trPr>
        <w:tc>
          <w:tcPr>
            <w:tcW w:w="4780" w:type="dxa"/>
            <w:vAlign w:val="bottom"/>
            <w:vMerge w:val="continue"/>
          </w:tcPr>
          <w:p>
            <w:pPr>
              <w:spacing w:after="0"/>
              <w:rPr>
                <w:sz w:val="16"/>
                <w:szCs w:val="16"/>
                <w:color w:val="auto"/>
              </w:rPr>
            </w:pPr>
          </w:p>
        </w:tc>
        <w:tc>
          <w:tcPr>
            <w:tcW w:w="3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2"/>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April 27, 2025, and July 28, 2024, would be adjusted as detailed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2"/>
                <w:szCs w:val="12"/>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Cash margin asset balances of $2 million at April 27, 2025 and July 28, 2024 were included in Other current assets in the Consolidated Balance Sheets.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in other comprehensive income (loss) (OCI) and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 Cash-Flow Hedge</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0" w:type="dxa"/>
            <w:vAlign w:val="bottom"/>
          </w:tcPr>
          <w:p>
            <w:pPr>
              <w:spacing w:after="0"/>
              <w:rPr>
                <w:sz w:val="1"/>
                <w:szCs w:val="1"/>
                <w:color w:val="auto"/>
              </w:rPr>
            </w:pPr>
          </w:p>
        </w:tc>
      </w:tr>
      <w:tr>
        <w:trPr>
          <w:trHeight w:val="192"/>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40" w:type="dxa"/>
            <w:vAlign w:val="bottom"/>
          </w:tcPr>
          <w:p>
            <w:pPr>
              <w:spacing w:after="0"/>
              <w:rPr>
                <w:sz w:val="16"/>
                <w:szCs w:val="16"/>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172"/>
        </w:trPr>
        <w:tc>
          <w:tcPr>
            <w:tcW w:w="4920" w:type="dxa"/>
            <w:vAlign w:val="bottom"/>
            <w:tcBorders>
              <w:top w:val="single" w:sz="8" w:color="CCEEFF"/>
              <w:left w:val="single" w:sz="8" w:color="CCEEFF"/>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620" w:type="dxa"/>
            <w:vAlign w:val="bottom"/>
            <w:tcBorders>
              <w:left w:val="single" w:sz="8" w:color="CCEEFF"/>
            </w:tcBorders>
            <w:shd w:val="clear" w:color="auto" w:fill="000000"/>
          </w:tcPr>
          <w:p>
            <w:pPr>
              <w:spacing w:after="0"/>
              <w:rPr>
                <w:sz w:val="3"/>
                <w:szCs w:val="3"/>
                <w:color w:val="auto"/>
              </w:rPr>
            </w:pPr>
          </w:p>
        </w:tc>
        <w:tc>
          <w:tcPr>
            <w:tcW w:w="33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4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49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49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5"/>
        </w:trPr>
        <w:tc>
          <w:tcPr>
            <w:tcW w:w="492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1260" w:type="dxa"/>
            <w:vAlign w:val="bottom"/>
          </w:tcPr>
          <w:p>
            <w:pPr>
              <w:spacing w:after="0"/>
              <w:rPr>
                <w:sz w:val="16"/>
                <w:szCs w:val="16"/>
                <w:color w:val="auto"/>
              </w:rPr>
            </w:pPr>
          </w:p>
        </w:tc>
        <w:tc>
          <w:tcPr>
            <w:tcW w:w="274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260" w:type="dxa"/>
            <w:vAlign w:val="bottom"/>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60" w:type="dxa"/>
            <w:vAlign w:val="bottom"/>
            <w:gridSpan w:val="2"/>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26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22</w:t>
            </w:r>
          </w:p>
        </w:tc>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1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62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 Cash-Flow Hedge</w:t>
            </w:r>
          </w:p>
        </w:tc>
      </w:t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OCI Activity</w:t>
            </w:r>
          </w:p>
        </w:tc>
      </w:tr>
      <w:tr>
        <w:trPr>
          <w:trHeight w:val="192"/>
        </w:trPr>
        <w:tc>
          <w:tcPr>
            <w:tcW w:w="2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40" w:type="dxa"/>
            <w:vAlign w:val="bottom"/>
          </w:tcPr>
          <w:p>
            <w:pPr>
              <w:spacing w:after="0"/>
              <w:rPr>
                <w:sz w:val="16"/>
                <w:szCs w:val="16"/>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CCEEFF"/>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464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95"/>
        </w:trPr>
        <w:tc>
          <w:tcPr>
            <w:tcW w:w="20" w:type="dxa"/>
            <w:vAlign w:val="bottom"/>
          </w:tcPr>
          <w:p>
            <w:pPr>
              <w:spacing w:after="0"/>
              <w:rPr>
                <w:sz w:val="16"/>
                <w:szCs w:val="16"/>
                <w:color w:val="auto"/>
              </w:rPr>
            </w:pPr>
          </w:p>
        </w:tc>
        <w:tc>
          <w:tcPr>
            <w:tcW w:w="616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74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5"/>
        </w:trPr>
        <w:tc>
          <w:tcPr>
            <w:tcW w:w="20" w:type="dxa"/>
            <w:vAlign w:val="bottom"/>
            <w:shd w:val="clear" w:color="auto" w:fill="CCEEFF"/>
          </w:tcPr>
          <w:p>
            <w:pPr>
              <w:spacing w:after="0"/>
              <w:rPr>
                <w:sz w:val="20"/>
                <w:szCs w:val="20"/>
                <w:color w:val="auto"/>
              </w:rPr>
            </w:pPr>
          </w:p>
        </w:tc>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60" w:type="dxa"/>
            <w:vAlign w:val="bottom"/>
            <w:gridSpan w:val="2"/>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20" w:type="dxa"/>
            <w:vAlign w:val="bottom"/>
          </w:tcPr>
          <w:p>
            <w:pPr>
              <w:spacing w:after="0"/>
              <w:rPr>
                <w:sz w:val="19"/>
                <w:szCs w:val="19"/>
                <w:color w:val="auto"/>
              </w:rPr>
            </w:pPr>
          </w:p>
        </w:tc>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loss of $4 million.</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show the total amounts of line items presented in the Consolidated Statements of Earnings in which the effects of derivative instruments designated as cash-flow hedges are recorded and the total effect of hedge activity on these line items:</w:t>
      </w:r>
    </w:p>
    <w:p>
      <w:pPr>
        <w:sectPr>
          <w:pgSz w:w="11900" w:h="16838" w:orient="portrait"/>
          <w:cols w:equalWidth="0" w:num="1">
            <w:col w:w="11240"/>
          </w:cols>
          <w:pgMar w:left="320" w:top="9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134"/>
        </w:trPr>
        <w:tc>
          <w:tcPr>
            <w:tcW w:w="128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840" w:type="dxa"/>
            <w:vAlign w:val="bottom"/>
          </w:tcPr>
          <w:p>
            <w:pPr>
              <w:ind w:left="34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20" w:type="dxa"/>
            <w:vAlign w:val="bottom"/>
          </w:tcPr>
          <w:p>
            <w:pPr>
              <w:spacing w:after="0"/>
              <w:rPr>
                <w:sz w:val="11"/>
                <w:szCs w:val="11"/>
                <w:color w:val="auto"/>
              </w:rPr>
            </w:pPr>
          </w:p>
        </w:tc>
        <w:tc>
          <w:tcPr>
            <w:tcW w:w="980" w:type="dxa"/>
            <w:vAlign w:val="bottom"/>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1"/>
        </w:trPr>
        <w:tc>
          <w:tcPr>
            <w:tcW w:w="30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expense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2"/>
        </w:trPr>
        <w:tc>
          <w:tcPr>
            <w:tcW w:w="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1,747</w:t>
            </w:r>
          </w:p>
        </w:tc>
        <w:tc>
          <w:tcPr>
            <w:tcW w:w="80" w:type="dxa"/>
            <w:vAlign w:val="bottom"/>
          </w:tcPr>
          <w:p>
            <w:pPr>
              <w:spacing w:after="0"/>
              <w:rPr>
                <w:sz w:val="20"/>
                <w:szCs w:val="20"/>
                <w:color w:val="auto"/>
              </w:rPr>
            </w:pPr>
          </w:p>
        </w:tc>
        <w:tc>
          <w:tcPr>
            <w:tcW w:w="84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708"/>
        </w:trPr>
        <w:tc>
          <w:tcPr>
            <w:tcW w:w="300" w:type="dxa"/>
            <w:vAlign w:val="bottom"/>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4"/>
                <w:szCs w:val="24"/>
                <w:color w:val="auto"/>
              </w:rPr>
            </w:pPr>
          </w:p>
        </w:tc>
        <w:tc>
          <w:tcPr>
            <w:tcW w:w="840" w:type="dxa"/>
            <w:vAlign w:val="bottom"/>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8"/>
        </w:trPr>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
        </w:trPr>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r>
      <w:tr>
        <w:trPr>
          <w:trHeight w:val="186"/>
        </w:trPr>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134"/>
        </w:trPr>
        <w:tc>
          <w:tcPr>
            <w:tcW w:w="128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840" w:type="dxa"/>
            <w:vAlign w:val="bottom"/>
          </w:tcPr>
          <w:p>
            <w:pPr>
              <w:ind w:left="34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20" w:type="dxa"/>
            <w:vAlign w:val="bottom"/>
          </w:tcPr>
          <w:p>
            <w:pPr>
              <w:spacing w:after="0"/>
              <w:rPr>
                <w:sz w:val="11"/>
                <w:szCs w:val="11"/>
                <w:color w:val="auto"/>
              </w:rPr>
            </w:pPr>
          </w:p>
        </w:tc>
        <w:tc>
          <w:tcPr>
            <w:tcW w:w="980" w:type="dxa"/>
            <w:vAlign w:val="bottom"/>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1"/>
        </w:trPr>
        <w:tc>
          <w:tcPr>
            <w:tcW w:w="30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expense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2"/>
        </w:trPr>
        <w:tc>
          <w:tcPr>
            <w:tcW w:w="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5,518</w:t>
            </w:r>
          </w:p>
        </w:tc>
        <w:tc>
          <w:tcPr>
            <w:tcW w:w="80" w:type="dxa"/>
            <w:vAlign w:val="bottom"/>
          </w:tcPr>
          <w:p>
            <w:pPr>
              <w:spacing w:after="0"/>
              <w:rPr>
                <w:sz w:val="20"/>
                <w:szCs w:val="20"/>
                <w:color w:val="auto"/>
              </w:rPr>
            </w:pPr>
          </w:p>
        </w:tc>
        <w:tc>
          <w:tcPr>
            <w:tcW w:w="84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260</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708"/>
        </w:trPr>
        <w:tc>
          <w:tcPr>
            <w:tcW w:w="300" w:type="dxa"/>
            <w:vAlign w:val="bottom"/>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24"/>
                <w:szCs w:val="24"/>
                <w:color w:val="auto"/>
              </w:rPr>
            </w:pPr>
          </w:p>
        </w:tc>
        <w:tc>
          <w:tcPr>
            <w:tcW w:w="840" w:type="dxa"/>
            <w:vAlign w:val="bottom"/>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-1859280</wp:posOffset>
            </wp:positionV>
            <wp:extent cx="7134860" cy="151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-1539875</wp:posOffset>
            </wp:positionV>
            <wp:extent cx="7134860" cy="14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-605790</wp:posOffset>
            </wp:positionV>
            <wp:extent cx="7134860" cy="151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-286385</wp:posOffset>
            </wp:positionV>
            <wp:extent cx="7134860"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5460" w:space="720"/>
            <w:col w:w="5060"/>
          </w:cols>
          <w:pgMar w:left="320" w:top="986" w:right="339" w:bottom="1440" w:gutter="0" w:footer="0" w:header="0"/>
          <w:type w:val="continuous"/>
        </w:sect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excluded from effectiveness testing recognized in each line item of earnings using an amortization approach was not material in all periods presented.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ectPr>
          <w:pgSz w:w="11900" w:h="16838" w:orient="portrait"/>
          <w:cols w:equalWidth="0" w:num="1">
            <w:col w:w="11240"/>
          </w:cols>
          <w:pgMar w:left="320" w:top="986" w:right="339" w:bottom="1440" w:gutter="0" w:footer="0" w:header="0"/>
          <w:type w:val="continuous"/>
        </w:sectPr>
      </w:pP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90"/>
        </w:trPr>
        <w:tc>
          <w:tcPr>
            <w:tcW w:w="3360" w:type="dxa"/>
            <w:vAlign w:val="bottom"/>
            <w:vMerge w:val="continue"/>
          </w:tcPr>
          <w:p>
            <w:pPr>
              <w:spacing w:after="0"/>
              <w:rPr>
                <w:sz w:val="16"/>
                <w:szCs w:val="16"/>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2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-580390</wp:posOffset>
            </wp:positionV>
            <wp:extent cx="7134860" cy="151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-286385</wp:posOffset>
            </wp:positionV>
            <wp:extent cx="713486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24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3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21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2"/>
        </w:trPr>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100"/>
            <w:col w:w="5000"/>
          </w:cols>
          <w:pgMar w:left="320" w:top="986"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that reflect quoted prices (unadjusted) for identical assets or liabilities in active markets.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9"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type w:val="continuous"/>
        </w:sectPr>
      </w:pPr>
    </w:p>
    <w:bookmarkStart w:id="23" w:name="page24"/>
    <w:bookmarkEnd w:id="23"/>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89"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our financial assets and liabilities that are measured at fair value on a recurring basis as of April 27, 2025, and July 28, 2024, consistent with the fair value hierarchy:</w:t>
      </w:r>
    </w:p>
    <w:p>
      <w:pPr>
        <w:sectPr>
          <w:pgSz w:w="11900" w:h="16838" w:orient="portrait"/>
          <w:cols w:equalWidth="0" w:num="1">
            <w:col w:w="11240"/>
          </w:cols>
          <w:pgMar w:left="320" w:top="969" w:right="339" w:bottom="1440" w:gutter="0" w:footer="0" w:header="0"/>
        </w:sect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2"/>
                <w:szCs w:val="12"/>
                <w:color w:val="auto"/>
              </w:rPr>
            </w:pPr>
          </w:p>
        </w:tc>
        <w:tc>
          <w:tcPr>
            <w:tcW w:w="980" w:type="dxa"/>
            <w:vAlign w:val="bottom"/>
          </w:tcPr>
          <w:p>
            <w:pPr>
              <w:jc w:val="center"/>
              <w:ind w:right="19"/>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00" w:type="dxa"/>
            <w:vAlign w:val="bottom"/>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April 27, 2025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0" w:type="dxa"/>
            <w:vAlign w:val="bottom"/>
            <w:gridSpan w:val="4"/>
          </w:tcPr>
          <w:p>
            <w:pPr>
              <w:spacing w:after="0" w:line="172"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gridSpan w:val="3"/>
          </w:tcPr>
          <w:p>
            <w:pPr>
              <w:ind w:left="100"/>
              <w:spacing w:after="0" w:line="197" w:lineRule="exact"/>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gridSpan w:val="3"/>
          </w:tcPr>
          <w:p>
            <w:pPr>
              <w:ind w:left="100"/>
              <w:spacing w:after="0" w:line="228"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gridSpan w:val="3"/>
          </w:tcPr>
          <w:p>
            <w:pPr>
              <w:ind w:left="100"/>
              <w:spacing w:after="0" w:line="182" w:lineRule="exact"/>
              <w:rPr>
                <w:sz w:val="20"/>
                <w:szCs w:val="20"/>
                <w:color w:val="auto"/>
              </w:rPr>
            </w:pPr>
            <w:r>
              <w:rPr>
                <w:rFonts w:ascii="Times New Roman" w:cs="Times New Roman" w:eastAsia="Times New Roman" w:hAnsi="Times New Roman"/>
                <w:sz w:val="18"/>
                <w:szCs w:val="18"/>
                <w:color w:val="auto"/>
              </w:rPr>
              <w:t>Commodity derivative</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gridSpan w:val="3"/>
          </w:tcPr>
          <w:p>
            <w:pPr>
              <w:ind w:left="100"/>
              <w:spacing w:after="0" w:line="228"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gridSpan w:val="3"/>
          </w:tcPr>
          <w:p>
            <w:pPr>
              <w:ind w:left="100"/>
              <w:spacing w:after="0" w:line="18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gridSpan w:val="3"/>
          </w:tcPr>
          <w:p>
            <w:pPr>
              <w:ind w:left="100"/>
              <w:spacing w:after="0" w:line="228"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gridSpan w:val="3"/>
          </w:tcPr>
          <w:p>
            <w:pPr>
              <w:ind w:left="100"/>
              <w:spacing w:after="0" w:line="18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8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1"/>
                <w:szCs w:val="11"/>
                <w:color w:val="auto"/>
              </w:rPr>
            </w:pPr>
          </w:p>
        </w:tc>
        <w:tc>
          <w:tcPr>
            <w:tcW w:w="980" w:type="dxa"/>
            <w:vAlign w:val="bottom"/>
          </w:tcPr>
          <w:p>
            <w:pPr>
              <w:jc w:val="center"/>
              <w:ind w:right="19"/>
              <w:spacing w:after="0" w:line="135"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April 27, 2025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8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78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80" w:type="dxa"/>
            <w:vAlign w:val="bottom"/>
            <w:gridSpan w:val="3"/>
          </w:tcPr>
          <w:p>
            <w:pPr>
              <w:ind w:left="12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3"/>
          </w:tcPr>
          <w:p>
            <w:pPr>
              <w:ind w:left="120"/>
              <w:spacing w:after="0" w:line="177" w:lineRule="exact"/>
              <w:rPr>
                <w:sz w:val="20"/>
                <w:szCs w:val="20"/>
                <w:color w:val="auto"/>
              </w:rPr>
            </w:pPr>
            <w:r>
              <w:rPr>
                <w:rFonts w:ascii="Times New Roman" w:cs="Times New Roman" w:eastAsia="Times New Roman" w:hAnsi="Times New Roman"/>
                <w:sz w:val="18"/>
                <w:szCs w:val="18"/>
                <w:color w:val="auto"/>
              </w:rPr>
              <w:t>Commodity derivative</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80" w:type="dxa"/>
            <w:vAlign w:val="bottom"/>
            <w:gridSpan w:val="3"/>
          </w:tcPr>
          <w:p>
            <w:pPr>
              <w:ind w:left="12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3"/>
          </w:tcPr>
          <w:p>
            <w:pPr>
              <w:ind w:left="120"/>
              <w:spacing w:after="0" w:line="177" w:lineRule="exact"/>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8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78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1800" w:type="dxa"/>
            <w:vAlign w:val="bottom"/>
            <w:gridSpan w:val="4"/>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liabilities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0" w:type="dxa"/>
            <w:vAlign w:val="bottom"/>
          </w:tcPr>
          <w:p>
            <w:pPr>
              <w:spacing w:after="0"/>
              <w:rPr>
                <w:sz w:val="12"/>
                <w:szCs w:val="12"/>
                <w:color w:val="auto"/>
              </w:rPr>
            </w:pPr>
          </w:p>
        </w:tc>
        <w:tc>
          <w:tcPr>
            <w:tcW w:w="182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April 27, 2025 Using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July 28, 2024 Using</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500" w:type="dxa"/>
            <w:vAlign w:val="bottom"/>
          </w:tcPr>
          <w:p>
            <w:pPr>
              <w:spacing w:after="0"/>
              <w:rPr>
                <w:sz w:val="5"/>
                <w:szCs w:val="5"/>
                <w:color w:val="auto"/>
              </w:rPr>
            </w:pPr>
          </w:p>
        </w:tc>
        <w:tc>
          <w:tcPr>
            <w:tcW w:w="1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20" w:type="dxa"/>
            <w:vAlign w:val="bottom"/>
          </w:tcPr>
          <w:p>
            <w:pPr>
              <w:spacing w:after="0"/>
              <w:rPr>
                <w:sz w:val="16"/>
                <w:szCs w:val="16"/>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-7620</wp:posOffset>
            </wp:positionV>
            <wp:extent cx="7134860"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-142240</wp:posOffset>
            </wp:positionV>
            <wp:extent cx="22040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370" w:lineRule="exact"/>
        <w:rPr>
          <w:sz w:val="20"/>
          <w:szCs w:val="20"/>
          <w:color w:val="auto"/>
        </w:rPr>
      </w:pPr>
    </w:p>
    <w:tbl>
      <w:tblPr>
        <w:tblLayout w:type="fixed"/>
        <w:tblInd w:w="520" w:type="dxa"/>
        <w:tblCellMar>
          <w:top w:w="0" w:type="dxa"/>
          <w:left w:w="0" w:type="dxa"/>
          <w:bottom w:w="0" w:type="dxa"/>
          <w:right w:w="0" w:type="dxa"/>
        </w:tblCellMar>
      </w:tblPr>
      <w:tr>
        <w:trPr>
          <w:trHeight w:val="233"/>
        </w:trPr>
        <w:tc>
          <w:tcPr>
            <w:tcW w:w="8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1"/>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w:t>
            </w: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1"/>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0"/>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w:t>
            </w:r>
          </w:p>
        </w:tc>
        <w:tc>
          <w:tcPr>
            <w:tcW w:w="4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w:t>
            </w: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-967105</wp:posOffset>
            </wp:positionV>
            <wp:extent cx="7134860" cy="260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-445135</wp:posOffset>
            </wp:positionV>
            <wp:extent cx="7134860" cy="269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-33020</wp:posOffset>
            </wp:positionV>
            <wp:extent cx="6896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9610"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-7620</wp:posOffset>
            </wp:positionV>
            <wp:extent cx="6896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961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00" w:type="dxa"/>
            <w:vAlign w:val="bottom"/>
          </w:tcPr>
          <w:p>
            <w:pPr>
              <w:spacing w:after="0"/>
              <w:rPr>
                <w:sz w:val="11"/>
                <w:szCs w:val="11"/>
                <w:color w:val="auto"/>
              </w:rPr>
            </w:pPr>
          </w:p>
        </w:tc>
        <w:tc>
          <w:tcPr>
            <w:tcW w:w="182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April 27, 2025 Using</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4"/>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July 28, 2024 Using</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500" w:type="dxa"/>
            <w:vAlign w:val="bottom"/>
          </w:tcPr>
          <w:p>
            <w:pPr>
              <w:spacing w:after="0"/>
              <w:rPr>
                <w:sz w:val="6"/>
                <w:szCs w:val="6"/>
                <w:color w:val="auto"/>
              </w:rPr>
            </w:pPr>
          </w:p>
        </w:tc>
        <w:tc>
          <w:tcPr>
            <w:tcW w:w="1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jc w:val="center"/>
              <w:ind w:right="12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July 28, 2024</w:t>
            </w:r>
          </w:p>
        </w:tc>
        <w:tc>
          <w:tcPr>
            <w:tcW w:w="100" w:type="dxa"/>
            <w:vAlign w:val="bottom"/>
          </w:tcPr>
          <w:p>
            <w:pPr>
              <w:spacing w:after="0"/>
              <w:rPr>
                <w:sz w:val="16"/>
                <w:szCs w:val="16"/>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-2095500</wp:posOffset>
            </wp:positionH>
            <wp:positionV relativeFrom="paragraph">
              <wp:posOffset>-7620</wp:posOffset>
            </wp:positionV>
            <wp:extent cx="7117715"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7715" cy="14287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-142240</wp:posOffset>
            </wp:positionV>
            <wp:extent cx="21958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95830" cy="8255"/>
                    </a:xfrm>
                    <a:prstGeom prst="rect">
                      <a:avLst/>
                    </a:prstGeom>
                    <a:noFill/>
                  </pic:spPr>
                </pic:pic>
              </a:graphicData>
            </a:graphic>
          </wp:anchor>
        </w:drawing>
      </w:r>
    </w:p>
    <w:p>
      <w:pPr>
        <w:spacing w:after="0" w:line="370" w:lineRule="exact"/>
        <w:rPr>
          <w:sz w:val="20"/>
          <w:szCs w:val="20"/>
          <w:color w:val="auto"/>
        </w:rPr>
      </w:pPr>
    </w:p>
    <w:tbl>
      <w:tblPr>
        <w:tblLayout w:type="fixed"/>
        <w:tblInd w:w="500" w:type="dxa"/>
        <w:tblCellMar>
          <w:top w:w="0" w:type="dxa"/>
          <w:left w:w="0" w:type="dxa"/>
          <w:bottom w:w="0" w:type="dxa"/>
          <w:right w:w="0" w:type="dxa"/>
        </w:tblCellMar>
      </w:tblPr>
      <w:tr>
        <w:trPr>
          <w:trHeight w:val="233"/>
        </w:trPr>
        <w:tc>
          <w:tcPr>
            <w:tcW w:w="84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18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411"/>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582"/>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95</w:t>
            </w:r>
          </w:p>
        </w:tc>
        <w:tc>
          <w:tcPr>
            <w:tcW w:w="4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97</w:t>
            </w: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4"/>
                <w:szCs w:val="24"/>
                <w:color w:val="auto"/>
              </w:rPr>
            </w:pP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-2095500</wp:posOffset>
            </wp:positionH>
            <wp:positionV relativeFrom="paragraph">
              <wp:posOffset>-908050</wp:posOffset>
            </wp:positionV>
            <wp:extent cx="7117715" cy="260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7715" cy="260985"/>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-276860</wp:posOffset>
            </wp:positionV>
            <wp:extent cx="7117715" cy="277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7715" cy="277495"/>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3100" w:space="220"/>
            <w:col w:w="7920"/>
          </w:cols>
          <w:pgMar w:left="320" w:top="969" w:right="339" w:bottom="1440" w:gutter="0" w:footer="0" w:header="0"/>
          <w:type w:val="continuous"/>
        </w:sectPr>
      </w:pPr>
    </w:p>
    <w:p>
      <w:pPr>
        <w:ind w:left="320" w:hanging="314"/>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equity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and liabilities: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Pr>
          <w:p>
            <w:pPr>
              <w:spacing w:after="0"/>
              <w:rPr>
                <w:sz w:val="16"/>
                <w:szCs w:val="16"/>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225"/>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40" w:type="dxa"/>
            <w:vAlign w:val="bottom"/>
          </w:tcPr>
          <w:p>
            <w:pPr>
              <w:spacing w:after="0"/>
              <w:rPr>
                <w:sz w:val="19"/>
                <w:szCs w:val="19"/>
                <w:color w:val="auto"/>
              </w:rPr>
            </w:pPr>
          </w:p>
        </w:tc>
        <w:tc>
          <w:tcPr>
            <w:tcW w:w="1060" w:type="dxa"/>
            <w:vAlign w:val="bottom"/>
          </w:tcPr>
          <w:p>
            <w:pPr>
              <w:jc w:val="center"/>
              <w:ind w:left="718"/>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718"/>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center"/>
              <w:ind w:left="718"/>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Measured at Fair Value on a Nonrecurring Basis</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we are also required to measure certain items at fair value on a nonrecurring basis.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second and third quarters of 2025, we performed interim impairment assessments on certain trademarks in our Snacks segment. See also Note 6 for additional information on the impairment charges.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Fair value was determined based on unobservable Level 3 inputs. The fair value of trademarks was determined based on discounted cash flow analysis that involves significant management assumptions such as expected revenue growth rates, assumed royalty rates and weighted-average costs of capital.</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fair value measurements of the trademarks: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March 2025</w:t>
            </w:r>
          </w:p>
        </w:tc>
        <w:tc>
          <w:tcPr>
            <w:tcW w:w="140" w:type="dxa"/>
            <w:vAlign w:val="bottom"/>
          </w:tcPr>
          <w:p>
            <w:pPr>
              <w:spacing w:after="0"/>
              <w:rPr>
                <w:sz w:val="16"/>
                <w:szCs w:val="16"/>
                <w:color w:val="auto"/>
              </w:rPr>
            </w:pPr>
          </w:p>
        </w:tc>
        <w:tc>
          <w:tcPr>
            <w:tcW w:w="2080" w:type="dxa"/>
            <w:vAlign w:val="bottom"/>
            <w:gridSpan w:val="4"/>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December 2025</w:t>
            </w: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16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160" w:type="dxa"/>
            <w:vAlign w:val="bottom"/>
          </w:tcPr>
          <w:p>
            <w:pPr>
              <w:spacing w:after="0"/>
              <w:rPr>
                <w:sz w:val="11"/>
                <w:szCs w:val="11"/>
                <w:color w:val="auto"/>
              </w:rPr>
            </w:pPr>
          </w:p>
        </w:tc>
        <w:tc>
          <w:tcPr>
            <w:tcW w:w="90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6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150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Allied brands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Late July</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cash equivalents of $18 million at April 27, 2025 and $25 million at July 28, 2024. Cash equivalents represent fair value as these highly liquid investments have an original maturity of three months or less. Fair value of cash equivalents is based on Level 2 inputs.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$6.556 billion at April 27, 2025, and $6.866 billion at July 28, 2024. The carrying value was $6.896 billion at April 27, 2025, and $7.184 billion at July 28, 2024.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nine-month periods ended April 27, 2025 and April 28, 2024, we repurchased 1.247 million shares at a cost of $60 million and 1.08 million shares at a cost of $46 million, respectively, pursuant to our anti-dilutive share repurchase programs. As of April 27, 2025, approximately $200 million remained available under the September 2024 program and approximately $301 million remained available under the September 2021 program.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2025, we issued time-lapse restricted stock units,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5" w:name="page26"/>
    <w:bookmarkEnd w:id="25"/>
    <w:p>
      <w:pPr>
        <w:jc w:val="both"/>
        <w:spacing w:after="0" w:line="274" w:lineRule="auto"/>
        <w:rPr>
          <w:sz w:val="20"/>
          <w:szCs w:val="20"/>
          <w:color w:val="auto"/>
        </w:rPr>
      </w:pPr>
      <w:r>
        <w:rPr>
          <w:rFonts w:ascii="Times New Roman" w:cs="Times New Roman" w:eastAsia="Times New Roman" w:hAnsi="Times New Roman"/>
          <w:sz w:val="18"/>
          <w:szCs w:val="18"/>
          <w:color w:val="auto"/>
        </w:rPr>
        <w:t>unrestricted stock, TSR performance restricted stock units and EPS performance restricted stock units. We last issued stock options and FCF performance restricted stock units in 2019.</w:t>
      </w:r>
    </w:p>
    <w:p>
      <w:pPr>
        <w:spacing w:after="0" w:line="3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connection with the Sovos Brands acquisition, in the third quarter of 2024, we issued 1.721 million time-lapse restricted stock units (Replacement units) in exchange for certain Sovos Brands restricted stock units and performance restricted stock units. The Replacement units are subject to the same terms and conditions of the original Sovos Brands restricted stock units and performance restricted stock units. Certain Replacement units were subject to accelerated vesting. The Replacement units had a total fair value of $74 million based on the quoted price of our stock on the acquisition date. The portion of Replacement units attributed to pre-combination service was $42 million, which was accounted for as part of consideration transferred and was recorded in Additional Paid-in Capital in our Consolidated Statements of Equity in the third quarter of 2024. See Note 3 for additional information. The portion of the Replacement units attributable to post-combination service will be recognized as stock-based compensation expense over the remaining vesting period.</w:t>
      </w:r>
    </w:p>
    <w:p>
      <w:pPr>
        <w:spacing w:after="0" w:line="6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48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8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225"/>
        </w:trPr>
        <w:tc>
          <w:tcPr>
            <w:tcW w:w="58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Total pre-tax stock-based compensation expense</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19" w:lineRule="exact"/>
        <w:rPr>
          <w:sz w:val="20"/>
          <w:szCs w:val="20"/>
          <w:color w:val="auto"/>
        </w:rPr>
      </w:pPr>
    </w:p>
    <w:p>
      <w:pPr>
        <w:ind w:left="320" w:right="280" w:hanging="314"/>
        <w:spacing w:after="0" w:line="268" w:lineRule="auto"/>
        <w:tabs>
          <w:tab w:leader="none" w:pos="30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$26 million of expense related to accelerated vesting of certain Replacement units in the three- and nine-month periods ended April 28, 2024. The following table summarizes stock option activity:</w:t>
      </w:r>
    </w:p>
    <w:tbl>
      <w:tblPr>
        <w:tblLayout w:type="fixed"/>
        <w:tblInd w:w="0" w:type="dxa"/>
        <w:tblCellMar>
          <w:top w:w="0" w:type="dxa"/>
          <w:left w:w="0" w:type="dxa"/>
          <w:bottom w:w="0" w:type="dxa"/>
          <w:right w:w="0" w:type="dxa"/>
        </w:tblCellMar>
      </w:tblPr>
      <w:tr>
        <w:trPr>
          <w:trHeight w:val="147"/>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2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6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2"/>
                <w:szCs w:val="12"/>
                <w:color w:val="auto"/>
              </w:rPr>
            </w:pPr>
          </w:p>
        </w:tc>
        <w:tc>
          <w:tcPr>
            <w:tcW w:w="126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419"/>
              <w:spacing w:after="0" w:line="13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1"/>
                <w:szCs w:val="11"/>
                <w:color w:val="auto"/>
              </w:rPr>
            </w:pPr>
          </w:p>
        </w:tc>
        <w:tc>
          <w:tcPr>
            <w:tcW w:w="1260" w:type="dxa"/>
            <w:vAlign w:val="bottom"/>
          </w:tcPr>
          <w:p>
            <w:pPr>
              <w:jc w:val="center"/>
              <w:ind w:right="183"/>
              <w:spacing w:after="0" w:line="133"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3"/>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6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15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28,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April 27, 2025</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April 27, 2025</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10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No options were exercised during the nine-month period ended April 28, 2024. We measured the fair value of stock options using the Black-Scholes option pricing model.</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time-lapse restricted stock units and EPS performance restricted stock units activity: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76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28,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2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April 27,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and certain Replacement units, which we expense on an accelerated basis.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6" w:name="page27"/>
    <w:bookmarkEnd w:id="26"/>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Since 2022, we have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 number of awards expected to vest. In the first quarter of 2025, recipients of EPS performance restricted stock units earned 100% of the initial grants based upon actual performance achieved during a three-year period ended July 28, 2024. There were 841 thousand EPS performance target grants outstanding at April 27, 2025, with a weighted-average grant-date fair value of $45.22. In connection with the divestiture of our Pop Secret popcorn business, in the first quarter of 2025, our adjusted EPS compound annual growth rate goals for the EPS performance restricted stock units granted in 2024 and 2023 were revised to equitably adjust for the impact of the completed divestiture that was not contemplated at the time of approval of the original targets. In connection with the divestiture of our noosa yoghurt business in the third quarter of 2025, our adjusted EPS compound annual growth rate goals for the EPS performance restricted stock units granted in 2025, 2024, and 2023 were similarly revised.</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April 27, 2025, total remaining unearned compensation related to nonvested time-lapse restricted stock units and EPS performance restricted stock units was $60 million, which will be amortized over the weighted-average remaining service period of 1.8 years. The fair value of restricted stock units vested during the nine-month periods ended April 27, 2025, and April 28, 2024, was $68 million and $95 million, respectively. The weighted-average grant-date fair value of the restricted stock units granted during the nine-month period ended April 28, 2024 was $41.46.</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activity: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28, 2024</w:t>
            </w:r>
          </w:p>
        </w:tc>
        <w:tc>
          <w:tcPr>
            <w:tcW w:w="1640" w:type="dxa"/>
            <w:vAlign w:val="bottom"/>
            <w:gridSpan w:val="2"/>
            <w:shd w:val="clear" w:color="auto" w:fill="CCEEFF"/>
          </w:tcPr>
          <w:p>
            <w:pPr>
              <w:jc w:val="center"/>
              <w:ind w:left="1137"/>
              <w:spacing w:after="0"/>
              <w:rPr>
                <w:sz w:val="20"/>
                <w:szCs w:val="20"/>
                <w:color w:val="auto"/>
              </w:rPr>
            </w:pPr>
            <w:r>
              <w:rPr>
                <w:rFonts w:ascii="Times New Roman" w:cs="Times New Roman" w:eastAsia="Times New Roman" w:hAnsi="Times New Roman"/>
                <w:sz w:val="18"/>
                <w:szCs w:val="18"/>
                <w:color w:val="auto"/>
                <w:w w:val="96"/>
              </w:rPr>
              <w:t>873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center"/>
              <w:ind w:left="1137"/>
              <w:spacing w:after="0"/>
              <w:rPr>
                <w:sz w:val="20"/>
                <w:szCs w:val="20"/>
                <w:color w:val="auto"/>
              </w:rPr>
            </w:pPr>
            <w:r>
              <w:rPr>
                <w:rFonts w:ascii="Times New Roman" w:cs="Times New Roman" w:eastAsia="Times New Roman" w:hAnsi="Times New Roman"/>
                <w:sz w:val="18"/>
                <w:szCs w:val="18"/>
                <w:color w:val="auto"/>
                <w:w w:val="96"/>
              </w:rPr>
              <w:t>566</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center"/>
              <w:ind w:left="1097"/>
              <w:spacing w:after="0"/>
              <w:rPr>
                <w:sz w:val="20"/>
                <w:szCs w:val="20"/>
                <w:color w:val="auto"/>
              </w:rPr>
            </w:pPr>
            <w:r>
              <w:rPr>
                <w:rFonts w:ascii="Times New Roman" w:cs="Times New Roman" w:eastAsia="Times New Roman" w:hAnsi="Times New Roman"/>
                <w:sz w:val="18"/>
                <w:szCs w:val="18"/>
                <w:color w:val="auto"/>
                <w:w w:val="97"/>
              </w:rPr>
              <w:t>(464)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gridSpan w:val="2"/>
          </w:tcPr>
          <w:p>
            <w:pPr>
              <w:jc w:val="center"/>
              <w:ind w:left="1097"/>
              <w:spacing w:after="0"/>
              <w:rPr>
                <w:sz w:val="20"/>
                <w:szCs w:val="20"/>
                <w:color w:val="auto"/>
              </w:rPr>
            </w:pPr>
            <w:r>
              <w:rPr>
                <w:rFonts w:ascii="Times New Roman" w:cs="Times New Roman" w:eastAsia="Times New Roman" w:hAnsi="Times New Roman"/>
                <w:sz w:val="18"/>
                <w:szCs w:val="18"/>
                <w:color w:val="auto"/>
                <w:w w:val="97"/>
              </w:rPr>
              <w:t>(134)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April 27, 2025</w:t>
            </w:r>
          </w:p>
        </w:tc>
        <w:tc>
          <w:tcPr>
            <w:tcW w:w="1640" w:type="dxa"/>
            <w:vAlign w:val="bottom"/>
            <w:tcBorders>
              <w:bottom w:val="single" w:sz="8" w:color="auto"/>
            </w:tcBorders>
            <w:gridSpan w:val="2"/>
            <w:shd w:val="clear" w:color="auto" w:fill="CCEEFF"/>
          </w:tcPr>
          <w:p>
            <w:pPr>
              <w:jc w:val="center"/>
              <w:ind w:left="1137"/>
              <w:spacing w:after="0"/>
              <w:rPr>
                <w:sz w:val="20"/>
                <w:szCs w:val="20"/>
                <w:color w:val="auto"/>
              </w:rPr>
            </w:pPr>
            <w:r>
              <w:rPr>
                <w:rFonts w:ascii="Times New Roman" w:cs="Times New Roman" w:eastAsia="Times New Roman" w:hAnsi="Times New Roman"/>
                <w:sz w:val="18"/>
                <w:szCs w:val="18"/>
                <w:color w:val="auto"/>
                <w:w w:val="96"/>
              </w:rPr>
              <w:t>841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5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Weighted-average assumptions used in the Monte Carlo simulation were as follows: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1640" w:type="dxa"/>
            <w:vAlign w:val="bottom"/>
            <w:gridSpan w:val="2"/>
          </w:tcPr>
          <w:p>
            <w:pPr>
              <w:jc w:val="center"/>
              <w:ind w:left="10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rPr>
              <w:t>3.56%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gridSpan w:val="3"/>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rPr>
              <w:t>3.06%</w:t>
            </w:r>
          </w:p>
        </w:tc>
        <w:tc>
          <w:tcPr>
            <w:tcW w:w="300" w:type="dxa"/>
            <w:vAlign w:val="bottom"/>
          </w:tcPr>
          <w:p>
            <w:pPr>
              <w:spacing w:after="0"/>
              <w:rPr>
                <w:sz w:val="19"/>
                <w:szCs w:val="19"/>
                <w:color w:val="auto"/>
              </w:rPr>
            </w:pPr>
          </w:p>
        </w:tc>
        <w:tc>
          <w:tcPr>
            <w:tcW w:w="13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8"/>
              </w:rPr>
              <w:t>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gridSpan w:val="3"/>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w w:val="99"/>
              </w:rPr>
              <w:t>22.43%</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7"/>
              </w:rPr>
              <w:t>22.16%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780" w:type="dxa"/>
            <w:vAlign w:val="bottom"/>
          </w:tcPr>
          <w:p>
            <w:pPr>
              <w:spacing w:after="0"/>
              <w:rPr>
                <w:sz w:val="20"/>
                <w:szCs w:val="20"/>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except for awards issued to retirement eligible participants, which we expense on an accelerated basis. As of April 27, 2025, total remaining unearned compensation related to TSR performance restricted stock units was $13 million, which will be amortized over the weighted-average remaining service period of 1.8 years. In the first quarter of 2025, recipients of TSR performance restricted stock units earned 175% of the initial grants based upon our TSR ranking in a performance peer group during a three-year period ended July 26, 2024. As a result, approximately 199 thousand additional shares were awarded. In the first quarter of 2024, recipients of TSR performance restricted stock units earned 75% of the initial grants based upon our TSR ranking in a performance peer group during a three-year period ended July 28, 2023. The fair value of TSR performance restricted stock units vested during the nine-month periods ended April 27, 2025, and April 28, 2024, was $23 million and $12 million, respectively. The grant-date fair value of the TSR performance restricted stock units granted during the nine-month period ended April 28, 2024, was $44.18.</w:t>
      </w:r>
    </w:p>
    <w:p>
      <w:pPr>
        <w:spacing w:after="0" w:line="159" w:lineRule="exact"/>
        <w:rPr>
          <w:sz w:val="20"/>
          <w:szCs w:val="20"/>
          <w:color w:val="auto"/>
        </w:rPr>
      </w:pPr>
    </w:p>
    <w:p>
      <w:pPr>
        <w:ind w:right="8460" w:firstLine="6"/>
        <w:spacing w:after="0" w:line="367" w:lineRule="auto"/>
        <w:tabs>
          <w:tab w:leader="none" w:pos="265"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7" w:name="page28"/>
    <w:bookmarkEnd w:id="27"/>
    <w:p>
      <w:pPr>
        <w:jc w:val="both"/>
        <w:spacing w:after="0" w:line="252" w:lineRule="auto"/>
        <w:rPr>
          <w:sz w:val="20"/>
          <w:szCs w:val="20"/>
          <w:color w:val="auto"/>
        </w:rPr>
      </w:pPr>
      <w:r>
        <w:rPr>
          <w:rFonts w:ascii="Times New Roman" w:cs="Times New Roman" w:eastAsia="Times New Roman" w:hAnsi="Times New Roman"/>
          <w:sz w:val="18"/>
          <w:szCs w:val="18"/>
          <w:color w:val="auto"/>
        </w:rPr>
        <w:t>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5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On March 20, 2024, the United States Department of Justice (DOJ), on behalf of the U.S. Environmental Protection Agency, and National Education Law Center, on behalf of Environment America and Lake Erie Waterkeeper, filed lawsuits in the United States District Court for the Northern District of Ohio – Western Division concerning alleged violations of the Clean Water Act relating to alleged contaminant discharges from our Napoleon, Ohio wastewater treatment facility in excess of the facility’s Clean Water Act permit limits. We have and are continuing to take actions to remediate the exceedances and are in settlement discussions with the DOJ and the private environmental groups while litigation proceedings are ongoing. While we cannot predict with certainty the amount of any civil penalty or the timing of the resolution of this matter, we do not expect that the ultimate costs to resolve this matter will have a material adverse effect on our financial condition, results of operations, or cash flows.</w:t>
      </w:r>
    </w:p>
    <w:p>
      <w:pPr>
        <w:spacing w:after="0" w:line="6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April 27, 2025.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April 27,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Supplier Finance Program Obligations</w:t>
      </w:r>
    </w:p>
    <w:p>
      <w:pPr>
        <w:spacing w:after="0" w:line="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$254 million at April 27, 2025 and $243 million at July 28, 2024.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19. Supplemental Financial Statement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0" w:type="dxa"/>
            <w:vAlign w:val="bottom"/>
          </w:tcPr>
          <w:p>
            <w:pPr>
              <w:spacing w:after="0"/>
              <w:rPr>
                <w:sz w:val="1"/>
                <w:szCs w:val="1"/>
                <w:color w:val="auto"/>
              </w:rPr>
            </w:pPr>
          </w:p>
        </w:tc>
      </w:tr>
      <w:tr>
        <w:trPr>
          <w:trHeight w:val="24"/>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2560" w:type="dxa"/>
            <w:vAlign w:val="bottom"/>
            <w:gridSpan w:val="6"/>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0" w:type="dxa"/>
            <w:vAlign w:val="bottom"/>
          </w:tcPr>
          <w:p>
            <w:pPr>
              <w:spacing w:after="0"/>
              <w:rPr>
                <w:sz w:val="1"/>
                <w:szCs w:val="1"/>
                <w:color w:val="auto"/>
              </w:rPr>
            </w:pP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Impairment of intangible assets</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Amortization of intangible assets</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expense (income) other than the service cost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Costs associated with acquisition</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Loss on sales of businesses</w:t>
            </w:r>
            <w:r>
              <w:rPr>
                <w:rFonts w:ascii="Times New Roman" w:cs="Times New Roman" w:eastAsia="Times New Roman" w:hAnsi="Times New Roman"/>
                <w:sz w:val="22"/>
                <w:szCs w:val="22"/>
                <w:color w:val="auto"/>
                <w:vertAlign w:val="superscript"/>
              </w:rPr>
              <w:t>(4)</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Transition services fees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5"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for additional information.</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215" w:lineRule="auto"/>
        <w:tabs>
          <w:tab w:leader="none" w:pos="30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accelerated amortization expense related to customer relationship intangible assets of $6 million in the three-month periods ended April 27, 2025 and April 28, 2024, and $20 million in the nine-month periods ended April 27, 2025 and April 28, 2024.</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Related to the acquisition of Sovos Brands. See Note 3 for additional information.</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4 for additional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9" w:name="page30"/>
    <w:bookmarkEnd w:id="29"/>
    <w:p>
      <w:pPr>
        <w:ind w:right="4100"/>
        <w:spacing w:after="0" w:line="347"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28, 2024,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The Campbell's Company and its consolidated subsidiaries.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Inc. (Sovos Brands) for total purchase consideration of $2.899 billion. For additional information on the Sovos Brands acquisition, see Note 3 to the Consolidated Financial Statements. All references to the acquisition below refer to the Sovos Brands acquisition.</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completed the sale of our Pop Secret popcorn business. On February 24, 2025, we completed the sale of our noosa yoghurt business. For additional information on the divestitures, see Note 4 to the Consolidated Financial Statements.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14" w:lineRule="exact"/>
        <w:rPr>
          <w:sz w:val="20"/>
          <w:szCs w:val="20"/>
          <w:color w:val="auto"/>
        </w:rPr>
      </w:pPr>
    </w:p>
    <w:p>
      <w:pPr>
        <w:jc w:val="both"/>
        <w:ind w:firstLine="318"/>
        <w:spacing w:after="0" w:line="230" w:lineRule="auto"/>
        <w:rPr>
          <w:sz w:val="20"/>
          <w:szCs w:val="20"/>
          <w:color w:val="auto"/>
        </w:rPr>
      </w:pPr>
      <w:r>
        <w:rPr>
          <w:rFonts w:ascii="Times New Roman" w:cs="Times New Roman" w:eastAsia="Times New Roman" w:hAnsi="Times New Roman"/>
          <w:sz w:val="18"/>
          <w:szCs w:val="18"/>
          <w:color w:val="auto"/>
        </w:rPr>
        <w:t>Our industry continues to navigate global macroeconomic challenges, including tariffs and shifting global trade policies; changes in consumer purchasing and spending patterns; supply chain pressures; commodity cost volatility; labor market issues; and economic uncertainties amplified by increased regulatory activity. Tariffs on China, Canada, Mexico, the European Union and other countries have and are expected to result in retaliatory measures on U.S. goods, such as the 25% tariffs imposed by Canada on imports of certain U.S. goods, and increase costs. We are continuing to monitor the rapidly evolving tariff and global trade policies and are working with our suppliers to mitigate potential impacts on our business. The extent and duration of the tariffs and the resulting impact on general economic conditions and on our business are uncertain and depend on various factors, such as recent legal challenges to the U.S.'s imposition of tariffs, negotiations between the U.S. and affected countries, the responses of other countries or regions, exemptions that may be granted, availability and cost of alternative sources of supply and demand for our products in affected markets.</w:t>
      </w:r>
    </w:p>
    <w:p>
      <w:pPr>
        <w:spacing w:after="0" w:line="7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in light of recent actions by the United States Department of Health and Human Services, Food and Drug Administration (FDA) and states, we anticipate continued legislative and regulatory developments with respect to food ingredients, labeling and packaging at the state and federal levels, along with related changes in consumer expectations and behavior. In April 2025, the FDA announced a series of actions aimed at phasing out all “petroleum-based synthetic dyes” from the nation’s food supply, and in May 2025, the Make America Healthy Again (MAHA) Commission published a report discussing factors contributing to chronic childhood disease including diet, environmental exposure, lack of physical activity and healthcare. While the effects of all of these proposals remain uncertain at this time, we are continuing to monitor changes to laws and regulations that affect the food industry and evaluate their impact on our business and financial condition.</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7"/>
          <w:szCs w:val="17"/>
          <w:color w:val="auto"/>
        </w:rPr>
        <w:t>Through the third quarter, we experienced a moderate level of input cost inflation and other supply chain costs. We anticipate continued supply chain productivity and benefits from cost savings initiatives to mitigate inflationary pressures and expect such benefits to offset incremental costs in 2025, excluding potential impacts of tariffs. We expect consumer trends to continue to evolve and our volumes to improve over time; however, economic pressures, including the challenges of persistent inflation and impacts of tariffs, may continue to negatively impact our volumes throughout 2025. We will continue to evaluate the evolving macroeconomic environment to take action to mitigate the impact on our business, consolidated results of operations and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85" w:lineRule="exact"/>
        <w:rPr>
          <w:sz w:val="20"/>
          <w:szCs w:val="20"/>
          <w:color w:val="auto"/>
        </w:rPr>
      </w:pPr>
    </w:p>
    <w:p>
      <w:pPr>
        <w:jc w:val="both"/>
        <w:ind w:left="64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4% in the quarter to $2.475 billion primarily due to the benefit from the acquisition of Sovos Brands and favorable volume/mix, partially offset by the impact of divestitures and lower net price realization. The increase in volume/mix was partially related to the favorable timing of shipments this quarter.</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was 29.4% in 2025 compared to 30.9% in the prior-year quarter. The decrease was primarily due to the impact of cost inflation and other supply chain costs, mark-to-market adjustments on outstanding undesignated commodity hedges and unfavorable net price realization, partially offset by benefits from supply chain productivity improvements, the prior-year impact from a Sovos Brands acquisition date fair value adjustment for inventory and favorable volume/mix.</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0" w:name="page31"/>
    <w:bookmarkEnd w:id="30"/>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$.22 in 2025, compared to $.44 in the prior-year quarter. The current quarter included expenses of $.51 per share and the prior-year quarter included expenses of $.30 per share from items impacting comparability as discussed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The Campbell's Company</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248"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third quarter of 2025, we recorded Restructuring charges of $6 million and implementation costs and other related costs of $7 million in Cost of products sold, $7 million in Administrative expenses and $1 million in Research and development expenses related to these initiatives. In the third quarter of 2024, we recorded implementation costs and other related costs of $13 million in Administrative expenses, $3 million in Cost of products sold, $1 million in Marketing and selling expenses, $1 million in Research and development expenses and a reduction to Restructuring charges of $3 million related to these initiatives. Year-to-date in 2025, we recorded Restructuring charges of $17 million and implementation costs and other related costs of $26 million in Administrative expenses, $25 million in Cost of products sold, $3 million in Research and development expenses and $2 million in Marketing and selling expenses related to these initiatives. Year-to-date in 2024, we recorded Restructuring charges of $1 million and implementation costs and other related costs of $47 million in Administrative expenses, $9 million in Cost of products sold, $4 million in Marketing and selling expenses and $3 million in Research and development expenses related to these initiatives.</w:t>
      </w:r>
    </w:p>
    <w:p>
      <w:pPr>
        <w:spacing w:after="0" w:line="60" w:lineRule="exact"/>
        <w:rPr>
          <w:rFonts w:ascii="Times New Roman" w:cs="Times New Roman" w:eastAsia="Times New Roman" w:hAnsi="Times New Roman"/>
          <w:sz w:val="18"/>
          <w:szCs w:val="18"/>
          <w:color w:val="auto"/>
        </w:rPr>
      </w:pPr>
    </w:p>
    <w:p>
      <w:pPr>
        <w:jc w:val="both"/>
        <w:ind w:left="6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2024, we began implementation of an optimization initiative to improve the effectiveness of our Snacks direct-store-delivery route-to-market network. In the third quarter of 2025, we recognized $9 million in Marketing and selling expenses and $1 million in Administrative expenses related to this initiative. In the third quarter of 2024, we recognized $5 million in Marketing and selling expenses related to this initiative. Year-to-date in 2025, we recognized $17 million in Marketing and selling expenses and $1 million in Administrative expenses related to this initiative.</w:t>
      </w:r>
    </w:p>
    <w:p>
      <w:pPr>
        <w:spacing w:after="0" w:line="66"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the total aggregate impact related to the cost savings and optimization initiatives was $31 million ($24 million after tax, or $.08 per share). In the third quarter of 2024, the total aggregate impact related to the cost savings and optimization initiatives was $20 million ($15 million after tax, or $.05 per share). Year-to-date in 2025, the total aggregate impact related to the cost savings and optimization initiatives was $91 million ($70 million after tax, or $.23 per share). Year-to-date in 2024, the total aggregate impact related to the cost savings and optimization initiatives was $69 million ($52 million after tax, or $.17 per share). See Note 8 to the Consolidated Financial Statements and "Restructuring Charges, Cost Savings Initiatives and Other Optimization Initiatives" for additional information;</w:t>
      </w:r>
    </w:p>
    <w:p>
      <w:pPr>
        <w:spacing w:after="0" w:line="65"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we recognized losses in Cost of products sold of $10 million ($7 million after tax, or $.02 per share) associated with unrealized mark-to-market adjustments on outstanding undesignated commodity hedges. In the third quarter of 2024, we recognized gains in Cost of products sold of $13 million ($10 million after tax, or $.03 per share) associated with unrealized mark-to-market adjustments on outstanding undesignated commodity hedges. Year-to-date in 2025, we recognized gains in Cost of products sold of $8 million ($6 million after tax, or $.02 per share) associated with unrealized mark-to-market adjustments on outstanding undesignated commodity hedges. Year-to-date in 2024, we recognized gains in Cost of products sold of $5 million ($4 million after tax, or $.01 per share) associated with unrealized mark-to-market adjustments on outstanding undesignated commodity hedges;</w:t>
      </w:r>
    </w:p>
    <w:p>
      <w:pPr>
        <w:spacing w:after="0" w:line="5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and 2024, we recorded accelerated amortization expense in Other expenses / (income) of $6 million ($5 million after tax, or $.02 per share) related to customer relationship intangible assets due to the loss of certain contract manufacturing customers, which began in the fourth quarter of 2023. Year-to-date in 2025 and 2024, we recorded accelerated amortization expense in Other expenses / (income) of $20 million ($15 million after tax, or $.05 per share);</w:t>
      </w:r>
    </w:p>
    <w:p>
      <w:pPr>
        <w:spacing w:after="0" w:line="59"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third quarter of 2025, the company performed an interim impairment assessment on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 within the Snacks segment and recognized an impairment charge of $150 million ($112 million after tax, or $.37 per share) on the trademark.</w:t>
      </w:r>
    </w:p>
    <w:p>
      <w:pPr>
        <w:spacing w:after="0" w:line="42" w:lineRule="exact"/>
        <w:rPr>
          <w:rFonts w:ascii="Times New Roman" w:cs="Times New Roman" w:eastAsia="Times New Roman" w:hAnsi="Times New Roman"/>
          <w:sz w:val="18"/>
          <w:szCs w:val="18"/>
          <w:color w:val="auto"/>
        </w:rPr>
      </w:pPr>
    </w:p>
    <w:p>
      <w:pPr>
        <w:jc w:val="both"/>
        <w:ind w:left="6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second quarter of 2025, we performed an interim impairment assessment on certain salty snacks and cookie trademarks within our Snacks segment, including </w:t>
      </w:r>
      <w:r>
        <w:rPr>
          <w:rFonts w:ascii="Times New Roman" w:cs="Times New Roman" w:eastAsia="Times New Roman" w:hAnsi="Times New Roman"/>
          <w:sz w:val="18"/>
          <w:szCs w:val="18"/>
          <w:i w:val="1"/>
          <w:iCs w:val="1"/>
          <w:color w:val="auto"/>
        </w:rPr>
        <w:t>Tom's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Kruncher's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O-Ke-Doke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Stella D'oro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Archway</w:t>
      </w:r>
      <w:r>
        <w:rPr>
          <w:rFonts w:ascii="Times New Roman" w:cs="Times New Roman" w:eastAsia="Times New Roman" w:hAnsi="Times New Roman"/>
          <w:sz w:val="18"/>
          <w:szCs w:val="18"/>
          <w:color w:val="auto"/>
        </w:rPr>
        <w:t>, collectively referred to as our "Allied brands," and recognized an impairment charge of $15 million on the trademarks.</w:t>
      </w:r>
    </w:p>
    <w:p>
      <w:pPr>
        <w:spacing w:after="0" w:line="43" w:lineRule="exact"/>
        <w:rPr>
          <w:rFonts w:ascii="Times New Roman" w:cs="Times New Roman" w:eastAsia="Times New Roman" w:hAnsi="Times New Roman"/>
          <w:sz w:val="18"/>
          <w:szCs w:val="18"/>
          <w:color w:val="auto"/>
        </w:rPr>
      </w:pPr>
    </w:p>
    <w:p>
      <w:pPr>
        <w:ind w:left="6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second quarter of 2025, we performed an interim impairment assessment on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within our Snacks segment and recognized an impairment charge of $11 million on the trademark.</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1" w:name="page32"/>
    <w:bookmarkEnd w:id="31"/>
    <w:p>
      <w:pPr>
        <w:ind w:left="640"/>
        <w:spacing w:after="0" w:line="274" w:lineRule="auto"/>
        <w:rPr>
          <w:sz w:val="20"/>
          <w:szCs w:val="20"/>
          <w:color w:val="auto"/>
        </w:rPr>
      </w:pPr>
      <w:r>
        <w:rPr>
          <w:rFonts w:ascii="Times New Roman" w:cs="Times New Roman" w:eastAsia="Times New Roman" w:hAnsi="Times New Roman"/>
          <w:sz w:val="18"/>
          <w:szCs w:val="18"/>
          <w:color w:val="auto"/>
        </w:rPr>
        <w:t>In the second quarter of 2025, the total aggregate impact of the impairment charges was $26 million ($19 million after tax, or $.06 per share). Year-to-date in 2025, the total aggregate impact of the impairment charges was $176 million ($131 million after tax, or $.44 per share).</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charges were included in Other expenses / (income);</w:t>
      </w:r>
    </w:p>
    <w:p>
      <w:pPr>
        <w:spacing w:after="0" w:line="98" w:lineRule="exact"/>
        <w:rPr>
          <w:sz w:val="20"/>
          <w:szCs w:val="20"/>
          <w:color w:val="auto"/>
        </w:rPr>
      </w:pPr>
    </w:p>
    <w:p>
      <w:pPr>
        <w:jc w:val="both"/>
        <w:ind w:left="640" w:hanging="316"/>
        <w:spacing w:after="0" w:line="25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we completed the sale of our noosa yoghurt business. In the second quarter of 2025, we recorded $15 million ($.05 per share) of tax expense related to the sale. Year-to-date in 2025, we recorded an after-tax loss of $15 million ($.05 per share) on the sale of the business, which is subject to the finalization of certain purchase price adjustments. In the first quarter of 2025, we recorded a loss in Other expenses / (income) of $25 million ($19 million after tax, or $.06 per share) on the sale of our Pop Secret popcorn business. Year-to-date in 2025, the total aggregate impact of charges associated with divestitures was $25 million ($34 million after tax, or $.11 per share);</w:t>
      </w:r>
    </w:p>
    <w:p>
      <w:pPr>
        <w:spacing w:after="0" w:line="66"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we recorded litigation expenses in Administrative expenses of $4 million ($4 million after tax, or $.01 per share) related to the Plum baby food and snacks business (Plum), which was divested on May 3, 2021, and certain other litigation matters. Year-to-date in 2025, we recorded litigation expenses in Administrative expenses of $6 million ($6 million after tax, or $.02 per share) related to Plum and certain other litigation matters. Year-to-date in 2024, we recorded litigation expenses in Administrative expenses of $3 million ($3 million after tax, or $.01 per share) related to Plum;</w:t>
      </w:r>
    </w:p>
    <w:p>
      <w:pPr>
        <w:spacing w:after="0" w:line="52"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2025, we recognized insurance recoveries in Administrative expenses of $1 million ($1 million after tax) related to a cybersecurity incident that was identified in the fourth quarter of 2023. Year-to-date in 2024, we recorded costs of $2 million in Cost of products sold and $1 million in Administrative expenses (aggregate impact of $2 million after tax, or $.01 per share) related to the cybersecurity incident;</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2025, we recognized an actuarial loss in Other expenses / (income) of $2 million ($1 million after tax) related to an interim remeasurement of our postretirement plan due to a plan amendment;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announced our intent to acquire Sovos Brands and on March 12, 2024, the acquisition closed. In the third quarter of 2024, we incurred $93 million of costs associated with the acquisition, of which $16 million was recorded in Restructuring charges, $39 million in Administrative expenses, $16 million in Other expenses / (income), $2 million in Marketing and selling expenses, $2 million in Research and development expenses and $18 million in Cost of products sold, of which $17 million was associated with the acquisition date fair value adjustment for inventory. We also recorded costs of $2 million in Interest expense related to costs associated with the Delayed Draw Term Loan Credit Agreement (the 2024 DDTL Credit Agreement) used to fund the acquisition. The aggregate impact was $95 million, $81 million after tax, or $.27 per share. Year-to-date in 2024, we incurred $114 million of costs associated with the acquisition, of which $16 million was recorded to Restructuring charges, $39 million in Administrative expenses, $35 million in Other expenses / (income), $2 million in Marketing and selling expenses, $2 million in Research and development expenses, $18 million in Cost of products sold and $2 million in Interest expense. The aggregate after-tax impact was $98 million, or $.33 per share.</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174"/>
        </w:trPr>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9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24"/>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cost savings and optimization initiatives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litigation expenses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acquisition</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6940" w:type="dxa"/>
            <w:vAlign w:val="bottom"/>
            <w:tcBorders>
              <w:top w:val="single" w:sz="8" w:color="CCEEFF"/>
              <w:bottom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April 28, 2024</w:t>
            </w:r>
          </w:p>
        </w:tc>
      </w:tr>
      <w:tr>
        <w:trPr>
          <w:trHeight w:val="174"/>
        </w:trPr>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9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7"/>
                <w:szCs w:val="17"/>
                <w:color w:val="auto"/>
              </w:rPr>
            </w:pP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24"/>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cost savings and optimization initiatives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gains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associated with divestitures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litigation expenses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Cybersecurity incident recoveries (costs)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actuarial losses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acquisition</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items on 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earnings attributable to The Campbell's Company were $66 million ($.22 per share) in the current quarter, compared to $133 million ($.44 per share) in the year-ago quarter. After adjusting for items impacting comparability, earnings decreased primarily due to higher interest expense and higher marketing and selling expenses, partially offset by lower administrative expenses.</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earnings attributable to The Campbell's Company were $457 million ($1.52 per share) in the nine-month period this year, compared to $570 million ($1.91 per share) in the year-ago period. After adjusting for items impacting comparability, earnings decreased primarily due to higher interest expense and higher marketing and selling expenses, partially offset by an increase in gross profit and a lower effective tax rate.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THIRD-QUARTER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20" w:type="dxa"/>
            <w:vAlign w:val="bottom"/>
            <w:tcBorders>
              <w:bottom w:val="single" w:sz="8" w:color="CCEEFF"/>
            </w:tcBorders>
            <w:gridSpan w:val="4"/>
          </w:tcPr>
          <w:p>
            <w:pPr>
              <w:jc w:val="center"/>
              <w:ind w:left="12"/>
              <w:spacing w:after="0"/>
              <w:rPr>
                <w:sz w:val="20"/>
                <w:szCs w:val="20"/>
                <w:color w:val="auto"/>
              </w:rPr>
            </w:pPr>
            <w:r>
              <w:rPr>
                <w:rFonts w:ascii="Times New Roman" w:cs="Times New Roman" w:eastAsia="Times New Roman" w:hAnsi="Times New Roman"/>
                <w:sz w:val="18"/>
                <w:szCs w:val="18"/>
                <w:color w:val="auto"/>
                <w:w w:val="95"/>
              </w:rPr>
              <w:t>(8)</w:t>
            </w:r>
          </w:p>
        </w:tc>
        <w:tc>
          <w:tcPr>
            <w:tcW w:w="0" w:type="dxa"/>
            <w:vAlign w:val="bottom"/>
          </w:tcPr>
          <w:p>
            <w:pPr>
              <w:spacing w:after="0"/>
              <w:rPr>
                <w:sz w:val="1"/>
                <w:szCs w:val="1"/>
                <w:color w:val="auto"/>
              </w:rPr>
            </w:pPr>
          </w:p>
        </w:tc>
      </w:tr>
      <w:tr>
        <w:trPr>
          <w:trHeight w:val="243"/>
        </w:trPr>
        <w:tc>
          <w:tcPr>
            <w:tcW w:w="7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20" w:type="dxa"/>
            <w:vAlign w:val="bottom"/>
            <w:tcBorders>
              <w:bottom w:val="single" w:sz="8" w:color="CCEEFF"/>
            </w:tcBorders>
            <w:gridSpan w:val="4"/>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7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50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Meals &amp; Beverages</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Total</w:t>
            </w:r>
            <w:r>
              <w:rPr>
                <w:rFonts w:ascii="Times New Roman" w:cs="Times New Roman" w:eastAsia="Times New Roman" w:hAnsi="Times New Roman"/>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18"/>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Volume/mix</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9"/>
              </w:rPr>
              <w:t>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9"/>
              </w:rPr>
              <w:t>(5)%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2%</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5"/>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5"/>
              </w:rPr>
              <w:t>(3)</w:t>
            </w:r>
          </w:p>
        </w:tc>
        <w:tc>
          <w:tcPr>
            <w:tcW w:w="1020" w:type="dxa"/>
            <w:vAlign w:val="bottom"/>
            <w:gridSpan w:val="4"/>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8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88"/>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5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6"/>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9"/>
              </w:rPr>
              <w:t>(8)%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In Meals &amp; Beverages, sales increased 15%, primarily due to a 12-point benefit from the acquisition of Sovos Brands. Excluding the benefit from the acquisition of Sovos Brands and the impact from the divestiture of the noosa yoghurt business, sales increased primarily due to gains in U.S. soup,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and Canada, partially related to the favorable timing of shipments. Sales of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increased due primarily to the timing of shipments related to the implementation of our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existing SAP enterprise-resource planning system for Sovos Brands. Favorable volume/mix was partially offset by lower net price realization. Sales of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soup increased 7% primarily due to increases in condensed soups, broth and ready-to-serve soups.</w:t>
      </w:r>
    </w:p>
    <w:p>
      <w:pPr>
        <w:spacing w:after="0" w:line="6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In Snacks, sales decreased 8%. Excluding the impact from the divestiture of the Pop Secret popcorn business, sales decreased due to declines in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third-party partner brands and contract manufacturing,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and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Sales were impacted by volume/mix declines and neutral net price realization.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$4 million in 2025 from 2024. As a percent of sales, gross profit was 29.4% in 2025 and 30.9% in 2024.</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150 basis-point decrease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9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costs associated with cost savings initiatives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130</w:t>
            </w:r>
          </w:p>
        </w:tc>
      </w:tr>
      <w:tr>
        <w:trPr>
          <w:trHeight w:val="225"/>
        </w:trPr>
        <w:tc>
          <w:tcPr>
            <w:tcW w:w="99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Impact of acquisition</w:t>
            </w:r>
            <w:r>
              <w:rPr>
                <w:rFonts w:ascii="Times New Roman" w:cs="Times New Roman" w:eastAsia="Times New Roman" w:hAnsi="Times New Roman"/>
                <w:sz w:val="22"/>
                <w:szCs w:val="22"/>
                <w:color w:val="auto"/>
                <w:vertAlign w:val="superscript"/>
              </w:rPr>
              <w:t>(2)</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w:t>
            </w:r>
          </w:p>
        </w:tc>
      </w:tr>
      <w:tr>
        <w:trPr>
          <w:trHeight w:val="225"/>
        </w:trPr>
        <w:tc>
          <w:tcPr>
            <w:tcW w:w="99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(3)</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w:t>
            </w:r>
          </w:p>
        </w:tc>
      </w:tr>
      <w:tr>
        <w:trPr>
          <w:trHeight w:val="243"/>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(150)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50" w:lineRule="exact"/>
        <w:rPr>
          <w:sz w:val="20"/>
          <w:szCs w:val="20"/>
          <w:color w:val="auto"/>
        </w:rPr>
      </w:pPr>
    </w:p>
    <w:p>
      <w:pPr>
        <w:jc w:val="both"/>
        <w:ind w:left="320" w:hanging="314"/>
        <w:spacing w:after="0" w:line="231" w:lineRule="auto"/>
        <w:tabs>
          <w:tab w:leader="none" w:pos="30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positive margin impact of 60 basis points from the benefit of cost savings initiatives, which was more than offset by cost inflation and other factors, including a 90 basis-point negative impact from the change in unrealized mark-to-market adjustments on outstanding undesignated commodity hedges.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Prior year included a negative margin impact of 70 basis points from a Sovos Brands acquisition date fair value adjustment for inventory.</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Marketing and selling expenses as a percent of sales were 8.7% in 2025 and 2024. Marketing and selling expenses increased 5% in 2025 from 2024. The increase was primarily due to the impact of the acquisition (approximately 5 points).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Administrative expenses as a percent of sales were 6.5% in 2025 compared to 8.8% in 2024. Administrative expenses decreased 22% in 2025 from 2024. The decrease was primarily due to costs associated with the acquisition in the prior year (approximately 19 points); increased benefits from cost savings initiatives (approximately 9 points) and lower costs associated with cost savings initiatives (approximately 2 points), partially offset by higher general administrative costs and inflation (approximately 5 points) and the impact of the acquisition (approximately 2 points).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Other expenses were $160 million in 2025 compared to $30 million in 2024. Other expenses in 2025 included an impairment charge related to the </w:t>
      </w:r>
      <w:r>
        <w:rPr>
          <w:rFonts w:ascii="Times New Roman" w:cs="Times New Roman" w:eastAsia="Times New Roman" w:hAnsi="Times New Roman"/>
          <w:sz w:val="18"/>
          <w:szCs w:val="18"/>
          <w:i w:val="1"/>
          <w:iCs w:val="1"/>
          <w:color w:val="auto"/>
        </w:rPr>
        <w:t xml:space="preserve">Snyder's of Hanover </w:t>
      </w:r>
      <w:r>
        <w:rPr>
          <w:rFonts w:ascii="Times New Roman" w:cs="Times New Roman" w:eastAsia="Times New Roman" w:hAnsi="Times New Roman"/>
          <w:sz w:val="18"/>
          <w:szCs w:val="18"/>
          <w:color w:val="auto"/>
        </w:rPr>
        <w:t>trademark of $150 million and accelerated amortization expense of $6 million. Other expenses in 2024 included costs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$16 million and accelerated amortization expense of $6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decreased 1% in 2025 from 2024.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60" w:type="dxa"/>
            <w:vAlign w:val="bottom"/>
          </w:tcPr>
          <w:p>
            <w:pPr>
              <w:spacing w:after="0"/>
              <w:rPr>
                <w:sz w:val="16"/>
                <w:szCs w:val="16"/>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167</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3"/>
              </w:rPr>
              <w:t>(13)</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396</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60" w:type="dxa"/>
            <w:vAlign w:val="bottom"/>
          </w:tcPr>
          <w:p>
            <w:pPr>
              <w:spacing w:after="0"/>
              <w:rPr>
                <w:sz w:val="19"/>
                <w:szCs w:val="19"/>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w:t>
      </w:r>
    </w:p>
    <w:p>
      <w:pPr>
        <w:spacing w:after="0" w:line="67"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8"/>
          <w:szCs w:val="18"/>
          <w:color w:val="auto"/>
        </w:rPr>
        <w:t>Operating earnings from Meals &amp; Beverages increased 8%. The increase was primarily due to the benefit of the acquisition of Sovos Brands, partially offset by a decline in the base business.</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Operating earnings from Snacks decreased 13%. The decrease was primarily due to lower gross profit, partially offset by lower administrative expenses.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2025 included the following:</w:t>
      </w:r>
    </w:p>
    <w:p>
      <w:pPr>
        <w:spacing w:after="0" w:line="83" w:lineRule="exact"/>
        <w:rPr>
          <w:sz w:val="20"/>
          <w:szCs w:val="20"/>
          <w:color w:val="auto"/>
        </w:rPr>
      </w:pPr>
    </w:p>
    <w:p>
      <w:pPr>
        <w:ind w:left="640" w:hanging="157"/>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$150 million of an impairment charge related to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w:t>
      </w:r>
    </w:p>
    <w:p>
      <w:pPr>
        <w:spacing w:after="0" w:line="99"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$25 million related to costs savings and optimization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of unrealized mark-to-market losses on outstanding undesignated commodity hedges;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of accelerated amortization expense;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of certain litigation expenses, including expenses related to Plum.</w:t>
      </w:r>
    </w:p>
    <w:p>
      <w:pPr>
        <w:spacing w:after="0" w:line="389" w:lineRule="exact"/>
        <w:rPr>
          <w:sz w:val="20"/>
          <w:szCs w:val="20"/>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million of costs associated with the acquisition of Sovos Brands;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$23 million related to cost savings and optimization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of accelerated amortization expense; and</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unrealized mark-to-market gains on outstanding undesignated commodity hedges.</w:t>
      </w:r>
    </w:p>
    <w:p>
      <w:pPr>
        <w:spacing w:after="0" w:line="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Interest Expense</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of $85 million in 2025 increased from $70 million in 2024 primarily due to higher levels of debt and higher average interest rates on the debt portfolio.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was 18.5% in 2025 and 26.9% in 2024. The decrease in the effective tax rate was primarily due to the items impacting comparability, including nondeductible costs associated with the acquisition of Sovos Brands in the year-ago quarter and the timing of recognition of tax expense related to the impairment charge.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DISCUSSION AND ANALYSIS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3480" w:type="dxa"/>
            <w:vAlign w:val="bottom"/>
            <w:vMerge w:val="continue"/>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80" w:type="dxa"/>
            <w:vAlign w:val="bottom"/>
          </w:tcPr>
          <w:p>
            <w:pPr>
              <w:spacing w:after="0"/>
              <w:rPr>
                <w:sz w:val="16"/>
                <w:szCs w:val="16"/>
                <w:color w:val="auto"/>
              </w:rPr>
            </w:pP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40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25"/>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4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2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(6)</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1692"/>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34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8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Snacks</w:t>
            </w:r>
            <w:r>
              <w:rPr>
                <w:rFonts w:ascii="Times New Roman" w:cs="Times New Roman" w:eastAsia="Times New Roman" w:hAnsi="Times New Roman"/>
                <w:sz w:val="18"/>
                <w:szCs w:val="18"/>
                <w:b w:val="1"/>
                <w:bCs w:val="1"/>
                <w:color w:val="auto"/>
                <w:vertAlign w:val="superscript"/>
              </w:rPr>
              <w:t>(2)</w:t>
            </w:r>
          </w:p>
        </w:tc>
        <w:tc>
          <w:tcPr>
            <w:tcW w:w="9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(2)</w:t>
            </w:r>
          </w:p>
        </w:tc>
      </w:tr>
      <w:tr>
        <w:trPr>
          <w:trHeight w:val="21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Volume/mix</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(3)%</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5"/>
        </w:trPr>
        <w:tc>
          <w:tcPr>
            <w:tcW w:w="74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43"/>
        </w:trPr>
        <w:tc>
          <w:tcPr>
            <w:tcW w:w="748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In Meals &amp; Beverages, sales increased 19%, primarily due to a 19-point benefit from the acquisition of Sovos Brands. Excluding the benefit from the Sovos Brands acquisition and the impact from the divestiture of the noosa yoghurt business, sales increased primarily due to gains in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pasta sauces, foodservice and Canada, partially offset by declines in </w:t>
      </w:r>
      <w:r>
        <w:rPr>
          <w:rFonts w:ascii="Times New Roman" w:cs="Times New Roman" w:eastAsia="Times New Roman" w:hAnsi="Times New Roman"/>
          <w:sz w:val="17"/>
          <w:szCs w:val="17"/>
          <w:i w:val="1"/>
          <w:iCs w:val="1"/>
          <w:color w:val="auto"/>
        </w:rPr>
        <w:t>SpaghettiOs</w:t>
      </w:r>
      <w:r>
        <w:rPr>
          <w:rFonts w:ascii="Times New Roman" w:cs="Times New Roman" w:eastAsia="Times New Roman" w:hAnsi="Times New Roman"/>
          <w:sz w:val="17"/>
          <w:szCs w:val="17"/>
          <w:color w:val="auto"/>
        </w:rPr>
        <w:t xml:space="preserve">. Sales of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pasta sauces increased due primarily to the timing of shipments related to the implementation of our existing SAP enterprise-resource planning system for Sovos Brands. Favorable volume/mix was partially offset by lower net price realization. Sales of U.S. soup were comparable with prior year as decreases in ready-to-serve soups and condensed soups were offset by increases in broth.</w:t>
      </w:r>
    </w:p>
    <w:p>
      <w:pPr>
        <w:spacing w:after="0" w:line="5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Snacks, sales decreased 6%. Excluding the impact from the divestiture of the Pop Secret popcorn business, sales decreased due to declines in third-party partner brands and contract manufacturing,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Pepperidge Farm cookies,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July </w:t>
      </w:r>
      <w:r>
        <w:rPr>
          <w:rFonts w:ascii="Times New Roman" w:cs="Times New Roman" w:eastAsia="Times New Roman" w:hAnsi="Times New Roman"/>
          <w:sz w:val="18"/>
          <w:szCs w:val="18"/>
          <w:color w:val="auto"/>
        </w:rPr>
        <w:t>snacks and</w:t>
      </w:r>
      <w:r>
        <w:rPr>
          <w:rFonts w:ascii="Times New Roman" w:cs="Times New Roman" w:eastAsia="Times New Roman" w:hAnsi="Times New Roman"/>
          <w:sz w:val="18"/>
          <w:szCs w:val="18"/>
          <w:i w:val="1"/>
          <w:iCs w:val="1"/>
          <w:color w:val="auto"/>
        </w:rPr>
        <w:t xml:space="preserve"> Lance </w:t>
      </w:r>
      <w:r>
        <w:rPr>
          <w:rFonts w:ascii="Times New Roman" w:cs="Times New Roman" w:eastAsia="Times New Roman" w:hAnsi="Times New Roman"/>
          <w:sz w:val="18"/>
          <w:szCs w:val="18"/>
          <w:color w:val="auto"/>
        </w:rPr>
        <w:t>sandwich crackers. Sales were impacted by volume/mix declines and lower net price realization.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$118 million in 2025 from 2024. As a percent of sales, gross profit was 30.4% in 2025 and 31.3% in 2024.</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90 basis-point decrease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9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(130)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costs associated with cost savings initiatives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Impact of acquisition</w:t>
            </w:r>
            <w:r>
              <w:rPr>
                <w:rFonts w:ascii="Times New Roman" w:cs="Times New Roman" w:eastAsia="Times New Roman" w:hAnsi="Times New Roman"/>
                <w:sz w:val="22"/>
                <w:szCs w:val="22"/>
                <w:color w:val="auto"/>
                <w:vertAlign w:val="superscript"/>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140</w:t>
            </w:r>
          </w:p>
        </w:tc>
      </w:tr>
      <w:tr>
        <w:trPr>
          <w:trHeight w:val="225"/>
        </w:trPr>
        <w:tc>
          <w:tcPr>
            <w:tcW w:w="99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(3)</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w:t>
            </w:r>
          </w:p>
        </w:tc>
      </w:tr>
      <w:tr>
        <w:trPr>
          <w:trHeight w:val="243"/>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50" w:lineRule="exact"/>
        <w:rPr>
          <w:sz w:val="20"/>
          <w:szCs w:val="20"/>
          <w:color w:val="auto"/>
        </w:rPr>
      </w:pPr>
    </w:p>
    <w:p>
      <w:pPr>
        <w:ind w:left="320" w:hanging="314"/>
        <w:spacing w:after="0" w:line="225" w:lineRule="auto"/>
        <w:tabs>
          <w:tab w:leader="none" w:pos="30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positive margin impact of 50 basis points from the benefit of cost savings initiatives, which was more than offset by cost inflation and other factors.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Prior year included a negative margin impact of 20 basis points from a Sovos Brands acquisition date fair value adjustment for inventory.</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Marketing and selling expenses as a percent of sales were 9.1% in 2025 compared to 8.8% in 2024. Marketing and selling expenses increased 12% in 2025 from 2024. The increase was primarily due to the impact of the acquisition (approximately 9 points); higher advertising and consumer promotion expense (approximately 2 points) and higher costs related to cost savings and optimization initiatives (approximately 2 points). The increase in advertising and consumer promotion expense was driven by Meals &amp; Beverages and Snacks.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Administrative expenses as a percent of sales were 6.3% in 2025 compared to 7.6% in 2024. Administrative expenses decreased 10% in 2025 from 2024. The decrease was primarily due to costs associated with the acquisition in the prior year (approximately 7 points); increased benefits from cost savings initiatives (approximately 7 points); lower costs related to cost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6" w:name="page37"/>
    <w:bookmarkEnd w:id="36"/>
    <w:p>
      <w:pPr>
        <w:jc w:val="both"/>
        <w:spacing w:after="0" w:line="274" w:lineRule="auto"/>
        <w:rPr>
          <w:sz w:val="20"/>
          <w:szCs w:val="20"/>
          <w:color w:val="auto"/>
        </w:rPr>
      </w:pPr>
      <w:r>
        <w:rPr>
          <w:rFonts w:ascii="Times New Roman" w:cs="Times New Roman" w:eastAsia="Times New Roman" w:hAnsi="Times New Roman"/>
          <w:sz w:val="18"/>
          <w:szCs w:val="18"/>
          <w:color w:val="auto"/>
        </w:rPr>
        <w:t>savings initiatives (approximately 4 points); lower benefit-related costs (approximately 1 point) and lower incentive compensation (approximately 1 point), partially offset by higher general administrative costs and inflation (approximately 6 points) and the impact of the acquisition (approximately 4 points).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Other expenses were $244 million in 2025 compared to $80 million in 2024. Other expenses in 2025 included impairment charges related to the </w:t>
      </w:r>
      <w:r>
        <w:rPr>
          <w:rFonts w:ascii="Times New Roman" w:cs="Times New Roman" w:eastAsia="Times New Roman" w:hAnsi="Times New Roman"/>
          <w:sz w:val="18"/>
          <w:szCs w:val="18"/>
          <w:i w:val="1"/>
          <w:iCs w:val="1"/>
          <w:color w:val="auto"/>
        </w:rPr>
        <w:t>Snyder's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Hanover</w:t>
      </w:r>
      <w:r>
        <w:rPr>
          <w:rFonts w:ascii="Times New Roman" w:cs="Times New Roman" w:eastAsia="Times New Roman" w:hAnsi="Times New Roman"/>
          <w:sz w:val="18"/>
          <w:szCs w:val="18"/>
          <w:color w:val="auto"/>
        </w:rPr>
        <w:t>, Allied brands and</w:t>
      </w:r>
      <w:r>
        <w:rPr>
          <w:rFonts w:ascii="Times New Roman" w:cs="Times New Roman" w:eastAsia="Times New Roman" w:hAnsi="Times New Roman"/>
          <w:sz w:val="18"/>
          <w:szCs w:val="18"/>
          <w:i w:val="1"/>
          <w:iCs w:val="1"/>
          <w:color w:val="auto"/>
        </w:rPr>
        <w:t xml:space="preserve"> Late July </w:t>
      </w:r>
      <w:r>
        <w:rPr>
          <w:rFonts w:ascii="Times New Roman" w:cs="Times New Roman" w:eastAsia="Times New Roman" w:hAnsi="Times New Roman"/>
          <w:sz w:val="18"/>
          <w:szCs w:val="18"/>
          <w:color w:val="auto"/>
        </w:rPr>
        <w:t>trademarks of $176 million, a loss of $25 million on the sale of the Pop Secret popcorn business, accelerated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expense of $20 million and a postretirement actuarial loss of $2 million. Other expenses in 2024 included costs associated with the acquisition of $35 million and accelerated amortization expense of $20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increased 2% in 2025 from 2024.</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180" w:type="dxa"/>
            <w:vAlign w:val="bottom"/>
          </w:tcPr>
          <w:p>
            <w:pPr>
              <w:spacing w:after="0"/>
              <w:rPr>
                <w:sz w:val="16"/>
                <w:szCs w:val="16"/>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489</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3"/>
              </w:rPr>
              <w:t>(18)</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1,277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1,252</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60" w:type="dxa"/>
            <w:vAlign w:val="bottom"/>
          </w:tcPr>
          <w:p>
            <w:pPr>
              <w:spacing w:after="0"/>
              <w:rPr>
                <w:sz w:val="19"/>
                <w:szCs w:val="19"/>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w:t>
      </w:r>
    </w:p>
    <w:p>
      <w:pPr>
        <w:spacing w:after="0" w:line="73"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Operating earnings from Meals &amp; Beverages increased 15%. The increase was primarily due to the benefit of the acquisition of Sovos Brands.</w:t>
      </w:r>
    </w:p>
    <w:p>
      <w:pPr>
        <w:spacing w:after="0" w:line="8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Operating earnings from Snacks decreased 18%. The decrease was primarily due to lower gross profit and higher marketing and selling expenses, partially offset by lower administrative expenses. Gross profit decreased primarily due to the impact of cost inflation and other supply chain costs, unfavorable volume/mix and unfavorable net price realization, partially offset by supply chain productivity improvements and benefits from cost savings initiatives.</w:t>
      </w:r>
    </w:p>
    <w:p>
      <w:pPr>
        <w:spacing w:after="0" w:line="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2025 included the following:</w:t>
      </w:r>
    </w:p>
    <w:p>
      <w:pPr>
        <w:spacing w:after="0" w:line="83" w:lineRule="exact"/>
        <w:rPr>
          <w:sz w:val="20"/>
          <w:szCs w:val="20"/>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$176 million of impairment charges related to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Allied brands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trademarks;</w:t>
      </w:r>
    </w:p>
    <w:p>
      <w:pPr>
        <w:spacing w:after="0" w:line="99"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$74 million related to costs savings and optimization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loss on the sale of the Pop Secret popcorn business;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of certain litigation expenses, including expenses related to Plum;</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postretirement actuarial loss;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of unrealized mark-to-market gains on outstanding undesignated commodity hedges;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insurance recoveries related to a cybersecurity incident.</w:t>
      </w:r>
    </w:p>
    <w:p>
      <w:pPr>
        <w:spacing w:after="0" w:line="389" w:lineRule="exact"/>
        <w:rPr>
          <w:sz w:val="20"/>
          <w:szCs w:val="20"/>
          <w:color w:val="auto"/>
        </w:rPr>
      </w:pPr>
    </w:p>
    <w:p>
      <w:pPr>
        <w:ind w:left="640" w:hanging="157"/>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million of costs associated with the acquisition of Sovos Brands;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$68 million related to cost savings and optimization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Plum litigation expenses;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costs associated with a cybersecurity incident;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of unrealized mark-to-market gains on outstanding undesignated commodity hedges.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of $260 million in 2025 increased from $165 million in 2024 primarily due to higher levels of debt and higher average interest rates on the debt portfolio.</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was 25.3% in 2025 and 25.3% in 2024. The effective tax rate was comparable primarily due to $15 million of tax expense related to the sale of the noosa yoghurt business, offset by nondeductible costs associated with the acquisition of Sovos Brands in the prior year and excess tax benefits associated with the vesting of stock-based compensation awards in the current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Cost Savings Initiatives and Other Optimization Initiatives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Inc.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4"/>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186"/>
        </w:trPr>
        <w:tc>
          <w:tcPr>
            <w:tcW w:w="6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4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these initiatives is as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24"/>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 the aggregate $895 million pre-tax costs incurred, approximately $720 million were cash expenditures.</w:t>
      </w:r>
    </w:p>
    <w:p>
      <w:pPr>
        <w:spacing w:after="0" w:line="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6"/>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Program</w:t>
            </w:r>
          </w:p>
        </w:tc>
      </w:tr>
      <w:tr>
        <w:trPr>
          <w:trHeight w:val="24"/>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5"/>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8"/>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July 28, 2024, we substantially completed the multi-year cost savings initiatives and Snyder's-Lance cost transformation program and integration, and we generated total pre-tax savings of approximately $950 million. Certain phases that had not been fully implemented were incorporated into the 2025 cost savings initiatives described below.</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Sovos Brands Integration Initiatives</w:t>
      </w:r>
    </w:p>
    <w:p>
      <w:pPr>
        <w:spacing w:after="0" w:line="10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See Note 3 to the Consolidated Financial Statements for additional information. We identified opportunities for cost synergies as we integrate Sovos Brands.</w:t>
      </w:r>
    </w:p>
    <w:p>
      <w:pPr>
        <w:spacing w:after="0" w:line="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three-month period ended April 28, 2024, we recorded Restructuring charges of $16 million for severance pay and benefits related to initiatives to achieve the synergies. In 2024, we recorded Restructuring charges of $21 million for severance pay and benefits related to initiatives to achieve the synergies and generated pre-tax savings of $10 million. The charges incurred in 2024 were associated with the Meals &amp; Beverages segment.</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2025, the initiatives to achieve synergies were incorporated into the cost savings initiatives described below.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Cost Savings Initiatives</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 Sovos Brands. As mentioned above, we substantially completed our previous multi-year cost savings initiatives and Snyder's-Lance cost transformation program and integration. Certain initiatives from that program have been incorporated into our 2025 cost savings initiatives. Cost estimates for the 2025 initiatives, as well as timing for certain activities, are continuing to be developed.</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the Consolidated Statement of Earnings related to these initiatives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4"/>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4"/>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40"/>
          </w:cols>
          <w:pgMar w:left="320" w:top="910" w:right="339" w:bottom="1440" w:gutter="0" w:footer="0" w:header="0"/>
        </w:sectPr>
      </w:pPr>
    </w:p>
    <w:p>
      <w:pPr>
        <w:ind w:left="320"/>
        <w:spacing w:after="0"/>
        <w:rPr>
          <w:sz w:val="20"/>
          <w:szCs w:val="20"/>
          <w:color w:val="auto"/>
        </w:rPr>
      </w:pPr>
      <w:r>
        <w:rPr>
          <w:rFonts w:ascii="Times New Roman" w:cs="Times New Roman" w:eastAsia="Times New Roman" w:hAnsi="Times New Roman"/>
          <w:sz w:val="17"/>
          <w:szCs w:val="17"/>
          <w:color w:val="auto"/>
        </w:rPr>
        <w:t>A summary of the pre-tax costs associated with the initiatives is as follows: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151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Recognized as of April</w:t>
      </w:r>
    </w:p>
    <w:p>
      <w:pPr>
        <w:spacing w:after="0" w:line="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27, 2025</w:t>
      </w:r>
    </w:p>
    <w:p>
      <w:pPr>
        <w:spacing w:after="0" w:line="26" w:lineRule="exact"/>
        <w:rPr>
          <w:sz w:val="20"/>
          <w:szCs w:val="20"/>
          <w:color w:val="auto"/>
        </w:rPr>
      </w:pPr>
    </w:p>
    <w:p>
      <w:pPr>
        <w:ind w:left="1304" w:hanging="1304"/>
        <w:spacing w:after="0"/>
        <w:tabs>
          <w:tab w:leader="none" w:pos="1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24" w:lineRule="exact"/>
        <w:rPr>
          <w:rFonts w:ascii="Times New Roman" w:cs="Times New Roman" w:eastAsia="Times New Roman" w:hAnsi="Times New Roman"/>
          <w:sz w:val="18"/>
          <w:szCs w:val="18"/>
          <w:color w:val="auto"/>
        </w:rPr>
      </w:pPr>
    </w:p>
    <w:p>
      <w:pPr>
        <w:ind w:left="1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18" w:lineRule="exact"/>
        <w:rPr>
          <w:rFonts w:ascii="Times New Roman" w:cs="Times New Roman" w:eastAsia="Times New Roman" w:hAnsi="Times New Roman"/>
          <w:sz w:val="18"/>
          <w:szCs w:val="18"/>
          <w:color w:val="auto"/>
        </w:rPr>
      </w:pPr>
    </w:p>
    <w:p>
      <w:pPr>
        <w:ind w:left="1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925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5" w:lineRule="exact"/>
        <w:rPr>
          <w:sz w:val="20"/>
          <w:szCs w:val="20"/>
          <w:color w:val="auto"/>
        </w:rPr>
      </w:pPr>
    </w:p>
    <w:p>
      <w:pPr>
        <w:ind w:left="1304" w:hanging="1304"/>
        <w:spacing w:after="0"/>
        <w:tabs>
          <w:tab w:leader="none" w:pos="13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25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40005</wp:posOffset>
            </wp:positionV>
            <wp:extent cx="9925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76" w:space="720"/>
            <w:col w:w="1544"/>
          </w:cols>
          <w:pgMar w:left="320" w:top="910" w:right="339" w:bottom="1440" w:gutter="0" w:footer="0" w:header="0"/>
          <w:type w:val="continuous"/>
        </w:sectPr>
      </w:pPr>
    </w:p>
    <w:p>
      <w:pPr>
        <w:spacing w:after="0" w:line="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$210 million, and we expect to incur substantially all of the costs through 2028. These estimates will be updated as the detailed plans are developed.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type w:val="continuous"/>
        </w:sectPr>
      </w:pPr>
    </w:p>
    <w:bookmarkStart w:id="39" w:name="page40"/>
    <w:bookmarkEnd w:id="39"/>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$25 million in severance pay and benefits; approximately $55 million in asset impairment and accelerated depreciation; and approximately $130 million in implementation costs and other related costs. We expect these pre-tax costs to be associated with our segments as follows: Meals &amp; Beverages - approximately 70%; Snacks - approximately 9% and Corporate - approximately 21%.</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$210 million of pre-tax costs identified to date, we expect approximately $150 million will be cash expenditures. In addition, we expect to invest approximately $215 million in capital expenditures, of which we invested $88 million as of April 27, 2025. The capital expenditures primarily relate to optimization of production within our manufacturing network, optimization of information technology infrastructure and applications and implementation of our existing SAP enterprise-resource planning system for Sovos Brands.</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$250 million by the end of 2028. As of April 27, 2025, we have generated total program-to-date pre-tax savings of $110 million.</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April 27, 2025</w:t>
            </w:r>
          </w:p>
        </w:tc>
        <w:tc>
          <w:tcPr>
            <w:tcW w:w="0" w:type="dxa"/>
            <w:vAlign w:val="bottom"/>
          </w:tcPr>
          <w:p>
            <w:pPr>
              <w:spacing w:after="0"/>
              <w:rPr>
                <w:sz w:val="1"/>
                <w:szCs w:val="1"/>
                <w:color w:val="auto"/>
              </w:rPr>
            </w:pPr>
          </w:p>
        </w:tc>
      </w:tr>
      <w:tr>
        <w:trPr>
          <w:trHeight w:val="24"/>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Optimization Initiatives</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 and nine-month periods ended April 27, 2025, we incurred $9 million and $17 million in Marketing and selling expenses and $1 million in Administrative expenses related to this initiative, respectively. In the three- and nine-month periods ended April 28, 2024, we incurred $5 million in Marketing and selling expenses related to this initiative. As of April 27, 2025, we have incurred $22 million in Marketing and selling expenses and $1 million in Administrative expenses related to this initiative.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$872 million in 2025, compared to $897 million in 2024. The decline in 2025 was primarily due to changes in working capital.</w:t>
      </w:r>
    </w:p>
    <w:p>
      <w:pPr>
        <w:spacing w:after="0" w:line="31"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We had negative working capital of $623 million as of April 27, 2025, and $1.386 billion as of July 28, 2024. Current assets were less than current liabilities, which included debt maturing in one year, due to a focus on lowering core working capital requirements. Total debt maturing within one year was $799 million as of April 27, 2025, and $1.423 billion as of July 28,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0" w:name="page41"/>
    <w:bookmarkEnd w:id="40"/>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approximately $254 million at April 27, 2025 and $243 million at July 28,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89"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Capital expenditures were $296 million in 2025 and $376 million in 2024. Capital expenditures in 2025 included chip and cracker capacity expansion for our Snacks business, network optimization for our Meals &amp; Beverages business and enhancements to our headquarters in Camden, New Jersey. Capital expenditures are expected to total approximately $450 million in 2025.</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we have a direct-store-delivery distribution model that uses independent contractor distributors. From time to time, we purchase and sell routes, including certain routes under our optimization initiatives. The purchase and sale proceeds of the routes are reflected in investing activities.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sold our Pop Secret popcorn business for $70 million and on February 24, 2025, we sold the noosa yoghurt business for $188 million, subject to certain customary purchase price adjustments.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Cash consideration was $2.857 billion. The acquisition was funded through the 2024 DDTL Credit Agreement of $2 billion and cash on hand.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Dividend payments were $343 million in 2025 and $334 million in 2024. The regular quarterly dividend paid on our capital stock was $.39 and $.37 per share in the third quarter of 2025 and 2024, respectively. On February 26, 2025, the Board of Directors declared a regular quarterly dividend of $.39 per share payable on April 28, 2025 to shareholders of record at the close of business on April 3, 2025. On May 13, 2025, the Board of Directors declared a regular quarterly dividend of $.39 per share payable on August 4, 2025 to shareholders of record at the close of business on July 3, 2025.</w:t>
      </w:r>
    </w:p>
    <w:p>
      <w:pPr>
        <w:spacing w:after="0" w:line="6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 During the nine-month periods ended April 27, 2025 and April 28, 2024, we repurchased 1.247 million shares at a cost of $60 million and 1.08 million shares at a cost of $46 million, respectively, pursuant to our anti-dilutive share repurchase programs. As of April 27, 2025, approximately $200 million remained available under the September 2024 program and approximately $301 million remained available under the September 2021 program. See Note 15 to the Consolidated Financial Statements and “Unregistered Sales of Equity Securities and Use of Proceeds” for additional information.</w:t>
      </w:r>
    </w:p>
    <w:p>
      <w:pPr>
        <w:spacing w:after="0" w:line="5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10, 2023, we entered into the 2024 DDTL Credit Agreement totaling up to $2 billion scheduled to mature on October 8, 2024. Loans under the 2024 DDTL Credit Agreement bear interest at the rates specified in the 2024 DDTL Credit Agreement, which vary based on the type of loan and certain other conditions. The 2024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2024 DDTL Credit Agreement) of not less than 3.25:1.00, and events of default for credit facilities of this type. The proceeds of the loans under the 2024 DDTL Credit Agreement could only be used in connection with the acquisition of Sovos Brands and the payment of fees and expenses incurred in connection therewith. On March 12, 2024, we borrowed $2 billion under the 2024 DDTL Credit Agreement and used the proceeds in order to fund the acquisition of Sovos Brands, along with the fees and expenses incurred in connection therewith.</w:t>
      </w:r>
    </w:p>
    <w:p>
      <w:pPr>
        <w:spacing w:after="0" w:line="7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8"/>
          <w:szCs w:val="18"/>
          <w:color w:val="auto"/>
        </w:rPr>
        <w:t>On October 2, 2024, pursuant to the registration statement, we completed the issuance of senior unsecured notes of $1.15 billion, consisting of:</w:t>
      </w:r>
    </w:p>
    <w:p>
      <w:pPr>
        <w:spacing w:after="0" w:line="85" w:lineRule="exact"/>
        <w:rPr>
          <w:sz w:val="20"/>
          <w:szCs w:val="20"/>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notes bearing interest at a fixed rate of 4.75% per annum, due March 23, 2035, with interest payable semi-annually on each of March 23 and September 23 commencing March 23, 2025;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aggregate principal amount of notes bearing interest at a fixed rate of 5.25% per annum, due October 13, 2054, with interest payable semi-annually on each of April 13 and October 13 commencing April 13, 2025.</w:t>
      </w:r>
    </w:p>
    <w:p>
      <w:pPr>
        <w:spacing w:after="0" w:line="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our 2022 Delayed Draw Term Loan Credit Agreement (the 2022 DDTL Credit Agreement) due November 15, 2025 and a portion of our outstanding commercial paper. In November 2024, we repaid the remaining $200 million outstanding under the 2022 DDTL Credit Agreement. In March 2025, we used a portion of the net proceeds from the issuance of the notes along with cash on hand and the issuance of commercial paper to repay a $1.15 billion aggregate principal amount of senior notes that matured in March 2025.</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March 19, 2024, pursuant to the registration statement, we issued senior unsecured notes of $2.5 billion, consisting of:</w:t>
      </w:r>
    </w:p>
    <w:p>
      <w:pPr>
        <w:spacing w:after="0" w:line="98" w:lineRule="exact"/>
        <w:rPr>
          <w:sz w:val="20"/>
          <w:szCs w:val="20"/>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aggregate principal amount of notes bearing interest at a fixed rate of 5.30% per annum, due March 20, 2026, with interest payable semi-annually on each of March 20 and September 20 commencing September 20, 2024;</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aggregate principal amount of notes bearing interest at a fixed rate of 5.20% per annum, due March 19, 2027, with interest payable semi-annually on each of March 19 and September 19 commencing September 19, 2024;</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aggregate principal amount of notes bearing interest at a fixed rate of 5.20% per annum, due March 21, 2029, with interest payable semi-annually on each of March 21 and September 21 commencing September 21, 2024; and</w:t>
      </w:r>
    </w:p>
    <w:p>
      <w:pPr>
        <w:spacing w:after="0" w:line="4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billion aggregate principal amount of notes bearing interest at a fixed rate of 5.40% per annum, due March 21, 2034, with interest payable semi-annually on each of March 21 and September 21 commencing September 21, 2024.</w:t>
      </w:r>
    </w:p>
    <w:p>
      <w:pPr>
        <w:spacing w:after="0" w:line="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We used the net proceeds from the sale of the notes to repay the $2 billion of outstanding borrowings under the 2024 DDTL Credit Agreement used to fund the Sovos Brands acquisition, including fees and expenses in connection therewith, and the remainder of the net proceeds to repay commercial paper.</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5, 2024, we repaid $100 million of the $500 million outstanding under the 2022 DDTL Credit Agreement due November 15, 2025.</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April 27, 2025, we had $799 million of short-term borrowings due within one year, of which $370 million was comprised of commercial paper borrowings. As of April 27, 2025, we issued $27 million of standby letters of credit.</w:t>
      </w:r>
    </w:p>
    <w:p>
      <w:pPr>
        <w:spacing w:after="0" w:line="4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The 2024 Revolving Credit Facility Agreement remained unused at April 27, 2025,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2" w:name="page43"/>
    <w:bookmarkEnd w:id="42"/>
    <w:p>
      <w:pPr>
        <w:jc w:val="both"/>
        <w:spacing w:after="0" w:line="220" w:lineRule="exact"/>
        <w:rPr>
          <w:sz w:val="20"/>
          <w:szCs w:val="20"/>
          <w:color w:val="auto"/>
        </w:rPr>
      </w:pPr>
      <w:r>
        <w:rPr>
          <w:rFonts w:ascii="Times New Roman" w:cs="Times New Roman" w:eastAsia="Times New Roman" w:hAnsi="Times New Roman"/>
          <w:sz w:val="18"/>
          <w:szCs w:val="18"/>
          <w:color w:val="auto"/>
        </w:rPr>
        <w:t>during the periods presented. Actual results could differ from those estimates and assumptions. Our significant accounting policies are described in Note 1 to the Consolidated Financial Statements in the Annual Report on Form 10-K for the year ended July 28, 2024 (2024 Annual Report on Form 10-K). The accounting policies we used in preparing these financial statements are substantially consistent with those we applied in our 2024 Annual Report on Form 10-K. The following areas all require the use of subjective or complex judgments, estimates or assumptions: trade and consumer promotion programs; the valuation of long-lived assets; pension and postretirement benefits and income taxes. Our critical accounting estimates are described in Management’s Discussion and Analysis included in the 2024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3"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long-lived assets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valuation of long-lived assets is an area that requires the use of subjective or complex judgments, estimates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assumptions. Goodwill and intangible assets deemed to have indefinite lives are not amortized but rather are tested at least annually in the fourth quarter for impairment, or more often if events or changes in circumstances indicate that the carrying amount of the asset may be impaired.</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Second Quarter Assessment</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During the second quarter of 2025, we performed an interim impairment assessment on certain salty snacks and cookie trademarks within our Snacks segment, including </w:t>
      </w:r>
      <w:r>
        <w:rPr>
          <w:rFonts w:ascii="Times New Roman" w:cs="Times New Roman" w:eastAsia="Times New Roman" w:hAnsi="Times New Roman"/>
          <w:sz w:val="18"/>
          <w:szCs w:val="18"/>
          <w:i w:val="1"/>
          <w:iCs w:val="1"/>
          <w:color w:val="auto"/>
        </w:rPr>
        <w:t>Tom’s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Kruncher’s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O-Ke-Doke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Stella D’oro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Archway</w:t>
      </w:r>
      <w:r>
        <w:rPr>
          <w:rFonts w:ascii="Times New Roman" w:cs="Times New Roman" w:eastAsia="Times New Roman" w:hAnsi="Times New Roman"/>
          <w:sz w:val="18"/>
          <w:szCs w:val="18"/>
          <w:color w:val="auto"/>
        </w:rPr>
        <w:t>, collectively referred to as our "Allied brands." In 2025, sales performance was below expectations. In the second quarter of 2025, based on recent performance, we lowered our long-term outlook and recognized an impairment charge of $15 million on the Allied brands trademarks, reducing the carrying value to $28 million.</w:t>
      </w:r>
    </w:p>
    <w:p>
      <w:pPr>
        <w:spacing w:after="0" w:line="33"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color w:val="auto"/>
        </w:rPr>
        <w:t xml:space="preserve">During the second quarter of 2025, we performed an interim impairment assessment on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within our Snacks segment. In 2025, sales performance was below expectations. In the second quarter of 2025, based on recent performance, we lowered our long-term outlook and recognized an impairment charge of $11 million on the trademark, reducing the carrying value to $47 million.</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Third Quarter Assessment</w:t>
      </w:r>
    </w:p>
    <w:p>
      <w:pPr>
        <w:spacing w:after="0" w:line="71"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color w:val="auto"/>
        </w:rPr>
        <w:t xml:space="preserve">During the third quarter of 2025, we performed an interim impairment assessment on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trademark within our Snacks segment. In 2025, sales and operating performance were below expectations. In the third quarter of 2025, based on recent performance, we lowered our long-term outlook and recognized an impairment charge of $150 million on the trademark, reducing the carrying value to $470 million.</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impairment charges were recorded in Other expenses / (income) in the Consolidated Statement of Earnings.</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April 27, 2025, the carrying value of indefinite-lived trademarks was $3.678 billion as detailed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9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Rao's</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5"/>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5"/>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5"/>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5"/>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5"/>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5"/>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Cape Cod</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5"/>
        </w:trPr>
        <w:tc>
          <w:tcPr>
            <w:tcW w:w="970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(1)</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1" w:lineRule="exact"/>
        <w:rPr>
          <w:sz w:val="20"/>
          <w:szCs w:val="20"/>
          <w:color w:val="auto"/>
        </w:rPr>
      </w:pPr>
    </w:p>
    <w:p>
      <w:pPr>
        <w:ind w:left="360" w:hanging="354"/>
        <w:spacing w:after="0"/>
        <w:tabs>
          <w:tab w:leader="none" w:pos="36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and Allied brands trademarks.</w:t>
      </w:r>
    </w:p>
    <w:p>
      <w:pPr>
        <w:spacing w:after="0" w:line="67"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 xml:space="preserve">The $1.47 billion carrying value of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trademark associated with the Sovos Brands acquisition approximates fair value. Holding all other assumptions used in the acquisition valuation measurement constant, changes in the assumptions below would reduce the fair value of this trademark and result in impairment charges of approximately: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i w:val="1"/>
                <w:iCs w:val="1"/>
                <w:color w:val="auto"/>
              </w:rPr>
              <w:t>Rao's</w:t>
            </w:r>
          </w:p>
        </w:tc>
      </w:tr>
      <w:tr>
        <w:trPr>
          <w:trHeight w:val="24"/>
        </w:trPr>
        <w:tc>
          <w:tcPr>
            <w:tcW w:w="10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10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increase in the weighted-average cost of capital</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5"/>
        </w:trPr>
        <w:tc>
          <w:tcPr>
            <w:tcW w:w="10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reduction in revenue growth</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5"/>
        </w:trPr>
        <w:tc>
          <w:tcPr>
            <w:tcW w:w="10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decrease in royalty rate</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bl>
    <w:p>
      <w:pPr>
        <w:spacing w:after="0" w:line="139"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color w:val="auto"/>
        </w:rPr>
        <w:t xml:space="preserve">Excluding the carrying value of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trademark, based on the 2024 annual impairment testing and interim assessments described above, indefinite-lived trademarks with approximately 10% or less of excess coverage of fair value over carrying value had an aggregate carrying value of $1.117 billion as of April 27, 2025, and included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 xml:space="preserve">Pacific Foods, Late July </w:t>
      </w:r>
      <w:r>
        <w:rPr>
          <w:rFonts w:ascii="Times New Roman" w:cs="Times New Roman" w:eastAsia="Times New Roman" w:hAnsi="Times New Roman"/>
          <w:sz w:val="18"/>
          <w:szCs w:val="18"/>
          <w:color w:val="auto"/>
        </w:rPr>
        <w:t>and Allied brands trademarks.</w:t>
      </w:r>
    </w:p>
    <w:p>
      <w:pPr>
        <w:spacing w:after="0" w:line="73"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Although assumptions are generally interdependent and do not change in isolation, sensitivities to changes are provided below. Holding all other assumptions in our impairment assessments constant, changes in the assumptions below would reduce fair value of trademarks and result in impairment charges of approximately: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Snyder's of</w:t>
            </w:r>
          </w:p>
        </w:tc>
        <w:tc>
          <w:tcPr>
            <w:tcW w:w="200" w:type="dxa"/>
            <w:vAlign w:val="bottom"/>
          </w:tcPr>
          <w:p>
            <w:pPr>
              <w:spacing w:after="0"/>
              <w:rPr>
                <w:sz w:val="13"/>
                <w:szCs w:val="13"/>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Pace</w:t>
            </w:r>
            <w:r>
              <w:rPr>
                <w:rFonts w:ascii="Times New Roman" w:cs="Times New Roman" w:eastAsia="Times New Roman" w:hAnsi="Times New Roman"/>
                <w:sz w:val="18"/>
                <w:szCs w:val="18"/>
                <w:b w:val="1"/>
                <w:bCs w:val="1"/>
                <w:color w:val="auto"/>
                <w:vertAlign w:val="superscript"/>
              </w:rPr>
              <w:t>(2)</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Pacific Foods</w:t>
            </w:r>
            <w:r>
              <w:rPr>
                <w:rFonts w:ascii="Times New Roman" w:cs="Times New Roman" w:eastAsia="Times New Roman" w:hAnsi="Times New Roman"/>
                <w:sz w:val="18"/>
                <w:szCs w:val="18"/>
                <w:b w:val="1"/>
                <w:bCs w:val="1"/>
                <w:color w:val="auto"/>
                <w:vertAlign w:val="superscript"/>
              </w:rPr>
              <w:t>(2)</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Allied brands</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3"/>
                <w:szCs w:val="13"/>
                <w:color w:val="auto"/>
              </w:rPr>
            </w:pPr>
          </w:p>
        </w:tc>
        <w:tc>
          <w:tcPr>
            <w:tcW w:w="8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i w:val="1"/>
                <w:iCs w:val="1"/>
                <w:color w:val="auto"/>
                <w:w w:val="99"/>
              </w:rPr>
              <w:t>Late July</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99"/>
        </w:trPr>
        <w:tc>
          <w:tcPr>
            <w:tcW w:w="5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Hanover</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increase in the weighted-average cost of capital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reduction in revenue growth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decrease in royalty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2025 interim impairment testing.</w:t>
      </w:r>
    </w:p>
    <w:p>
      <w:pPr>
        <w:spacing w:after="0" w:line="67" w:lineRule="exact"/>
        <w:rPr>
          <w:rFonts w:ascii="Times New Roman" w:cs="Times New Roman" w:eastAsia="Times New Roman" w:hAnsi="Times New Roman"/>
          <w:sz w:val="23"/>
          <w:szCs w:val="23"/>
          <w:color w:val="auto"/>
          <w:vertAlign w:val="superscript"/>
        </w:rPr>
      </w:pPr>
    </w:p>
    <w:p>
      <w:pPr>
        <w:ind w:left="320" w:hanging="314"/>
        <w:spacing w:after="0" w:line="203" w:lineRule="auto"/>
        <w:tabs>
          <w:tab w:leader="none" w:pos="32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2024 annual impairment testing.</w:t>
      </w:r>
    </w:p>
    <w:p>
      <w:pPr>
        <w:spacing w:after="0" w:line="81"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8"/>
          <w:szCs w:val="18"/>
          <w:color w:val="auto"/>
        </w:rPr>
        <w:t xml:space="preserve">While the 1% changes in assumptions would not result in impairment charges on our other trademarks, some changes would reduce the excess coverage of fair value over carrying value to less than 10% for the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trademark.</w:t>
      </w:r>
    </w:p>
    <w:p>
      <w:pPr>
        <w:spacing w:after="0" w:line="5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estimates of future cash flows used in impairment testing are made at a point in time, involve considerable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including the potential impact of tariffs. If our assumptions change or market conditions decline, potential impairment charges could result.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2024 Annual Report on Form 10-K, could affect our actual results and could cause such results to vary materially from those expressed in any forward-looking statements made by, or on behalf of, us:</w:t>
      </w:r>
    </w:p>
    <w:p>
      <w:pPr>
        <w:spacing w:after="0" w:line="45" w:lineRule="exact"/>
        <w:rPr>
          <w:sz w:val="20"/>
          <w:szCs w:val="20"/>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imposed and threatened tariffs by the U.S. and reciprocal tariffs by its trading partners;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 including those related to tariffs;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reliance on key contract manufacturer and supplier relationships;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or volatility in financial markets, deteriorating economic conditions and other external factors, including the impact and application of new or changes to existing governmental laws, regulations, and policies;</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growing sales in snacks and growing/maintaining our market share position in soup;</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17" w:lineRule="exact"/>
        <w:rPr>
          <w:rFonts w:ascii="Times New Roman" w:cs="Times New Roman" w:eastAsia="Times New Roman" w:hAnsi="Times New Roman"/>
          <w:sz w:val="18"/>
          <w:szCs w:val="18"/>
          <w:color w:val="auto"/>
        </w:rPr>
      </w:pPr>
    </w:p>
    <w:p>
      <w:pPr>
        <w:ind w:left="640" w:right="300" w:hanging="316"/>
        <w:spacing w:after="0" w:line="258"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4" w:name="page45"/>
    <w:bookmarkEnd w:id="44"/>
    <w:p>
      <w:pPr>
        <w:ind w:left="640" w:hanging="316"/>
        <w:spacing w:after="0" w:line="304" w:lineRule="auto"/>
        <w:tabs>
          <w:tab w:leader="none" w:pos="63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cost savings and any other synergies from the Sovos Brands transaction may not be fully realized or may take longer or cost more to be realized than expected, including that the Sovos Brands transaction may not be accretive within the expected timeframe or the extent anticipated;</w:t>
      </w:r>
    </w:p>
    <w:p>
      <w:pPr>
        <w:spacing w:after="0" w:line="8"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ability to pay such indebtedness; and</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terrorism, geopolitical conflicts, extreme weather conditions, natural disasters, pandemics or other outbreaks of disease or other calamities.</w:t>
      </w:r>
    </w:p>
    <w:p>
      <w:pPr>
        <w:spacing w:after="0" w:line="3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0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the 2024 Annual Report on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April 27, 2025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79" w:lineRule="exact"/>
        <w:rPr>
          <w:sz w:val="20"/>
          <w:szCs w:val="20"/>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April 27, 2025.</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5" w:name="page46"/>
    <w:bookmarkEnd w:id="4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17 to the Consolidated Financial Statements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April 27, 2025 was: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40" w:type="dxa"/>
            <w:vAlign w:val="bottom"/>
          </w:tcPr>
          <w:p>
            <w:pPr>
              <w:spacing w:after="0"/>
              <w:rPr>
                <w:sz w:val="12"/>
                <w:szCs w:val="12"/>
                <w:color w:val="auto"/>
              </w:rPr>
            </w:pPr>
          </w:p>
        </w:tc>
        <w:tc>
          <w:tcPr>
            <w:tcW w:w="13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1"/>
                <w:szCs w:val="11"/>
                <w:color w:val="auto"/>
              </w:rPr>
            </w:pPr>
          </w:p>
        </w:tc>
        <w:tc>
          <w:tcPr>
            <w:tcW w:w="1360" w:type="dxa"/>
            <w:vAlign w:val="bottom"/>
            <w:gridSpan w:val="2"/>
          </w:tcPr>
          <w:p>
            <w:pPr>
              <w:jc w:val="center"/>
              <w:ind w:right="540"/>
              <w:spacing w:after="0" w:line="133"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Purchased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2"/>
                <w:szCs w:val="12"/>
                <w:color w:val="auto"/>
              </w:rPr>
            </w:pPr>
          </w:p>
        </w:tc>
        <w:tc>
          <w:tcPr>
            <w:tcW w:w="1360" w:type="dxa"/>
            <w:vAlign w:val="bottom"/>
            <w:gridSpan w:val="2"/>
          </w:tcPr>
          <w:p>
            <w:pPr>
              <w:jc w:val="center"/>
              <w:ind w:right="54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Per Share </w:t>
            </w:r>
            <w:r>
              <w:rPr>
                <w:rFonts w:ascii="Times New Roman" w:cs="Times New Roman" w:eastAsia="Times New Roman" w:hAnsi="Times New Roman"/>
                <w:sz w:val="14"/>
                <w:szCs w:val="14"/>
                <w:b w:val="1"/>
                <w:bCs w:val="1"/>
                <w:color w:val="auto"/>
                <w:vertAlign w:val="superscript"/>
              </w:rPr>
              <w:t>(2)</w:t>
            </w:r>
          </w:p>
        </w:tc>
        <w:tc>
          <w:tcPr>
            <w:tcW w:w="204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14"/>
                <w:szCs w:val="14"/>
                <w:b w:val="1"/>
                <w:bCs w:val="1"/>
                <w:color w:val="auto"/>
                <w:vertAlign w:val="superscript"/>
              </w:rPr>
              <w:t>(3)</w:t>
            </w:r>
          </w:p>
        </w:tc>
        <w:tc>
          <w:tcPr>
            <w:tcW w:w="160" w:type="dxa"/>
            <w:vAlign w:val="bottom"/>
          </w:tcPr>
          <w:p>
            <w:pPr>
              <w:spacing w:after="0"/>
              <w:rPr>
                <w:sz w:val="12"/>
                <w:szCs w:val="12"/>
                <w:color w:val="auto"/>
              </w:rPr>
            </w:pPr>
          </w:p>
        </w:tc>
        <w:tc>
          <w:tcPr>
            <w:tcW w:w="12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1/27/25 - 2/28/25</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3/3/25 - 3/31/25</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97,330</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40.19</w:t>
            </w:r>
          </w:p>
        </w:tc>
        <w:tc>
          <w:tcPr>
            <w:tcW w:w="380" w:type="dxa"/>
            <w:vAlign w:val="bottom"/>
          </w:tcPr>
          <w:p>
            <w:pPr>
              <w:spacing w:after="0"/>
              <w:rPr>
                <w:sz w:val="19"/>
                <w:szCs w:val="19"/>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97,330</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4/1/25 - 4/25/25</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15,622</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39.79</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15,622</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112,952</w:t>
            </w:r>
          </w:p>
        </w:tc>
        <w:tc>
          <w:tcPr>
            <w:tcW w:w="3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40.14</w:t>
            </w:r>
          </w:p>
        </w:tc>
        <w:tc>
          <w:tcPr>
            <w:tcW w:w="380" w:type="dxa"/>
            <w:vAlign w:val="bottom"/>
          </w:tcPr>
          <w:p>
            <w:pPr>
              <w:spacing w:after="0"/>
              <w:rPr>
                <w:sz w:val="20"/>
                <w:szCs w:val="20"/>
                <w:color w:val="auto"/>
              </w:rPr>
            </w:pPr>
          </w:p>
        </w:tc>
        <w:tc>
          <w:tcPr>
            <w:tcW w:w="1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112,952</w:t>
            </w:r>
          </w:p>
        </w:tc>
        <w:tc>
          <w:tcPr>
            <w:tcW w:w="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760" w:type="dxa"/>
            <w:vAlign w:val="bottom"/>
            <w:gridSpan w:val="4"/>
            <w:vMerge w:val="restart"/>
          </w:tcPr>
          <w:p>
            <w:pPr>
              <w:jc w:val="right"/>
              <w:ind w:right="1900"/>
              <w:spacing w:after="0"/>
              <w:rPr>
                <w:sz w:val="20"/>
                <w:szCs w:val="20"/>
                <w:color w:val="auto"/>
              </w:rPr>
            </w:pPr>
            <w:r>
              <w:rPr>
                <w:rFonts w:ascii="Times New Roman" w:cs="Times New Roman" w:eastAsia="Times New Roman" w:hAnsi="Times New Roman"/>
                <w:sz w:val="16"/>
                <w:szCs w:val="16"/>
                <w:color w:val="auto"/>
                <w:w w:val="98"/>
              </w:rPr>
              <w:t>____________________________________</w:t>
            </w: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76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20" w:hanging="314"/>
        <w:spacing w:after="0"/>
        <w:tabs>
          <w:tab w:leader="none" w:pos="32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jc w:val="both"/>
        <w:ind w:left="320" w:right="100" w:hanging="314"/>
        <w:spacing w:after="0" w:line="224" w:lineRule="auto"/>
        <w:tabs>
          <w:tab w:leader="none" w:pos="30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2" w:lineRule="exact"/>
        <w:rPr>
          <w:rFonts w:ascii="Times New Roman" w:cs="Times New Roman" w:eastAsia="Times New Roman" w:hAnsi="Times New Roman"/>
          <w:sz w:val="23"/>
          <w:szCs w:val="23"/>
          <w:color w:val="auto"/>
          <w:vertAlign w:val="superscript"/>
        </w:rPr>
      </w:pPr>
    </w:p>
    <w:p>
      <w:pPr>
        <w:jc w:val="both"/>
        <w:ind w:left="320" w:right="100" w:hanging="314"/>
        <w:spacing w:after="0" w:line="236" w:lineRule="auto"/>
        <w:tabs>
          <w:tab w:leader="none" w:pos="30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89" w:lineRule="exact"/>
        <w:rPr>
          <w:sz w:val="20"/>
          <w:szCs w:val="20"/>
          <w:color w:val="auto"/>
        </w:rPr>
      </w:pPr>
    </w:p>
    <w:p>
      <w:pPr>
        <w:jc w:val="both"/>
        <w:ind w:right="100" w:firstLine="318"/>
        <w:spacing w:after="0" w:line="282" w:lineRule="auto"/>
        <w:rPr>
          <w:sz w:val="20"/>
          <w:szCs w:val="20"/>
          <w:color w:val="auto"/>
        </w:rPr>
      </w:pPr>
      <w:r>
        <w:rPr>
          <w:rFonts w:ascii="Times New Roman" w:cs="Times New Roman" w:eastAsia="Times New Roman" w:hAnsi="Times New Roman"/>
          <w:sz w:val="17"/>
          <w:szCs w:val="17"/>
          <w:color w:val="auto"/>
        </w:rPr>
        <w:t>During the quarter ended April 27, 2025, none of our directors or officers (as defined in Rule 16a-1(f) under the Securities Exchange Act of 1934, as amended)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67" w:right="239" w:bottom="1440" w:gutter="0" w:footer="0" w:header="0"/>
        </w:sectPr>
      </w:pPr>
    </w:p>
    <w:bookmarkStart w:id="46" w:name="page47"/>
    <w:bookmarkEnd w:id="46"/>
    <w:tbl>
      <w:tblPr>
        <w:tblLayout w:type="fixed"/>
        <w:tblInd w:w="3"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9880" w:type="dxa"/>
            <w:vAlign w:val="bottom"/>
            <w:gridSpan w:val="5"/>
          </w:tcPr>
          <w:p>
            <w:pPr>
              <w:ind w:left="364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Certification of Mick J. Beekhuizen pursuant to Rule 13a-14(a).</w:t>
            </w:r>
          </w:p>
        </w:tc>
        <w:tc>
          <w:tcPr>
            <w:tcW w:w="5360" w:type="dxa"/>
            <w:vAlign w:val="bottom"/>
            <w:gridSpan w:val="3"/>
          </w:tcPr>
          <w:p>
            <w:pPr>
              <w:spacing w:after="0"/>
              <w:rPr>
                <w:sz w:val="24"/>
                <w:szCs w:val="24"/>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Mick J. Beekhuizen pursuant to 18 U.S.C. Section 1350.</w:t>
            </w: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1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Carrie L. Anderson pursuant to 18 U.S.C. Section 1350.</w:t>
            </w:r>
          </w:p>
        </w:tc>
        <w:tc>
          <w:tcPr>
            <w:tcW w:w="47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left="1103" w:hanging="1103"/>
        <w:spacing w:after="0"/>
        <w:tabs>
          <w:tab w:leader="none" w:pos="11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6" w:lineRule="exact"/>
        <w:rPr>
          <w:rFonts w:ascii="Times New Roman" w:cs="Times New Roman" w:eastAsia="Times New Roman" w:hAnsi="Times New Roman"/>
          <w:sz w:val="18"/>
          <w:szCs w:val="18"/>
          <w:color w:val="auto"/>
        </w:rPr>
      </w:pPr>
    </w:p>
    <w:p>
      <w:pPr>
        <w:ind w:left="55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83"/>
          </w:cols>
          <w:pgMar w:left="357" w:top="969" w:right="559" w:bottom="1440" w:gutter="0" w:footer="0" w:header="0"/>
        </w:sectPr>
      </w:pPr>
    </w:p>
    <w:bookmarkStart w:id="47" w:name="page48"/>
    <w:bookmarkEnd w:id="4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2025</w:t>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874" w:right="4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Mick J. Beekhuizen, certify that:</w:t>
      </w:r>
    </w:p>
    <w:p>
      <w:pPr>
        <w:spacing w:after="0" w:line="164" w:lineRule="exact"/>
        <w:rPr>
          <w:sz w:val="20"/>
          <w:szCs w:val="20"/>
          <w:color w:val="auto"/>
        </w:rPr>
      </w:pPr>
    </w:p>
    <w:p>
      <w:pPr>
        <w:ind w:left="380" w:hanging="175"/>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2025</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14605</wp:posOffset>
            </wp:positionV>
            <wp:extent cx="3180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2">
            <w:col w:w="5140" w:space="360"/>
            <w:col w:w="5740"/>
          </w:cols>
          <w:pgMar w:left="320" w:top="874" w:right="339"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L. Anderson, certify that:</w:t>
      </w:r>
    </w:p>
    <w:p>
      <w:pPr>
        <w:spacing w:after="0" w:line="164" w:lineRule="exact"/>
        <w:rPr>
          <w:sz w:val="20"/>
          <w:szCs w:val="20"/>
          <w:color w:val="auto"/>
        </w:rPr>
      </w:pPr>
    </w:p>
    <w:p>
      <w:pPr>
        <w:ind w:left="380" w:hanging="175"/>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2025</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Carrie L. Anderson</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7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jc w:val="both"/>
        <w:ind w:right="46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April 27, 2025 (the “Report”), I, Mick J. Beekhuizen,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2025</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14605</wp:posOffset>
            </wp:positionV>
            <wp:extent cx="31553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Name:</w:t>
      </w:r>
    </w:p>
    <w:p>
      <w:pPr>
        <w:spacing w:after="0" w:line="3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1" w:lineRule="exact"/>
        <w:rPr>
          <w:sz w:val="20"/>
          <w:szCs w:val="20"/>
          <w:color w:val="auto"/>
        </w:rPr>
      </w:pPr>
    </w:p>
    <w:p>
      <w:pPr>
        <w:sectPr>
          <w:pgSz w:w="11900" w:h="16838" w:orient="portrait"/>
          <w:cols w:equalWidth="0" w:num="2">
            <w:col w:w="5060" w:space="36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2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April 27, 2025 (the “Report”), I, Carrie L. Anderson, Executive Vice President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2025</w:t>
      </w:r>
    </w:p>
    <w:p>
      <w:pPr>
        <w:spacing w:after="0" w:line="45" w:lineRule="exact"/>
        <w:rPr>
          <w:sz w:val="20"/>
          <w:szCs w:val="20"/>
          <w:color w:val="auto"/>
        </w:rPr>
      </w:pPr>
    </w:p>
    <w:p>
      <w:pPr>
        <w:ind w:left="416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14605</wp:posOffset>
            </wp:positionV>
            <wp:extent cx="37776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5080" w:space="34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3"/>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7"/>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2"/>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104"/>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2025-06-02T06:24:52Z</dcterms:created>
  <dcterms:modified xsi:type="dcterms:W3CDTF">2025-06-02T06:24:52Z</dcterms:modified>
</cp:coreProperties>
</file>