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59" w:lineRule="exact"/>
        <w:rPr>
          <w:sz w:val="24"/>
          <w:szCs w:val="24"/>
          <w:color w:val="auto"/>
        </w:rPr>
      </w:pPr>
    </w:p>
    <w:p>
      <w:pPr>
        <w:ind w:left="400"/>
        <w:spacing w:after="0"/>
        <w:tabs>
          <w:tab w:leader="none" w:pos="85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Commission File Number</w:t>
      </w:r>
    </w:p>
    <w:p>
      <w:pPr>
        <w:spacing w:after="0" w:line="27" w:lineRule="exact"/>
        <w:rPr>
          <w:sz w:val="24"/>
          <w:szCs w:val="24"/>
          <w:color w:val="auto"/>
        </w:rPr>
      </w:pPr>
    </w:p>
    <w:p>
      <w:pPr>
        <w:ind w:left="1200"/>
        <w:spacing w:after="0"/>
        <w:tabs>
          <w:tab w:leader="none" w:pos="9320" w:val="left"/>
        </w:tabs>
        <w:rPr>
          <w:sz w:val="20"/>
          <w:szCs w:val="20"/>
          <w:color w:val="auto"/>
        </w:rPr>
      </w:pPr>
      <w:r>
        <w:rPr>
          <w:rFonts w:ascii="Arial" w:cs="Arial" w:eastAsia="Arial" w:hAnsi="Arial"/>
          <w:sz w:val="18"/>
          <w:szCs w:val="18"/>
          <w:b w:val="1"/>
          <w:bCs w:val="1"/>
          <w:color w:val="auto"/>
        </w:rPr>
        <w:t>May 2, 2021</w:t>
      </w:r>
      <w:r>
        <w:rPr>
          <w:sz w:val="20"/>
          <w:szCs w:val="20"/>
          <w:color w:val="auto"/>
        </w:rPr>
        <w:tab/>
      </w:r>
      <w:r>
        <w:rPr>
          <w:rFonts w:ascii="Arial" w:cs="Arial" w:eastAsia="Arial" w:hAnsi="Arial"/>
          <w:sz w:val="16"/>
          <w:szCs w:val="16"/>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CAMPBELL SOUP COMPANY</w:t>
      </w:r>
    </w:p>
    <w:p>
      <w:pPr>
        <w:spacing w:after="0" w:line="65"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6"/>
          <w:szCs w:val="16"/>
          <w:b w:val="1"/>
          <w:bCs w:val="1"/>
          <w:color w:val="auto"/>
        </w:rPr>
        <w:t>21-0419870</w:t>
      </w:r>
    </w:p>
    <w:p>
      <w:pPr>
        <w:spacing w:after="0" w:line="27" w:lineRule="exact"/>
        <w:rPr>
          <w:sz w:val="24"/>
          <w:szCs w:val="24"/>
          <w:color w:val="auto"/>
        </w:rPr>
      </w:pPr>
    </w:p>
    <w:p>
      <w:pPr>
        <w:ind w:left="2080"/>
        <w:spacing w:after="0"/>
        <w:tabs>
          <w:tab w:leader="none" w:pos="712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6"/>
          <w:szCs w:val="16"/>
          <w:i w:val="1"/>
          <w:iCs w:val="1"/>
          <w:color w:val="auto"/>
        </w:rPr>
        <w:t>I.R.S. Employer Identification No.</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0" w:lineRule="exact"/>
        <w:rPr>
          <w:sz w:val="24"/>
          <w:szCs w:val="24"/>
          <w:color w:val="auto"/>
        </w:rPr>
      </w:pPr>
    </w:p>
    <w:p>
      <w:pPr>
        <w:ind w:left="1540"/>
        <w:spacing w:after="0"/>
        <w:tabs>
          <w:tab w:leader="none" w:pos="4960" w:val="left"/>
          <w:tab w:leader="none" w:pos="72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27" w:lineRule="exact"/>
        <w:rPr>
          <w:sz w:val="24"/>
          <w:szCs w:val="24"/>
          <w:color w:val="auto"/>
        </w:rPr>
      </w:pPr>
    </w:p>
    <w:p>
      <w:pPr>
        <w:ind w:left="1120"/>
        <w:spacing w:after="0"/>
        <w:tabs>
          <w:tab w:leader="none" w:pos="5420" w:val="left"/>
          <w:tab w:leader="none" w:pos="798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6"/>
          <w:szCs w:val="16"/>
          <w:color w:val="auto"/>
        </w:rPr>
        <w:t>New York Stock Exchange</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5" w:right="339" w:bottom="1440" w:gutter="0" w:footer="0" w:header="0"/>
        </w:sectPr>
      </w:pPr>
    </w:p>
    <w:p>
      <w:pPr>
        <w:spacing w:after="0" w:line="157"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Non-accelerated filer</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53" w:lineRule="exact"/>
        <w:tabs>
          <w:tab w:leader="none" w:pos="1720" w:val="left"/>
          <w:tab w:leader="none" w:pos="4220" w:val="left"/>
        </w:tabs>
        <w:rPr>
          <w:sz w:val="20"/>
          <w:szCs w:val="20"/>
          <w:color w:val="auto"/>
        </w:rPr>
      </w:pPr>
      <w:r>
        <w:rPr>
          <w:rFonts w:ascii="MS PGothic" w:cs="MS PGothic" w:eastAsia="MS PGothic" w:hAnsi="MS PGothic"/>
          <w:sz w:val="36"/>
          <w:szCs w:val="36"/>
          <w:color w:val="auto"/>
          <w:vertAlign w:val="superscript"/>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22"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3440" w:space="720"/>
            <w:col w:w="7080"/>
          </w:cols>
          <w:pgMar w:left="320" w:top="1035" w:right="339" w:bottom="1440" w:gutter="0" w:footer="0" w:header="0"/>
          <w:type w:val="continuous"/>
        </w:sectPr>
      </w:pPr>
    </w:p>
    <w:p>
      <w:pPr>
        <w:spacing w:after="0" w:line="178"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There were 303,051,488 shares of capital stock outstanding as of June 2, 2021.</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0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3"/>
        </w:trPr>
        <w:tc>
          <w:tcPr>
            <w:tcW w:w="4640" w:type="dxa"/>
            <w:vAlign w:val="bottom"/>
            <w:gridSpan w:val="1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920" w:type="dxa"/>
            <w:vAlign w:val="bottom"/>
            <w:tcBorders>
              <w:top w:val="single" w:sz="8" w:color="auto"/>
            </w:tcBorders>
            <w:gridSpan w:val="3"/>
          </w:tcPr>
          <w:p>
            <w:pPr>
              <w:spacing w:after="0"/>
              <w:rPr>
                <w:sz w:val="24"/>
                <w:szCs w:val="24"/>
                <w:color w:val="auto"/>
              </w:rPr>
            </w:pPr>
          </w:p>
        </w:tc>
        <w:tc>
          <w:tcPr>
            <w:tcW w:w="2280" w:type="dxa"/>
            <w:vAlign w:val="bottom"/>
            <w:gridSpan w:val="2"/>
          </w:tcPr>
          <w:p>
            <w:pPr>
              <w:spacing w:after="0"/>
              <w:rPr>
                <w:sz w:val="24"/>
                <w:szCs w:val="24"/>
                <w:color w:val="auto"/>
              </w:rPr>
            </w:pPr>
          </w:p>
        </w:tc>
        <w:tc>
          <w:tcPr>
            <w:tcW w:w="1260" w:type="dxa"/>
            <w:vAlign w:val="bottom"/>
            <w:gridSpan w:val="3"/>
          </w:tcPr>
          <w:p>
            <w:pPr>
              <w:ind w:left="108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0"/>
        </w:trPr>
        <w:tc>
          <w:tcPr>
            <w:tcW w:w="780" w:type="dxa"/>
            <w:vAlign w:val="bottom"/>
            <w:tcBorders>
              <w:top w:val="single" w:sz="8" w:color="0000FF"/>
            </w:tcBorders>
          </w:tcPr>
          <w:p>
            <w:pPr>
              <w:spacing w:after="0"/>
              <w:rPr>
                <w:sz w:val="18"/>
                <w:szCs w:val="18"/>
                <w:color w:val="auto"/>
              </w:rPr>
            </w:pPr>
          </w:p>
        </w:tc>
        <w:tc>
          <w:tcPr>
            <w:tcW w:w="320" w:type="dxa"/>
            <w:vAlign w:val="bottom"/>
            <w:tcBorders>
              <w:top w:val="single" w:sz="8" w:color="0000FF"/>
              <w:bottom w:val="single" w:sz="8" w:color="0000FF"/>
            </w:tcBorders>
          </w:tcPr>
          <w:p>
            <w:pPr>
              <w:spacing w:after="0"/>
              <w:rPr>
                <w:rFonts w:ascii="Arial" w:cs="Arial" w:eastAsia="Arial" w:hAnsi="Arial"/>
                <w:sz w:val="18"/>
                <w:szCs w:val="18"/>
                <w:color w:val="0000FF"/>
                <w:w w:val="85"/>
              </w:rPr>
            </w:pPr>
            <w:hyperlink w:anchor="page3">
              <w:r>
                <w:rPr>
                  <w:rFonts w:ascii="Arial" w:cs="Arial" w:eastAsia="Arial" w:hAnsi="Arial"/>
                  <w:sz w:val="18"/>
                  <w:szCs w:val="18"/>
                  <w:color w:val="0000FF"/>
                  <w:w w:val="85"/>
                </w:rPr>
                <w:t>Item</w:t>
              </w:r>
            </w:hyperlink>
          </w:p>
        </w:tc>
        <w:tc>
          <w:tcPr>
            <w:tcW w:w="200" w:type="dxa"/>
            <w:vAlign w:val="bottom"/>
            <w:tcBorders>
              <w:top w:val="single" w:sz="8" w:color="0000FF"/>
              <w:bottom w:val="single" w:sz="8" w:color="0000FF"/>
            </w:tcBorders>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540" w:type="dxa"/>
            <w:vAlign w:val="bottom"/>
            <w:tcBorders>
              <w:top w:val="single" w:sz="8" w:color="0000FF"/>
              <w:bottom w:val="single" w:sz="8" w:color="0000FF"/>
            </w:tcBorders>
            <w:gridSpan w:val="5"/>
          </w:tcPr>
          <w:p>
            <w:pPr>
              <w:ind w:left="4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00" w:type="dxa"/>
            <w:vAlign w:val="bottom"/>
            <w:tcBorders>
              <w:top w:val="single" w:sz="8" w:color="0000FF"/>
            </w:tcBorders>
          </w:tcPr>
          <w:p>
            <w:pPr>
              <w:spacing w:after="0"/>
              <w:rPr>
                <w:sz w:val="18"/>
                <w:szCs w:val="18"/>
                <w:color w:val="auto"/>
              </w:rPr>
            </w:pPr>
          </w:p>
        </w:tc>
        <w:tc>
          <w:tcPr>
            <w:tcW w:w="5900" w:type="dxa"/>
            <w:vAlign w:val="bottom"/>
            <w:gridSpan w:val="7"/>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320" w:type="dxa"/>
            <w:vAlign w:val="bottom"/>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Item</w:t>
              </w:r>
            </w:hyperlink>
          </w:p>
        </w:tc>
        <w:tc>
          <w:tcPr>
            <w:tcW w:w="20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w:t>
              </w:r>
            </w:hyperlink>
          </w:p>
        </w:tc>
        <w:tc>
          <w:tcPr>
            <w:tcW w:w="7540" w:type="dxa"/>
            <w:vAlign w:val="bottom"/>
            <w:gridSpan w:val="13"/>
          </w:tcPr>
          <w:p>
            <w:pPr>
              <w:ind w:left="40"/>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3"/>
          </w:tcPr>
          <w:p>
            <w:pPr>
              <w:ind w:left="108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r>
      <w:tr>
        <w:trPr>
          <w:trHeight w:val="209"/>
        </w:trPr>
        <w:tc>
          <w:tcPr>
            <w:tcW w:w="780" w:type="dxa"/>
            <w:vAlign w:val="bottom"/>
          </w:tcPr>
          <w:p>
            <w:pPr>
              <w:spacing w:after="0"/>
              <w:rPr>
                <w:sz w:val="18"/>
                <w:szCs w:val="18"/>
                <w:color w:val="auto"/>
              </w:rPr>
            </w:pPr>
          </w:p>
        </w:tc>
        <w:tc>
          <w:tcPr>
            <w:tcW w:w="320" w:type="dxa"/>
            <w:vAlign w:val="bottom"/>
            <w:tcBorders>
              <w:top w:val="single" w:sz="8" w:color="0000FF"/>
              <w:bottom w:val="single" w:sz="8" w:color="0000FF"/>
            </w:tcBorders>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w:t>
              </w:r>
            </w:hyperlink>
          </w:p>
        </w:tc>
        <w:tc>
          <w:tcPr>
            <w:tcW w:w="200" w:type="dxa"/>
            <w:vAlign w:val="bottom"/>
            <w:tcBorders>
              <w:top w:val="single" w:sz="8" w:color="0000FF"/>
              <w:bottom w:val="single" w:sz="8" w:color="0000FF"/>
            </w:tcBorders>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w:t>
              </w:r>
            </w:hyperlink>
          </w:p>
        </w:tc>
        <w:tc>
          <w:tcPr>
            <w:tcW w:w="4320" w:type="dxa"/>
            <w:vAlign w:val="bottom"/>
            <w:tcBorders>
              <w:top w:val="single" w:sz="8" w:color="0000FF"/>
              <w:bottom w:val="single" w:sz="8" w:color="0000FF"/>
            </w:tcBorders>
            <w:gridSpan w:val="9"/>
          </w:tcPr>
          <w:p>
            <w:pPr>
              <w:ind w:left="40"/>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 About Market Risk</w:t>
              </w:r>
            </w:hyperlink>
          </w:p>
        </w:tc>
        <w:tc>
          <w:tcPr>
            <w:tcW w:w="2140" w:type="dxa"/>
            <w:vAlign w:val="bottom"/>
            <w:tcBorders>
              <w:top w:val="single" w:sz="8" w:color="0000FF"/>
            </w:tcBorders>
            <w:gridSpan w:val="3"/>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10"/>
        </w:trPr>
        <w:tc>
          <w:tcPr>
            <w:tcW w:w="780" w:type="dxa"/>
            <w:vAlign w:val="bottom"/>
          </w:tcPr>
          <w:p>
            <w:pPr>
              <w:spacing w:after="0"/>
              <w:rPr>
                <w:sz w:val="18"/>
                <w:szCs w:val="18"/>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4.</w:t>
              </w:r>
            </w:hyperlink>
          </w:p>
        </w:tc>
        <w:tc>
          <w:tcPr>
            <w:tcW w:w="1800" w:type="dxa"/>
            <w:vAlign w:val="bottom"/>
            <w:tcBorders>
              <w:bottom w:val="single" w:sz="8" w:color="0000FF"/>
            </w:tcBorders>
            <w:gridSpan w:val="7"/>
          </w:tcPr>
          <w:p>
            <w:pPr>
              <w:ind w:left="40"/>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Controls and Procedures</w:t>
              </w:r>
            </w:hyperlink>
          </w:p>
        </w:tc>
        <w:tc>
          <w:tcPr>
            <w:tcW w:w="5740" w:type="dxa"/>
            <w:vAlign w:val="bottom"/>
            <w:gridSpan w:val="6"/>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9"/>
        </w:trPr>
        <w:tc>
          <w:tcPr>
            <w:tcW w:w="264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PART II - OTHER INFORMATION</w:t>
              </w:r>
            </w:hyperlink>
          </w:p>
        </w:tc>
        <w:tc>
          <w:tcPr>
            <w:tcW w:w="6200" w:type="dxa"/>
            <w:vAlign w:val="bottom"/>
            <w:gridSpan w:val="10"/>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9"/>
        </w:trPr>
        <w:tc>
          <w:tcPr>
            <w:tcW w:w="780" w:type="dxa"/>
            <w:vAlign w:val="bottom"/>
          </w:tcPr>
          <w:p>
            <w:pPr>
              <w:spacing w:after="0"/>
              <w:rPr>
                <w:sz w:val="18"/>
                <w:szCs w:val="18"/>
                <w:color w:val="auto"/>
              </w:rPr>
            </w:pPr>
          </w:p>
        </w:tc>
        <w:tc>
          <w:tcPr>
            <w:tcW w:w="320" w:type="dxa"/>
            <w:vAlign w:val="bottom"/>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w:t>
              </w:r>
            </w:hyperlink>
          </w:p>
        </w:tc>
        <w:tc>
          <w:tcPr>
            <w:tcW w:w="20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1.</w:t>
              </w:r>
            </w:hyperlink>
          </w:p>
        </w:tc>
        <w:tc>
          <w:tcPr>
            <w:tcW w:w="7540" w:type="dxa"/>
            <w:vAlign w:val="bottom"/>
            <w:gridSpan w:val="13"/>
          </w:tcPr>
          <w:p>
            <w:pPr>
              <w:ind w:left="40"/>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260" w:type="dxa"/>
            <w:vAlign w:val="bottom"/>
            <w:gridSpan w:val="3"/>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2.</w:t>
              </w:r>
            </w:hyperlink>
          </w:p>
        </w:tc>
        <w:tc>
          <w:tcPr>
            <w:tcW w:w="4380" w:type="dxa"/>
            <w:vAlign w:val="bottom"/>
            <w:tcBorders>
              <w:bottom w:val="single" w:sz="8" w:color="0000FF"/>
            </w:tcBorders>
            <w:gridSpan w:val="10"/>
          </w:tcPr>
          <w:p>
            <w:pPr>
              <w:ind w:left="4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Unregistered Sales of Equity Securities and Use of Proceeds</w:t>
              </w:r>
            </w:hyperlink>
          </w:p>
        </w:tc>
        <w:tc>
          <w:tcPr>
            <w:tcW w:w="3160" w:type="dxa"/>
            <w:vAlign w:val="bottom"/>
            <w:gridSpan w:val="3"/>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9"/>
        </w:trPr>
        <w:tc>
          <w:tcPr>
            <w:tcW w:w="780" w:type="dxa"/>
            <w:vAlign w:val="bottom"/>
          </w:tcPr>
          <w:p>
            <w:pPr>
              <w:spacing w:after="0"/>
              <w:rPr>
                <w:sz w:val="18"/>
                <w:szCs w:val="18"/>
                <w:color w:val="auto"/>
              </w:rPr>
            </w:pPr>
          </w:p>
        </w:tc>
        <w:tc>
          <w:tcPr>
            <w:tcW w:w="320" w:type="dxa"/>
            <w:vAlign w:val="bottom"/>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Item</w:t>
              </w:r>
            </w:hyperlink>
          </w:p>
        </w:tc>
        <w:tc>
          <w:tcPr>
            <w:tcW w:w="20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6.</w:t>
              </w:r>
            </w:hyperlink>
          </w:p>
        </w:tc>
        <w:tc>
          <w:tcPr>
            <w:tcW w:w="7540" w:type="dxa"/>
            <w:vAlign w:val="bottom"/>
            <w:gridSpan w:val="13"/>
          </w:tcPr>
          <w:p>
            <w:pPr>
              <w:ind w:left="4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1260" w:type="dxa"/>
            <w:vAlign w:val="bottom"/>
            <w:gridSpan w:val="3"/>
          </w:tcPr>
          <w:p>
            <w:pPr>
              <w:ind w:left="10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7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720" w:type="dxa"/>
            <w:vAlign w:val="bottom"/>
            <w:tcBorders>
              <w:bottom w:val="single" w:sz="8" w:color="0000FF"/>
            </w:tcBorders>
            <w:gridSpan w:val="4"/>
          </w:tcPr>
          <w:p>
            <w:pPr>
              <w:spacing w:after="0"/>
              <w:rPr>
                <w:rFonts w:ascii="Arial" w:cs="Arial" w:eastAsia="Arial" w:hAnsi="Arial"/>
                <w:sz w:val="18"/>
                <w:szCs w:val="18"/>
                <w:color w:val="0000FF"/>
                <w:w w:val="98"/>
              </w:rPr>
            </w:pPr>
            <w:hyperlink w:anchor="page37">
              <w:r>
                <w:rPr>
                  <w:rFonts w:ascii="Arial" w:cs="Arial" w:eastAsia="Arial" w:hAnsi="Arial"/>
                  <w:sz w:val="18"/>
                  <w:szCs w:val="18"/>
                  <w:color w:val="0000FF"/>
                  <w:w w:val="98"/>
                </w:rPr>
                <w:t>INDEX TO EXHIBITS</w:t>
              </w:r>
            </w:hyperlink>
          </w:p>
        </w:tc>
        <w:tc>
          <w:tcPr>
            <w:tcW w:w="7120" w:type="dxa"/>
            <w:vAlign w:val="bottom"/>
            <w:gridSpan w:val="12"/>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r>
      <w:tr>
        <w:trPr>
          <w:trHeight w:val="209"/>
        </w:trPr>
        <w:tc>
          <w:tcPr>
            <w:tcW w:w="110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SIGNATURES</w:t>
              </w:r>
            </w:hyperlink>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80" w:right="1440" w:bottom="1440" w:gutter="0" w:footer="0" w:header="0"/>
        </w:sectPr>
      </w:pPr>
    </w:p>
    <w:bookmarkStart w:id="2" w:name="page3"/>
    <w:bookmarkEnd w:id="2"/>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 - FINANCIAL INFORMATION</w:t>
      </w: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(millions,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3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7"/>
              </w:rPr>
              <w:t>April 26, 2020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5"/>
              </w:rPr>
              <w:t>April 26, 2020</w:t>
            </w:r>
          </w:p>
        </w:tc>
      </w:tr>
      <w:tr>
        <w:trPr>
          <w:trHeight w:val="224"/>
        </w:trPr>
        <w:tc>
          <w:tcPr>
            <w:tcW w:w="59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1,984</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 (income)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earnings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5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Per Share — Basic</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Earnings from continuing operations attributable to Campbell Soup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Weighted average shares outstanding — basic</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w w:val="97"/>
              </w:rPr>
              <w:t>Earnings from continuing operations attributable to Campbell Soup Company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3"/>
        </w:trPr>
        <w:tc>
          <w:tcPr>
            <w:tcW w:w="59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3"/>
                <w:szCs w:val="23"/>
                <w:b w:val="1"/>
                <w:bCs w:val="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7"/>
          <w:szCs w:val="17"/>
          <w:color w:val="auto"/>
        </w:rPr>
        <w:t>Sum of the individual amounts may not add due to rounding</w:t>
      </w:r>
      <w:r>
        <w:rPr>
          <w:rFonts w:ascii="Arial" w:cs="Arial" w:eastAsia="Arial" w:hAnsi="Arial"/>
          <w:sz w:val="14"/>
          <w:szCs w:val="14"/>
          <w:color w:val="auto"/>
        </w:rPr>
        <w: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May 2,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April 26, 2020</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166</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7"/>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167</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5"/>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May 2,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April 26, 2020</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1"/>
                <w:szCs w:val="11"/>
                <w:color w:val="auto"/>
              </w:rPr>
            </w:pP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8"/>
        </w:trPr>
        <w:tc>
          <w:tcPr>
            <w:tcW w:w="5680" w:type="dxa"/>
            <w:vAlign w:val="bottom"/>
            <w:shd w:val="clear" w:color="auto" w:fill="CCEEFF"/>
          </w:tcPr>
          <w:p>
            <w:pPr>
              <w:ind w:left="300"/>
              <w:spacing w:after="0" w:line="168" w:lineRule="exact"/>
              <w:rPr>
                <w:sz w:val="20"/>
                <w:szCs w:val="20"/>
                <w:color w:val="auto"/>
              </w:rPr>
            </w:pPr>
            <w:r>
              <w:rPr>
                <w:rFonts w:ascii="Arial" w:cs="Arial" w:eastAsia="Arial" w:hAnsi="Arial"/>
                <w:sz w:val="16"/>
                <w:szCs w:val="16"/>
                <w:color w:val="auto"/>
                <w:w w:val="98"/>
              </w:rPr>
              <w:t>Reclassification of currency translation adjustments realized upon disposal of</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gains (losses) arising during period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680" w:type="dxa"/>
            <w:vAlign w:val="bottom"/>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722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7"/>
              </w:rPr>
              <w:t>Total comprehensive income (loss) attributable to Campbell Soup Company</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726</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May 2, 2021</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August 2, 2020</w:t>
            </w:r>
          </w:p>
        </w:tc>
      </w:tr>
      <w:tr>
        <w:trPr>
          <w:trHeight w:val="229"/>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696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860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6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Assets of business held for sale</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1,863</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Plant assets, net of depreciation</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2,313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3,983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Other intangible assets, net of amortization</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3,249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3,350</w:t>
            </w:r>
          </w:p>
        </w:tc>
      </w:tr>
      <w:tr>
        <w:trPr>
          <w:trHeight w:val="229"/>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322</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 to suppliers and others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696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544</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payable</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960" w:type="dxa"/>
            <w:vAlign w:val="bottom"/>
          </w:tcPr>
          <w:p>
            <w:pPr>
              <w:ind w:left="120"/>
              <w:spacing w:after="0"/>
              <w:rPr>
                <w:sz w:val="20"/>
                <w:szCs w:val="20"/>
                <w:color w:val="auto"/>
              </w:rPr>
            </w:pPr>
            <w:r>
              <w:rPr>
                <w:rFonts w:ascii="Arial" w:cs="Arial" w:eastAsia="Arial" w:hAnsi="Arial"/>
                <w:sz w:val="18"/>
                <w:szCs w:val="18"/>
                <w:color w:val="auto"/>
              </w:rPr>
              <w:t>Accrued income taxes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Liabilities of business held for sale</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1,975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4,997</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Deferred taxes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999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764</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8,735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w:t>
            </w:r>
          </w:p>
        </w:tc>
      </w:tr>
      <w:tr>
        <w:trPr>
          <w:trHeight w:val="22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color w:val="auto"/>
              </w:rPr>
              <w:t>Campbell Soup Company shareholders' equity</w:t>
            </w: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Capital stock, $0.0375 par value; authorized 560 shares; issued 323 shares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Earnings retained in the business</w:t>
            </w:r>
          </w:p>
        </w:tc>
        <w:tc>
          <w:tcPr>
            <w:tcW w:w="16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3,564</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29"/>
        </w:trPr>
        <w:tc>
          <w:tcPr>
            <w:tcW w:w="6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2,993</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2,995</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8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 2021</w:t>
            </w:r>
          </w:p>
        </w:tc>
        <w:tc>
          <w:tcPr>
            <w:tcW w:w="12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w w:val="97"/>
              </w:rPr>
              <w:t>April 26, 2020</w:t>
            </w:r>
          </w:p>
        </w:tc>
      </w:tr>
      <w:tr>
        <w:trPr>
          <w:trHeight w:val="170"/>
        </w:trPr>
        <w:tc>
          <w:tcPr>
            <w:tcW w:w="8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1,542</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earnings to operating cash flow</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Restructuring charges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8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Pension and postretirement benefit income</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0"/>
        </w:trPr>
        <w:tc>
          <w:tcPr>
            <w:tcW w:w="8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0"/>
        </w:trPr>
        <w:tc>
          <w:tcPr>
            <w:tcW w:w="8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gain on sales of businesses</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90"/>
        </w:trPr>
        <w:tc>
          <w:tcPr>
            <w:tcW w:w="8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losses</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working capital, net of divestitures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90"/>
        </w:trPr>
        <w:tc>
          <w:tcPr>
            <w:tcW w:w="8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8"/>
        </w:trPr>
        <w:tc>
          <w:tcPr>
            <w:tcW w:w="8760" w:type="dxa"/>
            <w:vAlign w:val="bottom"/>
          </w:tcPr>
          <w:p>
            <w:pPr>
              <w:ind w:left="360"/>
              <w:spacing w:after="0"/>
              <w:rPr>
                <w:sz w:val="20"/>
                <w:szCs w:val="20"/>
                <w:color w:val="auto"/>
              </w:rPr>
            </w:pPr>
            <w:r>
              <w:rPr>
                <w:rFonts w:ascii="Arial" w:cs="Arial" w:eastAsia="Arial" w:hAnsi="Arial"/>
                <w:sz w:val="14"/>
                <w:szCs w:val="14"/>
                <w:color w:val="auto"/>
              </w:rPr>
              <w:t>Prepaid assets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90"/>
        </w:trPr>
        <w:tc>
          <w:tcPr>
            <w:tcW w:w="8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88"/>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183"/>
        </w:trPr>
        <w:tc>
          <w:tcPr>
            <w:tcW w:w="8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881</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r>
      <w:tr>
        <w:trPr>
          <w:trHeight w:val="183"/>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plant assets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Purchases of route businesses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of route businesses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Sales of businesses, net of cash divested</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2,537</w:t>
            </w:r>
          </w:p>
        </w:tc>
      </w:tr>
      <w:tr>
        <w:trPr>
          <w:trHeight w:val="189"/>
        </w:trPr>
        <w:tc>
          <w:tcPr>
            <w:tcW w:w="8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87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r>
      <w:tr>
        <w:trPr>
          <w:trHeight w:val="184"/>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Short-term borrowings, including commercial paper and revolving line of credit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5,610</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repayments, including commercial paper</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(6,405)</w:t>
            </w: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repayments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issuances</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8"/>
        </w:trPr>
        <w:tc>
          <w:tcPr>
            <w:tcW w:w="8760" w:type="dxa"/>
            <w:vAlign w:val="bottom"/>
          </w:tcPr>
          <w:p>
            <w:pPr>
              <w:ind w:left="140"/>
              <w:spacing w:after="0"/>
              <w:rPr>
                <w:sz w:val="20"/>
                <w:szCs w:val="20"/>
                <w:color w:val="auto"/>
              </w:rPr>
            </w:pPr>
            <w:r>
              <w:rPr>
                <w:rFonts w:ascii="Arial" w:cs="Arial" w:eastAsia="Arial" w:hAnsi="Arial"/>
                <w:sz w:val="14"/>
                <w:szCs w:val="14"/>
                <w:color w:val="auto"/>
              </w:rPr>
              <w:t>Payments related to tax withholding for stock-based compensation</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related to extinguishment of debt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r>
      <w:tr>
        <w:trPr>
          <w:trHeight w:val="188"/>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Payments of debt issuance costs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83"/>
        </w:trPr>
        <w:tc>
          <w:tcPr>
            <w:tcW w:w="8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w:t>
            </w:r>
          </w:p>
        </w:tc>
      </w:tr>
      <w:tr>
        <w:trPr>
          <w:trHeight w:val="18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Effect of exchange rate changes on cash</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4"/>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r>
      <w:tr>
        <w:trPr>
          <w:trHeight w:val="188"/>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 beginning of period (including discontinued operations)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9"/>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discontinued operations — end of period</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and cash equivalents —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w:t>
            </w:r>
          </w:p>
        </w:tc>
      </w:tr>
      <w:tr>
        <w:trPr>
          <w:trHeight w:val="22"/>
        </w:trPr>
        <w:tc>
          <w:tcPr>
            <w:tcW w:w="8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right"/>
              <w:ind w:right="468"/>
              <w:spacing w:after="0"/>
              <w:rPr>
                <w:sz w:val="20"/>
                <w:szCs w:val="20"/>
                <w:color w:val="auto"/>
              </w:rPr>
            </w:pPr>
            <w:r>
              <w:rPr>
                <w:rFonts w:ascii="Arial" w:cs="Arial" w:eastAsia="Arial" w:hAnsi="Arial"/>
                <w:sz w:val="14"/>
                <w:szCs w:val="14"/>
                <w:b w:val="1"/>
                <w:bCs w:val="1"/>
                <w:color w:val="auto"/>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Capital Stock</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48"/>
              <w:spacing w:after="0" w:line="149" w:lineRule="exact"/>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restart"/>
          </w:tcPr>
          <w:p>
            <w:pPr>
              <w:jc w:val="right"/>
              <w:ind w:right="89"/>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880" w:type="dxa"/>
            <w:vAlign w:val="bottom"/>
            <w:vMerge w:val="restart"/>
          </w:tcPr>
          <w:p>
            <w:pPr>
              <w:jc w:val="center"/>
              <w:ind w:right="68"/>
              <w:spacing w:after="0" w:line="108" w:lineRule="exact"/>
              <w:rPr>
                <w:sz w:val="20"/>
                <w:szCs w:val="20"/>
                <w:color w:val="auto"/>
              </w:rPr>
            </w:pPr>
            <w:r>
              <w:rPr>
                <w:rFonts w:ascii="Arial" w:cs="Arial" w:eastAsia="Arial" w:hAnsi="Arial"/>
                <w:sz w:val="12"/>
                <w:szCs w:val="12"/>
                <w:b w:val="1"/>
                <w:bCs w:val="1"/>
                <w:color w:val="auto"/>
              </w:rPr>
              <w:t>Retained in</w:t>
            </w:r>
          </w:p>
        </w:tc>
        <w:tc>
          <w:tcPr>
            <w:tcW w:w="1340" w:type="dxa"/>
            <w:vAlign w:val="bottom"/>
            <w:gridSpan w:val="2"/>
            <w:vMerge w:val="restart"/>
          </w:tcPr>
          <w:p>
            <w:pPr>
              <w:ind w:left="100"/>
              <w:spacing w:after="0" w:line="108" w:lineRule="exact"/>
              <w:rPr>
                <w:sz w:val="20"/>
                <w:szCs w:val="20"/>
                <w:color w:val="auto"/>
              </w:rPr>
            </w:pPr>
            <w:r>
              <w:rPr>
                <w:rFonts w:ascii="Arial" w:cs="Arial" w:eastAsia="Arial" w:hAnsi="Arial"/>
                <w:sz w:val="12"/>
                <w:szCs w:val="12"/>
                <w:b w:val="1"/>
                <w:bCs w:val="1"/>
                <w:color w:val="auto"/>
              </w:rPr>
              <w:t>Accumulated Other</w:t>
            </w:r>
          </w:p>
        </w:tc>
        <w:tc>
          <w:tcPr>
            <w:tcW w:w="240" w:type="dxa"/>
            <w:vAlign w:val="bottom"/>
          </w:tcPr>
          <w:p>
            <w:pPr>
              <w:spacing w:after="0"/>
              <w:rPr>
                <w:sz w:val="4"/>
                <w:szCs w:val="4"/>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rPr>
                <w:sz w:val="4"/>
                <w:szCs w:val="4"/>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4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840" w:type="dxa"/>
            <w:vAlign w:val="bottom"/>
          </w:tcPr>
          <w:p>
            <w:pPr>
              <w:jc w:val="right"/>
              <w:ind w:right="189"/>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11"/>
                <w:szCs w:val="11"/>
                <w:color w:val="auto"/>
              </w:rPr>
            </w:pPr>
          </w:p>
        </w:tc>
        <w:tc>
          <w:tcPr>
            <w:tcW w:w="1160" w:type="dxa"/>
            <w:vAlign w:val="bottom"/>
          </w:tcPr>
          <w:p>
            <w:pPr>
              <w:jc w:val="right"/>
              <w:ind w:right="88"/>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26,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3,151</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Other comprehensive income</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Dividends ($.35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Treasury stock issued under</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management incentive and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April 26, 2020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0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July 28, 2019</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Divestiture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Other comprehensive income</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Arial" w:cs="Arial" w:eastAsia="Arial" w:hAnsi="Arial"/>
                <w:sz w:val="14"/>
                <w:szCs w:val="14"/>
                <w:color w:val="auto"/>
              </w:rPr>
              <w:t>Dividends ($1.05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Treasury stock issued under</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management incentive and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April 26, 2020</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4"/>
        </w:trPr>
        <w:tc>
          <w:tcPr>
            <w:tcW w:w="2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2021</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3,517</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Other comprehensive income</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Dividends ($.37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Treasury stock issued under</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0"/>
              </w:rPr>
              <w:t>management incentive and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May 2, 2021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2,995</w:t>
            </w:r>
          </w:p>
        </w:tc>
        <w:tc>
          <w:tcPr>
            <w:tcW w:w="0" w:type="dxa"/>
            <w:vAlign w:val="bottom"/>
          </w:tcPr>
          <w:p>
            <w:pPr>
              <w:spacing w:after="0"/>
              <w:rPr>
                <w:sz w:val="1"/>
                <w:szCs w:val="1"/>
                <w:color w:val="auto"/>
              </w:rPr>
            </w:pPr>
          </w:p>
        </w:tc>
      </w:tr>
      <w:tr>
        <w:trPr>
          <w:trHeight w:val="22"/>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August 2, 2020</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714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Other comprehensive income</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Dividends ($1.09 per share)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(334)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Treasury stock issued under</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0"/>
              </w:rPr>
              <w:t>management incentive and stock</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7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May 2, 2021</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2,995</w:t>
            </w:r>
          </w:p>
        </w:tc>
        <w:tc>
          <w:tcPr>
            <w:tcW w:w="0" w:type="dxa"/>
            <w:vAlign w:val="bottom"/>
          </w:tcPr>
          <w:p>
            <w:pPr>
              <w:spacing w:after="0"/>
              <w:rPr>
                <w:sz w:val="1"/>
                <w:szCs w:val="1"/>
                <w:color w:val="auto"/>
              </w:rPr>
            </w:pPr>
          </w:p>
        </w:tc>
      </w:tr>
      <w:tr>
        <w:trPr>
          <w:trHeight w:val="22"/>
        </w:trPr>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were the primary beneficiary. Intercompany transactions are eliminated in consolidation. See Note 3 for a discussion of Discontinued Operations.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2, 2020.</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August 1, 2021. There are 52 weeks in 2021. There were 53 weeks in 2020.</w:t>
      </w:r>
    </w:p>
    <w:p>
      <w:pPr>
        <w:spacing w:after="0" w:line="139" w:lineRule="exact"/>
        <w:rPr>
          <w:sz w:val="20"/>
          <w:szCs w:val="20"/>
          <w:color w:val="auto"/>
        </w:rPr>
      </w:pPr>
    </w:p>
    <w:p>
      <w:pPr>
        <w:ind w:left="340" w:right="8260" w:hanging="332"/>
        <w:spacing w:after="0" w:line="398" w:lineRule="auto"/>
        <w:tabs>
          <w:tab w:leader="none" w:pos="19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u w:val="single" w:color="auto"/>
          <w:color w:val="auto"/>
        </w:rPr>
        <w:t>Recently Adopted</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the Financial Accounting Standards Board (FASB) issued guidance that eliminates, adds, and modifies certain disclosure requirements for fair value measurements. The guidance is effective for fiscal years beginning after December 15, 2019, and interim periods within those years. We adopted the new guidance at the beginning of the first quarter of 2021. The adoption did not have a material impact on our consolidated financial statements.</w:t>
      </w:r>
    </w:p>
    <w:p>
      <w:pPr>
        <w:spacing w:after="0" w:line="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adopted the new guidance on a prospective basis at the beginning of the first quarter of 2021. The adoption did not have a material impact on our consolidated financial statements.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ending after December 15, 2020. The guidance is to be applied on a retrospective basis. The adoption will not have a material impact on our consolidated financial statements.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The adoption is not expected to have a material impact on our consolidated financial statements.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156" w:lineRule="exact"/>
        <w:rPr>
          <w:sz w:val="20"/>
          <w:szCs w:val="20"/>
          <w:color w:val="auto"/>
        </w:rPr>
      </w:pPr>
    </w:p>
    <w:p>
      <w:pPr>
        <w:ind w:right="9420" w:firstLine="8"/>
        <w:spacing w:after="0" w:line="398" w:lineRule="auto"/>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w:t>
      </w:r>
      <w:r>
        <w:rPr>
          <w:rFonts w:ascii="Arial" w:cs="Arial" w:eastAsia="Arial" w:hAnsi="Arial"/>
          <w:sz w:val="16"/>
          <w:szCs w:val="16"/>
          <w:i w:val="1"/>
          <w:iCs w:val="1"/>
          <w:color w:val="auto"/>
        </w:rPr>
        <w:t>Discontinued Operations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completed the sale of our Kelsen business on September 23, 2019, for $322. We also completed the sale of our Arnott’s business and certain other international operations, including the simple meals and shelf-stable beverages businesses in Australia and Asia Pacific (the Arnott's and other international operations), on December 23, 2019, for $2,286. The purchase price was subject to certain post-closing adjustments, which resulted in $4 of additional proceeds in the third quarter of 2020. Beginning in the fourth quarter of 2019, we have reflected the results of operations of the Kelsen business and the Arnott’s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Campbell International in 2020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Nine Months Ended</w:t>
            </w:r>
          </w:p>
        </w:tc>
      </w:tr>
      <w:tr>
        <w:trPr>
          <w:trHeight w:val="187"/>
        </w:trPr>
        <w:tc>
          <w:tcPr>
            <w:tcW w:w="9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April 26, 2020</w:t>
            </w:r>
          </w:p>
        </w:tc>
      </w:tr>
      <w:tr>
        <w:trPr>
          <w:trHeight w:val="24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Taxes on earnings from operations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businesses / costs associated with selling the businesses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on sales of businesses / costs associated with selling the businesses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third quarter of 2021, we recognized a $6 Loss from discontinued operations due to tax expense from return-to- provision adjustments related to the sales of the businesses.</w:t>
      </w:r>
    </w:p>
    <w:p>
      <w:pPr>
        <w:spacing w:after="0" w:line="4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the terms of the sale of the Arnott's and other international operations, we entered into a long-term licensing arrangement for the exclusive rights to certain Campbell brands in certain non-U.S. markets. We provide certain transition services to support the divested business.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 activity of Campbell International included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Nine Months Ended</w:t>
            </w:r>
          </w:p>
        </w:tc>
      </w:tr>
      <w:tr>
        <w:trPr>
          <w:trHeight w:val="187"/>
        </w:trPr>
        <w:tc>
          <w:tcPr>
            <w:tcW w:w="9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April 26, 2020</w:t>
            </w:r>
          </w:p>
        </w:tc>
      </w:tr>
      <w:tr>
        <w:trPr>
          <w:trHeight w:val="211"/>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discontinued operating activities: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9900" w:type="dxa"/>
            <w:vAlign w:val="bottom"/>
          </w:tcPr>
          <w:p>
            <w:pPr>
              <w:ind w:left="140"/>
              <w:spacing w:after="0"/>
              <w:rPr>
                <w:sz w:val="20"/>
                <w:szCs w:val="20"/>
                <w:color w:val="auto"/>
              </w:rPr>
            </w:pPr>
            <w:r>
              <w:rPr>
                <w:rFonts w:ascii="Arial" w:cs="Arial" w:eastAsia="Arial" w:hAnsi="Arial"/>
                <w:sz w:val="18"/>
                <w:szCs w:val="18"/>
                <w:color w:val="auto"/>
              </w:rPr>
              <w:t>Net gain on sales of discontinued operations businesses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69"/>
        </w:trPr>
        <w:tc>
          <w:tcPr>
            <w:tcW w:w="9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discontinued investing activities: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99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of discontinued operations businesses, net of cash divested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11, 2019, we completed the sale of our European chips business for £63, or $77. The pre-tax loss recognized in the first quarter of 2020 on the sale was $64, which included the impact of allocated goodwill and foreign currency translation adjustments. For tax purposes, in the first quarter of 2020, the capital loss on the sale was offset by a valuation allowance. In the second quarter of 2020, we recognized a $19 tax benefit in continuing operations as we were able to use the capital loss on this sale to offset a portion of the capital gain from the sale of the Arnott's and other international operations. The European chips business had net sales of $25 for the nine-month period ended April 26, 2020. Earnings were not material in the period. The results of the European chips business through the date of sale were reflected in continuing operations within the Snacks reportable segment.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Divestiture</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Subsequent to the end of the quarter, on May 3, 2021, we completed the sale of our Plum baby food and snacks business for $101, subject to certain post-closing adjustments. The purchase agreement contained customary representations, warranties, indemnifications and other obligations between us and the buyer. In addition, we have agreed to indemnify the buyer for certain claims against the Plum baby food and snacks business alleging the presence of heavy metals in the products manufactured or sold on or prior to May 2, 2021, that were pending at the time of closing of the transaction or are asserted within two years thereafter.</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after-tax gain on sale was not material. The business had net sales of $22 and $68 for the three- and nine-month periods ended May 2, 2021, and $27 and $79 for the three- and nine-month periods ended April 26, 2020, respectively. Earnings were not material in the periods. The results of the business through the date of sale are reflected in continuing operations within the Meals &amp; Beverages reportable segment. The assets and liabilities of the business have been reflected as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current Assets of business held for sale and current Liabilities of business held for sale as of May 2, 2021. The assets and liabilities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May 2, 2021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assets, net of depreciation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40"/>
              <w:spacing w:after="0"/>
              <w:rPr>
                <w:sz w:val="20"/>
                <w:szCs w:val="20"/>
                <w:color w:val="auto"/>
              </w:rPr>
            </w:pPr>
            <w:r>
              <w:rPr>
                <w:rFonts w:ascii="Arial" w:cs="Arial" w:eastAsia="Arial" w:hAnsi="Arial"/>
                <w:sz w:val="18"/>
                <w:szCs w:val="18"/>
                <w:color w:val="auto"/>
              </w:rPr>
              <w:t>Payable to suppliers and others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taxes</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Accumulated Other Comprehensive Income (Loss)</w:t>
            </w: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80" w:type="dxa"/>
            <w:vAlign w:val="bottom"/>
            <w:gridSpan w:val="7"/>
          </w:tcPr>
          <w:p>
            <w:pPr>
              <w:ind w:left="340"/>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Foreign Currency</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 and</w:t>
            </w:r>
          </w:p>
        </w:tc>
        <w:tc>
          <w:tcPr>
            <w:tcW w:w="12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Postretirement Benefit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8"/>
              </w:rPr>
              <w:t>Adjustments</w:t>
            </w:r>
            <w:r>
              <w:rPr>
                <w:rFonts w:ascii="Arial" w:cs="Arial" w:eastAsia="Arial" w:hAnsi="Arial"/>
                <w:sz w:val="18"/>
                <w:szCs w:val="18"/>
                <w:b w:val="1"/>
                <w:bCs w:val="1"/>
                <w:color w:val="auto"/>
                <w:w w:val="88"/>
                <w:vertAlign w:val="superscript"/>
              </w:rPr>
              <w:t>(1)</w:t>
            </w:r>
          </w:p>
        </w:tc>
        <w:tc>
          <w:tcPr>
            <w:tcW w:w="154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89"/>
              </w:rPr>
              <w:t>Cash Flow Hedges</w:t>
            </w:r>
            <w:r>
              <w:rPr>
                <w:rFonts w:ascii="Arial" w:cs="Arial" w:eastAsia="Arial" w:hAnsi="Arial"/>
                <w:sz w:val="18"/>
                <w:szCs w:val="18"/>
                <w:b w:val="1"/>
                <w:bCs w:val="1"/>
                <w:color w:val="auto"/>
                <w:w w:val="89"/>
                <w:vertAlign w:val="superscript"/>
              </w:rPr>
              <w:t>(2)</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1"/>
              </w:rPr>
              <w:t>Plan Adjustments</w:t>
            </w:r>
            <w:r>
              <w:rPr>
                <w:rFonts w:ascii="Arial" w:cs="Arial" w:eastAsia="Arial" w:hAnsi="Arial"/>
                <w:sz w:val="18"/>
                <w:szCs w:val="18"/>
                <w:b w:val="1"/>
                <w:bCs w:val="1"/>
                <w:color w:val="auto"/>
                <w:w w:val="91"/>
                <w:vertAlign w:val="superscript"/>
              </w:rPr>
              <w:t>(3)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28,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Amounts reclassified from accumulated other comprehensive</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income (loss)</w:t>
            </w:r>
            <w:r>
              <w:rPr>
                <w:rFonts w:ascii="Arial" w:cs="Arial" w:eastAsia="Arial" w:hAnsi="Arial"/>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26,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2,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b w:val="1"/>
                <w:bCs w:val="1"/>
                <w:color w:val="auto"/>
                <w:w w:val="94"/>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b w:val="1"/>
                <w:bCs w:val="1"/>
                <w:color w:val="auto"/>
                <w:w w:val="91"/>
              </w:rPr>
              <w:t>Amounts reclassified from accumulated other comprehensive</w:t>
            </w: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(loss)</w:t>
            </w: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line="187" w:lineRule="auto"/>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Included no tax as of May 2, 2021, August 2, 2020, and April 26, 2020 and tax expense of $4 as of July 28, 2019.</w:t>
      </w:r>
    </w:p>
    <w:p>
      <w:pPr>
        <w:ind w:left="340" w:right="220" w:hanging="332"/>
        <w:spacing w:after="0" w:line="187" w:lineRule="auto"/>
        <w:tabs>
          <w:tab w:leader="none" w:pos="32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Included a tax benefit of $2 as of May 2, 2021, $1 as of August 2, 2020, tax expense of $1 as of April 26, 2020, and a tax benefit of $2 as of July 28, 2019.</w:t>
      </w:r>
    </w:p>
    <w:p>
      <w:pPr>
        <w:spacing w:after="0" w:line="1" w:lineRule="exact"/>
        <w:rPr>
          <w:rFonts w:ascii="Arial" w:cs="Arial" w:eastAsia="Arial" w:hAnsi="Arial"/>
          <w:sz w:val="22"/>
          <w:szCs w:val="22"/>
          <w:color w:val="auto"/>
          <w:vertAlign w:val="superscript"/>
        </w:rPr>
      </w:pPr>
    </w:p>
    <w:p>
      <w:pPr>
        <w:ind w:left="320" w:hanging="312"/>
        <w:spacing w:after="0" w:line="185" w:lineRule="auto"/>
        <w:tabs>
          <w:tab w:leader="none" w:pos="32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Included tax expense of $1 as of May 2, 2021, $2 as of August 2, 2020, $3 as of April 26, 2020, and $8 as of July 28, 2019.</w:t>
      </w:r>
    </w:p>
    <w:p>
      <w:pPr>
        <w:ind w:left="340" w:right="4180" w:hanging="332"/>
        <w:spacing w:after="0" w:line="270"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Reflects amounts reclassified from sales of businesses. See Note 3 for additional information. Amounts related to noncontrolling interests were not material.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660" w:type="dxa"/>
            <w:vAlign w:val="bottom"/>
            <w:gridSpan w:val="2"/>
          </w:tcPr>
          <w:p>
            <w:pPr>
              <w:ind w:left="260"/>
              <w:spacing w:after="0" w:line="122" w:lineRule="exact"/>
              <w:rPr>
                <w:sz w:val="20"/>
                <w:szCs w:val="20"/>
                <w:color w:val="auto"/>
              </w:rPr>
            </w:pPr>
            <w:r>
              <w:rPr>
                <w:rFonts w:ascii="Arial" w:cs="Arial" w:eastAsia="Arial" w:hAnsi="Arial"/>
                <w:sz w:val="14"/>
                <w:szCs w:val="14"/>
                <w:b w:val="1"/>
                <w:bCs w:val="1"/>
                <w:color w:val="auto"/>
              </w:rPr>
              <w:t>Details about Accumulated Other Comprehensive</w:t>
            </w:r>
          </w:p>
        </w:tc>
        <w:tc>
          <w:tcPr>
            <w:tcW w:w="16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April 26, 2020</w:t>
            </w:r>
          </w:p>
        </w:tc>
        <w:tc>
          <w:tcPr>
            <w:tcW w:w="1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May 2, 2021</w:t>
            </w:r>
          </w:p>
        </w:tc>
        <w:tc>
          <w:tcPr>
            <w:tcW w:w="120" w:type="dxa"/>
            <w:vAlign w:val="bottom"/>
          </w:tcPr>
          <w:p>
            <w:pPr>
              <w:spacing w:after="0"/>
              <w:rPr>
                <w:sz w:val="10"/>
                <w:szCs w:val="10"/>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April 26, 2020</w:t>
            </w:r>
          </w:p>
        </w:tc>
        <w:tc>
          <w:tcPr>
            <w:tcW w:w="100" w:type="dxa"/>
            <w:vAlign w:val="bottom"/>
          </w:tcPr>
          <w:p>
            <w:pPr>
              <w:spacing w:after="0"/>
              <w:rPr>
                <w:sz w:val="10"/>
                <w:szCs w:val="10"/>
                <w:color w:val="auto"/>
              </w:rPr>
            </w:pPr>
          </w:p>
        </w:tc>
        <w:tc>
          <w:tcPr>
            <w:tcW w:w="2460" w:type="dxa"/>
            <w:vAlign w:val="bottom"/>
          </w:tcPr>
          <w:p>
            <w:pPr>
              <w:ind w:left="60"/>
              <w:spacing w:after="0" w:line="122" w:lineRule="exact"/>
              <w:rPr>
                <w:sz w:val="20"/>
                <w:szCs w:val="20"/>
                <w:color w:val="auto"/>
              </w:rPr>
            </w:pPr>
            <w:r>
              <w:rPr>
                <w:rFonts w:ascii="Arial" w:cs="Arial" w:eastAsia="Arial" w:hAnsi="Arial"/>
                <w:sz w:val="14"/>
                <w:szCs w:val="14"/>
                <w:b w:val="1"/>
                <w:bCs w:val="1"/>
                <w:color w:val="auto"/>
                <w:w w:val="93"/>
              </w:rPr>
              <w:t>Location of (Gain) Loss Recognized in</w:t>
            </w:r>
          </w:p>
        </w:tc>
        <w:tc>
          <w:tcPr>
            <w:tcW w:w="0" w:type="dxa"/>
            <w:vAlign w:val="bottom"/>
          </w:tcPr>
          <w:p>
            <w:pPr>
              <w:spacing w:after="0"/>
              <w:rPr>
                <w:sz w:val="1"/>
                <w:szCs w:val="1"/>
                <w:color w:val="auto"/>
              </w:rPr>
            </w:pPr>
          </w:p>
        </w:tc>
      </w:tr>
      <w:tr>
        <w:trPr>
          <w:trHeight w:val="188"/>
        </w:trPr>
        <w:tc>
          <w:tcPr>
            <w:tcW w:w="3660" w:type="dxa"/>
            <w:vAlign w:val="bottom"/>
            <w:gridSpan w:val="2"/>
          </w:tcPr>
          <w:p>
            <w:pPr>
              <w:ind w:left="940"/>
              <w:spacing w:after="0"/>
              <w:rPr>
                <w:sz w:val="20"/>
                <w:szCs w:val="20"/>
                <w:color w:val="auto"/>
              </w:rPr>
            </w:pPr>
            <w:r>
              <w:rPr>
                <w:rFonts w:ascii="Arial" w:cs="Arial" w:eastAsia="Arial" w:hAnsi="Arial"/>
                <w:sz w:val="14"/>
                <w:szCs w:val="14"/>
                <w:b w:val="1"/>
                <w:bCs w:val="1"/>
                <w:color w:val="auto"/>
              </w:rPr>
              <w:t>Income (Loss) Components</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ind w:left="96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4"/>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Currency translation (gains) losses realized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460" w:type="dxa"/>
            <w:vAlign w:val="bottom"/>
            <w:vMerge w:val="restart"/>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upon disposal of businesses</w:t>
            </w:r>
          </w:p>
        </w:tc>
        <w:tc>
          <w:tcPr>
            <w:tcW w:w="16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Currency translation (gains) losses realized</w:t>
            </w: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5"/>
                <w:szCs w:val="15"/>
                <w:color w:val="auto"/>
              </w:rPr>
            </w:pPr>
          </w:p>
        </w:tc>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Earnings (loss) from</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upon disposal of businesses</w:t>
            </w: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223"/>
        </w:trPr>
        <w:tc>
          <w:tcPr>
            <w:tcW w:w="366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(Gains) losses on cash flow hedges: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176"/>
        </w:trPr>
        <w:tc>
          <w:tcPr>
            <w:tcW w:w="36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Earnings (loss) from</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66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w w:val="93"/>
              </w:rPr>
              <w:t>Pension and postretirement benefit adjustments: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(Gain) loss,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8660" w:firstLine="8"/>
        <w:spacing w:after="0" w:line="35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2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at August 2, 2020</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7000" w:type="dxa"/>
            <w:vAlign w:val="bottom"/>
          </w:tcPr>
          <w:p>
            <w:pPr>
              <w:spacing w:after="0" w:line="230" w:lineRule="exact"/>
              <w:rPr>
                <w:sz w:val="20"/>
                <w:szCs w:val="20"/>
                <w:color w:val="auto"/>
              </w:rPr>
            </w:pPr>
            <w:r>
              <w:rPr>
                <w:rFonts w:ascii="Arial" w:cs="Arial" w:eastAsia="Arial" w:hAnsi="Arial"/>
                <w:sz w:val="18"/>
                <w:szCs w:val="18"/>
                <w:b w:val="1"/>
                <w:bCs w:val="1"/>
                <w:color w:val="auto"/>
              </w:rPr>
              <w:t>Amounts reclassified to Assets of business held for sale</w:t>
            </w:r>
            <w:r>
              <w:rPr>
                <w:rFonts w:ascii="Arial" w:cs="Arial" w:eastAsia="Arial" w:hAnsi="Arial"/>
                <w:sz w:val="23"/>
                <w:szCs w:val="23"/>
                <w:b w:val="1"/>
                <w:bCs w:val="1"/>
                <w:color w:val="auto"/>
                <w:vertAlign w:val="superscript"/>
              </w:rPr>
              <w:t>(1)</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Net balance at May 2, 2021</w:t>
            </w: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3,983</w:t>
            </w:r>
          </w:p>
        </w:tc>
      </w:tr>
      <w:tr>
        <w:trPr>
          <w:trHeight w:val="20"/>
        </w:trPr>
        <w:tc>
          <w:tcPr>
            <w:tcW w:w="7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3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following table summarizes balance sheet information for intangible assets, excluding goodwill, subject to amortization and intangible assets not subject to amortization:</w:t>
      </w: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May 2, 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August 2, 2020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Intangible Assets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08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0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9"/>
              </w:rPr>
              <w:t>851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Trademarks</w:t>
            </w: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176"/>
        </w:trPr>
        <w:tc>
          <w:tcPr>
            <w:tcW w:w="402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9"/>
              </w:rPr>
              <w:t>Amounts reclassified to Assets of business held</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for sale</w:t>
            </w:r>
            <w:r>
              <w:rPr>
                <w:rFonts w:ascii="Arial" w:cs="Arial" w:eastAsia="Arial" w:hAnsi="Arial"/>
                <w:sz w:val="23"/>
                <w:szCs w:val="23"/>
                <w:color w:val="auto"/>
                <w:vertAlign w:val="superscript"/>
              </w:rPr>
              <w:t>(1)</w:t>
            </w: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50" w:lineRule="exact"/>
        <w:rPr>
          <w:sz w:val="20"/>
          <w:szCs w:val="20"/>
          <w:color w:val="auto"/>
        </w:rPr>
      </w:pPr>
    </w:p>
    <w:p>
      <w:pPr>
        <w:ind w:left="340" w:right="380" w:hanging="332"/>
        <w:spacing w:after="0" w:line="206"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Customer relationships and Trademarks of $8 and $62, respectively, were reclassified to Assets of business held for sale. See Note 3 for additional information.</w:t>
      </w:r>
    </w:p>
    <w:p>
      <w:pPr>
        <w:spacing w:after="0" w:line="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Non-amortizable intangible assets consist of trademarks. As of May 2, 2021, trademarks primarily included $1,978 associated with Snyder's-Lance. Of the carrying values of all indefinite-lived trademarks, $620 related to the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trademark, $292 related to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and $280 related to the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trademark.</w:t>
      </w:r>
    </w:p>
    <w:p>
      <w:pPr>
        <w:spacing w:after="0" w:line="4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Amortization of intangible assets in Earnings from continuing operations was $31 and $33 for the nine-month periods ended May 2, 2021, and April 26, 2020, respectively. As of May 2, 2021, amortizable intangible assets had a weighted-average remaining useful life of 18 years. Amortization expense for the next 5 years is estimated to be approximately $41 per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reportable segments are as follows: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and non-dairy beverages;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baby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w:t>
      </w:r>
    </w:p>
    <w:p>
      <w:pPr>
        <w:spacing w:after="0" w:line="6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Snacks, which consists of Pepperidge Farm cookies, crackers, fresh bakery and frozen products in U.S. retail, including </w:t>
      </w:r>
      <w:r>
        <w:rPr>
          <w:rFonts w:ascii="Arial" w:cs="Arial" w:eastAsia="Arial" w:hAnsi="Arial"/>
          <w:sz w:val="17"/>
          <w:szCs w:val="17"/>
          <w:i w:val="1"/>
          <w:iCs w:val="1"/>
          <w:color w:val="auto"/>
        </w:rPr>
        <w:t>Pepperidge Farm</w:t>
      </w:r>
      <w:r>
        <w:rPr>
          <w:rFonts w:ascii="Arial" w:cs="Arial" w:eastAsia="Arial" w:hAnsi="Arial"/>
          <w:sz w:val="17"/>
          <w:szCs w:val="17"/>
          <w:color w:val="auto"/>
        </w:rPr>
        <w:t xml:space="preserve"> Farmhouse</w:t>
      </w:r>
      <w:r>
        <w:rPr>
          <w:rFonts w:ascii="Arial" w:cs="Arial" w:eastAsia="Arial" w:hAnsi="Arial"/>
          <w:sz w:val="17"/>
          <w:szCs w:val="17"/>
          <w:i w:val="1"/>
          <w:iCs w:val="1"/>
          <w:color w:val="auto"/>
        </w:rPr>
        <w:t>*</w:t>
      </w:r>
      <w:r>
        <w:rPr>
          <w:rFonts w:ascii="Arial" w:cs="Arial" w:eastAsia="Arial" w:hAnsi="Arial"/>
          <w:sz w:val="17"/>
          <w:szCs w:val="17"/>
          <w:color w:val="auto"/>
        </w:rPr>
        <w:t xml:space="preserve"> cookies and bakery products, </w:t>
      </w:r>
      <w:r>
        <w:rPr>
          <w:rFonts w:ascii="Arial" w:cs="Arial" w:eastAsia="Arial" w:hAnsi="Arial"/>
          <w:sz w:val="17"/>
          <w:szCs w:val="17"/>
          <w:i w:val="1"/>
          <w:iCs w:val="1"/>
          <w:color w:val="auto"/>
        </w:rPr>
        <w:t>Milano*</w:t>
      </w:r>
      <w:r>
        <w:rPr>
          <w:rFonts w:ascii="Arial" w:cs="Arial" w:eastAsia="Arial" w:hAnsi="Arial"/>
          <w:sz w:val="17"/>
          <w:szCs w:val="17"/>
          <w:color w:val="auto"/>
        </w:rPr>
        <w:t xml:space="preserve"> cookies and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pretzels, </w:t>
      </w:r>
      <w:r>
        <w:rPr>
          <w:rFonts w:ascii="Arial" w:cs="Arial" w:eastAsia="Arial" w:hAnsi="Arial"/>
          <w:sz w:val="17"/>
          <w:szCs w:val="17"/>
          <w:i w:val="1"/>
          <w:iCs w:val="1"/>
          <w:color w:val="auto"/>
        </w:rPr>
        <w:t>Lance*</w:t>
      </w:r>
      <w:r>
        <w:rPr>
          <w:rFonts w:ascii="Arial" w:cs="Arial" w:eastAsia="Arial" w:hAnsi="Arial"/>
          <w:sz w:val="17"/>
          <w:szCs w:val="17"/>
          <w:color w:val="auto"/>
        </w:rPr>
        <w:t xml:space="preserve"> sandwich crackers,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and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potato chips, </w:t>
      </w:r>
      <w:r>
        <w:rPr>
          <w:rFonts w:ascii="Arial" w:cs="Arial" w:eastAsia="Arial" w:hAnsi="Arial"/>
          <w:sz w:val="17"/>
          <w:szCs w:val="17"/>
          <w:i w:val="1"/>
          <w:iCs w:val="1"/>
          <w:color w:val="auto"/>
        </w:rPr>
        <w:t>Late July*</w:t>
      </w:r>
      <w:r>
        <w:rPr>
          <w:rFonts w:ascii="Arial" w:cs="Arial" w:eastAsia="Arial" w:hAnsi="Arial"/>
          <w:sz w:val="17"/>
          <w:szCs w:val="17"/>
          <w:color w:val="auto"/>
        </w:rPr>
        <w:t xml:space="preserve"> snacks, </w:t>
      </w:r>
      <w:r>
        <w:rPr>
          <w:rFonts w:ascii="Arial" w:cs="Arial" w:eastAsia="Arial" w:hAnsi="Arial"/>
          <w:sz w:val="17"/>
          <w:szCs w:val="17"/>
          <w:i w:val="1"/>
          <w:iCs w:val="1"/>
          <w:color w:val="auto"/>
        </w:rPr>
        <w:t>Snack Factory Pretzel Crisps,* Pop Secret</w:t>
      </w:r>
      <w:r>
        <w:rPr>
          <w:rFonts w:ascii="Arial" w:cs="Arial" w:eastAsia="Arial" w:hAnsi="Arial"/>
          <w:sz w:val="17"/>
          <w:szCs w:val="17"/>
          <w:color w:val="auto"/>
        </w:rPr>
        <w:t xml:space="preserve"> popcorn, </w:t>
      </w:r>
      <w:r>
        <w:rPr>
          <w:rFonts w:ascii="Arial" w:cs="Arial" w:eastAsia="Arial" w:hAnsi="Arial"/>
          <w:sz w:val="17"/>
          <w:szCs w:val="17"/>
          <w:i w:val="1"/>
          <w:iCs w:val="1"/>
          <w:color w:val="auto"/>
        </w:rPr>
        <w:t>Emerald</w:t>
      </w:r>
      <w:r>
        <w:rPr>
          <w:rFonts w:ascii="Arial" w:cs="Arial" w:eastAsia="Arial" w:hAnsi="Arial"/>
          <w:sz w:val="17"/>
          <w:szCs w:val="17"/>
          <w:color w:val="auto"/>
        </w:rPr>
        <w:t xml:space="preserve"> nuts, and other snacking products in the U.S. and Canada. The segment includes the retail business in Latin America. The segment also included the results of our European chips business, which was sold on October 11, 2019. We refer to the * trademarks as our "power brands."</w:t>
      </w:r>
    </w:p>
    <w:p>
      <w:pPr>
        <w:spacing w:after="0" w:line="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and impairment charges. Unrealized gains and losses on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4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April 26, 2020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April 26, 2020</w:t>
            </w:r>
          </w:p>
        </w:tc>
      </w:tr>
      <w:tr>
        <w:trPr>
          <w:trHeight w:val="211"/>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3,628</w:t>
            </w: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4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April 26, 2020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April 26, 2020</w:t>
            </w:r>
          </w:p>
        </w:tc>
        <w:tc>
          <w:tcPr>
            <w:tcW w:w="0" w:type="dxa"/>
            <w:vAlign w:val="bottom"/>
          </w:tcPr>
          <w:p>
            <w:pPr>
              <w:spacing w:after="0"/>
              <w:rPr>
                <w:sz w:val="1"/>
                <w:szCs w:val="1"/>
                <w:color w:val="auto"/>
              </w:rPr>
            </w:pPr>
          </w:p>
        </w:tc>
      </w:tr>
      <w:tr>
        <w:trPr>
          <w:trHeight w:val="211"/>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Meals &amp; Beverages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42"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unallocated items. Pension benefit settlement adjustments are included in Corporate. There were settlement gains of $4 and $38 in the three- and nine-month periods ended May 2, 2021, and charges of $54 and $43 in the three- and nine-month periods ended April 26, 2020, respectively. A loss of $45 on Acre Venture Partners, L.P. (Acre) was included in the three- and nine-month periods ended April 26, 2020. A loss of $64 on the sale of our European chips business was included in the nine-month period ended April 26, 2020. Costs related to the cost savings initiatives were $13 and $14 in the three-month periods and $22 and $40 in the nine-month periods ended May 2, 2021, and April 26, 2020, respectively.</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See Note 7 for additional information.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sales based on product categories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May 2, 2021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April 26,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April 26, 2020</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Soup</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Snacks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Other simple meals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Beverages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w:t>
            </w: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Soup includes various soup, broths and stock products. Snacks include cookies, pretzels, crackers, popcorn, nuts, potato chips, tortilla chips and other salty snacks and baked products. Other simple meals include sauces and Plum products. Beverages include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non-dairy beverages.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 and Cost Savings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Inc.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May 2, 2021</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April 26, 2020</w:t>
            </w:r>
          </w:p>
        </w:tc>
        <w:tc>
          <w:tcPr>
            <w:tcW w:w="180" w:type="dxa"/>
            <w:vAlign w:val="bottom"/>
          </w:tcPr>
          <w:p>
            <w:pPr>
              <w:spacing w:after="0"/>
              <w:rPr>
                <w:sz w:val="10"/>
                <w:szCs w:val="10"/>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May 2, 2021</w:t>
            </w:r>
          </w:p>
        </w:tc>
        <w:tc>
          <w:tcPr>
            <w:tcW w:w="180" w:type="dxa"/>
            <w:vAlign w:val="bottom"/>
          </w:tcPr>
          <w:p>
            <w:pPr>
              <w:spacing w:after="0"/>
              <w:rPr>
                <w:sz w:val="10"/>
                <w:szCs w:val="10"/>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April 26, 2020</w:t>
            </w:r>
          </w:p>
        </w:tc>
        <w:tc>
          <w:tcPr>
            <w:tcW w:w="16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5"/>
              </w:rPr>
              <w:t>Recognized as of May 2,</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0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9"/>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0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52"/>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A summary of the pre-tax costs in Earnings from discontinued operations associated with these initiatives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Recognized as of May 2,</w:t>
            </w:r>
          </w:p>
        </w:tc>
      </w:tr>
      <w:tr>
        <w:trPr>
          <w:trHeight w:val="188"/>
        </w:trPr>
        <w:tc>
          <w:tcPr>
            <w:tcW w:w="96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Recognized as of May 2,</w:t>
            </w:r>
          </w:p>
        </w:tc>
      </w:tr>
      <w:tr>
        <w:trPr>
          <w:trHeight w:val="188"/>
        </w:trPr>
        <w:tc>
          <w:tcPr>
            <w:tcW w:w="96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$700 to $730 and we expect to incur the costs through 2022. This estimate will be updated as costs for the expanded initiatives are developed.</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$220 to $225 in severance pay and benefits; approximately $85 in asset impairment and accelerated depreciation; and approximately $395 to $420 in implementation costs and other related costs. We expect these pre-tax costs to be associated with our segments as follows: Meals &amp; Beverages - approximately 32%; Snacks - approximately 44%; and Corporate - approximately 24%.</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$700 to $730 of pre-tax costs associated with continuing operations identified to date, we expect approximately $600 to $630 will be cash expenditures. In addition, we expect to invest approximately $430 in capital expenditures through 2022, of which we invested $382 as of May 2, 2021.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May 2,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Implementation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Other Non-</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Severance Pay</w:t>
            </w: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Costs and Other</w:t>
            </w:r>
          </w:p>
        </w:tc>
        <w:tc>
          <w:tcPr>
            <w:tcW w:w="166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Related</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Impairment/Accelerated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Cash Exit</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Charges</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and Benefits</w:t>
            </w:r>
          </w:p>
        </w:tc>
        <w:tc>
          <w:tcPr>
            <w:tcW w:w="12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(3)</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000" w:type="dxa"/>
            <w:vAlign w:val="bottom"/>
            <w:gridSpan w:val="2"/>
          </w:tcPr>
          <w:p>
            <w:pPr>
              <w:jc w:val="center"/>
              <w:ind w:right="120"/>
              <w:spacing w:after="0" w:line="189" w:lineRule="exact"/>
              <w:rPr>
                <w:sz w:val="20"/>
                <w:szCs w:val="20"/>
                <w:color w:val="auto"/>
              </w:rPr>
            </w:pPr>
            <w:r>
              <w:rPr>
                <w:rFonts w:ascii="Arial" w:cs="Arial" w:eastAsia="Arial" w:hAnsi="Arial"/>
                <w:sz w:val="14"/>
                <w:szCs w:val="14"/>
                <w:b w:val="1"/>
                <w:bCs w:val="1"/>
                <w:color w:val="auto"/>
                <w:w w:val="82"/>
              </w:rPr>
              <w:t>Costs</w:t>
            </w:r>
            <w:r>
              <w:rPr>
                <w:rFonts w:ascii="Arial" w:cs="Arial" w:eastAsia="Arial" w:hAnsi="Arial"/>
                <w:sz w:val="18"/>
                <w:szCs w:val="18"/>
                <w:b w:val="1"/>
                <w:bCs w:val="1"/>
                <w:color w:val="auto"/>
                <w:w w:val="82"/>
                <w:vertAlign w:val="superscript"/>
              </w:rPr>
              <w:t>(4)</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Accrued balance at August 2, 2020</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b w:val="1"/>
                <w:bCs w:val="1"/>
                <w:color w:val="auto"/>
              </w:rPr>
              <w:t>2021 charges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2021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Accrued balance at May 2, 2021</w:t>
            </w:r>
            <w:r>
              <w:rPr>
                <w:rFonts w:ascii="Arial" w:cs="Arial" w:eastAsia="Arial" w:hAnsi="Arial"/>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3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$3 of severance pay and benefits recorded in Other liabilities in the Consolidated Balance Sheet.</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$2 of severance pay and benefits recorded in Other liabilities in the Consolidated Balance Sheet.</w:t>
      </w:r>
    </w:p>
    <w:p>
      <w:pPr>
        <w:spacing w:after="0" w:line="2"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ind w:left="320" w:hanging="312"/>
        <w:spacing w:after="0" w:line="196" w:lineRule="auto"/>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jc w:val="both"/>
        <w:ind w:firstLine="324"/>
        <w:spacing w:after="0" w:line="308"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May 2, 2021</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Nine Months</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Costs Incurred to Date</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the second quarter of 2021, we recorded a $19 deferred tax charge in connection with a legal entity reorganization as part of the continued integration of Snyder's-Lance.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May 2, 2021, and April 26, 2020, excludes approximately 1 million stock options that would have been antidilutive.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80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6"/>
                <w:szCs w:val="16"/>
                <w:color w:val="auto"/>
              </w:rPr>
            </w:pPr>
          </w:p>
        </w:tc>
        <w:tc>
          <w:tcPr>
            <w:tcW w:w="22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Postretirement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80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6"/>
                <w:szCs w:val="16"/>
                <w:color w:val="auto"/>
              </w:rPr>
            </w:pPr>
          </w:p>
        </w:tc>
        <w:tc>
          <w:tcPr>
            <w:tcW w:w="22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2, 2021</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April 26, 2020</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2, 2021</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April 26, 2020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2, 2021</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7"/>
              </w:rPr>
              <w:t>April 26, 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April 26, 2020</w:t>
            </w:r>
          </w:p>
        </w:tc>
        <w:tc>
          <w:tcPr>
            <w:tcW w:w="0" w:type="dxa"/>
            <w:vAlign w:val="bottom"/>
          </w:tcPr>
          <w:p>
            <w:pPr>
              <w:spacing w:after="0"/>
              <w:rPr>
                <w:sz w:val="1"/>
                <w:szCs w:val="1"/>
                <w:color w:val="auto"/>
              </w:rPr>
            </w:pPr>
          </w:p>
        </w:tc>
      </w:tr>
      <w:tr>
        <w:trPr>
          <w:trHeight w:val="224"/>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left="555"/>
              <w:spacing w:after="0"/>
              <w:rPr>
                <w:sz w:val="20"/>
                <w:szCs w:val="20"/>
                <w:color w:val="auto"/>
              </w:rPr>
            </w:pPr>
            <w:r>
              <w:rPr>
                <w:rFonts w:ascii="Arial" w:cs="Arial" w:eastAsia="Arial" w:hAnsi="Arial"/>
                <w:sz w:val="18"/>
                <w:szCs w:val="18"/>
                <w:b w:val="1"/>
                <w:bCs w:val="1"/>
                <w:color w:val="auto"/>
                <w:w w:val="89"/>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Expected return on</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515"/>
              <w:spacing w:after="0"/>
              <w:rPr>
                <w:sz w:val="20"/>
                <w:szCs w:val="20"/>
                <w:color w:val="auto"/>
              </w:rPr>
            </w:pPr>
            <w:r>
              <w:rPr>
                <w:rFonts w:ascii="Arial" w:cs="Arial" w:eastAsia="Arial" w:hAnsi="Arial"/>
                <w:sz w:val="18"/>
                <w:szCs w:val="18"/>
                <w:b w:val="1"/>
                <w:bCs w:val="1"/>
                <w:color w:val="auto"/>
                <w:w w:val="93"/>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assets</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center"/>
              <w:ind w:left="455"/>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Settlement charges</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515"/>
              <w:spacing w:after="0"/>
              <w:rPr>
                <w:sz w:val="20"/>
                <w:szCs w:val="20"/>
                <w:color w:val="auto"/>
              </w:rPr>
            </w:pPr>
            <w:r>
              <w:rPr>
                <w:rFonts w:ascii="Arial" w:cs="Arial" w:eastAsia="Arial" w:hAnsi="Arial"/>
                <w:sz w:val="18"/>
                <w:szCs w:val="18"/>
                <w:b w:val="1"/>
                <w:bCs w:val="1"/>
                <w:color w:val="auto"/>
                <w:w w:val="93"/>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460" w:type="dxa"/>
            <w:vAlign w:val="bottom"/>
          </w:tcPr>
          <w:p>
            <w:pPr>
              <w:ind w:left="20"/>
              <w:spacing w:after="0" w:line="156" w:lineRule="exact"/>
              <w:rPr>
                <w:sz w:val="20"/>
                <w:szCs w:val="20"/>
                <w:color w:val="auto"/>
              </w:rPr>
            </w:pPr>
            <w:r>
              <w:rPr>
                <w:rFonts w:ascii="Arial" w:cs="Arial" w:eastAsia="Arial" w:hAnsi="Arial"/>
                <w:sz w:val="18"/>
                <w:szCs w:val="18"/>
                <w:color w:val="auto"/>
              </w:rPr>
              <w:t>Net periodic</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benefit expense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center"/>
              <w:ind w:left="515"/>
              <w:spacing w:after="0"/>
              <w:rPr>
                <w:sz w:val="20"/>
                <w:szCs w:val="20"/>
                <w:color w:val="auto"/>
              </w:rPr>
            </w:pPr>
            <w:r>
              <w:rPr>
                <w:rFonts w:ascii="Arial" w:cs="Arial" w:eastAsia="Arial" w:hAnsi="Arial"/>
                <w:sz w:val="18"/>
                <w:szCs w:val="18"/>
                <w:b w:val="1"/>
                <w:bCs w:val="1"/>
                <w:color w:val="auto"/>
                <w:w w:val="93"/>
              </w:rPr>
              <w:t>(86)</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1460" w:type="dxa"/>
            <w:vAlign w:val="bottom"/>
          </w:tcPr>
          <w:p>
            <w:pPr>
              <w:ind w:left="20"/>
              <w:spacing w:after="0" w:line="202" w:lineRule="exact"/>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settlement charges (gains) resulted from the level of lump sum distributions associated with U.S. and Canadian pension plans.</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periodic pension benefit expense (income) associated with discontinued operations was not material for the nine-month period ended April 26,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 2021</w:t>
            </w: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w w:val="95"/>
              </w:rPr>
              <w:t>April 26, 2020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Pr>
          <w:p>
            <w:pPr>
              <w:spacing w:after="0"/>
              <w:rPr>
                <w:sz w:val="16"/>
                <w:szCs w:val="16"/>
                <w:color w:val="auto"/>
              </w:rPr>
            </w:pPr>
          </w:p>
        </w:tc>
        <w:tc>
          <w:tcPr>
            <w:tcW w:w="114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April 26, 2020</w:t>
            </w:r>
          </w:p>
        </w:tc>
        <w:tc>
          <w:tcPr>
            <w:tcW w:w="0" w:type="dxa"/>
            <w:vAlign w:val="bottom"/>
          </w:tcPr>
          <w:p>
            <w:pPr>
              <w:spacing w:after="0"/>
              <w:rPr>
                <w:sz w:val="1"/>
                <w:szCs w:val="1"/>
                <w:color w:val="auto"/>
              </w:rPr>
            </w:pP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right="93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Finance lease - amortization of right-of-use (ROU) assets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ind w:right="93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
        </w:trPr>
        <w:tc>
          <w:tcPr>
            <w:tcW w:w="57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line="238"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 our service contracts with embedded leases.</w:t>
      </w:r>
    </w:p>
    <w:p>
      <w:pPr>
        <w:spacing w:after="0" w:line="1" w:lineRule="exact"/>
        <w:rPr>
          <w:rFonts w:ascii="Arial" w:cs="Arial" w:eastAsia="Arial" w:hAnsi="Arial"/>
          <w:sz w:val="23"/>
          <w:szCs w:val="23"/>
          <w:color w:val="auto"/>
          <w:vertAlign w:val="superscript"/>
        </w:rPr>
      </w:pPr>
    </w:p>
    <w:p>
      <w:pPr>
        <w:ind w:left="340" w:right="3360" w:hanging="332"/>
        <w:spacing w:after="0" w:line="306"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Total lease cost of $4 for the nine-month period ended April 26, 2020, related to discontinued operations. The following tables summarize the lease amounts recorded in the Consolidated Balance Sheets:</w:t>
      </w: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5360" w:type="dxa"/>
            <w:vAlign w:val="bottom"/>
          </w:tcPr>
          <w:p>
            <w:pPr>
              <w:spacing w:after="0"/>
              <w:rPr>
                <w:sz w:val="16"/>
                <w:szCs w:val="16"/>
                <w:color w:val="auto"/>
              </w:rPr>
            </w:pPr>
          </w:p>
        </w:tc>
        <w:tc>
          <w:tcPr>
            <w:tcW w:w="2360" w:type="dxa"/>
            <w:vAlign w:val="bottom"/>
          </w:tcPr>
          <w:p>
            <w:pPr>
              <w:ind w:left="820"/>
              <w:spacing w:after="0"/>
              <w:rPr>
                <w:sz w:val="20"/>
                <w:szCs w:val="20"/>
                <w:color w:val="auto"/>
              </w:rPr>
            </w:pPr>
            <w:r>
              <w:rPr>
                <w:rFonts w:ascii="Arial" w:cs="Arial" w:eastAsia="Arial" w:hAnsi="Arial"/>
                <w:sz w:val="14"/>
                <w:szCs w:val="14"/>
                <w:b w:val="1"/>
                <w:bCs w:val="1"/>
                <w:color w:val="auto"/>
                <w:w w:val="96"/>
              </w:rPr>
              <w:t>Balance Sheet Location</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August 2, 2020</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3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0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628"/>
        </w:trPr>
        <w:tc>
          <w:tcPr>
            <w:tcW w:w="53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Finance Leases</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7"/>
        </w:trPr>
        <w:tc>
          <w:tcPr>
            <w:tcW w:w="5360" w:type="dxa"/>
            <w:vAlign w:val="bottom"/>
          </w:tcPr>
          <w:p>
            <w:pPr>
              <w:spacing w:after="0"/>
              <w:rPr>
                <w:sz w:val="16"/>
                <w:szCs w:val="16"/>
                <w:color w:val="auto"/>
              </w:rPr>
            </w:pPr>
          </w:p>
        </w:tc>
        <w:tc>
          <w:tcPr>
            <w:tcW w:w="2360" w:type="dxa"/>
            <w:vAlign w:val="bottom"/>
          </w:tcPr>
          <w:p>
            <w:pPr>
              <w:ind w:left="820"/>
              <w:spacing w:after="0"/>
              <w:rPr>
                <w:sz w:val="20"/>
                <w:szCs w:val="20"/>
                <w:color w:val="auto"/>
              </w:rPr>
            </w:pPr>
            <w:r>
              <w:rPr>
                <w:rFonts w:ascii="Arial" w:cs="Arial" w:eastAsia="Arial" w:hAnsi="Arial"/>
                <w:sz w:val="14"/>
                <w:szCs w:val="14"/>
                <w:b w:val="1"/>
                <w:bCs w:val="1"/>
                <w:color w:val="auto"/>
                <w:w w:val="96"/>
              </w:rPr>
              <w:t>Balance Sheet Location</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2, 2021</w:t>
            </w:r>
          </w:p>
        </w:tc>
        <w:tc>
          <w:tcPr>
            <w:tcW w:w="16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August 2, 2020</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net</w:t>
            </w:r>
          </w:p>
        </w:tc>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Plant assets, net of depreciation</w:t>
            </w:r>
          </w:p>
        </w:tc>
        <w:tc>
          <w:tcPr>
            <w:tcW w:w="7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236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10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The following table summarizes cash flow and other information related to leases: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May 2, 2021</w:t>
            </w:r>
          </w:p>
        </w:tc>
        <w:tc>
          <w:tcPr>
            <w:tcW w:w="16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rPr>
              <w:t>April 26, 2020</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360" w:type="dxa"/>
            <w:vAlign w:val="bottom"/>
          </w:tcPr>
          <w:p>
            <w:pPr>
              <w:spacing w:after="0"/>
              <w:rPr>
                <w:sz w:val="19"/>
                <w:szCs w:val="19"/>
                <w:color w:val="auto"/>
              </w:rPr>
            </w:pPr>
          </w:p>
        </w:tc>
        <w:tc>
          <w:tcPr>
            <w:tcW w:w="10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3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3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2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360" w:type="dxa"/>
            <w:vAlign w:val="bottom"/>
          </w:tcPr>
          <w:p>
            <w:pPr>
              <w:spacing w:after="0"/>
              <w:rPr>
                <w:sz w:val="19"/>
                <w:szCs w:val="19"/>
                <w:color w:val="auto"/>
              </w:rPr>
            </w:pPr>
          </w:p>
        </w:tc>
        <w:tc>
          <w:tcPr>
            <w:tcW w:w="10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3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53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divested with businesses sold:</w:t>
            </w:r>
          </w:p>
        </w:tc>
        <w:tc>
          <w:tcPr>
            <w:tcW w:w="2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360" w:type="dxa"/>
            <w:vAlign w:val="bottom"/>
          </w:tcPr>
          <w:p>
            <w:pPr>
              <w:spacing w:after="0"/>
              <w:rPr>
                <w:sz w:val="19"/>
                <w:szCs w:val="19"/>
                <w:color w:val="auto"/>
              </w:rPr>
            </w:pPr>
          </w:p>
        </w:tc>
        <w:tc>
          <w:tcPr>
            <w:tcW w:w="10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3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ind w:right="360"/>
        <w:spacing w:after="0" w:line="352" w:lineRule="auto"/>
        <w:rPr>
          <w:sz w:val="20"/>
          <w:szCs w:val="20"/>
          <w:color w:val="auto"/>
        </w:rPr>
      </w:pPr>
      <w:r>
        <w:rPr>
          <w:rFonts w:ascii="Arial" w:cs="Arial" w:eastAsia="Arial" w:hAnsi="Arial"/>
          <w:sz w:val="18"/>
          <w:szCs w:val="18"/>
          <w:color w:val="auto"/>
        </w:rPr>
        <w:t xml:space="preserve">Our derivative programs include instruments that qualify for hedge accounting treatment and instruments that are not designated as accounting hedges. </w:t>
      </w:r>
      <w:r>
        <w:rPr>
          <w:rFonts w:ascii="Arial" w:cs="Arial" w:eastAsia="Arial" w:hAnsi="Arial"/>
          <w:sz w:val="18"/>
          <w:szCs w:val="18"/>
          <w:b w:val="1"/>
          <w:bCs w:val="1"/>
          <w:i w:val="1"/>
          <w:iCs w:val="1"/>
          <w:color w:val="auto"/>
        </w:rPr>
        <w:t>Concentration of Credit Risk</w:t>
      </w: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May 2, 2021, or August 2, 2020.</w:t>
      </w:r>
    </w:p>
    <w:p>
      <w:pPr>
        <w:spacing w:after="0" w:line="65"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We are also exposed to credit risk from our customers. During 2020, our largest customer accounted for approximately 21% of consolidated net sales from continuing operations. Our five largest customers accounted for approximately 44% of our consolidated net sales from continuing operations in 2020.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exposed to foreign currency exchange risk related to third-party transactions and intercompany transactions, including intercompany debt. Principal currencies hedged include the Canadian dollar and, prior to the sale of Arnott's and other international operations, the Australian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for periods consistent with the underlying debt. The notional amount of foreign exchange forward contracts accounted for as cash-flow hedges was $128 as of May 2, 2021, and $164 as of August 2, 2020.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$14 as of May 2, 2021, and $19 as of August 2,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Changes in the fair value on the portion of the derivative included in the assessment of hedge effectiveness of a fair-value hedge, along with the gain or loss on the underlying hedged asset or liability, are recorded in current-period earnings.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The change in fair value on undesignated instruments is recorded in interest expense. There were no forward starting interest rate swaps or treasury rate lock contracts outstanding as of May 2, 2021, or August 2,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cocoa, aluminum, corn, soybean meal, and butter. Commodity futures, options, and swap contracts are either designated as cash-flow hedging instruments or are undesignated. We hedge a portion of commodity requirements for periods typically up to 18 months. The notional amount of commodity contracts designated as cash flow hedges was $18 as of May 2, 2021. There were no commodity contracts designated as cash flow hedges as of August 2, 2020.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$203 as of May 2, 2021, and $137 as of August 2, 2020.</w:t>
      </w:r>
    </w:p>
    <w:p>
      <w:pPr>
        <w:spacing w:after="0" w:line="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requiring bifurcation. We net settle amounts due under the contract with our counterparty. The notional value was approximately $61 as of May 2, 2021, and $34 as of August 2, 2020.</w:t>
      </w:r>
    </w:p>
    <w:p>
      <w:pPr>
        <w:spacing w:after="0" w:line="35" w:lineRule="exact"/>
        <w:rPr>
          <w:sz w:val="20"/>
          <w:szCs w:val="20"/>
          <w:color w:val="auto"/>
        </w:rPr>
      </w:pPr>
    </w:p>
    <w:p>
      <w:pPr>
        <w:ind w:right="2020" w:firstLine="324"/>
        <w:spacing w:after="0" w:line="360" w:lineRule="auto"/>
        <w:rPr>
          <w:sz w:val="20"/>
          <w:szCs w:val="20"/>
          <w:color w:val="auto"/>
        </w:rPr>
      </w:pPr>
      <w:r>
        <w:rPr>
          <w:rFonts w:ascii="Arial" w:cs="Arial" w:eastAsia="Arial" w:hAnsi="Arial"/>
          <w:sz w:val="18"/>
          <w:szCs w:val="18"/>
          <w:color w:val="auto"/>
        </w:rPr>
        <w:t xml:space="preserve">Unrealized gains (losses) and settlements are included in Cost of products sold in our Consolidated Statements of Earnings. </w:t>
      </w:r>
      <w:r>
        <w:rPr>
          <w:rFonts w:ascii="Arial" w:cs="Arial" w:eastAsia="Arial" w:hAnsi="Arial"/>
          <w:sz w:val="18"/>
          <w:szCs w:val="18"/>
          <w:b w:val="1"/>
          <w:bCs w:val="1"/>
          <w:i w:val="1"/>
          <w:iCs w:val="1"/>
          <w:color w:val="auto"/>
        </w:rPr>
        <w:t>Equity Price Risk</w:t>
      </w:r>
    </w:p>
    <w:p>
      <w:pPr>
        <w:jc w:val="both"/>
        <w:ind w:firstLine="324"/>
        <w:spacing w:after="0" w:line="271"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$35 as of May 2, 2021, and $22 as of August 2, 2020.</w:t>
      </w:r>
    </w:p>
    <w:p>
      <w:pPr>
        <w:spacing w:after="0" w:line="43"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May 2, 2021, and August 2, 2020:</w:t>
      </w: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3"/>
          </w:tcPr>
          <w:p>
            <w:pPr>
              <w:ind w:left="120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2, 2021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August 2, 2020</w:t>
            </w:r>
          </w:p>
        </w:tc>
      </w:tr>
      <w:tr>
        <w:trPr>
          <w:trHeight w:val="216"/>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0" w:type="dxa"/>
            <w:vAlign w:val="bottom"/>
            <w:tcBorders>
              <w:top w:val="single" w:sz="8" w:color="auto"/>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Foreign exchange forward contracts</w:t>
            </w:r>
          </w:p>
        </w:tc>
        <w:tc>
          <w:tcPr>
            <w:tcW w:w="4320" w:type="dxa"/>
            <w:vAlign w:val="bottom"/>
            <w:gridSpan w:val="4"/>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Deferred compensation derivative contracts</w:t>
            </w:r>
          </w:p>
        </w:tc>
        <w:tc>
          <w:tcPr>
            <w:tcW w:w="4320" w:type="dxa"/>
            <w:vAlign w:val="bottom"/>
            <w:gridSpan w:val="4"/>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6"/>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3"/>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May 2,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August 2, 2020</w:t>
            </w:r>
          </w:p>
        </w:tc>
      </w:tr>
      <w:tr>
        <w:trPr>
          <w:trHeight w:val="215"/>
        </w:trPr>
        <w:tc>
          <w:tcPr>
            <w:tcW w:w="4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4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23"/>
        </w:trPr>
        <w:tc>
          <w:tcPr>
            <w:tcW w:w="4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0"/>
        </w:trPr>
        <w:tc>
          <w:tcPr>
            <w:tcW w:w="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Commodity derivative contracts</w:t>
            </w:r>
          </w:p>
        </w:tc>
        <w:tc>
          <w:tcPr>
            <w:tcW w:w="4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23"/>
        </w:trPr>
        <w:tc>
          <w:tcPr>
            <w:tcW w:w="40" w:type="dxa"/>
            <w:vAlign w:val="bottom"/>
          </w:tcPr>
          <w:p>
            <w:pPr>
              <w:spacing w:after="0"/>
              <w:rPr>
                <w:sz w:val="19"/>
                <w:szCs w:val="19"/>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8"/>
          <w:szCs w:val="18"/>
          <w:color w:val="auto"/>
        </w:rPr>
        <w:t>derivatives on a net basis, the amounts presented in the Consolidated Balance Sheets as of May 2, 2021, and August 2, 2020, would be adjusted as detailed in the following table:</w:t>
      </w: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May 2, 2021</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August 2,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1"/>
                <w:szCs w:val="11"/>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 cash margin liability balance of $11 at May 2, 2021, and an asset balance of $8 at August 2, 2020, were included in Accrued liabilities and Other current assets, respectively, in the Consolidated Balance Sheets.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nine-month periods ended May 2, 2021, and April 26, 2020, in other comprehensive income (loss) (OCI) and the Consolidated Statements of Earnings: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gridSpan w:val="4"/>
          </w:tcPr>
          <w:p>
            <w:pPr>
              <w:jc w:val="right"/>
              <w:ind w:right="791"/>
              <w:spacing w:after="0" w:line="145" w:lineRule="exact"/>
              <w:rPr>
                <w:sz w:val="20"/>
                <w:szCs w:val="20"/>
                <w:color w:val="auto"/>
              </w:rPr>
            </w:pPr>
            <w:r>
              <w:rPr>
                <w:rFonts w:ascii="Arial" w:cs="Arial" w:eastAsia="Arial" w:hAnsi="Arial"/>
                <w:sz w:val="14"/>
                <w:szCs w:val="14"/>
                <w:b w:val="1"/>
                <w:bCs w:val="1"/>
                <w:color w:val="auto"/>
              </w:rPr>
              <w:t>Total Cash-Flow Hedge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OCI Activity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2, 2021</w:t>
            </w:r>
          </w:p>
        </w:tc>
        <w:tc>
          <w:tcPr>
            <w:tcW w:w="220" w:type="dxa"/>
            <w:vAlign w:val="bottom"/>
          </w:tcPr>
          <w:p>
            <w:pPr>
              <w:spacing w:after="0"/>
              <w:rPr>
                <w:sz w:val="15"/>
                <w:szCs w:val="15"/>
                <w:color w:val="auto"/>
              </w:rPr>
            </w:pPr>
          </w:p>
        </w:tc>
        <w:tc>
          <w:tcPr>
            <w:tcW w:w="1340" w:type="dxa"/>
            <w:vAlign w:val="bottom"/>
          </w:tcPr>
          <w:p>
            <w:pPr>
              <w:jc w:val="right"/>
              <w:ind w:right="251"/>
              <w:spacing w:after="0"/>
              <w:rPr>
                <w:sz w:val="20"/>
                <w:szCs w:val="20"/>
                <w:color w:val="auto"/>
              </w:rPr>
            </w:pPr>
            <w:r>
              <w:rPr>
                <w:rFonts w:ascii="Arial" w:cs="Arial" w:eastAsia="Arial" w:hAnsi="Arial"/>
                <w:sz w:val="14"/>
                <w:szCs w:val="14"/>
                <w:b w:val="1"/>
                <w:bCs w:val="1"/>
                <w:color w:val="auto"/>
              </w:rPr>
              <w:t>April 26, 2020</w:t>
            </w: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shd w:val="clear" w:color="auto" w:fill="CCEEFF"/>
          </w:tcPr>
          <w:p>
            <w:pPr>
              <w:spacing w:after="0"/>
              <w:rPr>
                <w:sz w:val="15"/>
                <w:szCs w:val="15"/>
                <w:color w:val="auto"/>
              </w:rPr>
            </w:pPr>
          </w:p>
        </w:tc>
        <w:tc>
          <w:tcPr>
            <w:tcW w:w="5440" w:type="dxa"/>
            <w:vAlign w:val="bottom"/>
            <w:tcBorders>
              <w:top w:val="single" w:sz="8" w:color="auto"/>
            </w:tcBorders>
            <w:gridSpan w:val="3"/>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OCI derivative gain (loss) at beginning of quarter</w:t>
            </w:r>
          </w:p>
        </w:tc>
        <w:tc>
          <w:tcPr>
            <w:tcW w:w="28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3"/>
          </w:tcPr>
          <w:p>
            <w:pPr>
              <w:spacing w:after="0" w:line="189"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Location in Earnings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OCI derivative gain (loss) at end of quarter</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OCI derivative gain (loss) at beginning of year</w:t>
            </w:r>
          </w:p>
        </w:tc>
        <w:tc>
          <w:tcPr>
            <w:tcW w:w="28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9"/>
              </w:rPr>
              <w:t>Location in Earnings</w:t>
            </w:r>
          </w:p>
        </w:tc>
        <w:tc>
          <w:tcPr>
            <w:tcW w:w="1180" w:type="dxa"/>
            <w:vAlign w:val="bottom"/>
            <w:tcBorders>
              <w:bottom w:val="single" w:sz="8" w:color="CCEEFF"/>
            </w:tcBorders>
            <w:gridSpan w:val="2"/>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5"/>
                <w:szCs w:val="15"/>
                <w:color w:val="auto"/>
              </w:rPr>
            </w:pPr>
          </w:p>
        </w:tc>
        <w:tc>
          <w:tcPr>
            <w:tcW w:w="2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Earnings (loss) from</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OCI derivative gain (loss) at end of quarter</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ind w:firstLine="324"/>
        <w:spacing w:after="0" w:line="269"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nine-month periods ended May 2, 2021, and April 26, 2020, in the Consolidated Statements of Earnings:</w:t>
      </w: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517"/>
              <w:spacing w:after="0"/>
              <w:rPr>
                <w:sz w:val="20"/>
                <w:szCs w:val="20"/>
                <w:color w:val="auto"/>
              </w:rPr>
            </w:pPr>
            <w:r>
              <w:rPr>
                <w:rFonts w:ascii="Arial" w:cs="Arial" w:eastAsia="Arial" w:hAnsi="Arial"/>
                <w:sz w:val="14"/>
                <w:szCs w:val="14"/>
                <w:b w:val="1"/>
                <w:bCs w:val="1"/>
                <w:color w:val="auto"/>
              </w:rPr>
              <w:t>May 2, 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April 26, 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Cost of products</w:t>
            </w:r>
          </w:p>
        </w:tc>
        <w:tc>
          <w:tcPr>
            <w:tcW w:w="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Cost of products</w:t>
            </w:r>
          </w:p>
        </w:tc>
        <w:tc>
          <w:tcPr>
            <w:tcW w:w="100" w:type="dxa"/>
            <w:vAlign w:val="bottom"/>
          </w:tcPr>
          <w:p>
            <w:pPr>
              <w:spacing w:after="0"/>
              <w:rPr>
                <w:sz w:val="11"/>
                <w:szCs w:val="11"/>
                <w:color w:val="auto"/>
              </w:rPr>
            </w:pPr>
          </w:p>
        </w:tc>
        <w:tc>
          <w:tcPr>
            <w:tcW w:w="120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Earnings from</w:t>
            </w:r>
          </w:p>
        </w:tc>
        <w:tc>
          <w:tcPr>
            <w:tcW w:w="12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discontinued</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sold</w:t>
            </w:r>
          </w:p>
        </w:tc>
        <w:tc>
          <w:tcPr>
            <w:tcW w:w="1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sold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operations</w:t>
            </w: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4"/>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4"/>
          </w:tcPr>
          <w:p>
            <w:pPr>
              <w:ind w:left="140"/>
              <w:spacing w:after="0"/>
              <w:rPr>
                <w:sz w:val="20"/>
                <w:szCs w:val="20"/>
                <w:color w:val="auto"/>
              </w:rPr>
            </w:pPr>
            <w:r>
              <w:rPr>
                <w:rFonts w:ascii="Arial" w:cs="Arial" w:eastAsia="Arial" w:hAnsi="Arial"/>
                <w:sz w:val="18"/>
                <w:szCs w:val="18"/>
                <w:color w:val="auto"/>
              </w:rPr>
              <w:t>Amount of (gain) loss reclassified from OCI to earnings</w:t>
            </w:r>
          </w:p>
        </w:tc>
        <w:tc>
          <w:tcPr>
            <w:tcW w:w="260" w:type="dxa"/>
            <w:vAlign w:val="bottom"/>
          </w:tcPr>
          <w:p>
            <w:pPr>
              <w:jc w:val="right"/>
              <w:ind w:right="55"/>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000" w:type="dxa"/>
            <w:vAlign w:val="bottom"/>
            <w:gridSpan w:val="4"/>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Amount excluded from effectiveness testing recognized in earnings using an</w:t>
            </w: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amortization approach</w:t>
            </w:r>
          </w:p>
        </w:tc>
        <w:tc>
          <w:tcPr>
            <w:tcW w:w="260" w:type="dxa"/>
            <w:vAlign w:val="bottom"/>
            <w:vMerge w:val="continue"/>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ind w:right="79"/>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537"/>
              <w:spacing w:after="0"/>
              <w:rPr>
                <w:sz w:val="20"/>
                <w:szCs w:val="20"/>
                <w:color w:val="auto"/>
              </w:rPr>
            </w:pPr>
            <w:r>
              <w:rPr>
                <w:rFonts w:ascii="Arial" w:cs="Arial" w:eastAsia="Arial" w:hAnsi="Arial"/>
                <w:sz w:val="14"/>
                <w:szCs w:val="14"/>
                <w:b w:val="1"/>
                <w:bCs w:val="1"/>
                <w:color w:val="auto"/>
              </w:rPr>
              <w:t>May 2,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April 26, 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Cost of products</w:t>
            </w:r>
          </w:p>
        </w:tc>
        <w:tc>
          <w:tcPr>
            <w:tcW w:w="100" w:type="dxa"/>
            <w:vAlign w:val="bottom"/>
          </w:tcPr>
          <w:p>
            <w:pPr>
              <w:spacing w:after="0"/>
              <w:rPr>
                <w:sz w:val="11"/>
                <w:szCs w:val="11"/>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Cost of product</w:t>
            </w:r>
          </w:p>
        </w:tc>
        <w:tc>
          <w:tcPr>
            <w:tcW w:w="100" w:type="dxa"/>
            <w:vAlign w:val="bottom"/>
          </w:tcPr>
          <w:p>
            <w:pPr>
              <w:spacing w:after="0"/>
              <w:rPr>
                <w:sz w:val="11"/>
                <w:szCs w:val="11"/>
                <w:color w:val="auto"/>
              </w:rPr>
            </w:pPr>
          </w:p>
        </w:tc>
        <w:tc>
          <w:tcPr>
            <w:tcW w:w="120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Earnings from</w:t>
            </w:r>
          </w:p>
        </w:tc>
        <w:tc>
          <w:tcPr>
            <w:tcW w:w="12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discontinued</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3"/>
              </w:rPr>
              <w:t>sold</w:t>
            </w:r>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center"/>
              <w:ind w:right="175"/>
              <w:spacing w:after="0"/>
              <w:rPr>
                <w:sz w:val="20"/>
                <w:szCs w:val="20"/>
                <w:color w:val="auto"/>
              </w:rPr>
            </w:pPr>
            <w:r>
              <w:rPr>
                <w:rFonts w:ascii="Arial" w:cs="Arial" w:eastAsia="Arial" w:hAnsi="Arial"/>
                <w:sz w:val="14"/>
                <w:szCs w:val="14"/>
                <w:b w:val="1"/>
                <w:bCs w:val="1"/>
                <w:color w:val="auto"/>
                <w:w w:val="83"/>
              </w:rPr>
              <w:t>sold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operations</w:t>
            </w: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4"/>
          </w:tcPr>
          <w:p>
            <w:pPr>
              <w:ind w:left="140"/>
              <w:spacing w:after="0"/>
              <w:rPr>
                <w:sz w:val="20"/>
                <w:szCs w:val="20"/>
                <w:color w:val="auto"/>
              </w:rPr>
            </w:pPr>
            <w:r>
              <w:rPr>
                <w:rFonts w:ascii="Arial" w:cs="Arial" w:eastAsia="Arial" w:hAnsi="Arial"/>
                <w:sz w:val="18"/>
                <w:szCs w:val="18"/>
                <w:color w:val="auto"/>
              </w:rPr>
              <w:t>Amount of (gain) loss reclassified from OCI to earnings</w:t>
            </w:r>
          </w:p>
        </w:tc>
        <w:tc>
          <w:tcPr>
            <w:tcW w:w="260" w:type="dxa"/>
            <w:vAlign w:val="bottom"/>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6000" w:type="dxa"/>
            <w:vAlign w:val="bottom"/>
            <w:gridSpan w:val="4"/>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Amount excluded from effectiveness testing recognized in earnings using an</w:t>
            </w: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amortization approach</w:t>
            </w:r>
          </w:p>
        </w:tc>
        <w:tc>
          <w:tcPr>
            <w:tcW w:w="260" w:type="dxa"/>
            <w:vAlign w:val="bottom"/>
            <w:vMerge w:val="continue"/>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nine-month periods ended May 2, 2021, and April 26, 2020, in the Consolidated Statements of Earnings:</w:t>
      </w: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10"/>
          </w:tcPr>
          <w:p>
            <w:pPr>
              <w:jc w:val="right"/>
              <w:ind w:right="433"/>
              <w:spacing w:after="0"/>
              <w:rPr>
                <w:sz w:val="20"/>
                <w:szCs w:val="20"/>
                <w:color w:val="auto"/>
              </w:rPr>
            </w:pPr>
            <w:r>
              <w:rPr>
                <w:rFonts w:ascii="Arial" w:cs="Arial" w:eastAsia="Arial" w:hAnsi="Arial"/>
                <w:sz w:val="14"/>
                <w:szCs w:val="14"/>
                <w:b w:val="1"/>
                <w:bCs w:val="1"/>
                <w:color w:val="auto"/>
              </w:rPr>
              <w:t>Amount of (Gain) Loss Recognized in Earnings on Derivatives</w:t>
            </w:r>
          </w:p>
        </w:tc>
      </w:tr>
      <w:tr>
        <w:trPr>
          <w:trHeight w:val="19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ind w:left="520"/>
              <w:spacing w:after="0"/>
              <w:rPr>
                <w:sz w:val="20"/>
                <w:szCs w:val="20"/>
                <w:color w:val="auto"/>
              </w:rPr>
            </w:pPr>
            <w:r>
              <w:rPr>
                <w:rFonts w:ascii="Arial" w:cs="Arial" w:eastAsia="Arial" w:hAnsi="Arial"/>
                <w:sz w:val="14"/>
                <w:szCs w:val="14"/>
                <w:b w:val="1"/>
                <w:bCs w:val="1"/>
                <w:color w:val="auto"/>
              </w:rPr>
              <w:t>Location of (Gain) Loss</w:t>
            </w: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2600" w:type="dxa"/>
            <w:vAlign w:val="bottom"/>
            <w:gridSpan w:val="2"/>
          </w:tcPr>
          <w:p>
            <w:pPr>
              <w:ind w:left="520"/>
              <w:spacing w:after="0"/>
              <w:rPr>
                <w:sz w:val="20"/>
                <w:szCs w:val="20"/>
                <w:color w:val="auto"/>
              </w:rPr>
            </w:pPr>
            <w:r>
              <w:rPr>
                <w:rFonts w:ascii="Arial" w:cs="Arial" w:eastAsia="Arial" w:hAnsi="Arial"/>
                <w:sz w:val="14"/>
                <w:szCs w:val="14"/>
                <w:b w:val="1"/>
                <w:bCs w:val="1"/>
                <w:color w:val="auto"/>
              </w:rPr>
              <w:t>Recognized in Earnings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2, 2021</w:t>
            </w: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26, 2020</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Pr>
          <w:p>
            <w:pPr>
              <w:spacing w:after="0"/>
              <w:rPr>
                <w:sz w:val="17"/>
                <w:szCs w:val="17"/>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April 26, 2020</w:t>
            </w: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Foreign exchange forward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expenses / (income)</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 contracts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rate lock contracts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Total (gain) loss at end of quarter</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ind w:right="1400"/>
        <w:spacing w:after="0" w:line="352" w:lineRule="auto"/>
        <w:rPr>
          <w:sz w:val="20"/>
          <w:szCs w:val="20"/>
          <w:color w:val="auto"/>
        </w:rPr>
      </w:pPr>
      <w:r>
        <w:rPr>
          <w:rFonts w:ascii="Arial" w:cs="Arial" w:eastAsia="Arial" w:hAnsi="Arial"/>
          <w:sz w:val="18"/>
          <w:szCs w:val="18"/>
          <w:color w:val="auto"/>
        </w:rPr>
        <w:t xml:space="preserve">interest rates and currency rates. Included in the fair value of derivative instruments is an adjustment for credit and nonperformance risk. </w:t>
      </w:r>
      <w:r>
        <w:rPr>
          <w:rFonts w:ascii="Arial" w:cs="Arial" w:eastAsia="Arial" w:hAnsi="Arial"/>
          <w:sz w:val="18"/>
          <w:szCs w:val="18"/>
          <w:b w:val="1"/>
          <w:bCs w:val="1"/>
          <w:i w:val="1"/>
          <w:iCs w:val="1"/>
          <w:color w:val="auto"/>
        </w:rPr>
        <w:t>Assets and Liabilities Measured at Fair Value on a Recurring Basis</w:t>
      </w:r>
    </w:p>
    <w:p>
      <w:pPr>
        <w:ind w:right="30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May 2, 2021, and August 2, 2020, consistent with the fair value hierarchy: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11"/>
          </w:tcPr>
          <w:p>
            <w:pPr>
              <w:jc w:val="center"/>
              <w:ind w:left="476"/>
              <w:spacing w:after="0"/>
              <w:rPr>
                <w:sz w:val="20"/>
                <w:szCs w:val="20"/>
                <w:color w:val="auto"/>
              </w:rPr>
            </w:pPr>
            <w:r>
              <w:rPr>
                <w:rFonts w:ascii="Arial" w:cs="Arial" w:eastAsia="Arial" w:hAnsi="Arial"/>
                <w:sz w:val="14"/>
                <w:szCs w:val="14"/>
                <w:b w:val="1"/>
                <w:bCs w:val="1"/>
                <w:color w:val="auto"/>
                <w:w w:val="93"/>
              </w:rPr>
              <w:t>Fair Value Measurements at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10"/>
          </w:tcPr>
          <w:p>
            <w:pPr>
              <w:jc w:val="center"/>
              <w:ind w:left="516"/>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7"/>
            <w:vMerge w:val="restart"/>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May 2, 2021 Using</w:t>
            </w: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7"/>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3"/>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6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60"/>
              <w:spacing w:after="0" w:line="107" w:lineRule="exact"/>
              <w:rPr>
                <w:sz w:val="20"/>
                <w:szCs w:val="20"/>
                <w:color w:val="auto"/>
              </w:rPr>
            </w:pPr>
            <w:r>
              <w:rPr>
                <w:rFonts w:ascii="Arial" w:cs="Arial" w:eastAsia="Arial" w:hAnsi="Arial"/>
                <w:sz w:val="12"/>
                <w:szCs w:val="12"/>
                <w:b w:val="1"/>
                <w:bCs w:val="1"/>
                <w:color w:val="auto"/>
              </w:rPr>
              <w:t>May 2,</w:t>
            </w: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9"/>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tcPr>
          <w:p>
            <w:pPr>
              <w:jc w:val="center"/>
              <w:ind w:right="280"/>
              <w:spacing w:after="0" w:line="107" w:lineRule="exact"/>
              <w:rPr>
                <w:sz w:val="20"/>
                <w:szCs w:val="20"/>
                <w:color w:val="auto"/>
              </w:rPr>
            </w:pPr>
            <w:r>
              <w:rPr>
                <w:rFonts w:ascii="Arial" w:cs="Arial" w:eastAsia="Arial" w:hAnsi="Arial"/>
                <w:sz w:val="12"/>
                <w:szCs w:val="12"/>
                <w:b w:val="1"/>
                <w:bCs w:val="1"/>
                <w:color w:val="auto"/>
              </w:rPr>
              <w:t>August 2,</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8"/>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1"/>
        </w:trPr>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1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Foreign exchange</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5"/>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5"/>
            <w:vMerge w:val="restart"/>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Commodity derivative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w w:val="93"/>
              </w:rPr>
              <w:t>derivative contracts</w:t>
            </w:r>
            <w:r>
              <w:rPr>
                <w:rFonts w:ascii="Arial" w:cs="Arial" w:eastAsia="Arial" w:hAnsi="Arial"/>
                <w:sz w:val="23"/>
                <w:szCs w:val="23"/>
                <w:color w:val="auto"/>
                <w:w w:val="93"/>
                <w:vertAlign w:val="superscript"/>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88"/>
              </w:rPr>
              <w:t>Total assets at fair value</w:t>
            </w: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11"/>
          </w:tcPr>
          <w:p>
            <w:pPr>
              <w:jc w:val="center"/>
              <w:ind w:left="536"/>
              <w:spacing w:after="0"/>
              <w:rPr>
                <w:sz w:val="20"/>
                <w:szCs w:val="20"/>
                <w:color w:val="auto"/>
              </w:rPr>
            </w:pPr>
            <w:r>
              <w:rPr>
                <w:rFonts w:ascii="Arial" w:cs="Arial" w:eastAsia="Arial" w:hAnsi="Arial"/>
                <w:sz w:val="14"/>
                <w:szCs w:val="14"/>
                <w:b w:val="1"/>
                <w:bCs w:val="1"/>
                <w:color w:val="auto"/>
                <w:w w:val="92"/>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10"/>
          </w:tcPr>
          <w:p>
            <w:pPr>
              <w:jc w:val="center"/>
              <w:ind w:left="556"/>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7"/>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May 2, 2021 Using</w:t>
            </w: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August 2, 2020 Using</w:t>
            </w: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9"/>
            <w:vMerge w:val="restart"/>
          </w:tcPr>
          <w:p>
            <w:pPr>
              <w:jc w:val="center"/>
              <w:ind w:right="138"/>
              <w:spacing w:after="0"/>
              <w:rPr>
                <w:sz w:val="20"/>
                <w:szCs w:val="20"/>
                <w:color w:val="auto"/>
              </w:rPr>
            </w:pPr>
            <w:r>
              <w:rPr>
                <w:rFonts w:ascii="Arial" w:cs="Arial" w:eastAsia="Arial" w:hAnsi="Arial"/>
                <w:sz w:val="14"/>
                <w:szCs w:val="14"/>
                <w:b w:val="1"/>
                <w:bCs w:val="1"/>
                <w:color w:val="auto"/>
                <w:w w:val="97"/>
              </w:rPr>
              <w:t>Fair Value Hierarchy</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7"/>
            <w:vMerge w:val="restart"/>
          </w:tcPr>
          <w:p>
            <w:pPr>
              <w:jc w:val="center"/>
              <w:ind w:right="178"/>
              <w:spacing w:after="0"/>
              <w:rPr>
                <w:sz w:val="20"/>
                <w:szCs w:val="20"/>
                <w:color w:val="auto"/>
              </w:rPr>
            </w:pPr>
            <w:r>
              <w:rPr>
                <w:rFonts w:ascii="Arial" w:cs="Arial" w:eastAsia="Arial" w:hAnsi="Arial"/>
                <w:sz w:val="14"/>
                <w:szCs w:val="14"/>
                <w:b w:val="1"/>
                <w:bCs w:val="1"/>
                <w:color w:val="auto"/>
                <w:w w:val="97"/>
              </w:rPr>
              <w:t>Fair Value Hierarchy</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220"/>
              <w:spacing w:after="0" w:line="107" w:lineRule="exact"/>
              <w:rPr>
                <w:sz w:val="20"/>
                <w:szCs w:val="20"/>
                <w:color w:val="auto"/>
              </w:rPr>
            </w:pPr>
            <w:r>
              <w:rPr>
                <w:rFonts w:ascii="Arial" w:cs="Arial" w:eastAsia="Arial" w:hAnsi="Arial"/>
                <w:sz w:val="12"/>
                <w:szCs w:val="12"/>
                <w:b w:val="1"/>
                <w:bCs w:val="1"/>
                <w:color w:val="auto"/>
              </w:rPr>
              <w:t>May 2,</w:t>
            </w: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9"/>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August 2,</w:t>
            </w: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7"/>
            <w:vMerge w:val="continue"/>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0" w:type="dxa"/>
            <w:vAlign w:val="bottom"/>
            <w:tcBorders>
              <w:right w:val="single" w:sz="8" w:color="CCEEFF"/>
            </w:tcBorders>
          </w:tcPr>
          <w:p>
            <w:pPr>
              <w:spacing w:after="0"/>
              <w:rPr>
                <w:sz w:val="14"/>
                <w:szCs w:val="14"/>
                <w:color w:val="auto"/>
              </w:rPr>
            </w:pPr>
          </w:p>
        </w:tc>
        <w:tc>
          <w:tcPr>
            <w:tcW w:w="17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5"/>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6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17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Commodity derivative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(4)</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CCEEFF"/>
            </w:tcBorders>
          </w:tcPr>
          <w:p>
            <w:pPr>
              <w:spacing w:after="0"/>
              <w:rPr>
                <w:sz w:val="13"/>
                <w:szCs w:val="13"/>
                <w:color w:val="auto"/>
              </w:rPr>
            </w:pPr>
          </w:p>
        </w:tc>
        <w:tc>
          <w:tcPr>
            <w:tcW w:w="17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liabilities at fair</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6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value</w:t>
            </w:r>
          </w:p>
        </w:tc>
        <w:tc>
          <w:tcPr>
            <w:tcW w:w="1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5"/>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60" w:type="dxa"/>
            <w:vAlign w:val="bottom"/>
            <w:gridSpan w:val="5"/>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3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3"/>
          <w:szCs w:val="23"/>
          <w:color w:val="auto"/>
          <w:vertAlign w:val="superscript"/>
        </w:rPr>
      </w:pPr>
    </w:p>
    <w:p>
      <w:pPr>
        <w:jc w:val="both"/>
        <w:ind w:left="340" w:hanging="332"/>
        <w:spacing w:after="0" w:line="242"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ind w:right="20" w:firstLine="324"/>
        <w:spacing w:after="0" w:line="269" w:lineRule="auto"/>
        <w:rPr>
          <w:sz w:val="20"/>
          <w:szCs w:val="20"/>
          <w:color w:val="auto"/>
        </w:rPr>
      </w:pPr>
      <w:r>
        <w:rPr>
          <w:rFonts w:ascii="Arial" w:cs="Arial" w:eastAsia="Arial" w:hAnsi="Arial"/>
          <w:sz w:val="18"/>
          <w:szCs w:val="18"/>
          <w:color w:val="auto"/>
        </w:rPr>
        <w:t>The following table summarizes the changes in fair value of Level 3 assets and liabilities for the nine-month periods ended May 2, 2021, and April 26, 2020:</w:t>
      </w: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71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8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2, 2021</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3"/>
              <w:spacing w:after="0" w:line="189" w:lineRule="exact"/>
              <w:rPr>
                <w:sz w:val="20"/>
                <w:szCs w:val="20"/>
                <w:color w:val="auto"/>
              </w:rPr>
            </w:pPr>
            <w:r>
              <w:rPr>
                <w:rFonts w:ascii="Arial" w:cs="Arial" w:eastAsia="Arial" w:hAnsi="Arial"/>
                <w:sz w:val="14"/>
                <w:szCs w:val="14"/>
                <w:b w:val="1"/>
                <w:bCs w:val="1"/>
                <w:color w:val="auto"/>
                <w:w w:val="95"/>
              </w:rPr>
              <w:t>April 26, 2020</w:t>
            </w:r>
            <w:r>
              <w:rPr>
                <w:rFonts w:ascii="Arial" w:cs="Arial" w:eastAsia="Arial" w:hAnsi="Arial"/>
                <w:sz w:val="18"/>
                <w:szCs w:val="18"/>
                <w:b w:val="1"/>
                <w:bCs w:val="1"/>
                <w:color w:val="auto"/>
                <w:w w:val="95"/>
                <w:vertAlign w:val="superscript"/>
              </w:rPr>
              <w:t>(1)</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quarter</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55" w:lineRule="exact"/>
        <w:rPr>
          <w:sz w:val="20"/>
          <w:szCs w:val="20"/>
          <w:color w:val="auto"/>
        </w:rPr>
      </w:pPr>
    </w:p>
    <w:p>
      <w:pPr>
        <w:jc w:val="both"/>
        <w:ind w:left="340" w:hanging="332"/>
        <w:spacing w:after="0" w:line="242"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Primarily represented investments in equity securities that were not readily marketable and were accounted for under the fair value option. The investments were funded by Acre, a limited partnership in which we were the sole limited partner. Fair value was based on analyzing recent transactions and transactions of comparable companies, and the discounted cash flow method. In addition, allocation methods, including the option pricing method, were used in distributing fair value among various equity holders according to rights and preferences. We entered into an agreement to sell our interest in Acre on April 26, 2020, and completed the sale on May 8, 2020. As a result of the pending sale, we adjusted the fair value as of April 26, 2020 based on the proceeds.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cash equivalents at May 2, 2021, and $157 at August 2, 2020. Cash equivalents represent fair value as these highly liquid investments have an original maturity of three months or less. Fair value of cash equivalents is based on Level 2 inputs.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short- and long-term debt was $5,641 at May 2, 2021, and $6,995 at August 2, 2020. The carrying value was $5,201 at May 2, 2021, and $6,196 at August 2, 2020. The fair value of long-term debt is principally estimated using Level 2 inputs based on quoted market prices or pricing models using current market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2017, the Board authorized a strategic share repurchase program to purchase up to $1,500 (March 2017 program). The March 2017 program has no expiration date, but it may be suspended or discontinued at any time. In addition to the March 2017 program, we had a separate Board authorization to purchase shares to offset the impact of dilution from shares issued under our stock compensation programs (anti-dilutive program). We suspended all of our share repurchases, including our anti-dilutive program, as of the second quarter of 2018. Approximately $1,296 remained available under the March 2017 program as of May 2, 2021, which remains suspended.</w:t>
      </w:r>
    </w:p>
    <w:p>
      <w:pPr>
        <w:spacing w:after="0" w:line="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In June 2021, the Board authorized a new anti-dilutive share repurchase program of up to $250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2021, we issued time-lapse restricted stock units, unrestricted stock and TSR performance restricted stock units. We have not issued stock options, FCF performance restricted stock units, or EPS performance restricted stock units in 2021.</w:t>
      </w:r>
    </w:p>
    <w:p>
      <w:pPr>
        <w:spacing w:after="0" w:line="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72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8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May 2, 2021</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7"/>
              </w:rPr>
              <w:t>April 26,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9"/>
              </w:rPr>
              <w:t>April 26, 2020</w:t>
            </w:r>
          </w:p>
        </w:tc>
      </w:tr>
      <w:tr>
        <w:trPr>
          <w:trHeight w:val="224"/>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4"/>
        </w:trPr>
        <w:tc>
          <w:tcPr>
            <w:tcW w:w="588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000" w:type="dxa"/>
            <w:vAlign w:val="bottom"/>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nine-month period ended April 26, 2020, total pre-tax stock-based compensation expense recognized in Earnings from discontinued operations was $2. The tax-related benefits were not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The following table summarizes stock option activity as of May 2, 2021:</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7"/>
              <w:spacing w:after="0" w:line="135"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1040" w:type="dxa"/>
            <w:vAlign w:val="bottom"/>
          </w:tcPr>
          <w:p>
            <w:pPr>
              <w:jc w:val="center"/>
              <w:ind w:left="397"/>
              <w:spacing w:after="0" w:line="135"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2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397"/>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126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4"/>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August 2,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45.42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May 2,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May 2,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48.36</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total intrinsic value of options exercised during the nine-month period ended May 2, 2021 was not material. The total intrinsic value of options exercised during the nine-month period ended April 26, 2020 was $2. We measured the fair value of stock options using the Black-Scholes option pricing model.</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May 2, 2021, total remaining unearned compensation related to nonvested stock options was $1, which will be amortized over the weighted-average remaining service period of less than one year.</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May 2, 2021:</w:t>
      </w:r>
    </w:p>
    <w:tbl>
      <w:tblPr>
        <w:tblLayout w:type="fixed"/>
        <w:tblInd w:w="0" w:type="dxa"/>
        <w:tblCellMar>
          <w:top w:w="0" w:type="dxa"/>
          <w:left w:w="0" w:type="dxa"/>
          <w:bottom w:w="0" w:type="dxa"/>
          <w:right w:w="0" w:type="dxa"/>
        </w:tblCellMar>
      </w:tblPr>
      <w:tr>
        <w:trPr>
          <w:trHeight w:val="144"/>
        </w:trPr>
        <w:tc>
          <w:tcPr>
            <w:tcW w:w="7600" w:type="dxa"/>
            <w:vAlign w:val="bottom"/>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7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8"/>
              </w:rPr>
              <w:t>Weighted-Average Grant-</w:t>
            </w:r>
          </w:p>
        </w:tc>
        <w:tc>
          <w:tcPr>
            <w:tcW w:w="0" w:type="dxa"/>
            <w:vAlign w:val="bottom"/>
          </w:tcPr>
          <w:p>
            <w:pPr>
              <w:spacing w:after="0"/>
              <w:rPr>
                <w:sz w:val="1"/>
                <w:szCs w:val="1"/>
                <w:color w:val="auto"/>
              </w:rPr>
            </w:pPr>
          </w:p>
        </w:tc>
      </w:tr>
      <w:tr>
        <w:trPr>
          <w:trHeight w:val="188"/>
        </w:trPr>
        <w:tc>
          <w:tcPr>
            <w:tcW w:w="76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30"/>
        </w:trPr>
        <w:tc>
          <w:tcPr>
            <w:tcW w:w="7600" w:type="dxa"/>
            <w:vAlign w:val="bottom"/>
          </w:tcPr>
          <w:p>
            <w:pPr>
              <w:spacing w:after="0"/>
              <w:rPr>
                <w:sz w:val="11"/>
                <w:szCs w:val="11"/>
                <w:color w:val="auto"/>
              </w:rPr>
            </w:pPr>
          </w:p>
        </w:tc>
        <w:tc>
          <w:tcPr>
            <w:tcW w:w="1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1"/>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60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2, 2020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May 2,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expensed EPS performance restricted stock units on a graded-vesting basis, except for awards issued to retirement-eligible participants, which we expensed on an accelerated basis. The actual number of EPS performance restricted stock units issued at the vesting date was either 0% or 100% of the initial grant, depending on actual performance achieved. We estimated expense based on the number of awards expected to vest. As of November 1, 2020, there were no EPS performance target grants outstanding.</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2019, we issued approximately 388 thousand FCF performance restricted stock units for which vesting is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will be averaged at the end 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is based upon the quoted price of our stock at the date of grant. We expense FCF performance restricted stock units over the requisite service period of each objective. As of November 1, 2020, we have granted all of the issued FCF performance restricted stock units, which are included in the table above. There were 241 thousand FCF performance target grants outstanding at May 2, 2021, with a weighted-average grant-date fair value of $44.10.</w:t>
      </w:r>
    </w:p>
    <w:p>
      <w:pPr>
        <w:spacing w:after="0" w:line="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May 2, 2021, total remaining unearned compensation related to nonvested time-lapse restricted stock units and FCF performance restricted units was $38, which will be amortized over the weighted-average remaining service period of 1.7 years. The fair value of restricted stock units vested during the nine-month periods ended May 2, 2021, and April 26, 2020, was $38,</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and $34, respectively. The weighted-average grant-date fair value of the restricted stock units granted during the nine-month period ended April 26, 2020 was $46.77.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May 2,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30"/>
        </w:trPr>
        <w:tc>
          <w:tcPr>
            <w:tcW w:w="7800" w:type="dxa"/>
            <w:vAlign w:val="bottom"/>
          </w:tcPr>
          <w:p>
            <w:pPr>
              <w:spacing w:after="0"/>
              <w:rPr>
                <w:sz w:val="11"/>
                <w:szCs w:val="11"/>
                <w:color w:val="auto"/>
              </w:rPr>
            </w:pPr>
          </w:p>
        </w:tc>
        <w:tc>
          <w:tcPr>
            <w:tcW w:w="1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1"/>
              </w:rPr>
              <w:t>(Restricted stock</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 in thousands)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August 2,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May 2,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Assumptions used in the Monte Carlo simulation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2.85%</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29.99%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27.01%</w:t>
            </w:r>
          </w:p>
        </w:tc>
      </w:tr>
      <w:tr>
        <w:trPr>
          <w:trHeight w:val="234"/>
        </w:trPr>
        <w:tc>
          <w:tcPr>
            <w:tcW w:w="86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3 years</w:t>
            </w:r>
          </w:p>
        </w:tc>
        <w:tc>
          <w:tcPr>
            <w:tcW w:w="1260" w:type="dxa"/>
            <w:vAlign w:val="bottom"/>
          </w:tcPr>
          <w:p>
            <w:pPr>
              <w:ind w:left="360"/>
              <w:spacing w:after="0"/>
              <w:rPr>
                <w:sz w:val="20"/>
                <w:szCs w:val="20"/>
                <w:color w:val="auto"/>
              </w:rPr>
            </w:pPr>
            <w:r>
              <w:rPr>
                <w:rFonts w:ascii="Arial" w:cs="Arial" w:eastAsia="Arial" w:hAnsi="Arial"/>
                <w:sz w:val="18"/>
                <w:szCs w:val="18"/>
                <w:color w:val="auto"/>
              </w:rPr>
              <w:t>3 years</w:t>
            </w:r>
          </w:p>
        </w:tc>
      </w:tr>
    </w:tbl>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except for awards issued to retirement eligible participants, which we expense on an accelerated basis. As of May 2, 2021, total remaining unearned compensation related to TSR performance restricted stock units was $30, which will be amortized over the weighted-average remaining service period of 1.8 years. In the first quarter of 2021, recipients of TSR performance restricted stock units earned 50% of the initial grants based upon our TSR ranking in a performance peer group during a three-year period ended July 31, 2020. In the first quarter of 2020, recipients of TSR performance restricted stock units earned 0% of the initial grants based upon our TSR ranking in a performance peer group during a three-year period ended July 26, 2019. The fair value of TSR performance restricted stock units vested during the nine-month period ended May 2, 2021 was $11. The grant-date fair value of the TSR performance restricted stock units granted during 2020 was $63.06.</w:t>
      </w:r>
    </w:p>
    <w:p>
      <w:pPr>
        <w:spacing w:after="0" w:line="4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excess tax benefits of $1 in the nine-month periods ended May 2, 2021 and April 26, 2020, on the exercise of stock options and vested restricted stock were presented as cash flows from operating activities. Cash received from the exercise of stock options was $2 and $23 for the nine-month periods ended May 2, 2021, and April 26, 2020, respectively, and is reflected in cash flows from financing activities in the Consolidated Statements of Cash Flows.</w:t>
      </w:r>
    </w:p>
    <w:p>
      <w:pPr>
        <w:spacing w:after="0" w:line="104" w:lineRule="exact"/>
        <w:rPr>
          <w:sz w:val="20"/>
          <w:szCs w:val="20"/>
          <w:color w:val="auto"/>
        </w:rPr>
      </w:pPr>
    </w:p>
    <w:p>
      <w:pPr>
        <w:ind w:right="8420" w:firstLine="8"/>
        <w:spacing w:after="0" w:line="407" w:lineRule="auto"/>
        <w:tabs>
          <w:tab w:leader="none" w:pos="27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Regulatory and Litigation Matters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January 7, 2019, three purported shareholder class action lawsuits pending in the United States District Court for the District of New Jersey (the Court) were consolidated under the caption, </w:t>
      </w:r>
      <w:r>
        <w:rPr>
          <w:rFonts w:ascii="Arial" w:cs="Arial" w:eastAsia="Arial" w:hAnsi="Arial"/>
          <w:sz w:val="18"/>
          <w:szCs w:val="18"/>
          <w:i w:val="1"/>
          <w:iCs w:val="1"/>
          <w:color w:val="auto"/>
        </w:rPr>
        <w:t>In re Campbell Soup Company Securities Litigation</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7"/>
          <w:szCs w:val="17"/>
          <w:color w:val="auto"/>
        </w:rPr>
        <w:t>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On March 10, 2021 the defendants filed a motion to dismiss the second amended consolidated complaint. We are vigorously defending against the Action.</w:t>
      </w:r>
    </w:p>
    <w:p>
      <w:pPr>
        <w:spacing w:after="0" w:line="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May 2, 2021.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May 2,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Financial Statement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Balance Sheets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2, 2021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August 2, 2020</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Raw materials, containers and supplies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products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Statements of Earnings</w:t>
            </w: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6160" w:type="dxa"/>
            <w:vAlign w:val="bottom"/>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1"/>
        </w:trPr>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 2021</w:t>
            </w:r>
          </w:p>
        </w:tc>
        <w:tc>
          <w:tcPr>
            <w:tcW w:w="14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April 26, 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May 2, 2021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73"/>
              <w:spacing w:after="0"/>
              <w:rPr>
                <w:sz w:val="20"/>
                <w:szCs w:val="20"/>
                <w:color w:val="auto"/>
              </w:rPr>
            </w:pPr>
            <w:r>
              <w:rPr>
                <w:rFonts w:ascii="Arial" w:cs="Arial" w:eastAsia="Arial" w:hAnsi="Arial"/>
                <w:sz w:val="14"/>
                <w:szCs w:val="14"/>
                <w:b w:val="1"/>
                <w:bCs w:val="1"/>
                <w:color w:val="auto"/>
                <w:w w:val="99"/>
              </w:rPr>
              <w:t>April 26, 2020</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income other than the service cost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Pension settlement charges (gains)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losses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Loss on sale of business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services fees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-143510</wp:posOffset>
            </wp:positionV>
            <wp:extent cx="32232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See Note 3 for additional information.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3960"/>
        <w:spacing w:after="0" w:line="354"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2, 2020, including but not limited to "Part I - Item 1A. Risk Factors" and "Part II - Item 7. Management's Discussion and Analysis of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We have reflected the results of operations of the Kelsen business and the Arnott’s and other international operations (collectively referred to as Campbell International) as discontinued operations in the Consolidated Statements of Earnings.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 On May 3, 2021, subsequent to the end of the quarter, we completed the sale of our Plum baby food and snacks business, which is included in our Meals &amp; Beverages reportable segment. See Notes 3 and 6 to the Consolidated Financial Statements for additional information on these divestitures and reportable segments.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been actively monitoring the impact of COVID-19 on all aspects of our business. During the third quarter of 2021, we experienced a decrease in sales in both our Meals &amp; Beverages and Snacks segments, primarily as a result of lapping the initial COVID-19-related elevated demand for our retail products during the year-ago period. We anticipate that our fourth quarter 2021 sales will be lower than fourth quarter 2020 as we continue to lap the COVID-related elevated demand of the year-ago period, continue to transition out of the COVID-19 environment and lap the 53rd week in the year-ago quarter. In the quarter, we experienced margin pressure from: (i) higher than expected inflation, including escalating transportation costs, (ii) increased supply chain costs, reduced operating leverage and unfavorable mix as we transition from the unprecedented demand for our products resulting from COVID-19 in the year-ago period, and (iii) to a lesser extent, execution issues as we continue to advance our transformation agenda, primarily in Snacks.</w:t>
      </w:r>
    </w:p>
    <w:p>
      <w:pPr>
        <w:spacing w:after="0" w:line="4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Going forward, we expect to see inflation continue to be a headwind but expect it to be mitigated in 2022 by stronger productivity and price increases set to take effect in the first quarter of 2022. However, we continue to monitor the dynamic nature of the current economic environment. We also expect a decrease in costs related to COVID-19, a decrease in supply chain costs as we continue to recover our supply and service levels, and expect our execution issues will abate. Although we expect the impacts of COVID-19 on our business to moderate in the fourth quarter and beyond there still remains uncertainty about the duration and extent of the impact from COVID-19, including the spread of COVID-19 variants. We will continue to evaluate the extent to which COVID-19 will impact our business, consolidated results of operations and financial condition.</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there was significant winter weather across most of the United States affecting both inbound and outbound supply and distribution. We experienced operational disruptions at several of our manufacturing plants and distribution centers in areas of the country that were adversely impacted. While we believe these storms resulted in incremental transportation costs during the later part of February and early part of March 2021, the weather did not have a material impact on our results of operations for the third quarter.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90"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decreased 11% in 2021 to $1,984 million, primarily as a result of lapping increased demand of food purchases for at-home consumption at the onset of the COVID-19 pandemic in the prior-year quarter.</w:t>
      </w:r>
    </w:p>
    <w:p>
      <w:pPr>
        <w:spacing w:after="0" w:line="48"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Gross profit, as a percent of sales, decreased to 31.7% in 2021 from 34.5% in the prior-year quarter. The decrease was primarily due to higher cost inflation and other supply chain costs and unfavorable product mix, partially offset by the benefits from supply chain productivity improvements. In the current quarter, gross profit performance was impacted by pronounced inflation, the transition out of the COVID-19 environment and execution issues as we continue to advance our transformation agenda, primarily within Snacks.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from continuing operations per share were $.54 in 2021, compared to $.55 a year ago. The current quarter and prior-year quarter included expenses of $.03 and $.29 per share, respectively, from items impacting comparability as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90" w:lineRule="exact"/>
        <w:rPr>
          <w:sz w:val="20"/>
          <w:szCs w:val="20"/>
          <w:color w:val="auto"/>
        </w:rPr>
      </w:pPr>
    </w:p>
    <w:p>
      <w:pPr>
        <w:jc w:val="both"/>
        <w:ind w:left="660" w:hanging="328"/>
        <w:spacing w:after="0" w:line="26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implemented several cost savings initiatives in recent years. In the third quarter of 2021, we recorded a pre-tax restructuring charge of $2 million and implementation costs and other related costs of $11 million in Administrative expenses and $2 million in Cost of products sold (aggregate impact of $11 million after tax, or $.04 per share) related to these initiatives. Year-to-date in 2021, we recorded a pre-tax restructuring charge of $21 million and implementation costs and other related costs of $21 million in Administrative expenses and $1 million in Cost of products sold (aggregate impact of $32 million after tax, or $.10 per share) related to these initiatives. In the third quarter of 2020, we recorded implementation costs and other related costs of $10 million in Administrative expenses and $4 million in Cost of products sold (aggregate impact of $11 million after tax, or $.04 per share) related to these initiatives. Year-to-date in 2020, we recorded a pre-tax restructuring charge of $10 million and implementation costs and other related costs of $31 million in Administrative expenses, $6 million in Cost of products sold, $2 million in Marketing and selling expenses, and $1 million in Research and development expenses (aggregate impact of $38 million after tax, or $.13 per share) related to these initiatives. See Note 7 to the Consolidated Financial Statements and "Restructuring Charges and Cost Savings Initiatives" for additional information;</w:t>
      </w:r>
    </w:p>
    <w:p>
      <w:pPr>
        <w:spacing w:after="0" w:line="60"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third quarter of 2021, we recognized pre-tax pension settlement gains in Other expenses / (income) of $4 million ($3 million after tax, or $.01 per share). Year-to-date in 2021, we recognized pre-tax pension settlement gains in Other expenses / (income) of $38 million ($29 million after tax, or $.10 per share). In the third quarter of 2020, we recognized pre-tax pension settlement charges in Other expenses / (income) of $54 million ($41 million after tax, or $.13 per share). Year-to-date in 2020, we recognized pre-tax pension settlement charges in Other expenses / (income) of $43 million ($33 million after tax, or $.11 per share). The settlements were associated with U.S. and Canadian pension plans and resulted from the level of lump sum distributions from the plans' assets;</w:t>
      </w:r>
    </w:p>
    <w:p>
      <w:pPr>
        <w:spacing w:after="0" w:line="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Year-to-date in 2021, we recorded a $19 million ($.06 per share) deferred tax charge in connection with a legal entity reorganization as part of the continued integration of Snyder's-Lance, Inc. (Snyder's-Lance);</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third quarter of 2020, we recorded a loss in Other expenses / (income) of $45 million ($35 million after tax, or $.12 per share) associated with the pending sale of our limited partnership in Acre Venture Partners, L.P. (Acre);</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Year-to-date in 2020, we recorded a loss in Other expenses / (income) of $64 million ($41 million after tax, or $.13 per share) on the sale of our European chips business; and</w:t>
      </w:r>
    </w:p>
    <w:p>
      <w:pPr>
        <w:spacing w:after="0" w:line="48" w:lineRule="exact"/>
        <w:rPr>
          <w:rFonts w:ascii="Arial" w:cs="Arial" w:eastAsia="Arial" w:hAnsi="Arial"/>
          <w:sz w:val="18"/>
          <w:szCs w:val="18"/>
          <w:color w:val="auto"/>
        </w:rPr>
      </w:pPr>
    </w:p>
    <w:p>
      <w:pPr>
        <w:ind w:left="340" w:right="40" w:hanging="8"/>
        <w:spacing w:after="0" w:line="352" w:lineRule="auto"/>
        <w:tabs>
          <w:tab w:leader="none" w:pos="6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Year-to-date in 2020, we recorded a loss in Interest expense of $75 million ($57 million after tax, or $.19 per share) on the extinguishment of debt. </w:t>
      </w:r>
      <w:r>
        <w:rPr>
          <w:rFonts w:ascii="Arial" w:cs="Arial" w:eastAsia="Arial" w:hAnsi="Arial"/>
          <w:sz w:val="18"/>
          <w:szCs w:val="18"/>
          <w:i w:val="1"/>
          <w:iCs w:val="1"/>
          <w:u w:val="single" w:color="auto"/>
          <w:color w:val="auto"/>
        </w:rPr>
        <w:t>Discontinued Operations</w:t>
      </w: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Year-to-date in 2020, we recognized pre-tax net gains of $1,039 million ($1,000 million after tax, or $3.29 per share) associated with the sale of Campbell International.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May 2,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April 26, 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0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800" w:type="dxa"/>
            <w:vAlign w:val="bottom"/>
          </w:tcPr>
          <w:p>
            <w:pPr>
              <w:jc w:val="center"/>
              <w:ind w:right="114"/>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tcPr>
          <w:p>
            <w:pPr>
              <w:spacing w:after="0" w:line="203" w:lineRule="exact"/>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334"/>
              <w:spacing w:after="0" w:line="203" w:lineRule="exact"/>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14"/>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settlement gains (charges)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Investment losses</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314"/>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Impact of items on Earnings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3"/>
            <w:vMerge w:val="restart"/>
          </w:tcPr>
          <w:p>
            <w:pPr>
              <w:jc w:val="right"/>
              <w:ind w:right="1260"/>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69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May 2,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April 26, 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3"/>
          </w:tcPr>
          <w:p>
            <w:pPr>
              <w:spacing w:after="0" w:line="203" w:lineRule="exact"/>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settlement gains (charges)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Deferred tax charge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losses</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Charges associated with divestiture</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3"/>
          </w:tcPr>
          <w:p>
            <w:pPr>
              <w:spacing w:after="0" w:line="223"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gridSpan w:val="3"/>
          </w:tcPr>
          <w:p>
            <w:pPr>
              <w:spacing w:after="0" w:line="189" w:lineRule="exact"/>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associated with divestitures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Impact of items on Earnings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
        </w:trPr>
        <w:tc>
          <w:tcPr>
            <w:tcW w:w="6980" w:type="dxa"/>
            <w:vAlign w:val="bottom"/>
            <w:gridSpan w:val="4"/>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9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3" w:lineRule="auto"/>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Sum of the individual amounts may not add due to rounding.</w:t>
      </w:r>
    </w:p>
    <w:p>
      <w:pPr>
        <w:spacing w:after="0" w:line="8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Earnings from continuing operations were $166 million ($.54 per share) in the current quarter, compared to $166 million ($.55 per share) in the year-ago quarter. After adjusting for items impacting comparability, earnings from continuing operations decreased reflecting sales volume declines and lower gross profit performance, partially offset by lower marketing and selling expenses.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Earnings from continuing operations were $720 million ($2.36 per share) in the nine-month period this year, compared to $506 million ($1.66 per share) in the year-ago period. After adjusting for items impacting comparability, earnings from continuing operations increased reflecting lower interest expense, lower selling expenses, higher other income and sales volume gains, partially offset by lower gross profit performance and increased administrative expenses.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r>
      <w:tr>
        <w:trPr>
          <w:trHeight w:val="188"/>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May 2,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April 26, 2020</w:t>
            </w:r>
          </w:p>
        </w:tc>
        <w:tc>
          <w:tcPr>
            <w:tcW w:w="80" w:type="dxa"/>
            <w:vAlign w:val="bottom"/>
          </w:tcPr>
          <w:p>
            <w:pPr>
              <w:spacing w:after="0"/>
              <w:rPr>
                <w:sz w:val="16"/>
                <w:szCs w:val="16"/>
                <w:color w:val="auto"/>
              </w:rPr>
            </w:pPr>
          </w:p>
        </w:tc>
        <w:tc>
          <w:tcPr>
            <w:tcW w:w="1440" w:type="dxa"/>
            <w:vAlign w:val="bottom"/>
          </w:tcPr>
          <w:p>
            <w:pPr>
              <w:ind w:left="40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Meals &amp; Beverages</w:t>
            </w:r>
            <w:r>
              <w:rPr>
                <w:rFonts w:ascii="Arial" w:cs="Arial" w:eastAsia="Arial" w:hAnsi="Arial"/>
                <w:sz w:val="18"/>
                <w:szCs w:val="18"/>
                <w:b w:val="1"/>
                <w:bCs w:val="1"/>
                <w:color w:val="auto"/>
                <w:vertAlign w:val="superscript"/>
              </w:rPr>
              <w:t>(1)</w:t>
            </w:r>
          </w:p>
        </w:tc>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Snacks</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(1)</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67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(11)%</w:t>
            </w:r>
          </w:p>
        </w:tc>
      </w:tr>
      <w:tr>
        <w:trPr>
          <w:trHeight w:val="21"/>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Meals &amp; Beverages, sales decreased 14% primarily due to declines across U.S. retail products, including in U.S. soup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as well as declines in foodservice and Canada. Volume decreased in U.S. retail driven by lapping increased demand of food purchases for at-home consumption at the onset of the COVID-19 pandemic in the prior-year quarter. Sales of U.S. soup decreased 21% due to volume declines in condensed soups, ready-to-serve soups and broth.</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Snacks, sales decreased 8% due to volume declines within our salty snacks portfolio, including </w:t>
      </w:r>
      <w:r>
        <w:rPr>
          <w:rFonts w:ascii="Arial" w:cs="Arial" w:eastAsia="Arial" w:hAnsi="Arial"/>
          <w:sz w:val="18"/>
          <w:szCs w:val="18"/>
          <w:i w:val="1"/>
          <w:iCs w:val="1"/>
          <w:color w:val="auto"/>
        </w:rPr>
        <w:t>Pop Secret</w:t>
      </w:r>
      <w:r>
        <w:rPr>
          <w:rFonts w:ascii="Arial" w:cs="Arial" w:eastAsia="Arial" w:hAnsi="Arial"/>
          <w:sz w:val="18"/>
          <w:szCs w:val="18"/>
          <w:color w:val="auto"/>
        </w:rPr>
        <w:t xml:space="preserve"> popcorn,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 and </w:t>
      </w:r>
      <w:r>
        <w:rPr>
          <w:rFonts w:ascii="Arial" w:cs="Arial" w:eastAsia="Arial" w:hAnsi="Arial"/>
          <w:sz w:val="18"/>
          <w:szCs w:val="18"/>
          <w:i w:val="1"/>
          <w:iCs w:val="1"/>
          <w:color w:val="auto"/>
        </w:rPr>
        <w:t xml:space="preserve">Snyder's of Hanover </w:t>
      </w:r>
      <w:r>
        <w:rPr>
          <w:rFonts w:ascii="Arial" w:cs="Arial" w:eastAsia="Arial" w:hAnsi="Arial"/>
          <w:sz w:val="18"/>
          <w:szCs w:val="18"/>
          <w:color w:val="auto"/>
        </w:rPr>
        <w:t>pretzels, as well as in</w:t>
      </w:r>
      <w:r>
        <w:rPr>
          <w:rFonts w:ascii="Arial" w:cs="Arial" w:eastAsia="Arial" w:hAnsi="Arial"/>
          <w:sz w:val="18"/>
          <w:szCs w:val="18"/>
          <w:i w:val="1"/>
          <w:iCs w:val="1"/>
          <w:color w:val="auto"/>
        </w:rPr>
        <w:t xml:space="preserve"> Lance </w:t>
      </w:r>
      <w:r>
        <w:rPr>
          <w:rFonts w:ascii="Arial" w:cs="Arial" w:eastAsia="Arial" w:hAnsi="Arial"/>
          <w:sz w:val="18"/>
          <w:szCs w:val="18"/>
          <w:color w:val="auto"/>
        </w:rPr>
        <w:t>sandwich crackers, partner brands and fresh bakery. Volume declines were partially driven by lapping</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demand of food purchases for at-home consumption at the onset of the COVID-19 pandemic in the prior-year quarter. Partner brands consist of third-party branded products that we sell.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$144 million in 2021 from 2020. As a percent of sales, gross profit was 31.7% in 2021 and 34.5% in 2020.</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2.8 percentage-point decrease in gross profit percentage was due to the following factors:</w:t>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Margin Impact</w:t>
      </w:r>
    </w:p>
    <w:p>
      <w:pPr>
        <w:sectPr>
          <w:pgSz w:w="11900" w:h="16838" w:orient="portrait"/>
          <w:cols w:equalWidth="0" w:num="1">
            <w:col w:w="11240"/>
          </w:cols>
          <w:pgMar w:left="320" w:top="989"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inflation, supply chain costs and other factors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Price and sales allowances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Lower restructuring-related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Lower level of promotional spending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Productivity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(3.6)</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0.2</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1.5</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50165</wp:posOffset>
            </wp:positionV>
            <wp:extent cx="8058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9620" w:space="720"/>
            <w:col w:w="900"/>
          </w:cols>
          <w:pgMar w:left="320" w:top="989" w:right="339" w:bottom="1440" w:gutter="0" w:footer="0" w:header="0"/>
          <w:type w:val="continuous"/>
        </w:sectPr>
      </w:pPr>
    </w:p>
    <w:p>
      <w:pPr>
        <w:jc w:val="both"/>
        <w:ind w:left="340" w:hanging="332"/>
        <w:spacing w:after="0" w:line="234" w:lineRule="auto"/>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an estimated positive margin impact of a 2.5 benefit from the change in mark-to-market adjustments on outstanding commodity hedges and 0.6 from the benefit of cost savings initiatives, which were more than offset by cost inflation and other factors, including a 1.1 impact from reduced operating leverage.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Marketing and selling expenses as a percent of sales were 10.2% in 2021 compared to 10.7% in 2020. Marketing and selling expenses decreased 15% in 2021 from 2020. The decrease was primarily due to lower advertising and consumer promotion expense (approximately 7 percentage points); lower incentive compensation (approximately 4 percentage points); lower selling expenses (approximately 3 percentage points); and increased benefits from cost savings initiatives (approximately 2 percentage points). The decrease in advertising and consumer promotion expense was primarily due to a reduction of spend in Meals &amp; Beverages, primarily U.S. soup.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Administrative expenses as a percent of sales were 7.7% in 2021 compared to 6.9% in 2020. Administrative expenses decreased 1% in 2021 from 2020. The decrease was primarily due to lower incentive compensation (approximately 12 percentage points), partially offset by higher benefit-related costs (approximately 11 percentage points).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was $23 million in 2021 compared to other expenses of $81 million in 2020. Other income in 2021 included pension settlement gains of $4 million. Other expenses in 2020 included pension settlement charges of $54 million and a loss of $45 million on Acre.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33% in 2021 from 2020.</w:t>
      </w:r>
    </w:p>
    <w:p>
      <w:pPr>
        <w:sectPr>
          <w:pgSz w:w="11900" w:h="16838" w:orient="portrait"/>
          <w:cols w:equalWidth="0" w:num="1">
            <w:col w:w="11240"/>
          </w:cols>
          <w:pgMar w:left="320" w:top="9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9" w:name="page30"/>
    <w:bookmarkEnd w:id="29"/>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 2021</w:t>
            </w:r>
          </w:p>
        </w:tc>
        <w:tc>
          <w:tcPr>
            <w:tcW w:w="180" w:type="dxa"/>
            <w:vAlign w:val="bottom"/>
          </w:tcPr>
          <w:p>
            <w:pPr>
              <w:spacing w:after="0"/>
              <w:rPr>
                <w:sz w:val="16"/>
                <w:szCs w:val="16"/>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154</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(29)</w:t>
            </w:r>
          </w:p>
        </w:tc>
      </w:tr>
      <w:tr>
        <w:trPr>
          <w:trHeight w:val="223"/>
        </w:trPr>
        <w:tc>
          <w:tcPr>
            <w:tcW w:w="7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(33)</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6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Operating earnings from Meals &amp; Beverages decreased 35%. The decrease was primarily due to sales volume declines and lower gross profit performance, partially offset by lower marketing and selling expenses. Gross profit performance was impacted by higher cost inflation and other supply chain costs, reduced operating leverage and unfavorable mix, partially offset by the benefits of supply chain productivity improvements.</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Snacks decreased 29%. The decrease was primarily due to lower gross profit performance and sales volume declines, partially offset by lower marketing and selling expenses and lower administrative expenses. Gross profit performance was impacted by higher cost inflation and other supply chain costs, reduced operating leverage and unfavorable product mix, partially offset by the benefits of supply chain productivity improvements.</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in 2021 included costs of $13 million related to costs savings initiatives and pension settlement gains of $4 million. Corporate in 2020 included pension settlement charges of $54 million, a loss of $45 million on Acre and costs of $14 million related to cost savings initiatives. Excluding these amounts, the remaining decrease in expenses was primarily due to mark-to-market gains on outstanding commodity hedges in the current period compared to losses in the prior year, partially offset by higher administrative expenses.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to $53 million in 2021 from $55 million in 2020, primarily due to lower levels of debt.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tax rate was 24.2% in 2021 and 23.9% in 2020. The increase in the effective tax rate was primarily due to state tax law changes.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8"/>
          </w:tcPr>
          <w:p>
            <w:pPr>
              <w:ind w:left="640"/>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May 2,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April 26, 2020</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24"/>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ind w:left="40"/>
              <w:spacing w:after="0"/>
              <w:rPr>
                <w:sz w:val="20"/>
                <w:szCs w:val="20"/>
                <w:color w:val="auto"/>
              </w:rPr>
            </w:pPr>
            <w:r>
              <w:rPr>
                <w:rFonts w:ascii="Arial" w:cs="Arial" w:eastAsia="Arial" w:hAnsi="Arial"/>
                <w:sz w:val="14"/>
                <w:szCs w:val="14"/>
                <w:b w:val="1"/>
                <w:bCs w:val="1"/>
                <w:color w:val="auto"/>
              </w:rPr>
              <w:t>Meals &amp; Beverages</w:t>
            </w:r>
            <w:r>
              <w:rPr>
                <w:rFonts w:ascii="Arial" w:cs="Arial" w:eastAsia="Arial" w:hAnsi="Arial"/>
                <w:sz w:val="18"/>
                <w:szCs w:val="18"/>
                <w:b w:val="1"/>
                <w:bCs w:val="1"/>
                <w:color w:val="auto"/>
                <w:vertAlign w:val="superscript"/>
              </w:rPr>
              <w:t>(2)</w:t>
            </w:r>
          </w:p>
        </w:tc>
        <w:tc>
          <w:tcPr>
            <w:tcW w:w="2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Snacks</w:t>
            </w:r>
            <w:r>
              <w:rPr>
                <w:rFonts w:ascii="Arial" w:cs="Arial" w:eastAsia="Arial" w:hAnsi="Arial"/>
                <w:sz w:val="18"/>
                <w:szCs w:val="18"/>
                <w:b w:val="1"/>
                <w:bCs w:val="1"/>
                <w:color w:val="auto"/>
                <w:w w:val="84"/>
                <w:vertAlign w:val="superscript"/>
              </w:rPr>
              <w:t>(2)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1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134"/>
              <w:spacing w:after="0"/>
              <w:rPr>
                <w:sz w:val="20"/>
                <w:szCs w:val="20"/>
                <w:color w:val="auto"/>
              </w:rPr>
            </w:pPr>
            <w:r>
              <w:rPr>
                <w:rFonts w:ascii="Arial" w:cs="Arial" w:eastAsia="Arial" w:hAnsi="Arial"/>
                <w:sz w:val="18"/>
                <w:szCs w:val="18"/>
                <w:color w:val="auto"/>
                <w:w w:val="94"/>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Price and sales allowances</w:t>
            </w:r>
          </w:p>
        </w:tc>
        <w:tc>
          <w:tcPr>
            <w:tcW w:w="220" w:type="dxa"/>
            <w:vAlign w:val="bottom"/>
          </w:tcPr>
          <w:p>
            <w:pPr>
              <w:spacing w:after="0"/>
              <w:rPr>
                <w:sz w:val="19"/>
                <w:szCs w:val="19"/>
                <w:color w:val="auto"/>
              </w:rPr>
            </w:pPr>
          </w:p>
        </w:tc>
        <w:tc>
          <w:tcPr>
            <w:tcW w:w="1180" w:type="dxa"/>
            <w:vAlign w:val="bottom"/>
          </w:tcPr>
          <w:p>
            <w:pPr>
              <w:jc w:val="center"/>
              <w:ind w:right="154"/>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(Increased) /decreased promotional spending</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Divestiture</w:t>
            </w:r>
          </w:p>
        </w:tc>
        <w:tc>
          <w:tcPr>
            <w:tcW w:w="220" w:type="dxa"/>
            <w:vAlign w:val="bottom"/>
          </w:tcPr>
          <w:p>
            <w:pPr>
              <w:spacing w:after="0"/>
              <w:rPr>
                <w:sz w:val="19"/>
                <w:szCs w:val="19"/>
                <w:color w:val="auto"/>
              </w:rPr>
            </w:pPr>
          </w:p>
        </w:tc>
        <w:tc>
          <w:tcPr>
            <w:tcW w:w="1300" w:type="dxa"/>
            <w:vAlign w:val="bottom"/>
            <w:gridSpan w:val="4"/>
          </w:tcPr>
          <w:p>
            <w:pPr>
              <w:jc w:val="center"/>
              <w:ind w:right="3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20" w:type="dxa"/>
            <w:vAlign w:val="bottom"/>
          </w:tcPr>
          <w:p>
            <w:pPr>
              <w:jc w:val="center"/>
              <w:ind w:right="114"/>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center"/>
              <w:ind w:right="174"/>
              <w:spacing w:after="0"/>
              <w:rPr>
                <w:sz w:val="20"/>
                <w:szCs w:val="20"/>
                <w:color w:val="auto"/>
              </w:rPr>
            </w:pPr>
            <w:r>
              <w:rPr>
                <w:rFonts w:ascii="Arial" w:cs="Arial" w:eastAsia="Arial" w:hAnsi="Arial"/>
                <w:sz w:val="18"/>
                <w:szCs w:val="18"/>
                <w:color w:val="auto"/>
                <w:w w:val="92"/>
              </w:rPr>
              <w:t>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center"/>
              <w:ind w:right="134"/>
              <w:spacing w:after="0"/>
              <w:rPr>
                <w:sz w:val="20"/>
                <w:szCs w:val="20"/>
                <w:color w:val="auto"/>
              </w:rPr>
            </w:pPr>
            <w:r>
              <w:rPr>
                <w:rFonts w:ascii="Arial" w:cs="Arial" w:eastAsia="Arial" w:hAnsi="Arial"/>
                <w:sz w:val="18"/>
                <w:szCs w:val="18"/>
                <w:color w:val="auto"/>
                <w:w w:val="94"/>
              </w:rPr>
              <w:t>(1)%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jc w:val="both"/>
        <w:ind w:firstLine="324"/>
        <w:spacing w:after="0" w:line="279" w:lineRule="auto"/>
        <w:rPr>
          <w:sz w:val="20"/>
          <w:szCs w:val="20"/>
          <w:color w:val="auto"/>
        </w:rPr>
      </w:pPr>
      <w:r>
        <w:rPr>
          <w:rFonts w:ascii="Arial" w:cs="Arial" w:eastAsia="Arial" w:hAnsi="Arial"/>
          <w:sz w:val="17"/>
          <w:szCs w:val="17"/>
          <w:color w:val="auto"/>
        </w:rPr>
        <w:t xml:space="preserve">In Meals &amp; Beverages, sales increased 1% primarily due to gains in U.S. soup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partially offset by declines in foodservice. Volume increased in U.S. retail driven by COVID-19, with increased demand of food purchases for at-home consumption in the first half of 2021. Foodservice sales were negatively impacted by shifts in consumer behavior and continued COVID-19 related restrictions. Sales of U.S. soup increased 4% due to volume gains in condensed soups, broth and ready-to-serve soups and moderated promotional spending.</w:t>
      </w:r>
    </w:p>
    <w:p>
      <w:pPr>
        <w:spacing w:after="0" w:line="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Snacks, sales decreased 1% reflecting a 1-point negative impact from the sale of the European chips business. Excluding the divestiture, sales were comparable driven by volume declines mostly offset by lower levels of promotional spending. Declines in </w:t>
      </w:r>
      <w:r>
        <w:rPr>
          <w:rFonts w:ascii="Arial" w:cs="Arial" w:eastAsia="Arial" w:hAnsi="Arial"/>
          <w:sz w:val="17"/>
          <w:szCs w:val="17"/>
          <w:i w:val="1"/>
          <w:iCs w:val="1"/>
          <w:color w:val="auto"/>
        </w:rPr>
        <w:t>Lance</w:t>
      </w:r>
      <w:r>
        <w:rPr>
          <w:rFonts w:ascii="Arial" w:cs="Arial" w:eastAsia="Arial" w:hAnsi="Arial"/>
          <w:sz w:val="17"/>
          <w:szCs w:val="17"/>
          <w:color w:val="auto"/>
        </w:rPr>
        <w:t xml:space="preserve"> sandwich crackers and partner brands were mostly offset by gains in salty snacks, including </w:t>
      </w:r>
      <w:r>
        <w:rPr>
          <w:rFonts w:ascii="Arial" w:cs="Arial" w:eastAsia="Arial" w:hAnsi="Arial"/>
          <w:sz w:val="17"/>
          <w:szCs w:val="17"/>
          <w:i w:val="1"/>
          <w:iCs w:val="1"/>
          <w:color w:val="auto"/>
        </w:rPr>
        <w:t>Late July</w:t>
      </w:r>
      <w:r>
        <w:rPr>
          <w:rFonts w:ascii="Arial" w:cs="Arial" w:eastAsia="Arial" w:hAnsi="Arial"/>
          <w:sz w:val="17"/>
          <w:szCs w:val="17"/>
          <w:color w:val="auto"/>
        </w:rPr>
        <w:t xml:space="preserve"> snacks and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potato chips, and fresh bakery products.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$28 million in 2021 from 2020. As a percent of sales, gross profit was 33.7% in 2021 and 34.2% in 2020.</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0.5 percentage-point decrease in gross profit percentage was due to the following factors:</w:t>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Margin Impact</w:t>
      </w:r>
    </w:p>
    <w:p>
      <w:pPr>
        <w:sectPr>
          <w:pgSz w:w="11900" w:h="16838" w:orient="portrait"/>
          <w:cols w:equalWidth="0" w:num="1">
            <w:col w:w="11240"/>
          </w:cols>
          <w:pgMar w:left="320" w:top="989"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inflation, supply chain costs and other factors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Price and sales allowances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Lower restructuring-related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Lower level of promotional spending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Productivity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(0.2)</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(0.2)</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0.9</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1.5</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50165</wp:posOffset>
            </wp:positionV>
            <wp:extent cx="8058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9620" w:space="720"/>
            <w:col w:w="900"/>
          </w:cols>
          <w:pgMar w:left="320" w:top="989" w:right="339" w:bottom="1440" w:gutter="0" w:footer="0" w:header="0"/>
          <w:type w:val="continuous"/>
        </w:sectPr>
      </w:pPr>
    </w:p>
    <w:p>
      <w:pPr>
        <w:ind w:left="340" w:hanging="332"/>
        <w:spacing w:after="0" w:line="267"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an estimated positive margin impact of a 0.9 benefit from the change in mark-to-market adjustments on outstanding commodity hedges and 0.4 from the benefit of cost savings initiatives, which were more than offset by cost inflation and other factors, including the impact of COVID-19.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Marketing and selling expenses as a percent of sales were 9.7% in 2021 compared to 10.4% in 2020. Marketing and selling expenses decreased 6% in 2021 from 2020. The decrease was primarily due to increased benefits from cost savings initiatives (approximately 3 percentage points); lower incentive compensation (approximately 2 percentage points); lower selling expenses (approximately 1 percentage point) and lower costs related to marketing overhead (approximately 1 percentage point), partially offset by higher advertising and consumer promotion expense (approximately 1 percentage point). The increase in advertising and consumer promotion expense was primarily in Snacks.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6.8% in 2021 compared to 6.6% in 2020. Administrative expenses increased 4% in 2021 from 2020. The increase was primarily due to higher benefit-related costs (approximately 8 percentage points) and higher general administrative costs and inflation (approximately 4 percentage points), partially offset by lower incentive compensation (approximately 4 percentage points); increased benefits from cost savings initiatives (approximately 2 percentage points) and lower costs associated with cost savings initiatives (approximately 2 percentage points).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was $86 million in 2021 compared to other expenses of $115 million in 2020. Other expenses / (income) included pension settlement gains of $38 million in 2021 and pension settlement charges of $43 million in 2020. Other expenses in 2020 also included a loss of $64 million on the sale of the European chips business and a loss of $45 million on Acre. Excluding these amounts, the remaining increase in other income was primarily due to an increase in transition services fees this year, partially offset by lower net periodic benefit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4% in 2021 from 2020.</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2, 2021</w:t>
            </w:r>
          </w:p>
        </w:tc>
        <w:tc>
          <w:tcPr>
            <w:tcW w:w="180" w:type="dxa"/>
            <w:vAlign w:val="bottom"/>
          </w:tcPr>
          <w:p>
            <w:pPr>
              <w:spacing w:after="0"/>
              <w:rPr>
                <w:sz w:val="16"/>
                <w:szCs w:val="16"/>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224"/>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799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Snacks</w:t>
            </w: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415</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23"/>
        </w:trPr>
        <w:tc>
          <w:tcPr>
            <w:tcW w:w="7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1,162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1,214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1,134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1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earnings from Meals &amp; Beverages decreased 4%. The decrease was primarily due to lower gross profit performance, partially offset by sales volume gains. Gross profit performance was impacted by higher cost inflation and other supply chain costs, as well as higher sales allowances, partially offset by the benefits of supply chain productivity improvements and lower levels of promotional activity.</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Snacks decreased 6%. The decrease was primarily due to lower gross profit performance and sales volume declines, partially offset by lower selling expenses. Gross profit performance was impacted by higher cost inflation and other supply chain costs, including COVID-19 related costs, and unfavorable product mix, partially offset by the benefits of supply chain productivity improvements as well as lower levels of promotional spending.</w:t>
      </w:r>
    </w:p>
    <w:p>
      <w:pPr>
        <w:spacing w:after="0" w:line="6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Corporate in 2021 included costs of $22 million related to costs savings initiatives and pension settlement gains of $38 million. Corporate in 2020 included a loss of $64 million from the sale of the European chips business, a loss of $45 million on Acre, pension settlement charges of $43 million and costs of $40 million related to cost savings initiatives. Excluding these amounts, the remaining decrease in expenses was primarily due to mark-to-market gains on outstanding commodity hedges in the current period compared to losses in the prior year.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$163 million in 2021 from $284 million in 2020. The decrease in interest expense was due to a loss on extinguishment of debt of $75 million in the prior year and lower levels of debt.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0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effective tax rate was 25.9% in 2021 and 23.2% in 2020. The increase in the effective tax rate was primarily due to a $19 million deferred tax charge recognized in the second quarter of 2021 in connection with a legal entity reorganization as part of the continued integration of Snyder's-Lance and a $23 million tax benefit on the $64 million loss on the sale of the European chips business in the prior year.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0"/>
                <w:szCs w:val="10"/>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May 2, 2021</w:t>
            </w:r>
          </w:p>
        </w:tc>
        <w:tc>
          <w:tcPr>
            <w:tcW w:w="16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April 26, 2020</w:t>
            </w:r>
          </w:p>
        </w:tc>
        <w:tc>
          <w:tcPr>
            <w:tcW w:w="200" w:type="dxa"/>
            <w:vAlign w:val="bottom"/>
          </w:tcPr>
          <w:p>
            <w:pPr>
              <w:spacing w:after="0"/>
              <w:rPr>
                <w:sz w:val="10"/>
                <w:szCs w:val="10"/>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2, 2021</w:t>
            </w:r>
          </w:p>
        </w:tc>
        <w:tc>
          <w:tcPr>
            <w:tcW w:w="180" w:type="dxa"/>
            <w:vAlign w:val="bottom"/>
          </w:tcPr>
          <w:p>
            <w:pPr>
              <w:spacing w:after="0"/>
              <w:rPr>
                <w:sz w:val="10"/>
                <w:szCs w:val="10"/>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April 26, 2020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w w:val="92"/>
              </w:rPr>
              <w:t>Recognized as of May 2,</w:t>
            </w:r>
          </w:p>
        </w:tc>
        <w:tc>
          <w:tcPr>
            <w:tcW w:w="0" w:type="dxa"/>
            <w:vAlign w:val="bottom"/>
          </w:tcPr>
          <w:p>
            <w:pPr>
              <w:spacing w:after="0"/>
              <w:rPr>
                <w:sz w:val="1"/>
                <w:szCs w:val="1"/>
                <w:color w:val="auto"/>
              </w:rPr>
            </w:pPr>
          </w:p>
        </w:tc>
      </w:tr>
      <w:tr>
        <w:trPr>
          <w:trHeight w:val="188"/>
        </w:trPr>
        <w:tc>
          <w:tcPr>
            <w:tcW w:w="4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Aggregate after-tax impact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impact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600" w:type="dxa"/>
            <w:vAlign w:val="bottom"/>
            <w:gridSpan w:val="12"/>
          </w:tcPr>
          <w:p>
            <w:pPr>
              <w:jc w:val="center"/>
              <w:ind w:right="232"/>
              <w:spacing w:after="0"/>
              <w:rPr>
                <w:sz w:val="20"/>
                <w:szCs w:val="20"/>
                <w:color w:val="auto"/>
              </w:rPr>
            </w:pPr>
            <w:r>
              <w:rPr>
                <w:rFonts w:ascii="Arial" w:cs="Arial" w:eastAsia="Arial" w:hAnsi="Arial"/>
                <w:sz w:val="18"/>
                <w:szCs w:val="18"/>
                <w:color w:val="auto"/>
                <w:w w:val="91"/>
              </w:rPr>
              <w:t>A summary of the pre-tax costs in Earnings from discontinued operations associated with these initiatives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Recognized as of May 2,</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these initiatives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Recognized as of May 2,</w:t>
            </w:r>
          </w:p>
        </w:tc>
        <w:tc>
          <w:tcPr>
            <w:tcW w:w="0" w:type="dxa"/>
            <w:vAlign w:val="bottom"/>
          </w:tcPr>
          <w:p>
            <w:pPr>
              <w:spacing w:after="0"/>
              <w:rPr>
                <w:sz w:val="1"/>
                <w:szCs w:val="1"/>
                <w:color w:val="auto"/>
              </w:rPr>
            </w:pPr>
          </w:p>
        </w:tc>
      </w:tr>
      <w:tr>
        <w:trPr>
          <w:trHeight w:val="188"/>
        </w:trPr>
        <w:tc>
          <w:tcPr>
            <w:tcW w:w="96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$700 million to $730 million. This estimate will be updated as costs for the expanded initiatives are developed.</w:t>
      </w:r>
    </w:p>
    <w:p>
      <w:pPr>
        <w:spacing w:after="0" w:line="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associated with continuing operations that have been identified to date to consist of the following: approximately $220 million to $225 million in severance pay and benefits; approximately $85 million in asset impairment and accelerated depreciation; and approximately $395 million to $420 million in implementation costs and other related costs. We expect these pre-tax costs to be associated with our segments as follows: Meals &amp; Beverages - approximately 32%; Snacks - approximately 44%; and Corporate - approximately 24%.</w:t>
      </w:r>
    </w:p>
    <w:p>
      <w:pPr>
        <w:spacing w:after="0" w:line="5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Of the aggregate $700 million to $730 million of pre-tax costs associated with continuing operations identified to date, we expect approximately $600 million to $630 million will be cash expenditures. In addition, we expect to invest approximately $430 million in capital expenditures through 2022, of which we invested $382 million as of May 2, 2021.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incur the costs for the actions associated with continuing operations that have been identified to date through 2022 and to fund the costs through cash flows from operations and short-term borrowings.</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the initiatives for actions associated with continuing operations that have been identified to date to generate pre-tax savings of approximately $800 million in 2021, and once all phases are implemented, to generate annual ongoing savings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approximately $850 million by the end of 2022. In the nine-month period ended May 2, 2021, we generated an additional $55 million of pre-tax savings.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annual pre-tax savings associated with continuing operations generated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2, 2020</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28, 2019</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2017</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August 2, 2015</w:t>
            </w:r>
          </w:p>
        </w:tc>
      </w:tr>
      <w:tr>
        <w:trPr>
          <w:trHeight w:val="22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initiatives for actions associated with discontinued operations generated pre-tax savings of over $90 million in 2019 and $60 million in 2018.</w:t>
      </w:r>
    </w:p>
    <w:p>
      <w:pPr>
        <w:spacing w:after="0" w:line="11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May 2, 2021</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Nine Months</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Costs Incurred to Date</w:t>
            </w:r>
          </w:p>
        </w:tc>
        <w:tc>
          <w:tcPr>
            <w:tcW w:w="0" w:type="dxa"/>
            <w:vAlign w:val="bottom"/>
          </w:tcPr>
          <w:p>
            <w:pPr>
              <w:spacing w:after="0"/>
              <w:rPr>
                <w:sz w:val="1"/>
                <w:szCs w:val="1"/>
                <w:color w:val="auto"/>
              </w:rPr>
            </w:pPr>
          </w:p>
        </w:tc>
      </w:tr>
      <w:tr>
        <w:trPr>
          <w:trHeight w:val="188"/>
        </w:trPr>
        <w:tc>
          <w:tcPr>
            <w:tcW w:w="6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completed the sale of our Kelsen business on September 23, 2019, for $322 million. We also completed the Arnott's and other international operations on December 23, 2019, for $2,286 million.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Campbell International in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April 26, 2020</w:t>
            </w:r>
          </w:p>
        </w:tc>
      </w:t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Nine Months Ended</w:t>
            </w:r>
          </w:p>
        </w:tc>
      </w:tr>
      <w:tr>
        <w:trPr>
          <w:trHeight w:val="249"/>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Taxes on earnings from operations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businesses / costs associated with selling the businesses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on sales of businesses / costs associated with selling the businesses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third quarter of 2021, we recognized a $6 million Loss from discontinued operations due to tax expense from return-to-provision adjustments related to the sales of the businesses.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generated cash flows from operations of $881 million in 2021, compared to $1,125 million in 2020. The decline in 2021 was primarily due to changes in working capital, principally lower accrued liabilities and a significant increase in accounts payable in the prior year.</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Current assets are less than current liabilities as a result of our level of current maturities of long-term debt and short-term borrowings and our focus to lower core working capital requirements. We had negative working capital of $112 million as of May 2, 2021, and $690 million as of August 2, 2020. Total debt maturing within one year was $204 million as of May 2, 2021, and $1,202 million as of August 2, 2020.</w:t>
      </w:r>
    </w:p>
    <w:p>
      <w:pPr>
        <w:spacing w:after="0" w:line="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expenditures were $190 million in 2021 and $220 million in 2020. The decline was due to capital expenditures associated with discontinued operations in 2020. Capital expenditures are expected to total approximately $300 million in 2021. Capital expenditures in the nine-months of 2021 included the implementation of our existing SAP enterprise-resource planning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 xml:space="preserve">system for Snyder's-Lance, chip capacity expansion projects, a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 capacity expansion project, and a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 capacity expansion project.</w:t>
      </w:r>
    </w:p>
    <w:p>
      <w:pPr>
        <w:spacing w:after="0" w:line="3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completed the sale of our Kelsen business on September 23, 2019, for $322 million. On September 30, 2019, we repaid $399 million of our senior unsecured term loan facility using net proceeds from the Kelsen sale and the issuance of commercial paper. In addition, on October 11, 2019, we completed the sale of our European chips business for £63 million, or $77 million.</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completed the sale of the Arnott’s and other international operations on December 23, 2019, for $2,286 million. The purchase price was subject to certain post-closing adjustments, which resulted in $4 million of additional proceeds in the third quarter of 2020.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On January 24, 2020, we settled tender offers to purchase $1,200 million in aggregate principal amount of certain unsecured debt, comprising $329 million of 3.30% Senior Notes due 2021, $634 million of 3.65% Senior Notes due 2023, and $237 million of 3.80% Senior Notes due 2043. Except for the $237 million of 3.80% Senior Notes due 2043, the Senior Notes settled under the tender offer were issued in connection with our acquisition of Snyder’s-Lance. The consideration for the redemption and the tender offers was $1,765 million, including $65 million of premium. We recognized a loss of $75 million (including $65 million of premium, fees and other costs paid with the tender offers and unamortized debt issuance costs),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w:t>
      </w:r>
    </w:p>
    <w:p>
      <w:pPr>
        <w:spacing w:after="0" w:line="3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Dividend payments were $327 million in 2021 and $320 million in 2020. The regular quarterly dividends paid on our capital stock were $.35 per share in each the first and second quarter of 2021 and in each quarter of 2020. The regular quarterly dividends paid on our capital stock were $.37 per share in the third quarter of 2021. On March 4, 2021, the Board of Directors declared a regular quarterly dividend of $.37 per share payable on May 3, 2021 to shareholders of record at the close of business on April 8, 2021. On May 25, 2021, the Board of Directors declared a regular quarterly dividend of $.37 per share payable on August 2, 2021 to shareholders of record at the close of business on July 14, 2021.</w:t>
      </w:r>
    </w:p>
    <w:p>
      <w:pPr>
        <w:spacing w:after="0" w:line="5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suspended our share repurchases as of the second quarter of 2018. In June 2021, the Board authorized a new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See Note 13 to the Consolidated Financial Statements for additional information.</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24, 2020, we issued senior unsecured notes in an aggregate principal amount of $1,000 million, consisting of $500 million aggregate principal amount of notes bearing interest at a fixed rate of 2.375% per annum, due April 24, 2030, and $500 million aggregate principal amount of notes bearing interest at a fixed rate of 3.125% per annum, due April 24, 2050. On May 1, 2020, we used $300 million of the net proceeds to repay $300 million of borrowings outstanding under our revolving credit facility.</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2021, we repaid the 3.30% $321 million notes and floating rate $400 million notes. The repayments were funded with available cash. In May 2021, after the end of the quarter, we repaid our 8.875% $200 million notes.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May 2, 2021, we had $204 million of short-term borrowings due within one year, none of which was comprised of commercial paper borrowings. As of May 2, 2021, we issued $36 million of standby letters of credit. On November 2, 2020, we entered into a committed revolving credit facility totaling $1,850 million that matures on November 2, 2023. The facility remained unused at May 2, 2021,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both"/>
        <w:ind w:firstLine="324"/>
        <w:spacing w:after="0" w:line="277" w:lineRule="auto"/>
        <w:rPr>
          <w:sz w:val="20"/>
          <w:szCs w:val="20"/>
          <w:color w:val="auto"/>
        </w:rPr>
      </w:pPr>
      <w:r>
        <w:rPr>
          <w:rFonts w:ascii="Arial" w:cs="Arial" w:eastAsia="Arial" w:hAnsi="Arial"/>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0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2, 2020 (2020 Annual Report on Form 10-K). The accounting policies we used in preparing these financial statements are substantially consistent with those we applied in our 2020 Annual Report on Form 10-K. Our significant accounting estimates are described in Management’s Discussion and Analysis included in the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2020 Annual Report on Form 10-K, could affect our actual results and could cause such results to vary materially from those expressed in any forward-looking statements made by, or on behalf of, us:</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impacts of, and associated responses to the COVID-19 pandemic on our business, suppliers, customers, consumers and employees;</w:t>
      </w:r>
    </w:p>
    <w:p>
      <w:pPr>
        <w:spacing w:after="0" w:line="11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maintaining our market share position in soup;</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in or inefficiencies to our supply chain and/or operations including the impacts of the COVID-19 pandemic, as well as fluctuations in the supply of and inflation in energy and raw and packaging materials cost;</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failure in or breach of our or our vendors' information technology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changes and volatility in financial and credit markets, deteriorating economic conditions and other external factors, including changes in laws and regulations; and</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pandemics or other calamities.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2020 Annual Report on Form 10-K. There have been no significant changes in our portfolio of financial instruments or market risk exposures from the 2020 year-end.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May 2, 2021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May 2,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15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0060" w:type="dxa"/>
            <w:vAlign w:val="bottom"/>
            <w:gridSpan w:val="5"/>
          </w:tcPr>
          <w:p>
            <w:pPr>
              <w:ind w:left="3660"/>
              <w:spacing w:after="0"/>
              <w:rPr>
                <w:sz w:val="20"/>
                <w:szCs w:val="20"/>
                <w:color w:val="auto"/>
              </w:rPr>
            </w:pPr>
            <w:r>
              <w:rPr>
                <w:rFonts w:ascii="Arial" w:cs="Arial" w:eastAsia="Arial" w:hAnsi="Arial"/>
                <w:sz w:val="18"/>
                <w:szCs w:val="18"/>
                <w:color w:val="auto"/>
              </w:rPr>
              <w:t>INDEX TO EXHIBITS</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Mark A. Clouse pursuant to Rule 13a-14(a).</w:t>
              </w:r>
            </w:hyperlink>
          </w:p>
        </w:tc>
      </w:tr>
      <w:tr>
        <w:trPr>
          <w:trHeight w:val="20"/>
        </w:trPr>
        <w:tc>
          <w:tcPr>
            <w:tcW w:w="110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Mick J. Beekhuizen pursuant to Rule 13a-14(a)</w:t>
              </w:r>
            </w:hyperlink>
            <w:r>
              <w:rPr>
                <w:rFonts w:ascii="Arial" w:cs="Arial" w:eastAsia="Arial" w:hAnsi="Arial"/>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Mark A. Clouse pursuant to 18 U.S.C. Section 1350.</w:t>
              </w:r>
            </w:hyperlink>
          </w:p>
        </w:tc>
      </w:tr>
      <w:tr>
        <w:trPr>
          <w:trHeight w:val="20"/>
        </w:trPr>
        <w:tc>
          <w:tcPr>
            <w:tcW w:w="1100" w:type="dxa"/>
            <w:vAlign w:val="bottom"/>
          </w:tcPr>
          <w:p>
            <w:pPr>
              <w:spacing w:after="0" w:line="20" w:lineRule="exact"/>
              <w:rPr>
                <w:sz w:val="1"/>
                <w:szCs w:val="1"/>
                <w:color w:val="auto"/>
              </w:rPr>
            </w:pPr>
          </w:p>
        </w:tc>
        <w:tc>
          <w:tcPr>
            <w:tcW w:w="4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10060" w:type="dxa"/>
            <w:vAlign w:val="bottom"/>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Mick J. Beekhuizen pursuant to 18 U.S.C. Section 1350.</w:t>
              </w:r>
            </w:hyperlink>
          </w:p>
        </w:tc>
      </w:tr>
      <w:tr>
        <w:trPr>
          <w:trHeight w:val="20"/>
        </w:trPr>
        <w:tc>
          <w:tcPr>
            <w:tcW w:w="1100" w:type="dxa"/>
            <w:vAlign w:val="bottom"/>
          </w:tcPr>
          <w:p>
            <w:pPr>
              <w:spacing w:after="0" w:line="20" w:lineRule="exact"/>
              <w:rPr>
                <w:sz w:val="1"/>
                <w:szCs w:val="1"/>
                <w:color w:val="auto"/>
              </w:rPr>
            </w:pPr>
          </w:p>
        </w:tc>
        <w:tc>
          <w:tcPr>
            <w:tcW w:w="5220" w:type="dxa"/>
            <w:vAlign w:val="bottom"/>
            <w:gridSpan w:val="4"/>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5"/>
          </w:tcPr>
          <w:p>
            <w:pPr>
              <w:spacing w:after="0"/>
              <w:rPr>
                <w:sz w:val="20"/>
                <w:szCs w:val="20"/>
                <w:color w:val="auto"/>
              </w:rPr>
            </w:pPr>
            <w:r>
              <w:rPr>
                <w:rFonts w:ascii="Arial" w:cs="Arial" w:eastAsia="Arial" w:hAnsi="Arial"/>
                <w:sz w:val="18"/>
                <w:szCs w:val="18"/>
                <w:color w:val="auto"/>
                <w:w w:val="89"/>
              </w:rPr>
              <w:t>Inline XBRL Instance Document - the instance document does not appear on the Interactive Data File because its XBRL tags are embedded</w:t>
            </w:r>
          </w:p>
        </w:tc>
      </w:tr>
      <w:tr>
        <w:trPr>
          <w:trHeight w:val="230"/>
        </w:trPr>
        <w:tc>
          <w:tcPr>
            <w:tcW w:w="110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23"/>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94" w:lineRule="exact"/>
        <w:rPr>
          <w:sz w:val="20"/>
          <w:szCs w:val="20"/>
          <w:color w:val="auto"/>
        </w:rPr>
      </w:pPr>
    </w:p>
    <w:p>
      <w:pPr>
        <w:ind w:left="1100" w:hanging="109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5" w:right="399" w:bottom="1440" w:gutter="0" w:footer="0" w:header="0"/>
        </w:sectPr>
      </w:pPr>
    </w:p>
    <w:bookmarkStart w:id="38" w:name="page39"/>
    <w:bookmarkEnd w:id="3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CAMPBELL SOUP COMPANY</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1718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Mick J. Beekhuizen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1718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Stanley Polomski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891"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90"/>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239" w:lineRule="exact"/>
        <w:rPr>
          <w:sz w:val="20"/>
          <w:szCs w:val="20"/>
          <w:color w:val="auto"/>
        </w:rPr>
      </w:pPr>
    </w:p>
    <w:p>
      <w:pPr>
        <w:ind w:left="4160"/>
        <w:spacing w:after="0"/>
        <w:tabs>
          <w:tab w:leader="none" w:pos="4600" w:val="left"/>
        </w:tabs>
        <w:rPr>
          <w:sz w:val="20"/>
          <w:szCs w:val="20"/>
          <w:color w:val="auto"/>
        </w:rPr>
      </w:pPr>
      <w:r>
        <w:rPr>
          <w:rFonts w:ascii="Arial" w:cs="Arial" w:eastAsia="Arial" w:hAnsi="Arial"/>
          <w:sz w:val="18"/>
          <w:szCs w:val="18"/>
          <w:color w:val="auto"/>
        </w:rPr>
        <w:t>By:</w:t>
        <w:tab/>
        <w:t>/s/ Mark A. Clouse</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Mick J. Beekhuizen, certify that:</w:t>
      </w:r>
    </w:p>
    <w:p>
      <w:pPr>
        <w:spacing w:after="0" w:line="171" w:lineRule="exact"/>
        <w:rPr>
          <w:sz w:val="20"/>
          <w:szCs w:val="20"/>
          <w:color w:val="auto"/>
        </w:rPr>
      </w:pPr>
    </w:p>
    <w:p>
      <w:pPr>
        <w:ind w:left="400" w:hanging="190"/>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20" w:firstLine="202"/>
        <w:spacing w:after="0" w:line="263"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May 2, 2021 (the “Report”), I, Mark A. Clouse, President and Chief Executive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50" w:lineRule="exact"/>
        <w:rPr>
          <w:sz w:val="20"/>
          <w:szCs w:val="20"/>
          <w:color w:val="auto"/>
        </w:rPr>
      </w:pPr>
    </w:p>
    <w:p>
      <w:pPr>
        <w:ind w:left="4140"/>
        <w:spacing w:after="0"/>
        <w:tabs>
          <w:tab w:leader="none" w:pos="4560" w:val="left"/>
        </w:tabs>
        <w:rPr>
          <w:sz w:val="20"/>
          <w:szCs w:val="20"/>
          <w:color w:val="auto"/>
        </w:rPr>
      </w:pPr>
      <w:r>
        <w:rPr>
          <w:rFonts w:ascii="Arial" w:cs="Arial" w:eastAsia="Arial" w:hAnsi="Arial"/>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Mark A. Clouse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20" w:firstLine="202"/>
        <w:spacing w:after="0" w:line="263"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May 2, 2021 (the “Report”), I, Mick J. Beekhuizen, Executive Vice President and Chief Financial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50" w:lineRule="exact"/>
        <w:rPr>
          <w:sz w:val="20"/>
          <w:szCs w:val="20"/>
          <w:color w:val="auto"/>
        </w:rPr>
      </w:pPr>
    </w:p>
    <w:p>
      <w:pPr>
        <w:ind w:left="4140"/>
        <w:spacing w:after="0"/>
        <w:tabs>
          <w:tab w:leader="none" w:pos="4580" w:val="left"/>
        </w:tabs>
        <w:rPr>
          <w:sz w:val="20"/>
          <w:szCs w:val="20"/>
          <w:color w:val="auto"/>
        </w:rPr>
      </w:pPr>
      <w:r>
        <w:rPr>
          <w:rFonts w:ascii="Arial" w:cs="Arial" w:eastAsia="Arial" w:hAnsi="Arial"/>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Mick J. Beekhuizen</w:t>
            </w:r>
          </w:p>
        </w:tc>
      </w:tr>
      <w:tr>
        <w:trPr>
          <w:trHeight w:val="229"/>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34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80" w:type="dxa"/>
            <w:vAlign w:val="bottom"/>
          </w:tcPr>
          <w:p>
            <w:pPr>
              <w:spacing w:after="0"/>
              <w:rPr>
                <w:sz w:val="20"/>
                <w:szCs w:val="20"/>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9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2"/>
    </w:lvl>
  </w:abstractNum>
  <w:abstractNum w:abstractNumId="1">
    <w:nsid w:val="25E45D32"/>
    <w:multiLevelType w:val="hybridMultilevel"/>
    <w:lvl w:ilvl="0">
      <w:lvlJc w:val="left"/>
      <w:lvlText w:val="%1."/>
      <w:numFmt w:val="decimal"/>
      <w:start w:val="3"/>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5"/>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5"/>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2021-06-09T06:42:46Z</dcterms:created>
  <dcterms:modified xsi:type="dcterms:W3CDTF">2021-06-09T06:42:46Z</dcterms:modified>
</cp:coreProperties>
</file>